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6021"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 w14:paraId="213BB2AE">
      <w:pPr>
        <w:widowControl/>
        <w:jc w:val="left"/>
        <w:rPr>
          <w:rFonts w:hint="eastAsia"/>
          <w:bCs/>
          <w:kern w:val="0"/>
          <w:sz w:val="32"/>
          <w:szCs w:val="32"/>
          <w:lang w:val="en-US" w:eastAsia="zh-CN"/>
        </w:rPr>
      </w:pPr>
    </w:p>
    <w:p w14:paraId="7236E000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怀化开放大学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部门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预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算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  <w:t>公开说明</w:t>
      </w:r>
    </w:p>
    <w:p w14:paraId="4A2AA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  <w:lang w:eastAsia="zh-CN"/>
        </w:rPr>
      </w:pPr>
    </w:p>
    <w:p w14:paraId="51B7F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目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录</w:t>
      </w:r>
    </w:p>
    <w:p w14:paraId="185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color w:val="auto"/>
          <w:kern w:val="0"/>
          <w:sz w:val="32"/>
          <w:szCs w:val="32"/>
          <w:lang w:eastAsia="zh-CN"/>
        </w:rPr>
        <w:t>第一部分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lang w:val="en-US" w:eastAsia="zh-CN"/>
        </w:rPr>
        <w:t xml:space="preserve">  2024年部门预算说明</w:t>
      </w:r>
    </w:p>
    <w:p w14:paraId="1B64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一、部门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基本概况</w:t>
      </w:r>
    </w:p>
    <w:p w14:paraId="2E6F08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部门预算单位构成</w:t>
      </w:r>
    </w:p>
    <w:p w14:paraId="71BA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部门收支总体情况</w:t>
      </w:r>
    </w:p>
    <w:p w14:paraId="345A4F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一般公共预算财政拨款支出</w:t>
      </w:r>
    </w:p>
    <w:p w14:paraId="67FD3F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政府性基金预算支出</w:t>
      </w:r>
    </w:p>
    <w:p w14:paraId="17E5B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六、其他重要事项的情况说明</w:t>
      </w:r>
    </w:p>
    <w:p w14:paraId="54F7D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名词解释</w:t>
      </w:r>
    </w:p>
    <w:p w14:paraId="576C9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第二部分  2024年部门预算表</w:t>
      </w:r>
    </w:p>
    <w:p w14:paraId="78DBA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eastAsia="仿宋_GB2312"/>
          <w:color w:val="000000"/>
          <w:sz w:val="32"/>
          <w:szCs w:val="32"/>
        </w:rPr>
        <w:t>收支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总表</w:t>
      </w:r>
    </w:p>
    <w:p w14:paraId="0D8E5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eastAsia="仿宋_GB2312"/>
          <w:color w:val="000000"/>
          <w:sz w:val="32"/>
          <w:szCs w:val="32"/>
        </w:rPr>
        <w:t>收入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预算总</w:t>
      </w:r>
      <w:r>
        <w:rPr>
          <w:rFonts w:eastAsia="仿宋_GB2312"/>
          <w:color w:val="000000"/>
          <w:sz w:val="32"/>
          <w:szCs w:val="32"/>
        </w:rPr>
        <w:t>表</w:t>
      </w:r>
    </w:p>
    <w:p w14:paraId="539B7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预算总</w:t>
      </w:r>
      <w:r>
        <w:rPr>
          <w:rFonts w:eastAsia="仿宋_GB2312"/>
          <w:color w:val="000000"/>
          <w:sz w:val="32"/>
          <w:szCs w:val="32"/>
        </w:rPr>
        <w:t>表</w:t>
      </w:r>
    </w:p>
    <w:p w14:paraId="4CC7A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eastAsia="仿宋_GB2312"/>
          <w:color w:val="000000"/>
          <w:sz w:val="32"/>
          <w:szCs w:val="32"/>
        </w:rPr>
        <w:t>财政拨款收支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总表</w:t>
      </w:r>
    </w:p>
    <w:p w14:paraId="7CB50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eastAsia="仿宋_GB2312"/>
          <w:color w:val="000000"/>
          <w:sz w:val="32"/>
          <w:szCs w:val="32"/>
        </w:rPr>
        <w:t>一般公共预算支出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 w14:paraId="53D52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eastAsia="仿宋_GB2312"/>
          <w:color w:val="000000"/>
          <w:sz w:val="32"/>
          <w:szCs w:val="32"/>
        </w:rPr>
        <w:t>一般公共预算基本支出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 w14:paraId="47624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一般公共预算</w:t>
      </w:r>
      <w:r>
        <w:rPr>
          <w:rFonts w:eastAsia="仿宋_GB2312"/>
          <w:color w:val="000000"/>
          <w:sz w:val="32"/>
          <w:szCs w:val="32"/>
        </w:rPr>
        <w:t>“三公”经费支出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 w14:paraId="410A8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eastAsia="仿宋_GB2312"/>
          <w:color w:val="000000"/>
          <w:sz w:val="32"/>
          <w:szCs w:val="32"/>
        </w:rPr>
        <w:t>政府性基金预算支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出预算</w:t>
      </w:r>
      <w:r>
        <w:rPr>
          <w:rFonts w:eastAsia="仿宋_GB2312"/>
          <w:color w:val="000000"/>
          <w:sz w:val="32"/>
          <w:szCs w:val="32"/>
        </w:rPr>
        <w:t>表</w:t>
      </w:r>
    </w:p>
    <w:p w14:paraId="10D7E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项目支出预算表</w:t>
      </w:r>
    </w:p>
    <w:p w14:paraId="0AAD9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国有资本经营预算支出预算表</w:t>
      </w:r>
    </w:p>
    <w:p w14:paraId="1C5F2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11.项目支出绩效目标表</w:t>
      </w:r>
    </w:p>
    <w:p w14:paraId="14FFA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12.部门整体支出绩效目标表</w:t>
      </w:r>
    </w:p>
    <w:p w14:paraId="17666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注：以上部门预算报表中，空表表示本部门无相关收支情况</w:t>
      </w:r>
    </w:p>
    <w:p w14:paraId="34838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3909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="0" w:leftChars="0" w:right="0" w:rightChars="0"/>
        <w:jc w:val="left"/>
        <w:textAlignment w:val="auto"/>
        <w:outlineLvl w:val="9"/>
        <w:rPr>
          <w:rFonts w:hint="eastAsia" w:eastAsia="楷体_GB2312"/>
          <w:b/>
          <w:bCs w:val="0"/>
          <w:kern w:val="0"/>
          <w:sz w:val="32"/>
          <w:szCs w:val="32"/>
          <w:lang w:val="en-US" w:eastAsia="zh-CN"/>
        </w:rPr>
      </w:pPr>
    </w:p>
    <w:p w14:paraId="42599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="0" w:leftChars="0" w:right="0" w:rightChars="0"/>
        <w:jc w:val="left"/>
        <w:textAlignment w:val="auto"/>
        <w:outlineLvl w:val="9"/>
        <w:rPr>
          <w:rFonts w:hint="eastAsia" w:eastAsia="楷体_GB2312"/>
          <w:b/>
          <w:bCs w:val="0"/>
          <w:kern w:val="0"/>
          <w:sz w:val="32"/>
          <w:szCs w:val="32"/>
          <w:lang w:val="en-US" w:eastAsia="zh-CN"/>
        </w:rPr>
      </w:pPr>
    </w:p>
    <w:p w14:paraId="2AB40672">
      <w:pPr>
        <w:bidi w:val="0"/>
        <w:rPr>
          <w:rFonts w:hint="eastAsia"/>
          <w:lang w:val="en-US" w:eastAsia="zh-CN"/>
        </w:rPr>
      </w:pPr>
    </w:p>
    <w:p w14:paraId="0844559A">
      <w:pPr>
        <w:bidi w:val="0"/>
        <w:rPr>
          <w:rFonts w:hint="eastAsia"/>
          <w:lang w:val="en-US" w:eastAsia="zh-CN"/>
        </w:rPr>
      </w:pPr>
    </w:p>
    <w:p w14:paraId="581E519F">
      <w:pPr>
        <w:bidi w:val="0"/>
        <w:rPr>
          <w:rFonts w:hint="eastAsia"/>
          <w:lang w:val="en-US" w:eastAsia="zh-CN"/>
        </w:rPr>
      </w:pPr>
    </w:p>
    <w:p w14:paraId="6FA6F94B">
      <w:pPr>
        <w:bidi w:val="0"/>
        <w:rPr>
          <w:rFonts w:hint="eastAsia"/>
          <w:lang w:val="en-US" w:eastAsia="zh-CN"/>
        </w:rPr>
      </w:pPr>
    </w:p>
    <w:p w14:paraId="7FEA6678">
      <w:pPr>
        <w:bidi w:val="0"/>
        <w:rPr>
          <w:rFonts w:hint="eastAsia"/>
          <w:lang w:val="en-US" w:eastAsia="zh-CN"/>
        </w:rPr>
      </w:pPr>
    </w:p>
    <w:p w14:paraId="26E751D1">
      <w:pPr>
        <w:bidi w:val="0"/>
        <w:rPr>
          <w:rFonts w:hint="eastAsia"/>
          <w:lang w:val="en-US" w:eastAsia="zh-CN"/>
        </w:rPr>
      </w:pPr>
    </w:p>
    <w:p w14:paraId="1A0DE24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7B2A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基本概况</w:t>
      </w:r>
    </w:p>
    <w:p w14:paraId="3805B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30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（一）部门职责</w:t>
      </w:r>
    </w:p>
    <w:p w14:paraId="0537E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学校是由怀化市人民政府举办，以促进终身学习为使命、以现代教育技术为支撑、以“互联网</w:t>
      </w:r>
      <w:r>
        <w:rPr>
          <w:rFonts w:hint="default" w:eastAsia="仿宋_GB2312" w:cs="Times New Roman"/>
          <w:sz w:val="32"/>
          <w:szCs w:val="32"/>
          <w:lang w:eastAsia="zh-CN"/>
        </w:rPr>
        <w:t>+</w:t>
      </w:r>
      <w:r>
        <w:rPr>
          <w:rFonts w:hint="eastAsia" w:eastAsia="仿宋_GB2312" w:cs="Times New Roman"/>
          <w:sz w:val="32"/>
          <w:szCs w:val="32"/>
          <w:lang w:eastAsia="zh-CN"/>
        </w:rPr>
        <w:t>”为特征的新型高等学校。</w:t>
      </w:r>
      <w:r>
        <w:rPr>
          <w:rFonts w:hint="default" w:eastAsia="仿宋_GB2312" w:cs="Times New Roman"/>
          <w:sz w:val="32"/>
          <w:szCs w:val="32"/>
          <w:lang w:eastAsia="zh-CN"/>
        </w:rPr>
        <w:t>2021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eastAsia="仿宋_GB2312" w:cs="Times New Roman"/>
          <w:sz w:val="32"/>
          <w:szCs w:val="32"/>
          <w:lang w:eastAsia="zh-CN"/>
        </w:rPr>
        <w:t>12</w:t>
      </w:r>
      <w:r>
        <w:rPr>
          <w:rFonts w:hint="eastAsia" w:eastAsia="仿宋_GB2312" w:cs="Times New Roman"/>
          <w:sz w:val="32"/>
          <w:szCs w:val="32"/>
          <w:lang w:eastAsia="zh-CN"/>
        </w:rPr>
        <w:t>月正式更名为怀化开放大学，作为一所主要以职业人为培养对象的高等学校，致力于面向全体社会成员的全民终身教育和本专科学历教育，与国家开放大学办学平台、湖南开放大学办学平台实现对接，将现代信息技术与教育深度融合，强调优质教育资源的集聚、整合和共享。学校按所属行业归口为市教育局直属学校，在业务上接受湖南开放大学的指导，实行统筹规划、分级办学、分级管理，在</w:t>
      </w:r>
      <w:r>
        <w:rPr>
          <w:rFonts w:hint="default" w:eastAsia="仿宋_GB2312" w:cs="Times New Roman"/>
          <w:sz w:val="32"/>
          <w:szCs w:val="32"/>
          <w:lang w:eastAsia="zh-CN"/>
        </w:rPr>
        <w:t>12</w:t>
      </w:r>
      <w:r>
        <w:rPr>
          <w:rFonts w:hint="eastAsia" w:eastAsia="仿宋_GB2312" w:cs="Times New Roman"/>
          <w:sz w:val="32"/>
          <w:szCs w:val="32"/>
          <w:lang w:eastAsia="zh-CN"/>
        </w:rPr>
        <w:t>个县（市、区）设有工作站或教学点，形成了遍布全市城乡的开放教育网络。开设经济学、法学、教育学、文学、理学、工学、农学、医学、管理学等学科</w:t>
      </w:r>
      <w:r>
        <w:rPr>
          <w:rFonts w:hint="default" w:eastAsia="仿宋_GB2312" w:cs="Times New Roman"/>
          <w:sz w:val="32"/>
          <w:szCs w:val="32"/>
          <w:lang w:eastAsia="zh-CN"/>
        </w:rPr>
        <w:t>40</w:t>
      </w:r>
      <w:r>
        <w:rPr>
          <w:rFonts w:hint="eastAsia" w:eastAsia="仿宋_GB2312" w:cs="Times New Roman"/>
          <w:sz w:val="32"/>
          <w:szCs w:val="32"/>
          <w:lang w:eastAsia="zh-CN"/>
        </w:rPr>
        <w:t>多个本、专科专业，在籍学生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8000</w:t>
      </w:r>
      <w:r>
        <w:rPr>
          <w:rFonts w:hint="eastAsia" w:eastAsia="仿宋_GB2312" w:cs="Times New Roman"/>
          <w:sz w:val="32"/>
          <w:szCs w:val="32"/>
          <w:lang w:eastAsia="zh-CN"/>
        </w:rPr>
        <w:t>多人。</w:t>
      </w:r>
    </w:p>
    <w:p w14:paraId="75534B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30" w:firstLineChars="196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（二）机构设置情况</w:t>
      </w:r>
    </w:p>
    <w:p w14:paraId="59B11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怀化开放大学为一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级部门预算单位，内设党委（行政）办公室、组织人事科、教务科、招生与系统建设办公室、总务科、纪检监察室、教学与学生工作部、培训部、终身教育指导服务中心和教育信息技术中心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10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个部门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1DC18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二、部门预算单位构成</w:t>
      </w:r>
    </w:p>
    <w:p w14:paraId="46C96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学校财务由总务科统筹管理，统一核算，没有二级预算单位。纳入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4年怀化开放大学部门预算编制范围的包括：怀化开放大学本级。</w:t>
      </w:r>
    </w:p>
    <w:p w14:paraId="1A65C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27" w:firstLineChars="196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部门收支总体情况</w:t>
      </w:r>
    </w:p>
    <w:p w14:paraId="1122F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  <w:lang w:eastAsia="zh-CN"/>
        </w:rPr>
        <w:t>年部门预算包括本单位预算内的收支情况。</w:t>
      </w:r>
    </w:p>
    <w:p w14:paraId="4D95E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（一）收入预算。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eastAsia="zh-CN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年年初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本部门收入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2714.48</w:t>
      </w:r>
      <w:r>
        <w:rPr>
          <w:rFonts w:hint="eastAsia" w:eastAsia="仿宋_GB2312"/>
          <w:sz w:val="32"/>
          <w:szCs w:val="32"/>
          <w:lang w:eastAsia="zh-CN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609.48</w:t>
      </w:r>
      <w:r>
        <w:rPr>
          <w:rFonts w:hint="eastAsia" w:eastAsia="仿宋_GB2312"/>
          <w:sz w:val="32"/>
          <w:szCs w:val="32"/>
          <w:lang w:eastAsia="zh-CN"/>
        </w:rPr>
        <w:t>万元，政府性基金预算拨款</w:t>
      </w:r>
      <w:r>
        <w:rPr>
          <w:rFonts w:hint="eastAsia" w:eastAsia="仿宋_GB2312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sz w:val="32"/>
          <w:szCs w:val="32"/>
          <w:lang w:eastAsia="zh-CN"/>
        </w:rPr>
        <w:t>纳入财政专户管理的非税收入拨款</w:t>
      </w:r>
      <w:r>
        <w:rPr>
          <w:rFonts w:hint="eastAsia" w:eastAsia="仿宋_GB2312"/>
          <w:sz w:val="32"/>
          <w:szCs w:val="32"/>
          <w:lang w:val="en-US" w:eastAsia="zh-CN"/>
        </w:rPr>
        <w:t>2105</w:t>
      </w:r>
      <w:r>
        <w:rPr>
          <w:rFonts w:hint="eastAsia" w:eastAsia="仿宋_GB2312"/>
          <w:sz w:val="32"/>
          <w:szCs w:val="32"/>
          <w:lang w:eastAsia="zh-CN"/>
        </w:rPr>
        <w:t>万元，国有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资本经营预算拨款0万元，上年结转结余0万元。压减公用经费和专项支出后，同口径对比，收入较上年增加 240.63万元，增长率9.73%，主要原因是学校招生形式多元化，预计招生规模增加，非税收入增长。</w:t>
      </w:r>
    </w:p>
    <w:p w14:paraId="108B2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（二）支出预算。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本部门支出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2714.48万元，其中，一般公共服务支出2114.5万元，教育支出494.04万元，社会保障和就业支出70.63万元，卫生健康支出35.31万元。压减公用经费和专项支出后，同口径对比，支出较上年增加240.63万元，增长率9.73%，主要原因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预计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招生规模增加，各项教育教学投入增加。</w:t>
      </w:r>
    </w:p>
    <w:p w14:paraId="0A765A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right="0" w:rightChars="0" w:firstLine="640" w:firstLineChars="200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四、一般公共预算财政拨款收支情况</w:t>
      </w:r>
    </w:p>
    <w:p w14:paraId="5A132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一般公共预算拨款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609.48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其中：一般公共服务支出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9.5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1.56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%；教育支出494.04万元，占81.06%；社会保障和就业支出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70.63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11.59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%；卫生健康支出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35.31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5.79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具体安排情况如下：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7F376D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  <w:lang w:eastAsia="zh-CN"/>
        </w:rPr>
        <w:t>：20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  <w:lang w:eastAsia="zh-CN"/>
        </w:rPr>
        <w:t>年年初预算数为</w:t>
      </w:r>
      <w:r>
        <w:rPr>
          <w:rFonts w:hint="eastAsia" w:eastAsia="仿宋_GB2312"/>
          <w:sz w:val="32"/>
          <w:szCs w:val="32"/>
          <w:lang w:val="en-US" w:eastAsia="zh-CN"/>
        </w:rPr>
        <w:t>584.48</w:t>
      </w:r>
      <w:r>
        <w:rPr>
          <w:rFonts w:hint="eastAsia" w:eastAsia="仿宋_GB2312"/>
          <w:sz w:val="32"/>
          <w:szCs w:val="32"/>
          <w:lang w:eastAsia="zh-CN"/>
        </w:rPr>
        <w:t>万元，是指为保障单位机构正常运转、完成日常工作任务而发生的各项支出，包括用于基本工资</w:t>
      </w:r>
      <w:r>
        <w:rPr>
          <w:rFonts w:hint="eastAsia" w:eastAsia="仿宋_GB2312"/>
          <w:sz w:val="32"/>
          <w:szCs w:val="32"/>
          <w:lang w:val="en-US" w:eastAsia="zh-CN"/>
        </w:rPr>
        <w:t>272.42万元</w:t>
      </w:r>
      <w:r>
        <w:rPr>
          <w:rFonts w:hint="eastAsia" w:eastAsia="仿宋_GB2312"/>
          <w:sz w:val="32"/>
          <w:szCs w:val="32"/>
          <w:lang w:eastAsia="zh-CN"/>
        </w:rPr>
        <w:t>、绩效工资</w:t>
      </w:r>
      <w:r>
        <w:rPr>
          <w:rFonts w:hint="eastAsia" w:eastAsia="仿宋_GB2312"/>
          <w:sz w:val="32"/>
          <w:szCs w:val="32"/>
          <w:lang w:val="en-US" w:eastAsia="zh-CN"/>
        </w:rPr>
        <w:t>167.12万元、</w:t>
      </w:r>
      <w:r>
        <w:rPr>
          <w:rFonts w:hint="eastAsia" w:eastAsia="仿宋_GB2312"/>
          <w:sz w:val="32"/>
          <w:szCs w:val="32"/>
          <w:lang w:eastAsia="zh-CN"/>
        </w:rPr>
        <w:t>津贴补贴</w:t>
      </w:r>
      <w:r>
        <w:rPr>
          <w:rFonts w:hint="eastAsia" w:eastAsia="仿宋_GB2312"/>
          <w:sz w:val="32"/>
          <w:szCs w:val="32"/>
          <w:lang w:val="en-US" w:eastAsia="zh-CN"/>
        </w:rPr>
        <w:t>1.87万元、其他工资福利支出13.62万元、机关事业单位基本养老保险缴费70.63万元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、职工基本医疗保险缴费35.31万元、工会经费8.83万元、其他商品和服务支出13.02万元、生活补助1.66万元；</w:t>
      </w:r>
    </w:p>
    <w:p w14:paraId="79ADC4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项目支出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2024年年初预算数为25万元，是指单位为完成特定行政工作任务或事业发展目标而发生的支出，包括有关事业发展专项、专项业务费、基本建设支出等。其中：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社区教育经费支出25万元，主要用于社区教育各项开支。</w:t>
      </w:r>
    </w:p>
    <w:p w14:paraId="355ED5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五、政府性基金支出情况</w:t>
      </w:r>
    </w:p>
    <w:p w14:paraId="6A71D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2024年政府性基金支出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2024年我校无政府性基金预算支出。</w:t>
      </w:r>
    </w:p>
    <w:p w14:paraId="5953F3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/>
        <w:jc w:val="left"/>
        <w:textAlignment w:val="auto"/>
        <w:outlineLvl w:val="9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六、其他重要事项的情况说明</w:t>
      </w:r>
    </w:p>
    <w:p w14:paraId="47BD51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660" w:leftChars="0" w:right="0" w:rightChars="0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一般公共预算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“三公”经费预算</w:t>
      </w:r>
    </w:p>
    <w:p w14:paraId="37418B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我校为经费包干单位，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4年怀化开放大学安排“三公”经费预算数为1万元，其中，公务接待费1万元，公务用车购置费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万元，公务用车运行费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万元，因公出国（境）费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万元。2024年“三公”经费预算较上年预算数增加1万元，提高100%，主要因为往年财政未给我校下达三公经费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预算数，本年开始下达。</w:t>
      </w:r>
    </w:p>
    <w:p w14:paraId="313AA9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660" w:leftChars="0" w:right="0" w:rightChars="0"/>
        <w:textAlignment w:val="auto"/>
        <w:outlineLvl w:val="9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（二）机关运行经费</w:t>
      </w:r>
    </w:p>
    <w:p w14:paraId="7A6EAD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color w:val="558ED5" w:themeColor="text2" w:themeTint="99"/>
          <w:sz w:val="32"/>
          <w:szCs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怀化开放大学部门机关运行经费21.85万元（公开表6公用经费安排的商品和服务支出除以80%），压减公用经费后安排21.85万元（公开表6公用经费安排的商品和服务支出），同口径对比，比上年预算数增加8.79万元，提高67.3%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主要因为纳入一般公共预算管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理的非税收入拨款2024年开始计入机关运行经费，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主要用于：工会经费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8.83万元；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其他商品和服务支出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13.02万元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4D626B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  （三）政府采购情况</w:t>
      </w:r>
    </w:p>
    <w:p w14:paraId="09E4FD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2024年怀化开放大学政府采购预算总额241.43万元，其中，政府采购货物预算91.43万元、政府采购工程预算150万元。</w:t>
      </w:r>
    </w:p>
    <w:p w14:paraId="7C6FB7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（四）预算绩效管理情况</w:t>
      </w:r>
    </w:p>
    <w:p w14:paraId="104134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按照市本级预算绩效管理工作的总体要求，2024年我单位整体支出</w:t>
      </w:r>
      <w:r>
        <w:rPr>
          <w:rFonts w:hint="eastAsia" w:eastAsia="仿宋_GB2312"/>
          <w:sz w:val="32"/>
          <w:szCs w:val="32"/>
          <w:lang w:val="en-US" w:eastAsia="zh-CN"/>
        </w:rPr>
        <w:t>2714.48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万元，全部实行整体支出绩效目标管理，编报绩效目标的项目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个，涉及项目支出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社区大学教学专项工作经费25万元，全部实行项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目支出绩效目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标管理。</w:t>
      </w:r>
    </w:p>
    <w:p w14:paraId="6BABF0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（五） 国有资产占用情况</w:t>
      </w:r>
    </w:p>
    <w:p w14:paraId="39FF73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1.截至2023年12月31日，本部门共有车辆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辆，其中，一般公务用车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辆、一般执法执勤用车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辆、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特种专业技术用车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辆、其他用车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单位价值50 万元以</w:t>
      </w:r>
      <w:r>
        <w:rPr>
          <w:rFonts w:eastAsia="仿宋_GB2312"/>
          <w:kern w:val="0"/>
          <w:sz w:val="32"/>
          <w:szCs w:val="32"/>
          <w:highlight w:val="none"/>
        </w:rPr>
        <w:t>上通用设备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台（套），单价100 万元以上专用设备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台（套）。</w:t>
      </w:r>
    </w:p>
    <w:p w14:paraId="687214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2.2024年，我校无新增车辆，无新增50万元以上的通用设备和专用设备。</w:t>
      </w:r>
    </w:p>
    <w:p w14:paraId="62F38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eastAsia="楷体_GB2312" w:cs="Times New Roman"/>
          <w:b/>
          <w:bCs/>
          <w:color w:val="auto"/>
          <w:sz w:val="32"/>
          <w:szCs w:val="32"/>
          <w:lang w:val="en-US" w:eastAsia="zh-CN"/>
        </w:rPr>
        <w:t>预算绩效目标说明：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本部门所有支出实行绩效目标管理。纳入2024年部门整体支出绩效目标的金额为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2714.48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2689.48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万元。具体绩效目标详见报表。详见附件2024年项目支出绩效目标表。</w:t>
      </w:r>
    </w:p>
    <w:p w14:paraId="573B00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（七）一般性支出情况</w:t>
      </w:r>
    </w:p>
    <w:p w14:paraId="3081A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2024年，本部门会议费预算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万元，具体为：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市招生会议两次，内容为部署招生工作相关事宜，预计参会人数60人，预算1万元；全市教学会议两次，内容为部署本期教学工作，预计参会人数60人，预算1万元；全市学习网平台、招生平台及论文平台使用会议两次，内容为学习网平台、招生平台及论文平台相关操作培训，预计参会人数60人，预算1万元；全市考务会议，内容为部署本期考试工作，预计参会人数80人，预算2万元。</w:t>
      </w:r>
    </w:p>
    <w:p w14:paraId="425F2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2024年，本部门培训费预算30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万元，具体为：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方面是我校培训部对外承接的各类培训支出28万元，具体为：事业单位工作人员培训，内容为公需科目和专业科目线上培训，预计人数30000人，预算6万元；专业技术人员继续教育培训，内容为公需科目和专业科目线上培训，预计人数3000人，预算3万元；市直机关工委党建培训，内容为党建知识，预计人数700人，预算6万元；市教育局师资培训，内容为新入职教师培训等，预计人数100人，预算3万元；市委组织部等市直部门培训，内容为业务培训，预计人数200人，预算5万元；行政执法资格考试，预计人数3000人，预算5万元。另一方面是我校教职工开放大学系统举办的各类业务培训2万元，其中：参加国家开放大学教学培训，内容为教育教学技能培训，预计人数2人，预算1万元；参加湖南开放大学各类教学培训，内容为教学技能培训，预计人数4人，预算1万元。</w:t>
      </w:r>
    </w:p>
    <w:p w14:paraId="2BB1BA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2024年，本部门无举办节庆、晚会、论坛、赛事等预算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5C4558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right="0" w:rightChars="0" w:firstLine="640" w:firstLineChars="200"/>
        <w:jc w:val="left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七、</w:t>
      </w:r>
      <w:r>
        <w:rPr>
          <w:rFonts w:hint="eastAsia" w:eastAsia="黑体"/>
          <w:sz w:val="32"/>
          <w:szCs w:val="32"/>
        </w:rPr>
        <w:t>专业名词解释</w:t>
      </w:r>
    </w:p>
    <w:p w14:paraId="74F2D8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1.机关运行经费：</w:t>
      </w:r>
      <w:r>
        <w:rPr>
          <w:rFonts w:hint="eastAsia" w:eastAsia="仿宋_GB2312"/>
          <w:sz w:val="32"/>
          <w:szCs w:val="32"/>
          <w:lang w:val="en-US" w:eastAsia="zh-CN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7C6C52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2.一般公共预算“三公”经费：</w:t>
      </w:r>
      <w:r>
        <w:rPr>
          <w:rFonts w:hint="eastAsia" w:eastAsia="仿宋_GB2312"/>
          <w:sz w:val="32"/>
          <w:szCs w:val="32"/>
          <w:lang w:val="en-US" w:eastAsia="zh-CN"/>
        </w:rPr>
        <w:t>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3F16EA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8F9F2-1A83-49CA-B3D8-22FACF466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6F50797-9AA6-4209-AA0E-7E0ECEC291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160F48-AD87-4F34-AC4F-A7742BA5A2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29BD92-0FFA-489E-92AF-91953B2C4C3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FA2A9F7-098B-44A0-B22A-7E6218C5F2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D85E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94981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" cy="13144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BC083"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1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NR4T90AAAAAIBAAAPAAAAAAAAAAEAIAAAACIAAABkcnMvZG93bnJldi54bWxQSwECFAAUAAAA&#10;CACHTuJAa3zF770BAACV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BC083"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25F0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FA2B7"/>
    <w:multiLevelType w:val="singleLevel"/>
    <w:tmpl w:val="5A7FA2B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7FA837"/>
    <w:multiLevelType w:val="singleLevel"/>
    <w:tmpl w:val="5A7FA83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GEzMGUwNWJjMTc3MjYwM2EyOTY0MWE0ZmM0MzEifQ=="/>
  </w:docVars>
  <w:rsids>
    <w:rsidRoot w:val="004E6E3D"/>
    <w:rsid w:val="02A93E65"/>
    <w:rsid w:val="03023DA5"/>
    <w:rsid w:val="042228D2"/>
    <w:rsid w:val="04433323"/>
    <w:rsid w:val="05881A2C"/>
    <w:rsid w:val="05A425EB"/>
    <w:rsid w:val="07D74632"/>
    <w:rsid w:val="082779D0"/>
    <w:rsid w:val="08466C90"/>
    <w:rsid w:val="08A72CFC"/>
    <w:rsid w:val="09E5774A"/>
    <w:rsid w:val="09F81E67"/>
    <w:rsid w:val="0ABA0FCF"/>
    <w:rsid w:val="0C9615C8"/>
    <w:rsid w:val="0DB66903"/>
    <w:rsid w:val="0E236A3E"/>
    <w:rsid w:val="0F81030D"/>
    <w:rsid w:val="101E3DAE"/>
    <w:rsid w:val="12FB3F33"/>
    <w:rsid w:val="14671B45"/>
    <w:rsid w:val="1496682F"/>
    <w:rsid w:val="157C6B16"/>
    <w:rsid w:val="18250522"/>
    <w:rsid w:val="18BF69F3"/>
    <w:rsid w:val="1A5051A5"/>
    <w:rsid w:val="1AF61F8C"/>
    <w:rsid w:val="1D392227"/>
    <w:rsid w:val="1ED6141B"/>
    <w:rsid w:val="211636D4"/>
    <w:rsid w:val="218527E0"/>
    <w:rsid w:val="22D45341"/>
    <w:rsid w:val="250E7A8A"/>
    <w:rsid w:val="25DA0320"/>
    <w:rsid w:val="266F6CBA"/>
    <w:rsid w:val="276F0967"/>
    <w:rsid w:val="28932515"/>
    <w:rsid w:val="2A0C345E"/>
    <w:rsid w:val="2E2477F7"/>
    <w:rsid w:val="2F830D35"/>
    <w:rsid w:val="31636116"/>
    <w:rsid w:val="319F60A2"/>
    <w:rsid w:val="32AE46C6"/>
    <w:rsid w:val="39A141FC"/>
    <w:rsid w:val="3BA64AD4"/>
    <w:rsid w:val="3C9A7725"/>
    <w:rsid w:val="3D8250CD"/>
    <w:rsid w:val="3DAD604A"/>
    <w:rsid w:val="416B09D2"/>
    <w:rsid w:val="43A43CCA"/>
    <w:rsid w:val="45D61E36"/>
    <w:rsid w:val="49777AB0"/>
    <w:rsid w:val="4A67245D"/>
    <w:rsid w:val="4B0E61F2"/>
    <w:rsid w:val="506435A4"/>
    <w:rsid w:val="51077170"/>
    <w:rsid w:val="513B239A"/>
    <w:rsid w:val="535836AB"/>
    <w:rsid w:val="556F46EC"/>
    <w:rsid w:val="55D67AAD"/>
    <w:rsid w:val="56CE5063"/>
    <w:rsid w:val="56FF5133"/>
    <w:rsid w:val="5A8C4C62"/>
    <w:rsid w:val="5AA4755C"/>
    <w:rsid w:val="5C04693A"/>
    <w:rsid w:val="5C5B50CB"/>
    <w:rsid w:val="5E563CE0"/>
    <w:rsid w:val="5F0674B4"/>
    <w:rsid w:val="5F277054"/>
    <w:rsid w:val="600D353D"/>
    <w:rsid w:val="601E4B2A"/>
    <w:rsid w:val="60E22426"/>
    <w:rsid w:val="620509C2"/>
    <w:rsid w:val="6361064F"/>
    <w:rsid w:val="642858BB"/>
    <w:rsid w:val="6AB10152"/>
    <w:rsid w:val="6B260820"/>
    <w:rsid w:val="6BE62B36"/>
    <w:rsid w:val="70207BA0"/>
    <w:rsid w:val="72D775EE"/>
    <w:rsid w:val="76065B94"/>
    <w:rsid w:val="761B77D2"/>
    <w:rsid w:val="78D47B74"/>
    <w:rsid w:val="79156D7B"/>
    <w:rsid w:val="79D6799A"/>
    <w:rsid w:val="7AFB76BD"/>
    <w:rsid w:val="7D9F4AE2"/>
    <w:rsid w:val="7DF033B2"/>
    <w:rsid w:val="7E13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TML Definition"/>
    <w:basedOn w:val="7"/>
    <w:unhideWhenUsed/>
    <w:qFormat/>
    <w:uiPriority w:val="99"/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333333"/>
      <w:u w:val="none"/>
    </w:rPr>
  </w:style>
  <w:style w:type="character" w:styleId="16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7"/>
    <w:unhideWhenUsed/>
    <w:qFormat/>
    <w:uiPriority w:val="99"/>
  </w:style>
  <w:style w:type="character" w:customStyle="1" w:styleId="18">
    <w:name w:val="hj-easyread-speakerprocesser-position-action-ic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1704</Words>
  <Characters>1910</Characters>
  <Lines>0</Lines>
  <Paragraphs>0</Paragraphs>
  <TotalTime>14</TotalTime>
  <ScaleCrop>false</ScaleCrop>
  <LinksUpToDate>false</LinksUpToDate>
  <CharactersWithSpaces>1921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2016-08-17T01:21:00Z</dcterms:created>
  <dc:creator>微软用户</dc:creator>
  <cp:lastModifiedBy>。</cp:lastModifiedBy>
  <cp:lastPrinted>2022-01-21T06:49:00Z</cp:lastPrinted>
  <dcterms:modified xsi:type="dcterms:W3CDTF">2025-02-07T07:23:56Z</dcterms:modified>
  <dc:title>科学技术部2012年部门预算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362188443_cloud</vt:lpwstr>
  </property>
  <property fmtid="{D5CDD505-2E9C-101B-9397-08002B2CF9AE}" pid="4" name="ICV">
    <vt:lpwstr>9C21152D3EAB4EF58B9EF7A2E4F76C22_13</vt:lpwstr>
  </property>
  <property fmtid="{D5CDD505-2E9C-101B-9397-08002B2CF9AE}" pid="5" name="KSOTemplateDocerSaveRecord">
    <vt:lpwstr>eyJoZGlkIjoiZGEyNjRiOGVjNGQ4OGM0YzEzYzQ1MWZkNTM4MWNiNmEiLCJ1c2VySWQiOiIzNTA3MTUyNTcifQ==</vt:lpwstr>
  </property>
</Properties>
</file>