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2FCDD"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2024年度怀化市第三中学</w:t>
      </w:r>
    </w:p>
    <w:p w14:paraId="07FA113F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整体支出绩效自评报告</w:t>
      </w:r>
    </w:p>
    <w:p w14:paraId="031B1A38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1E47F8DD">
      <w:pPr>
        <w:ind w:firstLine="569" w:firstLineChars="18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一、部门概况</w:t>
      </w:r>
    </w:p>
    <w:p w14:paraId="4CF7FA24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（一）部门基本情况</w:t>
      </w:r>
    </w:p>
    <w:p w14:paraId="15CA02A0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怀化市第三中学是一所全日制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普通高中，</w:t>
      </w:r>
      <w:r>
        <w:rPr>
          <w:rFonts w:hint="eastAsia" w:ascii="仿宋" w:hAnsi="仿宋" w:eastAsia="仿宋" w:cs="仿宋"/>
          <w:sz w:val="30"/>
          <w:szCs w:val="30"/>
        </w:rPr>
        <w:t>创办于1958年，是湖南省示范性普通高级中学。学校占地面积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145.43亩</w:t>
      </w:r>
      <w:r>
        <w:rPr>
          <w:rFonts w:hint="eastAsia" w:ascii="仿宋" w:hAnsi="仿宋" w:eastAsia="仿宋" w:cs="仿宋"/>
          <w:sz w:val="30"/>
          <w:szCs w:val="30"/>
        </w:rPr>
        <w:t>，建筑面积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9.69</w:t>
      </w:r>
      <w:r>
        <w:rPr>
          <w:rFonts w:hint="eastAsia" w:ascii="仿宋" w:hAnsi="仿宋" w:eastAsia="仿宋" w:cs="仿宋"/>
          <w:sz w:val="30"/>
          <w:szCs w:val="30"/>
        </w:rPr>
        <w:t>万平方米，拥有教学楼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栋、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科教</w:t>
      </w:r>
      <w:r>
        <w:rPr>
          <w:rFonts w:hint="eastAsia" w:ascii="仿宋" w:hAnsi="仿宋" w:eastAsia="仿宋" w:cs="仿宋"/>
          <w:sz w:val="30"/>
          <w:szCs w:val="30"/>
        </w:rPr>
        <w:t>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栋、图书馆1栋、体育馆1座及400米标准田径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运动</w:t>
      </w:r>
      <w:r>
        <w:rPr>
          <w:rFonts w:hint="eastAsia" w:ascii="仿宋" w:hAnsi="仿宋" w:eastAsia="仿宋" w:cs="仿宋"/>
          <w:sz w:val="30"/>
          <w:szCs w:val="30"/>
        </w:rPr>
        <w:t>场等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建筑</w:t>
      </w:r>
      <w:r>
        <w:rPr>
          <w:rFonts w:hint="eastAsia" w:ascii="仿宋" w:hAnsi="仿宋" w:eastAsia="仿宋" w:cs="仿宋"/>
          <w:sz w:val="30"/>
          <w:szCs w:val="30"/>
        </w:rPr>
        <w:t>设施。</w:t>
      </w:r>
    </w:p>
    <w:p w14:paraId="43EEBCEF">
      <w:pPr>
        <w:ind w:firstLine="606" w:firstLineChars="20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1、机构设置情况</w:t>
      </w:r>
    </w:p>
    <w:p w14:paraId="04BB7E28">
      <w:pPr>
        <w:spacing w:line="360" w:lineRule="auto"/>
        <w:ind w:firstLine="606" w:firstLineChars="20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内设机构设置。作为独立核算的一级部门预算单位，内设处室：办公室、教务处、德育处、教科室、总务处、现教室、校安办。</w:t>
      </w:r>
    </w:p>
    <w:p w14:paraId="7DBC3643">
      <w:pPr>
        <w:spacing w:line="360" w:lineRule="auto"/>
        <w:ind w:firstLine="606" w:firstLineChars="20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2、人员编制情况</w:t>
      </w:r>
    </w:p>
    <w:p w14:paraId="75EED3E2">
      <w:pPr>
        <w:spacing w:line="360" w:lineRule="auto"/>
        <w:ind w:firstLine="606" w:firstLineChars="20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根据编委核定，我单位共有事业编制数289人，截止2024年末，我校在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编</w:t>
      </w:r>
      <w:r>
        <w:rPr>
          <w:rFonts w:hint="eastAsia" w:ascii="仿宋" w:hAnsi="仿宋" w:eastAsia="仿宋" w:cs="仿宋"/>
          <w:sz w:val="30"/>
          <w:szCs w:val="30"/>
        </w:rPr>
        <w:t>教职工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267</w:t>
      </w:r>
      <w:r>
        <w:rPr>
          <w:rFonts w:hint="eastAsia" w:ascii="仿宋" w:hAnsi="仿宋" w:eastAsia="仿宋" w:cs="仿宋"/>
          <w:sz w:val="30"/>
          <w:szCs w:val="30"/>
        </w:rPr>
        <w:t>人，退休人员201人，年末其他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编外</w:t>
      </w:r>
      <w:r>
        <w:rPr>
          <w:rFonts w:hint="eastAsia" w:ascii="仿宋" w:hAnsi="仿宋" w:eastAsia="仿宋" w:cs="仿宋"/>
          <w:sz w:val="30"/>
          <w:szCs w:val="30"/>
        </w:rPr>
        <w:t>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人，年末学生人数3278名。</w:t>
      </w:r>
    </w:p>
    <w:p w14:paraId="59AA1B94">
      <w:pPr>
        <w:spacing w:line="360" w:lineRule="auto"/>
        <w:ind w:firstLine="606" w:firstLineChars="20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3、主要职能职责</w:t>
      </w:r>
    </w:p>
    <w:p w14:paraId="25960513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⑴宣传贯彻执行党和国家教育方针、政策和法律法规，坚持依法治教、依法治学，贯彻执行市教育局行政规章制度。</w:t>
      </w:r>
    </w:p>
    <w:p w14:paraId="6BF5CA3D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⑵以学生的发展为本，为学生的终身发展服务。坚持教书育人，服务育人，环境育人方针，培养学生厚德、博学、诚信、和谐、创新理念，促进学生的全面发展。</w:t>
      </w:r>
    </w:p>
    <w:p w14:paraId="6B300301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⑶组织开展本校的教育教学科研，积极稳妥地推进教育教学改革，负责教育教学管理及教研教改工作，全力推进素质教育，全面提高教育质量。</w:t>
      </w:r>
    </w:p>
    <w:p w14:paraId="5DA35E03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⑷按照干部和教师职数、编制和管理权限，负责本校教师人事管理、继续教育和考核考评等工作。</w:t>
      </w:r>
    </w:p>
    <w:p w14:paraId="41601849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⑸负责本校财务和基建管理，组织制定和实施校舍和校园建设规划，正确使用各项经费，不断改善办学条件，强化安全工作管理，创造良好的育人环境。</w:t>
      </w:r>
    </w:p>
    <w:p w14:paraId="36F424EA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（二）整体支出规模、使用方向及涉及范围</w:t>
      </w:r>
    </w:p>
    <w:p w14:paraId="256A3618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度，学校整体支出规模为7784.82万元，较2023年增长14.93%。其中一般公共预算支出5635.59万元，占72.39%；政府性基金预算支出32.38万元，占0.42%；事业收入2116.85万元，占27.19%；国有资本经营预算、社会保险基金预算无支出。主要用于保障学校的正常运转、教育教学活动的开展以及基础设施的维护和升级。资金使用方向和主要内容涉及以下几个方面：</w:t>
      </w:r>
    </w:p>
    <w:p w14:paraId="0A345264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基本支出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额为7232.63万元，占整体支出的92.91%。主要用于人员经费和公用经费。人员经费包括基本工资、津贴补贴、绩效工资、机关事业单位基本养老保险缴费、职工基本医疗保险缴费等，确保教职工的工资福利按时发放；公用经费包括办公费、水电费、差旅费、会议费、培训费、维修维护费等，保障学校日常教学和管理工作的顺利进行。</w:t>
      </w:r>
    </w:p>
    <w:p w14:paraId="75A21E9F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额为552.19万元，占整体支出的7.09%。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其中一般公共预算支出519.81万元，政府性基金预算财政拨款支出32.38万元。</w:t>
      </w:r>
      <w:r>
        <w:rPr>
          <w:rFonts w:hint="eastAsia" w:ascii="仿宋" w:hAnsi="仿宋" w:eastAsia="仿宋" w:cs="仿宋"/>
          <w:sz w:val="30"/>
          <w:szCs w:val="30"/>
        </w:rPr>
        <w:t>主要包括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基础设施建设、维修及设备采购类、师资队伍建设类、学生发展支持类及安保服务等类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主要</w:t>
      </w:r>
      <w:r>
        <w:rPr>
          <w:rFonts w:hint="eastAsia" w:ascii="仿宋" w:hAnsi="仿宋" w:eastAsia="仿宋" w:cs="仿宋"/>
          <w:sz w:val="30"/>
          <w:szCs w:val="30"/>
        </w:rPr>
        <w:t>用于食堂维修、教室设备设施升级和日常维修维护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教师培训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减免贫困生的学费、教材费及教辅费；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校园安保服务、学生校方责任险</w:t>
      </w:r>
      <w:r>
        <w:rPr>
          <w:rFonts w:hint="eastAsia" w:ascii="仿宋" w:hAnsi="仿宋" w:eastAsia="仿宋" w:cs="仿宋"/>
          <w:sz w:val="30"/>
          <w:szCs w:val="30"/>
        </w:rPr>
        <w:t>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支出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A7FE44D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涉及范围：学校整体支出涉及教学管理、学生德育、后勤保障、师资建设、校园安全等多个方面，覆盖了学校工作的各个环节，旨在为学生提供优质的教育教学环境，促进学生全面发展。</w:t>
      </w:r>
    </w:p>
    <w:p w14:paraId="0F778325">
      <w:pPr>
        <w:ind w:firstLine="569" w:firstLineChars="18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二、一般公共预算支出情况</w:t>
      </w:r>
    </w:p>
    <w:p w14:paraId="1B399FD4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（一）基本支出</w:t>
      </w:r>
    </w:p>
    <w:p w14:paraId="733E0FE6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1.主要用途和范围。基本支出主要用于保障学校的正常运转和人员经费支出。其中，人员经费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4566.80</w:t>
      </w:r>
      <w:r>
        <w:rPr>
          <w:rFonts w:hint="eastAsia" w:ascii="仿宋" w:hAnsi="仿宋" w:eastAsia="仿宋" w:cs="仿宋"/>
          <w:sz w:val="30"/>
          <w:szCs w:val="30"/>
        </w:rPr>
        <w:t>万元，主要用于发放教职工的基本工资、津贴补贴、绩效工资、社会保险缴费等，确保教职工队伍的稳定；公用经费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548.</w:t>
      </w:r>
      <w:r>
        <w:rPr>
          <w:rFonts w:hint="eastAsia" w:ascii="仿宋" w:hAnsi="仿宋" w:eastAsia="仿宋" w:cs="仿宋"/>
          <w:sz w:val="30"/>
          <w:szCs w:val="30"/>
        </w:rPr>
        <w:t>98万元，主要用于办公费、水电费、差旅费、会议费、培训费、维修维护费等日常办公和教学活动的开支。</w:t>
      </w:r>
    </w:p>
    <w:p w14:paraId="54E4E594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2.资金管理情况。学校严格执行《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中小学</w:t>
      </w:r>
      <w:r>
        <w:rPr>
          <w:rFonts w:hint="eastAsia" w:ascii="仿宋" w:hAnsi="仿宋" w:eastAsia="仿宋" w:cs="仿宋"/>
          <w:sz w:val="30"/>
          <w:szCs w:val="30"/>
        </w:rPr>
        <w:t>财务制度》，对基本支出资金进行规范管理。在人员经费管理方面，严格按照国家和地方的相关政策和标准执行，确保工资福利支出的合规性和准确性。在公用经费管理方面，制定了详细的费用报销流程和审批制度，坚持勤俭节约的原则，合理安排各项开支，提高资金使用效率。</w:t>
      </w:r>
    </w:p>
    <w:p w14:paraId="70385902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“三公”经费的使用和管理情况。2024年度，学校“三公”经费预算为1.70万元，实际支出为1.61万元，预算执行率为94.71%。其中，公务用车运行维护费1.61万元，主要用于学校公务用车的燃料费、维修费、保险费等；无公务用车购置费、出国经费和公务接待费支出。</w:t>
      </w:r>
    </w:p>
    <w:p w14:paraId="76D3BE9B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对“三公”经费的管理严格执行中央八项规定和过紧日子精神，制定了财务管理制度和业务内部控制制度，进一步规范了财务报账审批程序、合同协议审批程序和费用结算程序。在公务用车管理方面，实行定点维修、定点加油制度，严格控制车辆使用频率，降低运行成本。</w:t>
      </w:r>
    </w:p>
    <w:p w14:paraId="2B19FB9F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（二）项目支出</w:t>
      </w:r>
    </w:p>
    <w:p w14:paraId="3A7AE02E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1.项目资金安排落实、总投入等情况分析：</w:t>
      </w:r>
    </w:p>
    <w:p w14:paraId="69A926B8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2024年度，学校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</w:t>
      </w:r>
      <w:r>
        <w:rPr>
          <w:rFonts w:hint="eastAsia" w:ascii="仿宋" w:hAnsi="仿宋" w:eastAsia="仿宋" w:cs="仿宋"/>
          <w:sz w:val="30"/>
          <w:szCs w:val="30"/>
        </w:rPr>
        <w:t>项目支出总预算为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874</w:t>
      </w:r>
      <w:r>
        <w:rPr>
          <w:rFonts w:hint="eastAsia" w:ascii="仿宋" w:hAnsi="仿宋" w:eastAsia="仿宋" w:cs="仿宋"/>
          <w:sz w:val="30"/>
          <w:szCs w:val="30"/>
        </w:rPr>
        <w:t>.86万元，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均为</w:t>
      </w:r>
      <w:r>
        <w:rPr>
          <w:rFonts w:hint="eastAsia" w:ascii="仿宋" w:hAnsi="仿宋" w:eastAsia="仿宋" w:cs="仿宋"/>
          <w:sz w:val="30"/>
          <w:szCs w:val="30"/>
        </w:rPr>
        <w:t>财政拨款资金。具体安排如下：</w:t>
      </w:r>
    </w:p>
    <w:p w14:paraId="3CD098F8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⑴基础设施建设、维修及设备采购类项目预算安排641.79万元，主要用于为校舍改造，校园设施设备维修维护及各类设施设备购置，包含高中本部食堂整体改造、体育馆维修改造、</w:t>
      </w:r>
      <w:r>
        <w:rPr>
          <w:rFonts w:hint="eastAsia" w:ascii="仿宋" w:hAnsi="仿宋" w:eastAsia="仿宋" w:cs="仿宋"/>
          <w:sz w:val="30"/>
          <w:szCs w:val="30"/>
        </w:rPr>
        <w:t>日常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校园</w:t>
      </w:r>
      <w:r>
        <w:rPr>
          <w:rFonts w:hint="eastAsia" w:ascii="仿宋" w:hAnsi="仿宋" w:eastAsia="仿宋" w:cs="仿宋"/>
          <w:sz w:val="30"/>
          <w:szCs w:val="30"/>
        </w:rPr>
        <w:t>维修维护费项目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高考考点设备、教学楼教育教学设备等；</w:t>
      </w:r>
    </w:p>
    <w:p w14:paraId="2460F403">
      <w:pPr>
        <w:ind w:firstLine="663" w:firstLineChars="221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⑵师资队伍建设类项目预算安排173.45万元，主要用于人才引进、教师培训、课题经费、名师工作室教研活动等专项经费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115FFEFD">
      <w:pPr>
        <w:ind w:firstLine="663" w:firstLineChars="221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⑶学生发展支持类项目预算安排22.10万元，主要用于学生资助、校园足球活动；</w:t>
      </w:r>
    </w:p>
    <w:p w14:paraId="554A47D0">
      <w:pPr>
        <w:ind w:firstLine="663" w:firstLineChars="22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安保服务等类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预算安排37.52万元，主要用于校园安全、校方责任险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1E7706F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项目资金落实情况良好，财政拨款资金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</w:t>
      </w:r>
      <w:r>
        <w:rPr>
          <w:rFonts w:hint="eastAsia" w:ascii="仿宋" w:hAnsi="仿宋" w:eastAsia="仿宋" w:cs="仿宋"/>
          <w:sz w:val="30"/>
          <w:szCs w:val="30"/>
        </w:rPr>
        <w:t>下达，确保了项目的顺利实施。</w:t>
      </w:r>
    </w:p>
    <w:p w14:paraId="6B2610E3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2.项目资金实际使用情况分析：</w:t>
      </w:r>
    </w:p>
    <w:p w14:paraId="580F9E15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2024年度，学校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</w:t>
      </w:r>
      <w:r>
        <w:rPr>
          <w:rFonts w:hint="eastAsia" w:ascii="仿宋" w:hAnsi="仿宋" w:eastAsia="仿宋" w:cs="仿宋"/>
          <w:sz w:val="30"/>
          <w:szCs w:val="30"/>
        </w:rPr>
        <w:t>项目资金实际使用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519.81</w:t>
      </w:r>
      <w:r>
        <w:rPr>
          <w:rFonts w:hint="eastAsia" w:ascii="仿宋" w:hAnsi="仿宋" w:eastAsia="仿宋" w:cs="仿宋"/>
          <w:sz w:val="30"/>
          <w:szCs w:val="30"/>
        </w:rPr>
        <w:t>万元，预算执行率为5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9.42</w:t>
      </w:r>
      <w:r>
        <w:rPr>
          <w:rFonts w:hint="eastAsia" w:ascii="仿宋" w:hAnsi="仿宋" w:eastAsia="仿宋" w:cs="仿宋"/>
          <w:sz w:val="30"/>
          <w:szCs w:val="30"/>
        </w:rPr>
        <w:t>%。具体使用情况如下：</w:t>
      </w:r>
    </w:p>
    <w:p w14:paraId="0AA82C92">
      <w:pPr>
        <w:ind w:firstLine="663" w:firstLineChars="22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⑴基础设施建设、维修及设备采购类项目支出408.00万元，预算执行率63.57</w:t>
      </w:r>
      <w:r>
        <w:rPr>
          <w:rFonts w:hint="eastAsia" w:ascii="仿宋" w:hAnsi="仿宋" w:eastAsia="仿宋" w:cs="仿宋"/>
          <w:sz w:val="30"/>
          <w:szCs w:val="30"/>
        </w:rPr>
        <w:t>%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⑵师资队伍建设类项目支出52.21万元，预算执行率30.10</w:t>
      </w:r>
      <w:r>
        <w:rPr>
          <w:rFonts w:hint="eastAsia" w:ascii="仿宋" w:hAnsi="仿宋" w:eastAsia="仿宋" w:cs="仿宋"/>
          <w:sz w:val="30"/>
          <w:szCs w:val="30"/>
        </w:rPr>
        <w:t>%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⑶学生发展支持类项目支出22.10万元，预算执行率100%；⑷安保服务类等项目支出37.50万元，预算执行率99.94%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5FA7A814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3.项目资金管理情况分析：</w:t>
      </w:r>
    </w:p>
    <w:p w14:paraId="24E87BDF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学校制定了完善的项目资金管理制度，主要包括《怀化市第三中学项目资金管理办法》《怀化市第三中学政府采购管理办法》等，对项目资金的申请、审批、使用、核算和监督等环节进行了明确规定。</w:t>
      </w:r>
    </w:p>
    <w:p w14:paraId="1B05565C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项目资金使用过程中，严格执行“专款专用、封闭运行”的原则，对基建维修资金按工程进度分阶段拨付，每笔支出附项目审批单、验收报告及发票，确保票据齐全、手续完备；对设备采购资金通过市政府采购平台招标，确保采购过程公开、公平、公正。</w:t>
      </w:r>
    </w:p>
    <w:p w14:paraId="2A2319B3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此外，学校还建立了“项目负责人-财务主管-分管校长”三级审核制度，定期对项目资金使用情况进行检查和审计，发现问题及时整改，确保项目资金使用合规、安全、有效。</w:t>
      </w:r>
    </w:p>
    <w:p w14:paraId="13A22A22">
      <w:pPr>
        <w:ind w:firstLine="569" w:firstLineChars="18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三、项目组织实施情况</w:t>
      </w:r>
    </w:p>
    <w:p w14:paraId="42436803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（一）项目组织情况分析</w:t>
      </w:r>
    </w:p>
    <w:p w14:paraId="1C9FB4B8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项目招投标情况：对于金额较大的项目，如食堂维修及教室设备升级项目，学校严格按照《中华人民共和国政府采购法》和《怀化市市直学校政府采购管理办法》的规定，通过市政府采购平台进行公开招标。在招标过程中，坚持公开、公平、公正的原则，选择资质齐全、信誉良好的供应商和施工单位，确保项目质量和进度。</w:t>
      </w:r>
    </w:p>
    <w:p w14:paraId="077D9EAF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竣工验收情况：对于已完成的项目，学校组织相关部门和人员进行竣工验收。如维修维护费项目，每完成一项维修任务，由使用部门和总务处共同验收，确保维修质量符合要求；食堂维修及教室设备升级项目中已完成的设备采购和部分工程，通过校内验收，确保设备运行正常、工程质量达标。</w:t>
      </w:r>
    </w:p>
    <w:p w14:paraId="6FB07D00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（二）项目管理情况分析</w:t>
      </w:r>
    </w:p>
    <w:p w14:paraId="3CFF552E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项目管理制度建设：学校建立了完善的项目管理制度，主要包括《怀化市第三中学项目管理办法》《怀化市第三中学基建项目管理办法》《怀化市第三中学设备采购管理办法》等，对项目的申报、审批、实施、验收、资金管理等环节进行了详细规定，确保项目管理有章可循。</w:t>
      </w:r>
    </w:p>
    <w:p w14:paraId="558CF00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日常检查监督管理情况：在项目实施过程中，学校加强日常检查监督管理。对于基建类项目，聘请第三方监理机构对工程质量和进度进行跟踪监督，发现问题及时要求施工单位整改；对于设备采购项目，安排专人对设备的采购、安装、调试等环节进行监督，确保设备符合要求。</w:t>
      </w:r>
    </w:p>
    <w:p w14:paraId="1D0B7957">
      <w:pPr>
        <w:ind w:firstLine="569" w:firstLineChars="18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四、资产管理情况</w:t>
      </w:r>
    </w:p>
    <w:p w14:paraId="5645B167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（一）制度建设</w:t>
      </w:r>
    </w:p>
    <w:p w14:paraId="5EB88536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学校制定了《怀化市第三中学国有资产管理办法》《怀化市第三中学固定资产管理办法》等制度，对资产的配置、采购、验收、使用、维护、处置等环节进行了明确规定，确保资产管理规范、有序。</w:t>
      </w:r>
    </w:p>
    <w:p w14:paraId="7E42E834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（二）管理措施</w:t>
      </w:r>
    </w:p>
    <w:p w14:paraId="525D806A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资产配置：学校根据教学和管理需要，合理配置资产，严格按照预算和审批程序进行采购，避免重复购置和浪费。对于单价较高的设备，如教学一体机、实验设备等，进行充分论证，确保资产配置科学合理。</w:t>
      </w:r>
    </w:p>
    <w:p w14:paraId="133BCE6A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资产登记：对购置的资产及时进行登记入账，建立固定资产台账和卡片，做到账、卡、物相符。定期对资产进行盘点，每年至少进行一次全面盘点，发现问题及时处理。</w:t>
      </w:r>
    </w:p>
    <w:p w14:paraId="2AB0F7B1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资产使用：建立资产使用管理制度，明确使用部门和责任人，加强对资产使用情况的监督和考核，提高资产使用效率。对于公用设备，如会议室设备、体育器材等，实行统一管理、集中使用。</w:t>
      </w:r>
    </w:p>
    <w:p w14:paraId="58E932DB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资产维护：定期对资产进行维护和保养，确保资产正常运行。对于设备故障，及时进行维修，维修及时。</w:t>
      </w:r>
    </w:p>
    <w:p w14:paraId="32D39561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资产处置：对于闲置、报废的资产，严格按照规定的程序进行处置，通过报废、拍卖等方式进行处理，处置收入上缴财政，确保资产处置合规、透明。</w:t>
      </w:r>
    </w:p>
    <w:p w14:paraId="06DEFAC5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（三）配置处置的程序</w:t>
      </w:r>
    </w:p>
    <w:p w14:paraId="7001159E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资产配置程序：各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处室</w:t>
      </w:r>
      <w:r>
        <w:rPr>
          <w:rFonts w:hint="eastAsia" w:ascii="仿宋" w:hAnsi="仿宋" w:eastAsia="仿宋" w:cs="仿宋"/>
          <w:sz w:val="30"/>
          <w:szCs w:val="30"/>
        </w:rPr>
        <w:t>根据需求提出资产配置申请，经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学校相关领导</w:t>
      </w:r>
      <w:r>
        <w:rPr>
          <w:rFonts w:hint="eastAsia" w:ascii="仿宋" w:hAnsi="仿宋" w:eastAsia="仿宋" w:cs="仿宋"/>
          <w:sz w:val="30"/>
          <w:szCs w:val="30"/>
        </w:rPr>
        <w:t>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核同意后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再分别报请市教育局、机关事务局、财政局审批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最后</w:t>
      </w:r>
      <w:r>
        <w:rPr>
          <w:rFonts w:hint="eastAsia" w:ascii="仿宋" w:hAnsi="仿宋" w:eastAsia="仿宋" w:cs="仿宋"/>
          <w:sz w:val="30"/>
          <w:szCs w:val="30"/>
        </w:rPr>
        <w:t>通过政府采购或自行采购的方式进行购置。</w:t>
      </w:r>
    </w:p>
    <w:p w14:paraId="6CC3B3D2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资产处置程序：资产使用部门提出处置申请，说明处置原因和方式，经总务处和财务室审核后，报市教育局和市财政局、市机关事务管理局审批。批准后，按照规定的方式进行处置，并及时进行账务处理。</w:t>
      </w:r>
    </w:p>
    <w:p w14:paraId="342F826E">
      <w:pPr>
        <w:ind w:firstLine="569" w:firstLineChars="18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五、政府性基金预算支出情况</w:t>
      </w:r>
    </w:p>
    <w:p w14:paraId="474D498A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2024年度，学校政府性基金预算收入为80.00万元，全部为用于体育事业的彩票公益金，主要用于电子显示屏及环形沥青跑道建设项目。该项目实际支出32.38万元，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结转47.62万元，</w:t>
      </w:r>
      <w:r>
        <w:rPr>
          <w:rFonts w:hint="eastAsia" w:ascii="仿宋" w:hAnsi="仿宋" w:eastAsia="仿宋" w:cs="仿宋"/>
          <w:sz w:val="30"/>
          <w:szCs w:val="30"/>
        </w:rPr>
        <w:t>预算执行率40.47%，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只完成了一项电子屏采购，但</w:t>
      </w:r>
      <w:r>
        <w:rPr>
          <w:rFonts w:hint="eastAsia" w:ascii="仿宋" w:hAnsi="仿宋" w:eastAsia="仿宋" w:cs="仿宋"/>
          <w:sz w:val="30"/>
          <w:szCs w:val="30"/>
        </w:rPr>
        <w:t>由于环形沥青跑道建设项目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需要在学生不上课且假期较长时间进行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所以该项目需</w:t>
      </w:r>
      <w:r>
        <w:rPr>
          <w:rFonts w:hint="eastAsia" w:ascii="仿宋" w:hAnsi="仿宋" w:eastAsia="仿宋" w:cs="仿宋"/>
          <w:sz w:val="30"/>
          <w:szCs w:val="30"/>
        </w:rPr>
        <w:t>结转下年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完成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477CA6B4">
      <w:pPr>
        <w:ind w:firstLine="569" w:firstLineChars="18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六、国有资本经营预算支出情况</w:t>
      </w:r>
    </w:p>
    <w:p w14:paraId="44C84F2C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2024年度，学校无国有资本经营预算收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入和支出。</w:t>
      </w:r>
    </w:p>
    <w:p w14:paraId="14EE5E5D">
      <w:pPr>
        <w:ind w:firstLine="569" w:firstLineChars="18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七、社会保险基金预算支出情况</w:t>
      </w:r>
    </w:p>
    <w:p w14:paraId="083DFF9B">
      <w:pPr>
        <w:ind w:firstLine="567" w:firstLineChars="18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2024年度，学校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</w:t>
      </w:r>
      <w:r>
        <w:rPr>
          <w:rFonts w:hint="eastAsia" w:ascii="仿宋" w:hAnsi="仿宋" w:eastAsia="仿宋" w:cs="仿宋"/>
          <w:sz w:val="30"/>
          <w:szCs w:val="30"/>
        </w:rPr>
        <w:t>社会保险基金预算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收入和支出。</w:t>
      </w:r>
    </w:p>
    <w:p w14:paraId="72BED496">
      <w:pPr>
        <w:ind w:firstLine="569" w:firstLineChars="18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八、部门整体支出绩效情况</w:t>
      </w:r>
    </w:p>
    <w:p w14:paraId="76143625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（一）绩效目标完成情况</w:t>
      </w:r>
    </w:p>
    <w:p w14:paraId="487CB88D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1.党建领航与党建工作提升：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-SA"/>
        </w:rPr>
        <w:t>完善党建学习机制，加强党员学习管理，继续深入推进主题教育学习常态化、制度化，进一步巩固学习教育成果。一年来，召开意识形态综合研判专题会议4次，开展全体党员专题学习研讨4次；抓实党员党课教育和全体教职工政治学习活动，学校党组织书记及领导班子带头上党课8次，开展弘扬教育家精神和二十届三中全会宣讲活动3场次，举办学习贯彻党的二十届三中全会精神专题学习4期，党委充分发挥党员教师在教育教学等工作中的先锋模范作用，用扎实有效的党建工作促进教育教学质量的提升。</w:t>
      </w:r>
    </w:p>
    <w:p w14:paraId="334861E2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2.后勤保障与教学支持：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度，后勤部门围绕“服务教学、保障安全、优化环境”的核心目标，顺利完成各项保障任务。主要完成常规化教学楼、宿舍、食堂等场所维修维护，教育教学设备购置；定期开展校园消杀、垃圾分类处理；推行“明厨亮灶”工程，严格执行食品采购、储存、加工流程，全年食品安全零事故。本年新投入校舍维修及设备采购类专项</w:t>
      </w:r>
      <w:r>
        <w:rPr>
          <w:rFonts w:hint="eastAsia" w:ascii="仿宋" w:hAnsi="仿宋" w:eastAsia="仿宋" w:cs="仿宋"/>
          <w:sz w:val="30"/>
          <w:szCs w:val="30"/>
        </w:rPr>
        <w:t>等1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要包括食堂整体改造、1、2号教学楼设备购置、优化校园绿化面积1000余平方、高考考点设施设备采购等项目，后勤部门通过规范化管理、粗细化服务，为师生提供了安全、舒适的学习生活环境，为学校高质量发展提供坚实后盾。</w:t>
      </w:r>
    </w:p>
    <w:p w14:paraId="6F37FEBF"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3.师资建设与教学质量提升：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我校围绕“立德树人”根本任务，以新课程、新高考改革为契机，将师资队伍建设作为教学质量提升的核心抓手，通过优化教师结构、强化教研能力、完善评价机制等措施，推动教育教学质量稳步提高。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目前在研省级课题5项、市级课题4项，2个市级课题立项，完成 5 项课题中期汇报。</w:t>
      </w:r>
      <w:r>
        <w:rPr>
          <w:rFonts w:hint="eastAsia" w:ascii="仿宋" w:hAnsi="仿宋" w:eastAsia="仿宋" w:cs="仿宋"/>
          <w:sz w:val="30"/>
          <w:szCs w:val="30"/>
        </w:rPr>
        <w:t>全年共派出337余人次参加培训（含网络培训），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先后组织全市“英语教研活动”“同课异构活动”“名师讲堂”等活动10余次，</w:t>
      </w:r>
      <w:r>
        <w:rPr>
          <w:rFonts w:hint="eastAsia" w:ascii="仿宋" w:hAnsi="仿宋" w:eastAsia="仿宋" w:cs="仿宋"/>
          <w:sz w:val="30"/>
          <w:szCs w:val="30"/>
        </w:rPr>
        <w:t>并邀请了16位来自高校和名校的专家来校讲学10余次，有效拓宽了教师的视野，提升了他们的教学水平确保教师们能够紧跟教育改革和名校的步伐，不断提升教学质量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本年度学考统考合格率100%，</w:t>
      </w:r>
      <w:r>
        <w:rPr>
          <w:rFonts w:hint="eastAsia" w:ascii="仿宋" w:hAnsi="仿宋" w:eastAsia="仿宋" w:cs="仿宋"/>
          <w:sz w:val="30"/>
          <w:szCs w:val="30"/>
        </w:rPr>
        <w:t>各类教学研究项目获得市级及以上奖励62项，教师教学比武获市级以上奖励24个，学生竞赛获市级及以上奖励89个。</w:t>
      </w:r>
    </w:p>
    <w:p w14:paraId="539EA149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4.校园文化与学生发展：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坚持以“文化育人、活动育人、环境育人”为导向，以社会主义核价值观为引领，将校园文化作为促进学生全面发展的重要载体，通过打造特色文化品牌、优化育人环境、丰富实践活动，助力学生成长为德智体美劳全面发展的时代新人。主要工作举措：⑴精神文化塑造，开展“校训传承”“校史教育”系列活动，增强学生归属感与荣誉感；⑵环境文化优化，推进“绿色校园”行动：组织学生参与垃圾分类、学生参与校园卫生打扫；⑶活动文化创新。举办校园艺术节、社团节、诗词朗诵、运动会等，学生在参与率达95%以上；建立校内服务基地，举办了“学雷锋，文明行”、“植树节活动”、“大手牵小手，爱心暖特校”等志愿服务活动；⑷开设“名家讲堂”，邀请行业精英、优秀校友进校分享。主要成效：学生综合素质明显提升，学生体质健康合格率达96%，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学生总体近视率较上一年降低0.5个百分点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；学生文明礼仪、自主管理能力明显提高；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2024年怀化市首届科技运动会我校代表队取得了2金、4银、4铜的优异成绩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eastAsia="zh-CN"/>
        </w:rPr>
        <w:t>第25届全国青少年航空航天模型教育竞赛怀化选拔赛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中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eastAsia="zh-CN"/>
        </w:rPr>
        <w:t>，获得4金4银5铜的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优异成绩。</w:t>
      </w:r>
    </w:p>
    <w:p w14:paraId="2298881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认真</w:t>
      </w:r>
      <w:r>
        <w:rPr>
          <w:rFonts w:hint="eastAsia" w:ascii="仿宋" w:hAnsi="仿宋" w:eastAsia="仿宋" w:cs="仿宋"/>
          <w:sz w:val="30"/>
          <w:szCs w:val="30"/>
        </w:rPr>
        <w:t>完成支教、综治、安全、普法等工作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教工作：精准帮扶。2023-2024学年度选派10名骨干教师分别赴新晃县晃州镇方家屯中学、新晃县一中、溆浦县卢峰镇中学、圣达学校等处支教，重点支援语文、数学、生物等薄弱学科。一年来受援学校教学质量显著提升，得到一致好评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⑵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综治、安全工作：校安办</w:t>
      </w:r>
      <w:r>
        <w:rPr>
          <w:rFonts w:hint="eastAsia" w:ascii="仿宋" w:hAnsi="仿宋" w:eastAsia="仿宋" w:cs="仿宋"/>
          <w:sz w:val="30"/>
          <w:szCs w:val="30"/>
        </w:rPr>
        <w:t>主动对接社区、城管、食药监等部门，开展校园周边环境整治，取缔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部分</w:t>
      </w:r>
      <w:r>
        <w:rPr>
          <w:rFonts w:hint="eastAsia" w:ascii="仿宋" w:hAnsi="仿宋" w:eastAsia="仿宋" w:cs="仿宋"/>
          <w:sz w:val="30"/>
          <w:szCs w:val="30"/>
        </w:rPr>
        <w:t>流动摊贩，净化周边环境；联合食药监部门每月抽检食堂食材、监督加工流程，保障食品安全；搭建家校共育安全桥梁，家长会、家长群推送安全提示，凝聚家校社三方合力，全方位守护校园安全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</w:rPr>
        <w:t>一键式紧急报警、视频监控系统达标率 100%，“护学岗” 设置率 100%。</w:t>
      </w:r>
      <w:r>
        <w:rPr>
          <w:rFonts w:hint="eastAsia" w:ascii="仿宋" w:hAnsi="仿宋" w:eastAsia="仿宋" w:cs="仿宋"/>
          <w:sz w:val="30"/>
          <w:szCs w:val="30"/>
        </w:rPr>
        <w:t>；联合消防、公安部门制定火灾、暴恐袭击等应急预案演练脚本，全年组织演练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次，参演师生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3000</w:t>
      </w:r>
      <w:r>
        <w:rPr>
          <w:rFonts w:hint="eastAsia" w:ascii="仿宋" w:hAnsi="仿宋" w:eastAsia="仿宋" w:cs="仿宋"/>
          <w:sz w:val="30"/>
          <w:szCs w:val="30"/>
        </w:rPr>
        <w:t>余人次。师生应急反应速度、自我保护能力显著增强，平均疏散时间缩短至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分钟以内。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⑶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学校以“不让一个学生因家庭经济困难而失学”为目标，精准落实各项教育资助政策，将家庭经济困难学生全部纳入资助范围，一年来</w:t>
      </w:r>
      <w:r>
        <w:rPr>
          <w:rFonts w:hint="eastAsia" w:ascii="仿宋" w:hAnsi="仿宋" w:eastAsia="仿宋" w:cs="仿宋"/>
          <w:sz w:val="30"/>
          <w:szCs w:val="30"/>
        </w:rPr>
        <w:t>免学费、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免教材、教辅</w:t>
      </w:r>
      <w:r>
        <w:rPr>
          <w:rFonts w:hint="eastAsia" w:ascii="仿宋" w:hAnsi="仿宋" w:eastAsia="仿宋" w:cs="仿宋"/>
          <w:sz w:val="30"/>
          <w:szCs w:val="30"/>
        </w:rPr>
        <w:t>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免校服费计130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次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确保家庭经济困难学生应享尽享，应助尽助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1FCBB629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（二）运行成本</w:t>
      </w:r>
    </w:p>
    <w:p w14:paraId="384E1498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整体支出成本为7784.82万元，控制在全年预算8211.89万元以内，成本控制率为94.80%。其中，基本支出成本7232.63万元，项目支出成本552.19万元。在成本控制方面，学校通过集中采购、校内施工等方式节约成本，如教学一体机单价较市场价低15%，维修维护费通过校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议价</w:t>
      </w:r>
      <w:r>
        <w:rPr>
          <w:rFonts w:hint="eastAsia" w:ascii="仿宋" w:hAnsi="仿宋" w:eastAsia="仿宋" w:cs="仿宋"/>
          <w:sz w:val="30"/>
          <w:szCs w:val="30"/>
        </w:rPr>
        <w:t>节约人工成本。</w:t>
      </w:r>
    </w:p>
    <w:p w14:paraId="1399DB40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（三）管理效率</w:t>
      </w:r>
    </w:p>
    <w:p w14:paraId="106F1B79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1.预算执行效率：整体预算执行率为94.80%，基本支出执行率为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99.66</w:t>
      </w:r>
      <w:r>
        <w:rPr>
          <w:rFonts w:hint="eastAsia" w:ascii="仿宋" w:hAnsi="仿宋" w:eastAsia="仿宋" w:cs="仿宋"/>
          <w:sz w:val="30"/>
          <w:szCs w:val="30"/>
        </w:rPr>
        <w:t>%，项目支出执行率为57.83%。项目支出执行率较低，主要是由于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工程</w:t>
      </w:r>
      <w:r>
        <w:rPr>
          <w:rFonts w:hint="eastAsia" w:ascii="仿宋" w:hAnsi="仿宋" w:eastAsia="仿宋" w:cs="仿宋"/>
          <w:sz w:val="30"/>
          <w:szCs w:val="30"/>
        </w:rPr>
        <w:t>类项目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尚在验收中或是决算评审中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且有的项目需要学生假期跨年施工</w:t>
      </w:r>
      <w:r>
        <w:rPr>
          <w:rFonts w:hint="eastAsia" w:ascii="仿宋" w:hAnsi="仿宋" w:eastAsia="仿宋" w:cs="仿宋"/>
          <w:sz w:val="30"/>
          <w:szCs w:val="30"/>
        </w:rPr>
        <w:t>所致，常规性项目执行率较高，如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设备购置、培训经费、</w:t>
      </w:r>
      <w:r>
        <w:rPr>
          <w:rFonts w:hint="eastAsia" w:ascii="仿宋" w:hAnsi="仿宋" w:eastAsia="仿宋" w:cs="仿宋"/>
          <w:sz w:val="30"/>
          <w:szCs w:val="30"/>
        </w:rPr>
        <w:t>教育教学支持类项目全额执行。</w:t>
      </w:r>
    </w:p>
    <w:p w14:paraId="32E38380">
      <w:pPr>
        <w:ind w:firstLine="567" w:firstLineChars="18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2.资金使用效率：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财政资金拨付及时</w:t>
      </w:r>
      <w:r>
        <w:rPr>
          <w:rFonts w:hint="eastAsia" w:ascii="仿宋" w:hAnsi="仿宋" w:eastAsia="仿宋" w:cs="仿宋"/>
          <w:sz w:val="30"/>
          <w:szCs w:val="30"/>
        </w:rPr>
        <w:t>，资金使用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教学质量逐步提升。</w:t>
      </w:r>
      <w:r>
        <w:rPr>
          <w:rFonts w:hint="eastAsia" w:ascii="仿宋" w:hAnsi="仿宋" w:eastAsia="仿宋" w:cs="仿宋"/>
          <w:sz w:val="30"/>
          <w:szCs w:val="30"/>
        </w:rPr>
        <w:t>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资金投入与学校发展规划匹配，学校从优化教学管理机制、深化课堂教学改革、强化教师专业发展入手，教学质量提升逐显成效。本年组织教师参加省市级培训、学科竞赛，覆盖率达90%以上。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高一高二年级统考合格率达100%，较上年增长0.09%。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教师各</w:t>
      </w:r>
      <w:r>
        <w:rPr>
          <w:rFonts w:hint="eastAsia" w:ascii="仿宋" w:hAnsi="仿宋" w:eastAsia="仿宋" w:cs="仿宋"/>
          <w:sz w:val="30"/>
          <w:szCs w:val="30"/>
        </w:rPr>
        <w:t>类教学研究项目获得市级及以上奖励62项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教师教学比武获市级以上奖励24个；⑵设施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服务类</w:t>
      </w:r>
      <w:r>
        <w:rPr>
          <w:rFonts w:hint="eastAsia" w:ascii="仿宋" w:hAnsi="仿宋" w:eastAsia="仿宋" w:cs="仿宋"/>
          <w:sz w:val="30"/>
          <w:szCs w:val="30"/>
        </w:rPr>
        <w:t>采购通过集中招标节约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成本，提高了资金使用效益。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当然除了个别工程维修项目，有未完成结算，有的需要等待学生假期才能开工的项目，资金延期结转到下年继续使用。</w:t>
      </w:r>
    </w:p>
    <w:p w14:paraId="50BF7D4C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3.资产管理效率：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产管理是学校运营的重要环节，高效的资产管理能够优化资源配置、降低运营成本、提升教育教学保障能力。⑴资产管理现状。资产规模：截止2024年末，固定资产总额10641.64万元，其中：房屋和构筑物类8498.27万元，占比79.86%；设备类1577.70万元，占比14.83%；图书类86.37万元，占比0.81%；家具类479.29万元，占比4.50%。管理机制：</w:t>
      </w:r>
      <w:r>
        <w:rPr>
          <w:rFonts w:hint="eastAsia" w:ascii="仿宋" w:hAnsi="仿宋" w:eastAsia="仿宋" w:cs="仿宋"/>
          <w:sz w:val="30"/>
          <w:szCs w:val="30"/>
        </w:rPr>
        <w:t>建立了完善的资产管理制度，定期对资产进行盘点和维护，确保资产安全完整，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实现条形码标签管理，覆盖率98%。⑵资产管理理主要成效：资产使用效率提升，其中教学设备利用率达95%，包括科教楼、教学楼等多媒体设备；图书馆</w:t>
      </w:r>
      <w:r>
        <w:rPr>
          <w:rFonts w:hint="eastAsia" w:ascii="仿宋" w:hAnsi="仿宋" w:eastAsia="仿宋" w:cs="仿宋"/>
          <w:sz w:val="30"/>
          <w:szCs w:val="30"/>
        </w:rPr>
        <w:t>藏书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74608</w:t>
      </w:r>
      <w:r>
        <w:rPr>
          <w:rFonts w:hint="eastAsia" w:ascii="仿宋" w:hAnsi="仿宋" w:eastAsia="仿宋" w:cs="仿宋"/>
          <w:sz w:val="30"/>
          <w:szCs w:val="30"/>
        </w:rPr>
        <w:t>册，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已</w:t>
      </w:r>
      <w:r>
        <w:rPr>
          <w:rFonts w:hint="eastAsia" w:ascii="仿宋" w:hAnsi="仿宋" w:eastAsia="仿宋" w:cs="仿宋"/>
          <w:sz w:val="30"/>
          <w:szCs w:val="30"/>
        </w:rPr>
        <w:t>形成常态化阅读机制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全年采购项目100%执行预算审批流程；资产寿命延长，如不少课桌椅、电脑通过维修、翻新替代新购，</w:t>
      </w:r>
      <w:r>
        <w:rPr>
          <w:rFonts w:hint="eastAsia" w:ascii="仿宋" w:hAnsi="仿宋" w:eastAsia="仿宋" w:cs="仿宋"/>
          <w:sz w:val="30"/>
          <w:szCs w:val="30"/>
        </w:rPr>
        <w:t>提高资产使用效率。</w:t>
      </w:r>
    </w:p>
    <w:p w14:paraId="1D4A0A66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（四）履职效能</w:t>
      </w:r>
    </w:p>
    <w:p w14:paraId="466D3024">
      <w:pPr>
        <w:ind w:firstLine="567" w:firstLineChars="18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履职现状分析</w:t>
      </w:r>
      <w:r>
        <w:rPr>
          <w:rFonts w:hint="eastAsia" w:ascii="仿宋" w:hAnsi="仿宋" w:eastAsia="仿宋" w:cs="仿宋"/>
          <w:sz w:val="30"/>
          <w:szCs w:val="30"/>
        </w:rPr>
        <w:t>：⑴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岗位职责明确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已制定各部门岗位职责，覆盖率达98%；关键岗位AB角配置完成率达90%；⑵专业能力匹配。教师持证上岗率100%、管理人员培训年均40学时、岗位胜任力评估达标率90%。</w:t>
      </w:r>
    </w:p>
    <w:p w14:paraId="16BA0B1F">
      <w:pPr>
        <w:ind w:firstLine="567" w:firstLineChars="18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履职主要成效</w:t>
      </w:r>
      <w:r>
        <w:rPr>
          <w:rFonts w:hint="eastAsia" w:ascii="仿宋" w:hAnsi="仿宋" w:eastAsia="仿宋" w:cs="仿宋"/>
          <w:sz w:val="30"/>
          <w:szCs w:val="30"/>
        </w:rPr>
        <w:t>：⑴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学与课程质量。学校开足国家课程，课堂教学采用分层式、项目式学习模式提升效率，学业评价建立多元化过程性及终结性评价体系；⑵教师发展。培训体系：针对新教师、骨干教师设计差异化培训，如教研共同体、名校跟岗；激励机制：将教学成果、学生发展纳入职称评定要素；⑶学生发展支持。建立导师制、心理健康干预机制，有效的预防和矫治学生心理问题和行为；最大限度提高实验室、图书馆、体育馆的使用效率，增强学生的综合素质；家效协同：通过家长学校、数字化平台增加了家长和学校的沟通。</w:t>
      </w:r>
    </w:p>
    <w:p w14:paraId="314950B4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（五）社会效应</w:t>
      </w:r>
    </w:p>
    <w:p w14:paraId="35DB5BA4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教育公平促进效应。⑴招生政策公平，按照怀化市教育局要求，坚持依据考试成绩、综合评价结果、招生计划和学生志愿择优录取原则，坚持公开、公平、公正原则；⑵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</w:rPr>
        <w:t>为推动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</w:rPr>
        <w:t>“三区”教育学校均衡发展提供人才支持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  <w:t>学校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委派10名骨干教师“三区”支教，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  <w:t>提高了当地学校的教育教学质量；⑶学生贫困学生资助政策覆盖率100%，按政策应免尽免。</w:t>
      </w:r>
      <w:r>
        <w:rPr>
          <w:rFonts w:hint="eastAsia" w:ascii="仿宋" w:hAnsi="仿宋" w:eastAsia="仿宋" w:cs="仿宋"/>
          <w:sz w:val="30"/>
          <w:szCs w:val="30"/>
        </w:rPr>
        <w:t>无一人因经济困难辍学，体现了教育公平，得到了学生和家长的一致好评。</w:t>
      </w:r>
    </w:p>
    <w:p w14:paraId="4F0E279B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社会服务延伸。校园体育馆免费对外开放，为市区各类体育比赛提供运动场地，有利于缓解社会体育场地的不足，有效推动市区健身事业的发展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6C7B0613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3.社区贡献：学校与社区积极互动，开展普法教育、安全教育等活动，提升了社区居民的法律意识和安全意识，为构建和谐社区做出了贡献。</w:t>
      </w:r>
    </w:p>
    <w:p w14:paraId="3BD366F4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（六）可持续发展能力</w:t>
      </w:r>
    </w:p>
    <w:p w14:paraId="2BECED33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师资队伍建设：通过“青蓝工程”“师徒结对”等长效机制，加强教师培训和专业发展，培养了一批优秀教师，为学校可持续发展提供了人才保障。虽然市级以上骨干教师培养目标未完全达成，但学校已调整培养方案，2025年重点跟进，确保可持续发展。</w:t>
      </w:r>
    </w:p>
    <w:p w14:paraId="39F84C40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2.设施设备升级：完成食堂维修、教室设备升级等项目，虽然部分工程结转下年，但已为学校未来发展奠定了基础。如智慧校园大数据中心建成，将推动学校教育教学数字化转型，提升学校核心竞争力。</w:t>
      </w:r>
    </w:p>
    <w:p w14:paraId="46929724">
      <w:pPr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管理制度完善：建立了完善的财务管理制度、项目资金管理制度及资产管理制度，通过“三级审核制度”“绩效运行监控”等机制强化内控，为学校长期规范运营提供制度保障。例如，在项目资金管理中，严格执行分阶段拨付与验收流程，确保每笔资金使用可追溯，有效防范财务风险。</w:t>
      </w:r>
    </w:p>
    <w:p w14:paraId="6291BE60">
      <w:pPr>
        <w:ind w:firstLine="708" w:firstLineChars="23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文化与品牌建设：“桐林书屋”“博雅园”等文化设施建成并投入使用，结合读书节、合唱比赛等活动，形成特色校园文化体系。学校微信公众号全年发布66篇推文，累计点击量15万次，市级以上媒体报道120余篇，品牌影响力持续扩大，为吸引优质生源和社会资源奠定基础。</w:t>
      </w:r>
    </w:p>
    <w:p w14:paraId="702CFA46">
      <w:pPr>
        <w:ind w:firstLine="708" w:firstLineChars="23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（七）服务对象满意度</w:t>
      </w:r>
    </w:p>
    <w:p w14:paraId="2F799504">
      <w:pPr>
        <w:ind w:firstLine="708" w:firstLineChars="23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1.学生满意度：通过问卷调查，学生对教学质量满意度达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90</w:t>
      </w:r>
      <w:r>
        <w:rPr>
          <w:rFonts w:hint="eastAsia" w:ascii="仿宋" w:hAnsi="仿宋" w:eastAsia="仿宋" w:cs="仿宋"/>
          <w:sz w:val="30"/>
          <w:szCs w:val="30"/>
        </w:rPr>
        <w:t>.5%，对校园活动满意度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91.5</w:t>
      </w:r>
      <w:r>
        <w:rPr>
          <w:rFonts w:hint="eastAsia" w:ascii="仿宋" w:hAnsi="仿宋" w:eastAsia="仿宋" w:cs="仿宋"/>
          <w:sz w:val="30"/>
          <w:szCs w:val="30"/>
        </w:rPr>
        <w:t>%，对食堂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宿舍</w:t>
      </w:r>
      <w:r>
        <w:rPr>
          <w:rFonts w:hint="eastAsia" w:ascii="仿宋" w:hAnsi="仿宋" w:eastAsia="仿宋" w:cs="仿宋"/>
          <w:sz w:val="30"/>
          <w:szCs w:val="30"/>
        </w:rPr>
        <w:t>环境满意度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91</w:t>
      </w:r>
      <w:r>
        <w:rPr>
          <w:rFonts w:hint="eastAsia" w:ascii="仿宋" w:hAnsi="仿宋" w:eastAsia="仿宋" w:cs="仿宋"/>
          <w:sz w:val="30"/>
          <w:szCs w:val="30"/>
        </w:rPr>
        <w:t>%。特别是“心理游园”“劳动实践”等活动参与率超85%，有效提升学生获得感。</w:t>
      </w:r>
    </w:p>
    <w:p w14:paraId="09BB6279">
      <w:pPr>
        <w:ind w:firstLine="708" w:firstLineChars="23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2.教职工满意度：教师对职业发展支持满意度92%，对培训活动满意度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90</w:t>
      </w:r>
      <w:r>
        <w:rPr>
          <w:rFonts w:hint="eastAsia" w:ascii="仿宋" w:hAnsi="仿宋" w:eastAsia="仿宋" w:cs="仿宋"/>
          <w:sz w:val="30"/>
          <w:szCs w:val="30"/>
        </w:rPr>
        <w:t>%。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优秀教师“我的教育故事”</w:t>
      </w:r>
      <w:r>
        <w:rPr>
          <w:rFonts w:hint="eastAsia" w:ascii="仿宋" w:hAnsi="仿宋" w:eastAsia="仿宋" w:cs="仿宋"/>
          <w:sz w:val="30"/>
          <w:szCs w:val="30"/>
        </w:rPr>
        <w:t>演讲比赛、“青蓝工程”等同业交流活动，增强了教师职业认同感与团队凝聚力。</w:t>
      </w:r>
    </w:p>
    <w:p w14:paraId="65DB5B11">
      <w:pPr>
        <w:ind w:firstLine="708" w:firstLineChars="23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3.家长与社会满意度：家长对学校管理满意度91%，对贫困生资助政策知晓率100%。社会对学校高考成绩、艺体竞赛成果认可度较高，微信公众号留言区好评率达95%，反映出学校在区域教育中的示范作用。</w:t>
      </w:r>
    </w:p>
    <w:p w14:paraId="37C2E63A">
      <w:pPr>
        <w:ind w:firstLine="711" w:firstLineChars="236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九、存在的问题及原因分析</w:t>
      </w:r>
    </w:p>
    <w:p w14:paraId="032BB21D">
      <w:pPr>
        <w:ind w:firstLine="708" w:firstLineChars="236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1.评价指标设计不科学。指标过于笼统，缺乏科学、客观、量化的评价标准。主要是学校缺乏专业绩效管理团队，对评价方法掌握不深。</w:t>
      </w:r>
    </w:p>
    <w:p w14:paraId="4C6B9FDA">
      <w:pPr>
        <w:ind w:firstLine="708" w:firstLineChars="23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项目支出执行率偏低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项目支出总预算954.86万元，实际执行552.19万元，执行率57.83%。主要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是有的项目需要跨年完成，有的项目处于正在验收或在项目决算中，所以本年未能完全结算支付使用，项目支出延续至下年完成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48287435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十、下一步改进措施</w:t>
      </w:r>
    </w:p>
    <w:p w14:paraId="6B75B3CD">
      <w:pPr>
        <w:ind w:firstLine="708" w:firstLineChars="236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优化评价指标体系。分层设计指标，结合普通高中职能，设置共性指标和个性指标；量化关键指标，将教学质量、师资培训等转化为可量化的数据。</w:t>
      </w:r>
    </w:p>
    <w:p w14:paraId="5EAF71AF">
      <w:pPr>
        <w:ind w:firstLine="708" w:firstLineChars="236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（二）加强数据基础管理。建立财务与业务联动机制，实现支出与产出的动态关联。</w:t>
      </w:r>
    </w:p>
    <w:p w14:paraId="6EF71970">
      <w:pPr>
        <w:ind w:firstLine="708" w:firstLineChars="23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</w:t>
      </w:r>
      <w:r>
        <w:rPr>
          <w:rFonts w:hint="eastAsia" w:ascii="仿宋" w:hAnsi="仿宋" w:eastAsia="仿宋" w:cs="仿宋"/>
          <w:sz w:val="30"/>
          <w:szCs w:val="30"/>
        </w:rPr>
        <w:t>提升项目管理效能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引入第三方监理与评估：对超100万元的基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础</w:t>
      </w:r>
      <w:r>
        <w:rPr>
          <w:rFonts w:hint="eastAsia" w:ascii="仿宋" w:hAnsi="仿宋" w:eastAsia="仿宋" w:cs="仿宋"/>
          <w:sz w:val="30"/>
          <w:szCs w:val="30"/>
        </w:rPr>
        <w:t>建项目安排监理全程监控工程质量、进度及资金使用，避免方案调整延误。同时委托会计师事务所对项目支出开展独立绩效评价，提升客观性。</w:t>
      </w:r>
    </w:p>
    <w:p w14:paraId="1E8585F5">
      <w:pPr>
        <w:ind w:firstLine="708" w:firstLineChars="23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（四）深化绩效结果应用</w:t>
      </w:r>
    </w:p>
    <w:p w14:paraId="205270C0">
      <w:pPr>
        <w:ind w:firstLine="708" w:firstLineChars="23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建立绩效与考核挂钩机制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优化资源配置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将自评结果纳入部门年度考核，对连续两年得分低于70分的项目负责人取消次年申报资格；对得分90分以上的项目（如维修维护费项目），下年预算优先保障。</w:t>
      </w:r>
    </w:p>
    <w:p w14:paraId="79F94903">
      <w:pPr>
        <w:ind w:firstLine="711" w:firstLineChars="236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十一、绩效自评结果拟应用和公开情况</w:t>
      </w:r>
    </w:p>
    <w:p w14:paraId="7300E321">
      <w:pPr>
        <w:ind w:firstLine="708" w:firstLineChars="23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绩效自评结果的应用方向</w:t>
      </w:r>
    </w:p>
    <w:p w14:paraId="5AFC73C8">
      <w:pPr>
        <w:ind w:firstLine="708" w:firstLineChars="23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优化</w:t>
      </w:r>
      <w:r>
        <w:rPr>
          <w:rFonts w:hint="eastAsia" w:ascii="仿宋" w:hAnsi="仿宋" w:eastAsia="仿宋" w:cs="仿宋"/>
          <w:sz w:val="30"/>
          <w:szCs w:val="30"/>
        </w:rPr>
        <w:t>预算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分配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根据自评结果中发现的资金使用效率低或效果不佳的项目，调整下一年度预算分配，优先保障高绩效项目（如教学改革、师资培训等）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BD9D2AD">
      <w:pPr>
        <w:ind w:firstLine="708" w:firstLineChars="23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改进内部管理</w:t>
      </w:r>
      <w:r>
        <w:rPr>
          <w:rFonts w:hint="eastAsia" w:ascii="仿宋" w:hAnsi="仿宋" w:eastAsia="仿宋" w:cs="仿宋"/>
          <w:sz w:val="30"/>
          <w:szCs w:val="30"/>
        </w:rPr>
        <w:t>：针对项目进度滞后问题，在总务处设立“项目专员”岗位，专职跟踪资金到位与施工进展；财务室建立“绩效台账”，按月通报各部门预算执行偏差，督促整改。</w:t>
      </w:r>
    </w:p>
    <w:p w14:paraId="69D6C56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（二）信息公开安排</w:t>
      </w:r>
    </w:p>
    <w:p w14:paraId="5795747E">
      <w:pPr>
        <w:ind w:firstLine="708" w:firstLineChars="23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通过教育平台公开自评报告，接受家长和社会监督，增强公信力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00738752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十二、其他需要说明的情况</w:t>
      </w:r>
    </w:p>
    <w:p w14:paraId="40B9E091">
      <w:pPr>
        <w:ind w:firstLine="567" w:firstLineChars="18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无</w:t>
      </w:r>
    </w:p>
    <w:p w14:paraId="4F9C9D89">
      <w:pPr>
        <w:widowControl/>
        <w:ind w:firstLine="708" w:firstLineChars="253"/>
        <w:jc w:val="left"/>
        <w:rPr>
          <w:rFonts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28EE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0BEF4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0BEF4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63"/>
    <w:rsid w:val="00094820"/>
    <w:rsid w:val="000E0A43"/>
    <w:rsid w:val="00195563"/>
    <w:rsid w:val="001C2109"/>
    <w:rsid w:val="001C47A2"/>
    <w:rsid w:val="00260725"/>
    <w:rsid w:val="002919A3"/>
    <w:rsid w:val="004357D7"/>
    <w:rsid w:val="004E1417"/>
    <w:rsid w:val="005B5B0B"/>
    <w:rsid w:val="005D740C"/>
    <w:rsid w:val="005D7C91"/>
    <w:rsid w:val="005E5C44"/>
    <w:rsid w:val="007B39B8"/>
    <w:rsid w:val="00822FAF"/>
    <w:rsid w:val="0098779C"/>
    <w:rsid w:val="009B71B2"/>
    <w:rsid w:val="009B7734"/>
    <w:rsid w:val="00A21C90"/>
    <w:rsid w:val="00A9410E"/>
    <w:rsid w:val="00C448EC"/>
    <w:rsid w:val="00C95812"/>
    <w:rsid w:val="00CC3B83"/>
    <w:rsid w:val="00DA6924"/>
    <w:rsid w:val="00EC3770"/>
    <w:rsid w:val="00EC7A9B"/>
    <w:rsid w:val="00F96273"/>
    <w:rsid w:val="00F96D18"/>
    <w:rsid w:val="02295E27"/>
    <w:rsid w:val="03D639A6"/>
    <w:rsid w:val="065A3ABE"/>
    <w:rsid w:val="0723429E"/>
    <w:rsid w:val="109B7C89"/>
    <w:rsid w:val="121E5ABA"/>
    <w:rsid w:val="1939714E"/>
    <w:rsid w:val="1B7D46E8"/>
    <w:rsid w:val="1C9061D8"/>
    <w:rsid w:val="267D7018"/>
    <w:rsid w:val="26FC66C3"/>
    <w:rsid w:val="2A286BE6"/>
    <w:rsid w:val="2AB27175"/>
    <w:rsid w:val="2B9A4220"/>
    <w:rsid w:val="2BEB1EBE"/>
    <w:rsid w:val="2E3C2F06"/>
    <w:rsid w:val="2E902570"/>
    <w:rsid w:val="39173B5E"/>
    <w:rsid w:val="3B710987"/>
    <w:rsid w:val="3DE544D6"/>
    <w:rsid w:val="3FE203D3"/>
    <w:rsid w:val="490115D2"/>
    <w:rsid w:val="493D6C54"/>
    <w:rsid w:val="4BD40163"/>
    <w:rsid w:val="4D9D14E1"/>
    <w:rsid w:val="52416712"/>
    <w:rsid w:val="52CF3CDA"/>
    <w:rsid w:val="52F46771"/>
    <w:rsid w:val="57C17FAF"/>
    <w:rsid w:val="59A55F73"/>
    <w:rsid w:val="5C862963"/>
    <w:rsid w:val="5D064F7B"/>
    <w:rsid w:val="5E6D6C24"/>
    <w:rsid w:val="62E96ED1"/>
    <w:rsid w:val="671950DC"/>
    <w:rsid w:val="68E97183"/>
    <w:rsid w:val="6C730DFD"/>
    <w:rsid w:val="6D21195D"/>
    <w:rsid w:val="74592653"/>
    <w:rsid w:val="747E1443"/>
    <w:rsid w:val="794669D3"/>
    <w:rsid w:val="7B0B3A4F"/>
    <w:rsid w:val="7E50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w w:val="10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Char"/>
    <w:basedOn w:val="10"/>
    <w:link w:val="2"/>
    <w:qFormat/>
    <w:uiPriority w:val="9"/>
    <w:rPr>
      <w:rFonts w:ascii="宋体" w:hAnsi="宋体" w:eastAsia="宋体" w:cs="宋体"/>
      <w:b/>
      <w:bCs/>
      <w:w w:val="100"/>
      <w:kern w:val="36"/>
      <w:sz w:val="48"/>
      <w:szCs w:val="48"/>
    </w:rPr>
  </w:style>
  <w:style w:type="character" w:customStyle="1" w:styleId="13">
    <w:name w:val="页眉 Char"/>
    <w:basedOn w:val="10"/>
    <w:link w:val="7"/>
    <w:semiHidden/>
    <w:qFormat/>
    <w:uiPriority w:val="99"/>
    <w:rPr>
      <w:rFonts w:asciiTheme="minorHAnsi" w:hAnsiTheme="minorHAnsi" w:eastAsiaTheme="minorEastAsia"/>
      <w:w w:val="100"/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rFonts w:asciiTheme="minorHAnsi" w:hAnsiTheme="minorHAnsi" w:eastAsiaTheme="minorEastAsia"/>
      <w:w w:val="100"/>
      <w:sz w:val="18"/>
      <w:szCs w:val="18"/>
    </w:rPr>
  </w:style>
  <w:style w:type="character" w:customStyle="1" w:styleId="15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w w:val="100"/>
      <w:sz w:val="32"/>
      <w:szCs w:val="32"/>
    </w:rPr>
  </w:style>
  <w:style w:type="character" w:customStyle="1" w:styleId="16">
    <w:name w:val="标题 3 Char"/>
    <w:basedOn w:val="10"/>
    <w:link w:val="4"/>
    <w:semiHidden/>
    <w:qFormat/>
    <w:uiPriority w:val="9"/>
    <w:rPr>
      <w:rFonts w:asciiTheme="minorHAnsi" w:hAnsiTheme="minorHAnsi" w:eastAsiaTheme="minorEastAsia"/>
      <w:b/>
      <w:bCs/>
      <w:w w:val="100"/>
      <w:sz w:val="32"/>
      <w:szCs w:val="32"/>
    </w:rPr>
  </w:style>
  <w:style w:type="character" w:customStyle="1" w:styleId="17">
    <w:name w:val="标题 4 Char"/>
    <w:basedOn w:val="10"/>
    <w:link w:val="5"/>
    <w:semiHidden/>
    <w:qFormat/>
    <w:uiPriority w:val="9"/>
    <w:rPr>
      <w:rFonts w:asciiTheme="majorHAnsi" w:hAnsiTheme="majorHAnsi" w:eastAsiaTheme="majorEastAsia" w:cstheme="majorBidi"/>
      <w:b/>
      <w:bCs/>
      <w:w w:val="100"/>
      <w:sz w:val="28"/>
      <w:szCs w:val="2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8663</Words>
  <Characters>9166</Characters>
  <Lines>50</Lines>
  <Paragraphs>14</Paragraphs>
  <TotalTime>35</TotalTime>
  <ScaleCrop>false</ScaleCrop>
  <LinksUpToDate>false</LinksUpToDate>
  <CharactersWithSpaces>9172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2025-06-10T17:35:00Z</dcterms:created>
  <dc:creator>Administrator</dc:creator>
  <cp:lastModifiedBy>Administrator</cp:lastModifiedBy>
  <dcterms:modified xsi:type="dcterms:W3CDTF">2025-09-22T08:08:24Z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eyJoZGlkIjoiMTczOTJhY2U1ZmQ1YTU1YzBmN2E2YzM1MjRlM2ZhOTkifQ==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A3E41A371CB748E6A9EB138B9071C38A_13</vt:lpwstr>
  </property>
</Properties>
</file>