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345B">
      <w:pPr>
        <w:pStyle w:val="13"/>
        <w:jc w:val="both"/>
        <w:rPr>
          <w:rFonts w:hAnsi="黑体"/>
          <w:sz w:val="36"/>
          <w:szCs w:val="36"/>
        </w:rPr>
      </w:pPr>
      <w:r>
        <w:rPr>
          <w:rFonts w:hint="eastAsia" w:hAnsi="黑体"/>
          <w:sz w:val="36"/>
          <w:szCs w:val="36"/>
        </w:rPr>
        <w:t>附件1</w:t>
      </w:r>
    </w:p>
    <w:p w14:paraId="65C0B8F2">
      <w:pPr>
        <w:pStyle w:val="13"/>
        <w:ind w:firstLine="3520" w:firstLineChars="800"/>
        <w:jc w:val="both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2024年度</w:t>
      </w:r>
    </w:p>
    <w:p w14:paraId="5CB798D0">
      <w:pPr>
        <w:pStyle w:val="13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怀化市第三中学</w:t>
      </w:r>
      <w:r>
        <w:rPr>
          <w:rFonts w:ascii="Times New Roman" w:hAnsi="Times New Roman" w:eastAsia="方正小标宋简体" w:cs="Times New Roman"/>
          <w:sz w:val="44"/>
          <w:szCs w:val="44"/>
        </w:rPr>
        <w:t>部门决算</w:t>
      </w:r>
    </w:p>
    <w:p w14:paraId="15EC0D8D">
      <w:pPr>
        <w:pStyle w:val="13"/>
        <w:spacing w:line="600" w:lineRule="exact"/>
        <w:jc w:val="both"/>
        <w:rPr>
          <w:rFonts w:ascii="Times New Roman" w:hAnsi="Times New Roman" w:cs="Times New Roman"/>
          <w:b/>
          <w:sz w:val="36"/>
          <w:szCs w:val="28"/>
        </w:rPr>
      </w:pPr>
    </w:p>
    <w:p w14:paraId="2CB4CDF1">
      <w:pPr>
        <w:pStyle w:val="13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  录</w:t>
      </w:r>
    </w:p>
    <w:p w14:paraId="09651097">
      <w:pPr>
        <w:pStyle w:val="13"/>
        <w:spacing w:line="600" w:lineRule="exact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239490E7">
      <w:pPr>
        <w:pStyle w:val="13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第一部分 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怀化市第三中学</w:t>
      </w:r>
      <w:r>
        <w:rPr>
          <w:rFonts w:ascii="Times New Roman" w:hAnsi="Times New Roman" w:cs="Times New Roman"/>
          <w:bCs/>
          <w:sz w:val="32"/>
          <w:szCs w:val="32"/>
        </w:rPr>
        <w:t>部门概况</w:t>
      </w:r>
    </w:p>
    <w:p w14:paraId="03A06AB0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6B446471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0C1E0E96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 部门决算表</w:t>
      </w:r>
    </w:p>
    <w:p w14:paraId="3D3666D8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1BFAA0CF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74EFF78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0A500BEF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48C4FC08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65346C0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0C89EEC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261C95D7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33254C88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451DE14D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 部门决算情况说明</w:t>
      </w:r>
    </w:p>
    <w:p w14:paraId="0EE4A51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39A9080B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71E78E2F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473B3D07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7F3B1E1C">
      <w:pPr>
        <w:autoSpaceDE w:val="0"/>
        <w:autoSpaceDN w:val="0"/>
        <w:adjustRightInd w:val="0"/>
        <w:spacing w:line="240" w:lineRule="auto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明</w:t>
      </w:r>
    </w:p>
    <w:p w14:paraId="7C41EFD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490C796E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20A32637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6443008A">
      <w:pPr>
        <w:pStyle w:val="13"/>
        <w:spacing w:line="600" w:lineRule="exac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仿宋_GB2312" w:cs="Times New Roman"/>
          <w:sz w:val="32"/>
          <w:szCs w:val="32"/>
        </w:rPr>
        <w:t>、国有资本经营预算财政拨款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ascii="Times New Roman" w:hAnsi="Times New Roman" w:eastAsia="仿宋_GB2312" w:cs="Times New Roman"/>
          <w:sz w:val="32"/>
          <w:szCs w:val="32"/>
        </w:rPr>
        <w:t>支出决算表</w:t>
      </w:r>
    </w:p>
    <w:p w14:paraId="6547D24A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、关于机关运行经费支出说明</w:t>
      </w:r>
    </w:p>
    <w:p w14:paraId="5FD9E9EF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、一般性支出情况说明</w:t>
      </w:r>
    </w:p>
    <w:p w14:paraId="7CA02266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、关于政府采购支出说明</w:t>
      </w:r>
    </w:p>
    <w:p w14:paraId="3C32C26B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、关于国有资产占用情况说明</w:t>
      </w:r>
    </w:p>
    <w:p w14:paraId="2569BC2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、关于2024年度预算绩效管理情况的说明</w:t>
      </w:r>
    </w:p>
    <w:p w14:paraId="62E8A047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 名词解释</w:t>
      </w:r>
    </w:p>
    <w:p w14:paraId="06A9EC92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 附件</w:t>
      </w:r>
    </w:p>
    <w:p w14:paraId="2E3267BD">
      <w:pPr>
        <w:pStyle w:val="13"/>
        <w:spacing w:line="600" w:lineRule="exact"/>
        <w:rPr>
          <w:rFonts w:ascii="Times New Roman" w:hAnsi="Times New Roman" w:cs="Times New Roman"/>
          <w:bCs/>
          <w:sz w:val="28"/>
          <w:szCs w:val="28"/>
        </w:rPr>
      </w:pPr>
    </w:p>
    <w:p w14:paraId="4ACF0FE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338EA7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D38949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D058D9">
      <w:pPr>
        <w:pStyle w:val="7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6CA16B69">
      <w:pPr>
        <w:rPr>
          <w:rFonts w:ascii="Times New Roman" w:hAnsi="Times New Roman" w:eastAsia="方正小标宋_GBK" w:cs="Times New Roman"/>
          <w:sz w:val="72"/>
          <w:szCs w:val="72"/>
        </w:rPr>
      </w:pPr>
    </w:p>
    <w:p w14:paraId="172422A8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第一部分</w:t>
      </w:r>
    </w:p>
    <w:p w14:paraId="30C5634B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怀化市第三中学</w:t>
      </w:r>
      <w:r>
        <w:rPr>
          <w:rFonts w:ascii="Times New Roman" w:hAnsi="Times New Roman" w:eastAsia="方正小标宋_GBK" w:cs="Times New Roman"/>
          <w:sz w:val="44"/>
          <w:szCs w:val="44"/>
        </w:rPr>
        <w:t>概况</w:t>
      </w:r>
    </w:p>
    <w:p w14:paraId="01C82EBC">
      <w:pPr>
        <w:pStyle w:val="3"/>
        <w:ind w:left="0" w:leftChars="0" w:firstLine="0" w:firstLineChars="0"/>
        <w:rPr>
          <w:rFonts w:ascii="Times New Roman" w:hAnsi="Times New Roman" w:cs="Times New Roman"/>
        </w:rPr>
      </w:pPr>
    </w:p>
    <w:p w14:paraId="7E9FAF7F">
      <w:pPr>
        <w:pStyle w:val="14"/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657C5CF0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㈠ 宣传贯彻执行党和国家教育方针、政策和法律法规，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</w:t>
      </w:r>
      <w:r>
        <w:rPr>
          <w:rFonts w:hint="eastAsia" w:ascii="仿宋" w:hAnsi="仿宋" w:eastAsia="仿宋" w:cs="仿宋"/>
          <w:sz w:val="32"/>
          <w:szCs w:val="32"/>
        </w:rPr>
        <w:t>省市有关教育工作的部署和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规划，</w:t>
      </w:r>
      <w:r>
        <w:rPr>
          <w:rFonts w:hint="eastAsia" w:ascii="仿宋" w:hAnsi="仿宋" w:eastAsia="仿宋" w:cs="仿宋"/>
          <w:sz w:val="32"/>
          <w:szCs w:val="32"/>
        </w:rPr>
        <w:t>坚持依法治教、依法治学。</w:t>
      </w:r>
    </w:p>
    <w:p w14:paraId="00311482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㈡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以学生的发展为本，为学生的终身发展服务。</w:t>
      </w:r>
      <w:r>
        <w:rPr>
          <w:rFonts w:hint="eastAsia" w:ascii="仿宋" w:hAnsi="仿宋" w:eastAsia="仿宋" w:cs="仿宋"/>
          <w:sz w:val="32"/>
          <w:szCs w:val="32"/>
        </w:rPr>
        <w:t>坚持教书育人，服务育人，环境育人方针，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培养学生厚德、博学、诚信、和谐、创新理念，促进</w:t>
      </w:r>
      <w:r>
        <w:rPr>
          <w:rFonts w:hint="eastAsia" w:ascii="仿宋" w:hAnsi="仿宋" w:eastAsia="仿宋" w:cs="仿宋"/>
          <w:sz w:val="32"/>
          <w:szCs w:val="32"/>
        </w:rPr>
        <w:t>学生的全面发展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DFE823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㈢ 组织开展本校的教育教学科研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积极稳妥地推进教育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改革，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负责教育教学管理及教研教改工作，全力推进素质教育，全面</w:t>
      </w:r>
      <w:r>
        <w:rPr>
          <w:rFonts w:hint="eastAsia" w:ascii="仿宋" w:hAnsi="仿宋" w:eastAsia="仿宋" w:cs="仿宋"/>
          <w:sz w:val="32"/>
          <w:szCs w:val="32"/>
        </w:rPr>
        <w:t>提高教育质量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629B65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㈣ 按照干部和教师职数、编制和管理权限，负责本校教师人事管理、继续教育和考核考评等工作。</w:t>
      </w:r>
    </w:p>
    <w:p w14:paraId="3B1038C7">
      <w:pPr>
        <w:pStyle w:val="13"/>
        <w:bidi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㈤ 负责本校财务和基建管理，组织制定和实施校舍和校园建设规划，正确使用各项经费，不断改善办学条件，强化安全工作管理，创造良好的育人环境。</w:t>
      </w:r>
    </w:p>
    <w:p w14:paraId="2439D826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72A69251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内设机构设置。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怀化市第三中学</w:t>
      </w:r>
      <w:r>
        <w:rPr>
          <w:rFonts w:hint="eastAsia" w:ascii="仿宋" w:hAnsi="仿宋" w:eastAsia="仿宋" w:cs="仿宋"/>
          <w:sz w:val="32"/>
          <w:szCs w:val="32"/>
        </w:rPr>
        <w:t>内设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机构包括</w:t>
      </w:r>
      <w:r>
        <w:rPr>
          <w:rFonts w:hint="eastAsia" w:ascii="仿宋" w:hAnsi="仿宋" w:eastAsia="仿宋" w:cs="仿宋"/>
          <w:sz w:val="32"/>
          <w:szCs w:val="32"/>
        </w:rPr>
        <w:t>：办公室、教务处、德育处、教科室、总务处、现教室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CE1A76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atLeas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决算单位构成。</w:t>
      </w:r>
      <w:r>
        <w:rPr>
          <w:rFonts w:hint="eastAsia" w:ascii="仿宋" w:hAnsi="仿宋" w:eastAsia="仿宋" w:cs="仿宋"/>
          <w:sz w:val="32"/>
          <w:szCs w:val="32"/>
        </w:rPr>
        <w:t>作为独立核算的一级部门预算单位，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怀化市第三中学202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年部门决算汇总公开单位构成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包括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怀化市第三中学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本级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</w:p>
    <w:p w14:paraId="08690A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atLeas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4B453722">
      <w:pPr>
        <w:pStyle w:val="13"/>
        <w:numPr>
          <w:ilvl w:val="0"/>
          <w:numId w:val="1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部门决算表</w:t>
      </w:r>
    </w:p>
    <w:p w14:paraId="265155E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atLeas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（见附件1:2024年部门决算公开表）</w:t>
      </w:r>
    </w:p>
    <w:p w14:paraId="265093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atLeas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C0852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atLeas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第三部分</w:t>
      </w:r>
    </w:p>
    <w:p w14:paraId="5A285445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2024年度部门决算情况说明</w:t>
      </w:r>
    </w:p>
    <w:p w14:paraId="448540CB">
      <w:pPr>
        <w:pStyle w:val="13"/>
        <w:bidi w:val="0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7CCB3150">
      <w:pPr>
        <w:pStyle w:val="13"/>
        <w:bidi w:val="0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7784.82</w:t>
      </w:r>
      <w:r>
        <w:rPr>
          <w:rFonts w:hint="eastAsia" w:ascii="Times New Roman" w:hAnsi="Times New Roman" w:eastAsia="仿宋_GB2312"/>
          <w:sz w:val="32"/>
          <w:szCs w:val="32"/>
        </w:rPr>
        <w:t>万元。与上年相比，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增加1011.22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增长14.93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一般公共预算拨款增加559.08万元，政府性基金预算财政拨款收入增加2.38万元，事业收入增加449.76万元。</w:t>
      </w:r>
    </w:p>
    <w:p w14:paraId="5EA2AAF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127826F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度收入合计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7784.82</w:t>
      </w:r>
      <w:r>
        <w:rPr>
          <w:rFonts w:hint="eastAsia" w:ascii="Times New Roman" w:hAnsi="Times New Roman" w:eastAsia="仿宋_GB2312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5667.97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72.81</w:t>
      </w:r>
      <w:r>
        <w:rPr>
          <w:rFonts w:hint="eastAsia" w:ascii="Times New Roman" w:hAnsi="Times New Roman" w:eastAsia="仿宋_GB2312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%；事业收入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2116.85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27.19</w:t>
      </w:r>
      <w:r>
        <w:rPr>
          <w:rFonts w:hint="eastAsia" w:ascii="Times New Roman" w:hAnsi="Times New Roman" w:eastAsia="仿宋_GB2312"/>
          <w:sz w:val="32"/>
          <w:szCs w:val="32"/>
        </w:rPr>
        <w:t>%；经营收入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%；其他收入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006AF2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106A70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度支出合计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7784.82</w:t>
      </w:r>
      <w:r>
        <w:rPr>
          <w:rFonts w:hint="eastAsia" w:ascii="Times New Roman" w:hAnsi="Times New Roman" w:eastAsia="仿宋_GB2312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7232.63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92.91</w:t>
      </w:r>
      <w:r>
        <w:rPr>
          <w:rFonts w:hint="eastAsia" w:ascii="Times New Roman" w:hAnsi="Times New Roman" w:eastAsia="仿宋_GB2312"/>
          <w:sz w:val="32"/>
          <w:szCs w:val="32"/>
        </w:rPr>
        <w:t>%；项目支出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552.19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7.09</w:t>
      </w:r>
      <w:r>
        <w:rPr>
          <w:rFonts w:hint="eastAsia" w:ascii="Times New Roman" w:hAnsi="Times New Roman" w:eastAsia="仿宋_GB2312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%；经营支出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 w14:paraId="1316974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032D6A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度财政拨款收、支总计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5667.97</w:t>
      </w:r>
      <w:r>
        <w:rPr>
          <w:rFonts w:hint="eastAsia" w:ascii="Times New Roman" w:hAnsi="Times New Roman" w:eastAsia="仿宋_GB2312"/>
          <w:sz w:val="32"/>
          <w:szCs w:val="32"/>
        </w:rPr>
        <w:t>万元，与上年相比，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增加561.46</w:t>
      </w:r>
      <w:r>
        <w:rPr>
          <w:rFonts w:hint="eastAsia" w:ascii="Times New Roman" w:hAnsi="Times New Roman" w:eastAsia="仿宋_GB2312"/>
          <w:sz w:val="32"/>
          <w:szCs w:val="32"/>
        </w:rPr>
        <w:t>万元,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增长10.99</w:t>
      </w:r>
      <w:r>
        <w:rPr>
          <w:rFonts w:hint="eastAsia" w:ascii="Times New Roman" w:hAnsi="Times New Roman" w:eastAsia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一般公共预算拨款增加559.08万元，政府性基金预算财政拨款增加2.38万元。</w:t>
      </w:r>
    </w:p>
    <w:p w14:paraId="55A267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75DC39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一般公共预算财政拨款支出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决算总体情况</w:t>
      </w:r>
    </w:p>
    <w:p w14:paraId="4149F1E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/>
          <w:sz w:val="32"/>
          <w:szCs w:val="32"/>
        </w:rPr>
        <w:t>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5635.59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72.39</w:t>
      </w:r>
      <w:r>
        <w:rPr>
          <w:rFonts w:hint="eastAsia" w:ascii="Times New Roman" w:hAnsi="Times New Roman" w:eastAsia="仿宋_GB2312"/>
          <w:sz w:val="32"/>
          <w:szCs w:val="32"/>
        </w:rPr>
        <w:t>%，与上年相比，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/>
          <w:sz w:val="32"/>
          <w:szCs w:val="32"/>
        </w:rPr>
        <w:t>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增加559.08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增长11.01</w:t>
      </w:r>
      <w:r>
        <w:rPr>
          <w:rFonts w:hint="eastAsia" w:ascii="Times New Roman" w:hAnsi="Times New Roman" w:eastAsia="仿宋_GB2312"/>
          <w:sz w:val="32"/>
          <w:szCs w:val="32"/>
        </w:rPr>
        <w:t>%，主要是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教育支出增加。</w:t>
      </w:r>
    </w:p>
    <w:p w14:paraId="329CDB0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一般公共预算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财政拨款支出决算结构情况</w:t>
      </w:r>
    </w:p>
    <w:p w14:paraId="53E3E5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/>
          <w:sz w:val="32"/>
          <w:szCs w:val="32"/>
        </w:rPr>
        <w:t>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5635.59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27.32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0.48</w:t>
      </w:r>
      <w:r>
        <w:rPr>
          <w:rFonts w:hint="eastAsia" w:ascii="Times New Roman" w:hAnsi="Times New Roman" w:eastAsia="仿宋_GB2312"/>
          <w:sz w:val="32"/>
          <w:szCs w:val="32"/>
        </w:rPr>
        <w:t>%；教育（类）支出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4927.83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87.44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支出475.90万元，占8.44%；卫生健康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支出204.55万元，占3.63%。</w:t>
      </w:r>
    </w:p>
    <w:p w14:paraId="32E96B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（三）财政拨款支出决算具体情况</w:t>
      </w:r>
    </w:p>
    <w:p w14:paraId="25AEBC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/>
          <w:sz w:val="32"/>
          <w:szCs w:val="32"/>
        </w:rPr>
        <w:t>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4843.78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5635.59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116.35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751DF4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1、一般公共服务（类）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政府办公厅及相关机构事务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行政运行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（项）。</w:t>
      </w:r>
    </w:p>
    <w:p w14:paraId="2CB778F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万元，决算数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于年初预算数的主要原因是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年中追加了资产管理工作经费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236C49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2、一般公共服务（类）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组织事务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其他组织事务支出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2C4E49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25.32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年中追加了人才资源开发专项资金。</w:t>
      </w:r>
    </w:p>
    <w:p w14:paraId="294BEB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3、教育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普通教育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高中教育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273E692F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4175.68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4919.89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完成年初预算的119.49%，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年中追加了食堂维修及教室设施设备升级等项目支出。</w:t>
      </w:r>
    </w:p>
    <w:p w14:paraId="5B3EDF8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教育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普通教育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其他普通教育支出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05D70910">
      <w:pPr>
        <w:pStyle w:val="13"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7.94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年中追加了课题经费等专项支出。</w:t>
      </w:r>
    </w:p>
    <w:p w14:paraId="30626E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行政事业单位养老支出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机关事业单位基本养老保险缴费支出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6BEC7C52">
      <w:pPr>
        <w:pStyle w:val="13"/>
        <w:bidi w:val="0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467.37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461.25</w:t>
      </w:r>
      <w:r>
        <w:rPr>
          <w:rFonts w:hint="eastAsia" w:ascii="Times New Roman" w:hAnsi="Times New Roman" w:eastAsia="仿宋_GB2312"/>
          <w:sz w:val="32"/>
          <w:szCs w:val="32"/>
        </w:rPr>
        <w:t>万元，决算数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小</w:t>
      </w:r>
      <w:r>
        <w:rPr>
          <w:rFonts w:hint="eastAsia" w:ascii="Times New Roman" w:hAnsi="Times New Roman" w:eastAsia="仿宋_GB2312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年中人员异动的差异。</w:t>
      </w:r>
    </w:p>
    <w:p w14:paraId="2D39D8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行政事业单位养老支出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其他行政事业单位养老支出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3ACF86A4">
      <w:pPr>
        <w:pStyle w:val="13"/>
        <w:bidi w:val="0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14.65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年中追加了退休人员生活补助。</w:t>
      </w:r>
    </w:p>
    <w:p w14:paraId="7CB6874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6、卫生健康支出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行政事业单位医疗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行政单位医疗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21346A38">
      <w:pPr>
        <w:pStyle w:val="13"/>
        <w:bidi w:val="0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3.82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年中追加了医疗保险缴费支出。</w:t>
      </w:r>
    </w:p>
    <w:p w14:paraId="408541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7、卫生健康支出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行政事业单位医疗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事业单位医疗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44155976">
      <w:pPr>
        <w:pStyle w:val="13"/>
        <w:bidi w:val="0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200.73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200.73</w:t>
      </w:r>
      <w:r>
        <w:rPr>
          <w:rFonts w:hint="eastAsia" w:ascii="Times New Roman" w:hAnsi="Times New Roman" w:eastAsia="仿宋_GB2312"/>
          <w:sz w:val="32"/>
          <w:szCs w:val="32"/>
        </w:rPr>
        <w:t>万元，决算数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持平。</w:t>
      </w:r>
    </w:p>
    <w:p w14:paraId="326D692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455CE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仿宋_GB2312"/>
          <w:sz w:val="32"/>
          <w:szCs w:val="32"/>
        </w:rPr>
        <w:t>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5115.78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4242673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4566.80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89.27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主要包括基本工资、津贴补贴、奖金、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绩效工资、基本养老保险缴费、基本医疗保险缴费等。</w:t>
      </w:r>
    </w:p>
    <w:p w14:paraId="70BA6BC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548.98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10.73</w:t>
      </w:r>
      <w:r>
        <w:rPr>
          <w:rFonts w:hint="eastAsia" w:ascii="Times New Roman" w:hAnsi="Times New Roman" w:eastAsia="仿宋_GB2312"/>
          <w:sz w:val="32"/>
          <w:szCs w:val="32"/>
        </w:rPr>
        <w:t>%，主要包括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主要包括办公费、印刷费、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水电费、物管费、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差旅费、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维修费、培训费、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福利费及其他商品和服务支出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 w14:paraId="3549FC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七、财政拨款三公经费支出决算情况说明</w:t>
      </w:r>
    </w:p>
    <w:p w14:paraId="6676CB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 w14:paraId="6AEC56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1.70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1.61</w:t>
      </w:r>
      <w:r>
        <w:rPr>
          <w:rFonts w:hint="eastAsia" w:ascii="Times New Roman" w:hAnsi="Times New Roman" w:eastAsia="仿宋_GB2312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94.71</w:t>
      </w:r>
      <w:r>
        <w:rPr>
          <w:rFonts w:hint="eastAsia" w:ascii="Times New Roman" w:hAnsi="Times New Roman" w:eastAsia="仿宋_GB2312"/>
          <w:sz w:val="32"/>
          <w:szCs w:val="32"/>
        </w:rPr>
        <w:t>%，与上年相比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增加0.25万</w:t>
      </w:r>
      <w:r>
        <w:rPr>
          <w:rFonts w:hint="eastAsia" w:ascii="Times New Roman" w:hAnsi="Times New Roman" w:eastAsia="仿宋_GB2312"/>
          <w:sz w:val="32"/>
          <w:szCs w:val="32"/>
        </w:rPr>
        <w:t>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减少增长14.71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</w:t>
      </w:r>
      <w:r>
        <w:rPr>
          <w:rFonts w:hint="eastAsia" w:ascii="Times New Roman" w:hAnsi="Times New Roman" w:eastAsia="仿宋_GB2312"/>
          <w:sz w:val="32"/>
          <w:szCs w:val="32"/>
        </w:rPr>
        <w:t>的主要原因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是车辆维修费用较上年提高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70C83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625DA41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5A4AAB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 w14:paraId="14A2415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因公出国（境）费支出预算为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完成预算的100%；与上年相比无增减，决算数与预算数一致，决算数与上年数一致。</w:t>
      </w:r>
    </w:p>
    <w:p w14:paraId="3E4B35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公务用车购置费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及运行维护费</w:t>
      </w:r>
      <w:r>
        <w:rPr>
          <w:rFonts w:hint="eastAsia" w:ascii="Times New Roman" w:hAnsi="Times New Roman" w:eastAsia="仿宋_GB2312"/>
          <w:sz w:val="32"/>
          <w:szCs w:val="32"/>
        </w:rPr>
        <w:t>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完成预算的100%，与上年相比无增减。其中：</w:t>
      </w:r>
    </w:p>
    <w:p w14:paraId="24809E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公务用车购置费支出预算为0万元，支出决算为0万元，完成预算的100%；与上年相比无增减，决算数与预算数一致，决算数与上年数一致。</w:t>
      </w:r>
    </w:p>
    <w:p w14:paraId="5E6E36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1.7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1.61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主要是车辆油料费、维修费、保险费等支出，</w:t>
      </w:r>
      <w:r>
        <w:rPr>
          <w:rFonts w:hint="eastAsia" w:ascii="Times New Roman" w:hAnsi="Times New Roman" w:eastAsia="仿宋_GB2312"/>
          <w:sz w:val="32"/>
          <w:szCs w:val="32"/>
        </w:rPr>
        <w:t>完成预算的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94.71</w:t>
      </w:r>
      <w:r>
        <w:rPr>
          <w:rFonts w:hint="eastAsia" w:ascii="Times New Roman" w:hAnsi="Times New Roman" w:eastAsia="仿宋_GB2312"/>
          <w:sz w:val="32"/>
          <w:szCs w:val="32"/>
        </w:rPr>
        <w:t>%，与上年相比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增加0.25万</w:t>
      </w:r>
      <w:r>
        <w:rPr>
          <w:rFonts w:hint="eastAsia" w:ascii="Times New Roman" w:hAnsi="Times New Roman" w:eastAsia="仿宋_GB2312"/>
          <w:sz w:val="32"/>
          <w:szCs w:val="32"/>
        </w:rPr>
        <w:t>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增长14.71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决算数小于预算数的主要原因是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eastAsia="zh-CN"/>
        </w:rPr>
        <w:t>从严控制车辆运行经费。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决算数大于上年数的主要原因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是车辆维修费用较上年增加</w:t>
      </w:r>
      <w:r>
        <w:rPr>
          <w:rFonts w:hint="eastAsia" w:ascii="Times New Roman" w:hAnsi="Times New Roman" w:eastAsia="仿宋_GB2312"/>
          <w:sz w:val="32"/>
          <w:szCs w:val="32"/>
        </w:rPr>
        <w:t>。截止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辆。</w:t>
      </w:r>
    </w:p>
    <w:p w14:paraId="087AEB4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完成预算的100%；与上年相比无增减，决算数与预算数一致，决算数与上年数一致。</w:t>
      </w:r>
    </w:p>
    <w:p w14:paraId="5CDBC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664637D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32.38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32.38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32.38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万元。具体情况如下：</w:t>
      </w:r>
    </w:p>
    <w:p w14:paraId="0D2D810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彩票公益金安排的支出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用于体育事业的彩票公益金支出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FA1FC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32.38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年中追加了电子屏采购及高三部跑道建设项目。</w:t>
      </w:r>
    </w:p>
    <w:p w14:paraId="4B6F69CB">
      <w:pPr>
        <w:pStyle w:val="13"/>
        <w:bidi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九、国有资本经营预算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财政拨款</w:t>
      </w:r>
      <w:r>
        <w:rPr>
          <w:rFonts w:hint="eastAsia"/>
          <w:sz w:val="32"/>
          <w:szCs w:val="32"/>
          <w:lang w:val="en-US" w:eastAsia="zh-CN"/>
        </w:rPr>
        <w:t>收入支出决算情况说明</w:t>
      </w:r>
    </w:p>
    <w:p w14:paraId="6097709D"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本部门2024年度无国有资本经营预算财政拨款收入支出。</w:t>
      </w:r>
    </w:p>
    <w:p w14:paraId="6AA3E5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hAnsi="黑体" w:cs="黑体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、关于机关运行经费支出说明</w:t>
      </w:r>
    </w:p>
    <w:p w14:paraId="4BE4D81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非参公事业单位，不属机关运行经费统计范围之内。</w:t>
      </w:r>
    </w:p>
    <w:p w14:paraId="3804F5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3574CA9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年本部门开支会议费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万元；开支培训费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53.94</w:t>
      </w:r>
      <w:r>
        <w:rPr>
          <w:rFonts w:hint="eastAsia" w:ascii="Times New Roman" w:hAnsi="Times New Roman" w:eastAsia="仿宋_GB2312"/>
          <w:sz w:val="32"/>
          <w:szCs w:val="32"/>
        </w:rPr>
        <w:t>万元，用于开展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各学科专业</w:t>
      </w:r>
      <w:r>
        <w:rPr>
          <w:rFonts w:hint="eastAsia" w:ascii="Times New Roman" w:hAnsi="Times New Roman" w:eastAsia="仿宋_GB2312"/>
          <w:sz w:val="32"/>
          <w:szCs w:val="32"/>
        </w:rPr>
        <w:t>培训，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人数460余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Times New Roman" w:hAnsi="Times New Roman" w:eastAsia="仿宋_GB2312"/>
          <w:sz w:val="32"/>
          <w:szCs w:val="32"/>
        </w:rPr>
        <w:t>内容为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各学科教师参加国培、省培、市培计划的专业培训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2024年本部门无节庆、晚会、论坛、赛事活动，开支0万元。</w:t>
      </w:r>
    </w:p>
    <w:p w14:paraId="23C86BA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557A45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年度政府采购支出总额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231.91</w:t>
      </w:r>
      <w:r>
        <w:rPr>
          <w:rFonts w:hint="eastAsia" w:ascii="Times New Roman" w:hAnsi="Times New Roman" w:eastAsia="仿宋_GB2312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207.99</w:t>
      </w:r>
      <w:r>
        <w:rPr>
          <w:rFonts w:hint="eastAsia" w:ascii="Times New Roman" w:hAnsi="Times New Roman" w:eastAsia="仿宋_GB2312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23.92</w:t>
      </w:r>
      <w:r>
        <w:rPr>
          <w:rFonts w:hint="eastAsia" w:ascii="Times New Roman" w:hAnsi="Times New Roman" w:eastAsia="仿宋_GB2312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231.91</w:t>
      </w:r>
      <w:r>
        <w:rPr>
          <w:rFonts w:hint="eastAsia" w:ascii="Times New Roman" w:hAnsi="Times New Roman" w:eastAsia="仿宋_GB2312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207.99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89.69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10.31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</w:p>
    <w:p w14:paraId="6E4823B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410260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截至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年12月31日，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辆，其他用车主要是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学校业务用车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；单位价值100万元以上设备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台（套）。</w:t>
      </w:r>
    </w:p>
    <w:p w14:paraId="4DD948B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1DA10DBB">
      <w:pPr>
        <w:overflowPunct w:val="0"/>
        <w:spacing w:line="240" w:lineRule="auto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绩效评价工作开展情况。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</w:p>
    <w:p w14:paraId="046A80A8">
      <w:pPr>
        <w:overflowPunct w:val="0"/>
        <w:spacing w:line="240" w:lineRule="auto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共涉及资金7784.82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552.19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519.81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9.22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32.38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%。</w:t>
      </w:r>
    </w:p>
    <w:p w14:paraId="515DD8E1">
      <w:pPr>
        <w:ind w:firstLine="675" w:firstLineChars="21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8211.89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7784.82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94.80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</w:t>
      </w:r>
      <w:r>
        <w:rPr>
          <w:rFonts w:hint="eastAsia" w:ascii="仿宋" w:hAnsi="仿宋" w:eastAsia="仿宋" w:cs="仿宋"/>
          <w:sz w:val="32"/>
          <w:szCs w:val="32"/>
        </w:rPr>
        <w:t>成情况：目标1：党建领航与党建工作提升完成情况：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  <w:t>一年来，召开意识形态综合研判专题会议4次，开展全体党员专题学习研讨4次；抓实党员党课教育和全体教职工政治学习活动上党课8次，开展弘扬教育家精神和二十届三中全会宣讲活动3场次，举办学习贯彻党的二十届三中全会精神专题学习4期，党委充分发挥党员教师在教育教学等工作中的先锋模范作用，用扎实有效的党建工作促进教育教学质量的提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E02F883">
      <w:pPr>
        <w:ind w:firstLine="675" w:firstLineChars="21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目标2：后勤保障与教学支持完成情况：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，后勤部门围绕“服务教学、保障安全、优化环境”的核心目标，顺利完成各项保障任务。主要完成常规化教学楼、宿舍、食堂等场所维修维护，教育教学设备购置；定期开展校园消杀、垃圾分类处理；推行“明厨亮灶”工程，严格执行食品采购、储存、加工流程，全年食品安全零事故。本年新投入校舍维修及设备采购类专项</w:t>
      </w:r>
      <w:r>
        <w:rPr>
          <w:rFonts w:hint="eastAsia" w:ascii="仿宋" w:hAnsi="仿宋" w:eastAsia="仿宋" w:cs="仿宋"/>
          <w:sz w:val="32"/>
          <w:szCs w:val="32"/>
        </w:rPr>
        <w:t>等1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包括食堂整体改造、1、2号教学楼设备购置、优化校园绿化面积1000余平方、高考考点设施设备采购等项目，后勤部门通过规范化管理、粗细化服务，为师生提供了安全、舒适的学习生活环境，为学校高质量发展提供坚实后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007177">
      <w:pPr>
        <w:ind w:firstLine="675" w:firstLineChars="21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目标3：师资建设与教学质量提升完成情况：全年共3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余人次参加培训（含网络培训），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先后组织全市“英语教研活动”“同课异构活动”“名师讲堂”、</w:t>
      </w:r>
      <w:r>
        <w:rPr>
          <w:rFonts w:hint="eastAsia" w:ascii="仿宋" w:hAnsi="仿宋" w:eastAsia="仿宋" w:cs="仿宋"/>
          <w:sz w:val="32"/>
          <w:szCs w:val="32"/>
        </w:rPr>
        <w:t>青年教师片段教学比赛、“青蓝工程”等活动；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目前在研省级课题5项、市级课题4项，2个市级课题立项，完成 5 项课题中期汇报。</w:t>
      </w:r>
      <w:r>
        <w:rPr>
          <w:rFonts w:hint="eastAsia" w:ascii="仿宋" w:hAnsi="仿宋" w:eastAsia="仿宋" w:cs="仿宋"/>
          <w:sz w:val="32"/>
          <w:szCs w:val="32"/>
        </w:rPr>
        <w:t>各类教学研究项目获得市级及以上奖励62项，教师教学比武获市级以上奖励24个。</w:t>
      </w:r>
    </w:p>
    <w:p w14:paraId="11276964">
      <w:pPr>
        <w:ind w:firstLine="675" w:firstLineChars="21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目标4：校园文化与学生发展完成情况：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举办校园艺术节、社团节、诗词朗诵、运动会等，学生在参与率达95%以上；建立校内服务基地，举办了“学雷锋，文明行”、“大手牵小手，爱心暖特校”等志愿服务活动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开设“名家讲堂”，邀请行业精英、优秀校友进校分享。主要成效：学生综合素质明显提升，学生体质健康合格率达96%，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学生总体近视率较上一年降低0.5个百分点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；学生文明礼仪、自主管理能力明显提高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298881C">
      <w:pPr>
        <w:ind w:firstLine="675" w:firstLineChars="21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目标5：完成支教、综治、安全、普法等工作完成情况：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支教工作：精准帮扶。学校选派10名骨干教师分别赴新晃县、溆浦县支教，重点支援语文、数学、生物等薄弱学科；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综治、安全工作：校安办</w:t>
      </w:r>
      <w:r>
        <w:rPr>
          <w:rFonts w:hint="eastAsia" w:ascii="仿宋" w:hAnsi="仿宋" w:eastAsia="仿宋" w:cs="仿宋"/>
          <w:sz w:val="32"/>
          <w:szCs w:val="32"/>
        </w:rPr>
        <w:t>主动对接社区、城管、食药监等部门，开展校园周边环境整治，取缔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流动摊贩；联合食药监部门每月抽检食堂食材、监督加工流程，保障食品安全；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一键式紧急报警、视频监控系统达标率 100%，“护学岗” 设置率 100%</w:t>
      </w:r>
      <w:r>
        <w:rPr>
          <w:rFonts w:hint="eastAsia" w:ascii="仿宋" w:hAnsi="仿宋" w:eastAsia="仿宋" w:cs="仿宋"/>
          <w:sz w:val="32"/>
          <w:szCs w:val="32"/>
        </w:rPr>
        <w:t>；联合消防、公安部门制定火灾、暴恐袭击等应急预案演练脚本，全年组织演练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次，参演师生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 w:cs="仿宋"/>
          <w:sz w:val="32"/>
          <w:szCs w:val="32"/>
        </w:rPr>
        <w:t>余人次。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学校精准落实各项教育资助政策，将家庭经济困难学生全部纳入资助范围，一年来</w:t>
      </w:r>
      <w:r>
        <w:rPr>
          <w:rFonts w:hint="eastAsia" w:ascii="仿宋" w:hAnsi="仿宋" w:eastAsia="仿宋" w:cs="仿宋"/>
          <w:sz w:val="32"/>
          <w:szCs w:val="32"/>
        </w:rPr>
        <w:t>免学费、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免教材、教辅</w:t>
      </w:r>
      <w:r>
        <w:rPr>
          <w:rFonts w:hint="eastAsia" w:ascii="仿宋" w:hAnsi="仿宋" w:eastAsia="仿宋" w:cs="仿宋"/>
          <w:sz w:val="32"/>
          <w:szCs w:val="32"/>
        </w:rPr>
        <w:t>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免校服费计130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确保家庭经济困难学生应享尽享，应助尽助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6B9FDA">
      <w:pPr>
        <w:ind w:firstLine="755" w:firstLineChars="236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发现的主要问题及原因：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评价指标设计不科学。指标过于笼统，缺乏科学、客观、量化的评价标准。主要是学校缺乏专业绩效管理团队，对评价方法掌握不深。二是</w:t>
      </w:r>
      <w:r>
        <w:rPr>
          <w:rFonts w:hint="eastAsia" w:ascii="仿宋" w:hAnsi="仿宋" w:eastAsia="仿宋" w:cs="仿宋"/>
          <w:sz w:val="32"/>
          <w:szCs w:val="32"/>
        </w:rPr>
        <w:t>项目支出执行率偏低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项目支出总预算954.86万元，实际执行552.19万元，执行率57.83%。主要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是有的项目需要跨年完成，有的项目处于正在验收或在项目决算中，所以本年未能完全结算支付使用，项目支出延续至下年完成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F71970">
      <w:pPr>
        <w:ind w:firstLine="755" w:firstLineChars="236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下一步改进措施：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评价指标体系。分层设计指标，结合普通高中职能，设置共性指标和个性指标；量化关键指标，将教学质量、师资培训等转化为可量化的数据。二是加强数据基础管理。建立财务与业务联动机制，实现支出与产出的动态关联。三是</w:t>
      </w:r>
      <w:r>
        <w:rPr>
          <w:rFonts w:hint="eastAsia" w:ascii="仿宋" w:hAnsi="仿宋" w:eastAsia="仿宋" w:cs="仿宋"/>
          <w:sz w:val="32"/>
          <w:szCs w:val="32"/>
        </w:rPr>
        <w:t>提升项目管理效能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引入第三方监理与评估：对超100万元的基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础</w:t>
      </w:r>
      <w:r>
        <w:rPr>
          <w:rFonts w:hint="eastAsia" w:ascii="仿宋" w:hAnsi="仿宋" w:eastAsia="仿宋" w:cs="仿宋"/>
          <w:sz w:val="32"/>
          <w:szCs w:val="32"/>
        </w:rPr>
        <w:t>建项目安排监理全程监控工程质量、进度及资金使用，避免方案调整延误。同时委托会计师事务所对项目支出开展独立绩效评价，提升客观性。</w:t>
      </w:r>
    </w:p>
    <w:p w14:paraId="102B15BB">
      <w:pPr>
        <w:numPr>
          <w:ilvl w:val="0"/>
          <w:numId w:val="2"/>
        </w:numPr>
        <w:ind w:firstLine="755" w:firstLineChars="236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评价结果应用情况。</w:t>
      </w:r>
    </w:p>
    <w:p w14:paraId="5AFC73C8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</w:t>
      </w: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根据自评结果中发现的资金使用效率低或效果不佳的项目，调整下一年度预算分配，优先保障高绩效项目（如教学改革、师资培训等）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C6CAAB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改进内部管理</w:t>
      </w:r>
      <w:r>
        <w:rPr>
          <w:rFonts w:hint="eastAsia" w:ascii="仿宋" w:hAnsi="仿宋" w:eastAsia="仿宋" w:cs="仿宋"/>
          <w:sz w:val="32"/>
          <w:szCs w:val="32"/>
        </w:rPr>
        <w:t>：针对项目进度滞后问题，在总务处设立“项目专员”岗位，专职跟踪资金到位与施工进展；财务室建立“绩效台账”，按月通报各部门预算执行偏差，督促整改。</w:t>
      </w:r>
    </w:p>
    <w:p w14:paraId="4F61CB14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093B775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第五部分   附 件</w:t>
      </w:r>
    </w:p>
    <w:p w14:paraId="5CAA8DD0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2024年部门决算公开表</w:t>
      </w:r>
    </w:p>
    <w:p w14:paraId="56DDE07F">
      <w:pPr>
        <w:pStyle w:val="13"/>
        <w:spacing w:line="600" w:lineRule="exact"/>
        <w:ind w:firstLine="640" w:firstLineChars="200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附件2：</w:t>
      </w:r>
      <w:r>
        <w:rPr>
          <w:rFonts w:ascii="Times New Roman" w:hAnsi="Times New Roman" w:eastAsia="仿宋_GB2312" w:cs="Times New Roman"/>
          <w:sz w:val="32"/>
          <w:szCs w:val="32"/>
        </w:rPr>
        <w:t>2024年部门整体支出绩效自评报告</w:t>
      </w:r>
    </w:p>
    <w:sectPr>
      <w:footerReference r:id="rId4" w:type="default"/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7118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83DD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E05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E05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DCA5"/>
    <w:multiLevelType w:val="singleLevel"/>
    <w:tmpl w:val="CEA9DCA5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64EAC8B"/>
    <w:multiLevelType w:val="singleLevel"/>
    <w:tmpl w:val="064EAC8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1D97DEFF"/>
    <w:rsid w:val="1DFF72E5"/>
    <w:rsid w:val="1EFC6F07"/>
    <w:rsid w:val="2FDF85B8"/>
    <w:rsid w:val="2FFFEE04"/>
    <w:rsid w:val="34DF85B0"/>
    <w:rsid w:val="387072C9"/>
    <w:rsid w:val="3B8F36BC"/>
    <w:rsid w:val="45765804"/>
    <w:rsid w:val="491FF225"/>
    <w:rsid w:val="4FFD214C"/>
    <w:rsid w:val="518B1644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7C37683"/>
    <w:rsid w:val="79D19834"/>
    <w:rsid w:val="79FF515B"/>
    <w:rsid w:val="7D473DD3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1087</Words>
  <Characters>1128</Characters>
  <Lines>69</Lines>
  <Paragraphs>19</Paragraphs>
  <TotalTime>16</TotalTime>
  <ScaleCrop>false</ScaleCrop>
  <LinksUpToDate>false</LinksUpToDate>
  <CharactersWithSpaces>1542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Administrator</cp:lastModifiedBy>
  <cp:lastPrinted>2025-09-22T06:13:04Z</cp:lastPrinted>
  <dcterms:modified xsi:type="dcterms:W3CDTF">2025-09-22T08:10:44Z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8B4286C547424ED986B2F2F1A3A1B7E9_13</vt:lpwstr>
  </property>
  <property fmtid="{D5CDD505-2E9C-101B-9397-08002B2CF9AE}" pid="4" name="KSOTemplateDocerSaveRecord">
    <vt:lpwstr>eyJoZGlkIjoiMTczOTJhY2U1ZmQ1YTU1YzBmN2E2YzM1MjRlM2ZhOTkifQ==</vt:lpwstr>
  </property>
</Properties>
</file>