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6"/>
        <w:jc w:val="both"/>
        <w:rPr>
          <w:rFonts w:hint="eastAsia" w:hAnsi="黑体" w:eastAsia="黑体"/>
          <w:sz w:val="36"/>
          <w:szCs w:val="36"/>
          <w:lang w:eastAsia="zh-CN"/>
        </w:rPr>
      </w:pPr>
      <w:r>
        <w:rPr>
          <w:rFonts w:hint="eastAsia" w:hAnsi="黑体"/>
          <w:sz w:val="36"/>
          <w:szCs w:val="36"/>
        </w:rPr>
        <w:t>附件</w:t>
      </w:r>
      <w:r>
        <w:rPr>
          <w:rFonts w:hint="eastAsia" w:hAnsi="黑体"/>
          <w:sz w:val="36"/>
          <w:szCs w:val="36"/>
          <w:lang w:val="en-US" w:eastAsia="zh-CN"/>
        </w:rPr>
        <w:t>2</w:t>
      </w:r>
    </w:p>
    <w:p>
      <w:pPr>
        <w:pStyle w:val="16"/>
        <w:jc w:val="center"/>
        <w:rPr>
          <w:rFonts w:ascii="Times New Roman" w:hAnsi="Times New Roman" w:cs="Times New Roman"/>
          <w:sz w:val="56"/>
          <w:szCs w:val="56"/>
        </w:rPr>
      </w:pPr>
    </w:p>
    <w:p>
      <w:pPr>
        <w:pStyle w:val="16"/>
        <w:jc w:val="center"/>
        <w:rPr>
          <w:rFonts w:ascii="Times New Roman" w:hAnsi="Times New Roman" w:cs="Times New Roman"/>
          <w:sz w:val="84"/>
          <w:szCs w:val="84"/>
        </w:rPr>
      </w:pPr>
    </w:p>
    <w:p>
      <w:pPr>
        <w:pStyle w:val="16"/>
        <w:jc w:val="center"/>
        <w:rPr>
          <w:rFonts w:ascii="Times New Roman" w:hAnsi="Times New Roman" w:cs="Times New Roman"/>
          <w:sz w:val="84"/>
          <w:szCs w:val="84"/>
        </w:rPr>
      </w:pPr>
    </w:p>
    <w:p>
      <w:pPr>
        <w:pStyle w:val="16"/>
        <w:jc w:val="center"/>
        <w:rPr>
          <w:rFonts w:ascii="Times New Roman" w:hAnsi="Times New Roman" w:eastAsia="方正小标宋简体" w:cs="Times New Roman"/>
          <w:sz w:val="72"/>
          <w:szCs w:val="72"/>
        </w:rPr>
      </w:pPr>
      <w:r>
        <w:rPr>
          <w:rFonts w:ascii="Times New Roman" w:hAnsi="Times New Roman" w:eastAsia="方正小标宋简体" w:cs="Times New Roman"/>
          <w:sz w:val="72"/>
          <w:szCs w:val="72"/>
        </w:rPr>
        <w:t>202</w:t>
      </w:r>
      <w:r>
        <w:rPr>
          <w:rFonts w:hint="eastAsia" w:ascii="Times New Roman" w:hAnsi="Times New Roman" w:eastAsia="方正小标宋简体" w:cs="Times New Roman"/>
          <w:sz w:val="72"/>
          <w:szCs w:val="72"/>
          <w:lang w:val="en-US" w:eastAsia="zh-CN"/>
        </w:rPr>
        <w:t>5</w:t>
      </w:r>
      <w:r>
        <w:rPr>
          <w:rFonts w:ascii="Times New Roman" w:hAnsi="Times New Roman" w:eastAsia="方正小标宋简体" w:cs="Times New Roman"/>
          <w:sz w:val="72"/>
          <w:szCs w:val="72"/>
        </w:rPr>
        <w:t>年度</w:t>
      </w:r>
    </w:p>
    <w:p>
      <w:pPr>
        <w:pStyle w:val="16"/>
        <w:jc w:val="center"/>
        <w:rPr>
          <w:rFonts w:hint="eastAsia" w:ascii="Times New Roman" w:hAnsi="Times New Roman" w:eastAsia="方正小标宋简体" w:cs="Times New Roman"/>
          <w:sz w:val="72"/>
          <w:szCs w:val="72"/>
        </w:rPr>
      </w:pPr>
      <w:r>
        <w:rPr>
          <w:rFonts w:hint="eastAsia" w:ascii="Times New Roman" w:hAnsi="Times New Roman" w:eastAsia="方正小标宋简体" w:cs="Times New Roman"/>
          <w:sz w:val="72"/>
          <w:szCs w:val="72"/>
        </w:rPr>
        <w:t>怀化市社会科学界联合会</w:t>
      </w:r>
    </w:p>
    <w:p>
      <w:pPr>
        <w:pStyle w:val="16"/>
        <w:jc w:val="center"/>
        <w:rPr>
          <w:rFonts w:ascii="Times New Roman" w:hAnsi="Times New Roman" w:eastAsia="方正小标宋简体" w:cs="Times New Roman"/>
          <w:sz w:val="72"/>
          <w:szCs w:val="72"/>
        </w:rPr>
      </w:pPr>
      <w:r>
        <w:rPr>
          <w:rFonts w:hint="eastAsia" w:ascii="Times New Roman" w:hAnsi="Times New Roman" w:eastAsia="方正小标宋简体" w:cs="Times New Roman"/>
          <w:sz w:val="72"/>
          <w:szCs w:val="72"/>
        </w:rPr>
        <w:t>部门决算</w:t>
      </w:r>
    </w:p>
    <w:p>
      <w:pPr>
        <w:pStyle w:val="16"/>
        <w:jc w:val="center"/>
        <w:rPr>
          <w:rFonts w:ascii="Times New Roman" w:hAnsi="Times New Roman" w:eastAsia="方正小标宋_GBK" w:cs="Times New Roman"/>
          <w:sz w:val="56"/>
          <w:szCs w:val="56"/>
        </w:rPr>
      </w:pPr>
    </w:p>
    <w:p>
      <w:pPr>
        <w:pStyle w:val="16"/>
        <w:jc w:val="center"/>
        <w:rPr>
          <w:rFonts w:ascii="Times New Roman" w:hAnsi="Times New Roman" w:cs="Times New Roman"/>
          <w:sz w:val="56"/>
          <w:szCs w:val="56"/>
        </w:rPr>
      </w:pPr>
    </w:p>
    <w:p>
      <w:pPr>
        <w:pStyle w:val="16"/>
        <w:rPr>
          <w:rFonts w:ascii="Times New Roman" w:hAnsi="Times New Roman" w:cs="Times New Roman"/>
          <w:sz w:val="56"/>
          <w:szCs w:val="56"/>
        </w:rPr>
      </w:pPr>
    </w:p>
    <w:p>
      <w:pPr>
        <w:pStyle w:val="16"/>
        <w:jc w:val="center"/>
        <w:rPr>
          <w:rFonts w:ascii="Times New Roman" w:hAnsi="Times New Roman" w:cs="Times New Roman"/>
          <w:sz w:val="32"/>
          <w:szCs w:val="32"/>
        </w:rPr>
      </w:pPr>
    </w:p>
    <w:p>
      <w:pPr>
        <w:pStyle w:val="16"/>
        <w:jc w:val="both"/>
        <w:rPr>
          <w:rFonts w:ascii="Times New Roman" w:hAnsi="Times New Roman" w:cs="Times New Roman"/>
          <w:sz w:val="32"/>
          <w:szCs w:val="32"/>
        </w:rPr>
      </w:pPr>
    </w:p>
    <w:p>
      <w:pPr>
        <w:pStyle w:val="16"/>
        <w:jc w:val="center"/>
        <w:rPr>
          <w:rFonts w:ascii="Times New Roman" w:hAnsi="Times New Roman" w:cs="Times New Roman"/>
          <w:sz w:val="32"/>
          <w:szCs w:val="32"/>
        </w:rPr>
      </w:pPr>
    </w:p>
    <w:p>
      <w:pPr>
        <w:pStyle w:val="16"/>
        <w:spacing w:line="540" w:lineRule="exact"/>
        <w:jc w:val="center"/>
        <w:rPr>
          <w:rFonts w:ascii="Times New Roman" w:hAnsi="Times New Roman" w:cs="Times New Roman"/>
          <w:sz w:val="56"/>
          <w:szCs w:val="56"/>
        </w:rPr>
      </w:pPr>
    </w:p>
    <w:p>
      <w:pPr>
        <w:rPr>
          <w:rFonts w:ascii="Times New Roman" w:hAnsi="Times New Roman" w:cs="Times New Roman"/>
          <w:b/>
          <w:sz w:val="36"/>
          <w:szCs w:val="28"/>
        </w:rPr>
        <w:sectPr>
          <w:pgSz w:w="11906" w:h="16838"/>
          <w:pgMar w:top="1417" w:right="1588" w:bottom="1417" w:left="1588" w:header="851" w:footer="992" w:gutter="0"/>
          <w:cols w:space="425" w:num="1"/>
          <w:docGrid w:type="lines" w:linePitch="312" w:charSpace="0"/>
        </w:sectPr>
      </w:pPr>
    </w:p>
    <w:p>
      <w:pPr>
        <w:pStyle w:val="16"/>
        <w:spacing w:line="600" w:lineRule="exact"/>
        <w:jc w:val="both"/>
        <w:rPr>
          <w:rFonts w:ascii="Times New Roman" w:hAnsi="Times New Roman" w:cs="Times New Roman"/>
          <w:b/>
          <w:sz w:val="36"/>
          <w:szCs w:val="28"/>
        </w:rPr>
      </w:pPr>
      <w:bookmarkStart w:id="3" w:name="_GoBack"/>
      <w:bookmarkEnd w:id="3"/>
    </w:p>
    <w:p>
      <w:pPr>
        <w:pStyle w:val="16"/>
        <w:spacing w:line="600" w:lineRule="exact"/>
        <w:jc w:val="center"/>
        <w:rPr>
          <w:rFonts w:ascii="Times New Roman" w:hAnsi="Times New Roman" w:cs="Times New Roman"/>
          <w:bCs/>
          <w:sz w:val="36"/>
          <w:szCs w:val="28"/>
        </w:rPr>
      </w:pPr>
      <w:r>
        <w:rPr>
          <w:rFonts w:ascii="Times New Roman" w:hAnsi="Times New Roman" w:cs="Times New Roman"/>
          <w:bCs/>
          <w:sz w:val="36"/>
          <w:szCs w:val="28"/>
        </w:rPr>
        <w:t>目  录</w:t>
      </w:r>
    </w:p>
    <w:p>
      <w:pPr>
        <w:pStyle w:val="16"/>
        <w:spacing w:line="600" w:lineRule="exact"/>
        <w:jc w:val="center"/>
        <w:rPr>
          <w:rFonts w:ascii="Times New Roman" w:hAnsi="Times New Roman" w:cs="Times New Roman"/>
          <w:b/>
          <w:sz w:val="36"/>
          <w:szCs w:val="28"/>
        </w:rPr>
      </w:pPr>
    </w:p>
    <w:p>
      <w:pPr>
        <w:pStyle w:val="16"/>
        <w:spacing w:after="156" w:afterLines="50" w:line="600" w:lineRule="exact"/>
        <w:rPr>
          <w:rFonts w:ascii="Times New Roman" w:hAnsi="Times New Roman" w:cs="Times New Roman"/>
          <w:bCs/>
          <w:sz w:val="32"/>
          <w:szCs w:val="32"/>
        </w:rPr>
      </w:pPr>
      <w:r>
        <w:rPr>
          <w:rFonts w:ascii="Times New Roman" w:hAnsi="Times New Roman" w:cs="Times New Roman"/>
          <w:bCs/>
          <w:sz w:val="32"/>
          <w:szCs w:val="32"/>
        </w:rPr>
        <w:t xml:space="preserve">第一部分 </w:t>
      </w:r>
      <w:r>
        <w:rPr>
          <w:rFonts w:hint="eastAsia" w:ascii="Times New Roman" w:hAnsi="Times New Roman" w:cs="Times New Roman"/>
          <w:bCs/>
          <w:sz w:val="32"/>
          <w:szCs w:val="32"/>
          <w:lang w:eastAsia="zh-CN"/>
        </w:rPr>
        <w:t>怀化市社会科学界联合会</w:t>
      </w:r>
      <w:r>
        <w:rPr>
          <w:rFonts w:ascii="Times New Roman" w:hAnsi="Times New Roman" w:cs="Times New Roman"/>
          <w:bCs/>
          <w:sz w:val="32"/>
          <w:szCs w:val="32"/>
        </w:rPr>
        <w:t>概况</w:t>
      </w:r>
    </w:p>
    <w:p>
      <w:pPr>
        <w:pStyle w:val="16"/>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一、部门职责</w:t>
      </w:r>
    </w:p>
    <w:p>
      <w:pPr>
        <w:pStyle w:val="16"/>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二、机构设置及决算单位构成</w:t>
      </w:r>
    </w:p>
    <w:p>
      <w:pPr>
        <w:pStyle w:val="16"/>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第二部分 部门决算表</w:t>
      </w:r>
    </w:p>
    <w:p>
      <w:pPr>
        <w:pStyle w:val="16"/>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一、收入支出决算总表</w:t>
      </w:r>
    </w:p>
    <w:p>
      <w:pPr>
        <w:pStyle w:val="16"/>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二、收入决算表</w:t>
      </w:r>
    </w:p>
    <w:p>
      <w:pPr>
        <w:pStyle w:val="16"/>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三、支出决算表</w:t>
      </w:r>
    </w:p>
    <w:p>
      <w:pPr>
        <w:pStyle w:val="16"/>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四、财政拨款收入支出决算总表</w:t>
      </w:r>
    </w:p>
    <w:p>
      <w:pPr>
        <w:pStyle w:val="16"/>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五、一般公共预算财政拨款支出决算表</w:t>
      </w:r>
    </w:p>
    <w:p>
      <w:pPr>
        <w:pStyle w:val="16"/>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六、一般公共预算财政拨款基本支出决算明细表</w:t>
      </w:r>
    </w:p>
    <w:p>
      <w:pPr>
        <w:pStyle w:val="16"/>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七、政府性基金预算财政拨款收入支出决算表</w:t>
      </w:r>
    </w:p>
    <w:p>
      <w:pPr>
        <w:pStyle w:val="16"/>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八、国有资本经营预算财政拨款支出决算表</w:t>
      </w:r>
    </w:p>
    <w:p>
      <w:pPr>
        <w:pStyle w:val="16"/>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九、财政拨款“三公”经费支出决算表</w:t>
      </w:r>
    </w:p>
    <w:p>
      <w:pPr>
        <w:pStyle w:val="16"/>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第三部分 部门决算情况说明</w:t>
      </w:r>
    </w:p>
    <w:p>
      <w:pPr>
        <w:pStyle w:val="16"/>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一、收入支出决算总体情况说明</w:t>
      </w:r>
    </w:p>
    <w:p>
      <w:pPr>
        <w:spacing w:line="600" w:lineRule="exact"/>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三、支出决算情况说明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四、财政拨款收入支出决算总体情况说明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五、一般公共预算财政拨款支出决算情况说明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sectPr>
          <w:footerReference r:id="rId3" w:type="default"/>
          <w:pgSz w:w="11906" w:h="16838"/>
          <w:pgMar w:top="1417" w:right="1588" w:bottom="1417" w:left="1588" w:header="851" w:footer="992" w:gutter="0"/>
          <w:pgNumType w:start="1"/>
          <w:cols w:space="425" w:num="1"/>
          <w:docGrid w:type="lines" w:linePitch="312" w:charSpace="0"/>
        </w:sectPr>
      </w:pP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六、一般公共预算财政拨款基本支出决算情况说明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七、财政拨款“三公”经费支出决算情况说明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八、政府性基金预算收入支出决算情况</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九、关于机关运行经费支出说明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十、一般性支出情况说明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十一、关于政府采购支出说明</w:t>
      </w:r>
    </w:p>
    <w:p>
      <w:pPr>
        <w:pStyle w:val="16"/>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十二、关于国有资产占用情况说明</w:t>
      </w:r>
    </w:p>
    <w:p>
      <w:pPr>
        <w:pStyle w:val="16"/>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十三、关于202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年度预算绩效管理情况的说明</w:t>
      </w:r>
    </w:p>
    <w:p>
      <w:pPr>
        <w:pStyle w:val="16"/>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第四部分 名词解释</w:t>
      </w:r>
    </w:p>
    <w:p>
      <w:pPr>
        <w:pStyle w:val="16"/>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第五部分 附件</w:t>
      </w:r>
    </w:p>
    <w:p>
      <w:pPr>
        <w:pStyle w:val="16"/>
        <w:spacing w:line="600" w:lineRule="exact"/>
        <w:rPr>
          <w:rFonts w:ascii="Times New Roman" w:hAnsi="Times New Roman" w:cs="Times New Roman"/>
          <w:bCs/>
          <w:sz w:val="28"/>
          <w:szCs w:val="28"/>
        </w:rPr>
      </w:pPr>
    </w:p>
    <w:p>
      <w:pPr>
        <w:jc w:val="center"/>
        <w:rPr>
          <w:rFonts w:ascii="Times New Roman" w:hAnsi="Times New Roman" w:cs="Times New Roman"/>
          <w:sz w:val="72"/>
          <w:szCs w:val="72"/>
        </w:rPr>
      </w:pPr>
    </w:p>
    <w:p>
      <w:pPr>
        <w:jc w:val="center"/>
        <w:rPr>
          <w:rFonts w:ascii="Times New Roman" w:hAnsi="Times New Roman" w:cs="Times New Roman"/>
          <w:sz w:val="72"/>
          <w:szCs w:val="72"/>
        </w:rPr>
      </w:pPr>
    </w:p>
    <w:p>
      <w:pPr>
        <w:jc w:val="center"/>
        <w:rPr>
          <w:rFonts w:ascii="Times New Roman" w:hAnsi="Times New Roman" w:cs="Times New Roman"/>
          <w:sz w:val="72"/>
          <w:szCs w:val="72"/>
        </w:rPr>
      </w:pPr>
    </w:p>
    <w:p>
      <w:pPr>
        <w:pStyle w:val="2"/>
        <w:rPr>
          <w:rFonts w:ascii="Times New Roman" w:hAnsi="Times New Roman" w:cs="Times New Roman"/>
        </w:rPr>
        <w:sectPr>
          <w:footerReference r:id="rId4" w:type="default"/>
          <w:pgSz w:w="11906" w:h="16838"/>
          <w:pgMar w:top="1417" w:right="1588" w:bottom="1417" w:left="1588" w:header="851" w:footer="992" w:gutter="0"/>
          <w:pgNumType w:start="1"/>
          <w:cols w:space="425" w:num="1"/>
          <w:docGrid w:type="lines" w:linePitch="312" w:charSpace="0"/>
        </w:sectPr>
      </w:pPr>
    </w:p>
    <w:p>
      <w:pPr>
        <w:rPr>
          <w:rFonts w:ascii="Times New Roman" w:hAnsi="Times New Roman" w:eastAsia="方正小标宋_GBK" w:cs="Times New Roman"/>
          <w:sz w:val="72"/>
          <w:szCs w:val="72"/>
        </w:rPr>
      </w:pPr>
    </w:p>
    <w:p>
      <w:pPr>
        <w:pStyle w:val="16"/>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第一部分</w:t>
      </w:r>
    </w:p>
    <w:p>
      <w:pPr>
        <w:pStyle w:val="16"/>
        <w:spacing w:line="360" w:lineRule="auto"/>
        <w:jc w:val="center"/>
        <w:rPr>
          <w:rFonts w:ascii="Times New Roman" w:hAnsi="Times New Roman" w:eastAsia="方正小标宋_GBK" w:cs="Times New Roman"/>
          <w:sz w:val="52"/>
          <w:szCs w:val="52"/>
        </w:rPr>
      </w:pPr>
      <w:r>
        <w:rPr>
          <w:rFonts w:hint="eastAsia" w:ascii="Times New Roman" w:hAnsi="Times New Roman" w:eastAsia="方正小标宋_GBK" w:cs="Times New Roman"/>
          <w:sz w:val="52"/>
          <w:szCs w:val="52"/>
          <w:lang w:eastAsia="zh-CN"/>
        </w:rPr>
        <w:t>怀化市社会科学界联合会</w:t>
      </w:r>
      <w:r>
        <w:rPr>
          <w:rFonts w:ascii="Times New Roman" w:hAnsi="Times New Roman" w:eastAsia="方正小标宋_GBK" w:cs="Times New Roman"/>
          <w:sz w:val="52"/>
          <w:szCs w:val="52"/>
        </w:rPr>
        <w:t>概况</w:t>
      </w:r>
    </w:p>
    <w:p>
      <w:pPr>
        <w:pStyle w:val="3"/>
        <w:ind w:left="0" w:leftChars="0" w:firstLine="0" w:firstLineChars="0"/>
        <w:rPr>
          <w:rFonts w:ascii="Times New Roman" w:hAnsi="Times New Roman" w:cs="Times New Roman"/>
        </w:rPr>
      </w:pPr>
    </w:p>
    <w:p>
      <w:pPr>
        <w:pStyle w:val="17"/>
        <w:spacing w:line="600" w:lineRule="exact"/>
        <w:ind w:firstLine="0" w:firstLineChars="0"/>
        <w:jc w:val="left"/>
        <w:rPr>
          <w:rFonts w:ascii="Times New Roman" w:hAnsi="Times New Roman" w:eastAsia="黑体" w:cs="Times New Roman"/>
          <w:sz w:val="32"/>
          <w:szCs w:val="32"/>
        </w:rPr>
      </w:pPr>
      <w:r>
        <w:rPr>
          <w:rFonts w:hint="eastAsia" w:ascii="Times New Roman" w:hAnsi="Times New Roman" w:eastAsia="黑体" w:cs="Times New Roman"/>
          <w:sz w:val="32"/>
          <w:szCs w:val="32"/>
        </w:rPr>
        <w:t>一、</w:t>
      </w:r>
      <w:r>
        <w:rPr>
          <w:rFonts w:ascii="Times New Roman" w:hAnsi="Times New Roman" w:eastAsia="黑体" w:cs="Times New Roman"/>
          <w:sz w:val="32"/>
          <w:szCs w:val="32"/>
        </w:rPr>
        <w:t>部门职责</w:t>
      </w:r>
    </w:p>
    <w:p>
      <w:pPr>
        <w:widowControl/>
        <w:spacing w:line="600" w:lineRule="exact"/>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怀化市社科联负责领导和协调社会科学各学会的工作，负责所属学会的组织管理和业务指导，编印发行会刊；组织和推动所属学会开展社会科学研究和学术活动，参与全市改革开放和现代化建设重大课题攻关，为党和政府决策提供咨询，为我市社会主义物质文明和精神文明建设服务；组织和推动社会科学知识的宣传、普及和咨询服务，促进社会科学研究成果的转化；负责社会科学优秀成果评奖、社科应用研究成果转化鉴定，优秀社会科学专家、优秀青年社会科学专家等优秀社会科学工作人才的评奖，市社科成果评审委员会课题立项等组织工作；协助有关部门加强社会科学队伍建设，关心和维护社会科学工作者的合法权益，及时反映其意见和要求。</w:t>
      </w:r>
    </w:p>
    <w:p>
      <w:pPr>
        <w:widowControl/>
        <w:spacing w:line="600" w:lineRule="exact"/>
        <w:ind w:firstLine="640" w:firstLineChars="200"/>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二、机构设置及决算单位构成</w:t>
      </w:r>
    </w:p>
    <w:p>
      <w:pPr>
        <w:widowControl/>
        <w:spacing w:line="600" w:lineRule="exact"/>
        <w:rPr>
          <w:rFonts w:hint="eastAsia" w:ascii="Times New Roman" w:hAnsi="Times New Roman" w:eastAsia="仿宋_GB2312" w:cs="Times New Roman"/>
          <w:bCs/>
          <w:kern w:val="0"/>
          <w:sz w:val="32"/>
          <w:szCs w:val="32"/>
        </w:rPr>
      </w:pPr>
      <w:r>
        <w:rPr>
          <w:rFonts w:ascii="Times New Roman" w:hAnsi="Times New Roman" w:eastAsia="仿宋_GB2312" w:cs="Times New Roman"/>
          <w:bCs/>
          <w:kern w:val="0"/>
          <w:sz w:val="32"/>
          <w:szCs w:val="32"/>
        </w:rPr>
        <w:t>（一）内设机构设置。</w:t>
      </w:r>
      <w:r>
        <w:rPr>
          <w:rFonts w:hint="eastAsia" w:ascii="Times New Roman" w:hAnsi="Times New Roman" w:eastAsia="仿宋_GB2312" w:cs="Times New Roman"/>
          <w:bCs/>
          <w:kern w:val="0"/>
          <w:sz w:val="32"/>
          <w:szCs w:val="32"/>
        </w:rPr>
        <w:t>怀化市社会科学界联合会作为一级预算单位，10个参公编制，1个工勤编，内设机构有：办公室、科研组织科、学会工作科。无二级预算单位。</w:t>
      </w:r>
    </w:p>
    <w:p>
      <w:pPr>
        <w:widowControl/>
        <w:spacing w:line="600" w:lineRule="exact"/>
        <w:rPr>
          <w:rFonts w:ascii="Times New Roman" w:hAnsi="Times New Roman" w:eastAsia="仿宋_GB2312" w:cs="Times New Roman"/>
          <w:bCs/>
          <w:kern w:val="0"/>
          <w:sz w:val="32"/>
          <w:szCs w:val="32"/>
        </w:rPr>
      </w:pPr>
      <w:r>
        <w:rPr>
          <w:rFonts w:ascii="Times New Roman" w:hAnsi="Times New Roman" w:eastAsia="仿宋_GB2312" w:cs="Times New Roman"/>
          <w:bCs/>
          <w:kern w:val="0"/>
          <w:sz w:val="32"/>
          <w:szCs w:val="32"/>
        </w:rPr>
        <w:t>（二）决算单位构成。</w:t>
      </w:r>
      <w:r>
        <w:rPr>
          <w:rFonts w:hint="eastAsia" w:ascii="Times New Roman" w:hAnsi="Times New Roman" w:eastAsia="仿宋_GB2312" w:cs="Times New Roman"/>
          <w:bCs/>
          <w:kern w:val="0"/>
          <w:sz w:val="32"/>
          <w:szCs w:val="32"/>
        </w:rPr>
        <w:t>本单位202</w:t>
      </w:r>
      <w:r>
        <w:rPr>
          <w:rFonts w:hint="eastAsia" w:ascii="Times New Roman" w:hAnsi="Times New Roman" w:eastAsia="仿宋_GB2312" w:cs="Times New Roman"/>
          <w:bCs/>
          <w:kern w:val="0"/>
          <w:sz w:val="32"/>
          <w:szCs w:val="32"/>
          <w:lang w:val="en-US" w:eastAsia="zh-CN"/>
        </w:rPr>
        <w:t>5</w:t>
      </w:r>
      <w:r>
        <w:rPr>
          <w:rFonts w:hint="eastAsia" w:ascii="Times New Roman" w:hAnsi="Times New Roman" w:eastAsia="仿宋_GB2312" w:cs="Times New Roman"/>
          <w:bCs/>
          <w:kern w:val="0"/>
          <w:sz w:val="32"/>
          <w:szCs w:val="32"/>
        </w:rPr>
        <w:t>年决算为社科联本级决算。</w:t>
      </w:r>
    </w:p>
    <w:p>
      <w:pPr>
        <w:jc w:val="left"/>
        <w:rPr>
          <w:rFonts w:ascii="Times New Roman" w:hAnsi="Times New Roman" w:eastAsia="仿宋_GB2312" w:cs="Times New Roman"/>
          <w:sz w:val="28"/>
          <w:szCs w:val="32"/>
        </w:rPr>
      </w:pPr>
    </w:p>
    <w:p>
      <w:pPr>
        <w:jc w:val="center"/>
        <w:rPr>
          <w:rFonts w:ascii="Times New Roman" w:hAnsi="Times New Roman" w:eastAsia="黑体" w:cs="Times New Roman"/>
          <w:sz w:val="28"/>
          <w:szCs w:val="28"/>
        </w:rPr>
      </w:pPr>
    </w:p>
    <w:p>
      <w:pPr>
        <w:jc w:val="center"/>
        <w:rPr>
          <w:rFonts w:ascii="Times New Roman" w:hAnsi="Times New Roman" w:eastAsia="黑体" w:cs="Times New Roman"/>
          <w:sz w:val="28"/>
          <w:szCs w:val="28"/>
        </w:rPr>
      </w:pPr>
    </w:p>
    <w:p>
      <w:pPr>
        <w:jc w:val="center"/>
        <w:rPr>
          <w:rFonts w:ascii="Times New Roman" w:hAnsi="Times New Roman" w:eastAsia="黑体" w:cs="Times New Roman"/>
          <w:sz w:val="28"/>
          <w:szCs w:val="28"/>
        </w:rPr>
      </w:pPr>
    </w:p>
    <w:p>
      <w:pPr>
        <w:jc w:val="center"/>
        <w:rPr>
          <w:rFonts w:ascii="Times New Roman" w:hAnsi="Times New Roman" w:eastAsia="黑体" w:cs="Times New Roman"/>
          <w:sz w:val="28"/>
          <w:szCs w:val="28"/>
        </w:rPr>
      </w:pPr>
    </w:p>
    <w:p>
      <w:pPr>
        <w:jc w:val="center"/>
        <w:rPr>
          <w:rFonts w:ascii="Times New Roman" w:hAnsi="Times New Roman" w:eastAsia="黑体" w:cs="Times New Roman"/>
          <w:sz w:val="28"/>
          <w:szCs w:val="28"/>
        </w:rPr>
      </w:pPr>
    </w:p>
    <w:p>
      <w:pPr>
        <w:pStyle w:val="2"/>
        <w:rPr>
          <w:rFonts w:ascii="Times New Roman" w:hAnsi="Times New Roman" w:cs="Times New Roman"/>
        </w:rPr>
        <w:sectPr>
          <w:footerReference r:id="rId5" w:type="default"/>
          <w:pgSz w:w="11906" w:h="16838"/>
          <w:pgMar w:top="1417" w:right="1588" w:bottom="1417" w:left="1588" w:header="851" w:footer="992" w:gutter="0"/>
          <w:pgNumType w:start="1"/>
          <w:cols w:space="425" w:num="1"/>
          <w:docGrid w:type="lines" w:linePitch="312" w:charSpace="0"/>
        </w:sectPr>
      </w:pPr>
    </w:p>
    <w:p>
      <w:pPr>
        <w:pStyle w:val="16"/>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第二部分    部门决算表</w:t>
      </w:r>
    </w:p>
    <w:p>
      <w:pPr>
        <w:widowControl/>
        <w:spacing w:after="156" w:afterLines="50"/>
        <w:jc w:val="center"/>
        <w:textAlignment w:val="center"/>
        <w:rPr>
          <w:rFonts w:ascii="Times New Roman" w:hAnsi="Times New Roman" w:eastAsia="黑体" w:cs="Times New Roman"/>
          <w:color w:val="000000"/>
          <w:sz w:val="36"/>
          <w:szCs w:val="36"/>
        </w:rPr>
      </w:pPr>
      <w:r>
        <w:rPr>
          <w:rFonts w:ascii="Times New Roman" w:hAnsi="Times New Roman" w:eastAsia="黑体" w:cs="Times New Roman"/>
          <w:color w:val="000000"/>
          <w:kern w:val="0"/>
          <w:sz w:val="36"/>
          <w:szCs w:val="36"/>
          <w:lang w:bidi="ar"/>
        </w:rPr>
        <w:t>收入支出决算总表</w:t>
      </w:r>
    </w:p>
    <w:p>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lang w:bidi="ar"/>
        </w:rPr>
        <w:t>公开01表</w:t>
      </w:r>
    </w:p>
    <w:p>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lang w:bidi="ar"/>
        </w:rPr>
        <w:t>单位：万元</w:t>
      </w:r>
    </w:p>
    <w:tbl>
      <w:tblPr>
        <w:tblStyle w:val="12"/>
        <w:tblW w:w="14896" w:type="dxa"/>
        <w:jc w:val="center"/>
        <w:tblLayout w:type="autofit"/>
        <w:tblCellMar>
          <w:top w:w="0" w:type="dxa"/>
          <w:left w:w="108" w:type="dxa"/>
          <w:bottom w:w="0" w:type="dxa"/>
          <w:right w:w="108" w:type="dxa"/>
        </w:tblCellMar>
      </w:tblPr>
      <w:tblGrid>
        <w:gridCol w:w="5762"/>
        <w:gridCol w:w="850"/>
        <w:gridCol w:w="1291"/>
        <w:gridCol w:w="4851"/>
        <w:gridCol w:w="850"/>
        <w:gridCol w:w="1292"/>
      </w:tblGrid>
      <w:tr>
        <w:tblPrEx>
          <w:tblCellMar>
            <w:top w:w="0" w:type="dxa"/>
            <w:left w:w="108" w:type="dxa"/>
            <w:bottom w:w="0" w:type="dxa"/>
            <w:right w:w="108" w:type="dxa"/>
          </w:tblCellMar>
        </w:tblPrEx>
        <w:trPr>
          <w:trHeight w:val="340" w:hRule="exact"/>
          <w:jc w:val="center"/>
        </w:trPr>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收入</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支出</w:t>
            </w: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项    目</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行次</w:t>
            </w:r>
          </w:p>
        </w:tc>
        <w:tc>
          <w:tcPr>
            <w:tcW w:w="129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决算数</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项    目</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行次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决算数</w:t>
            </w: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    次</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ascii="Times New Roman" w:hAnsi="Times New Roman" w:eastAsia="仿宋_GB2312" w:cs="Times New Roman"/>
                <w:color w:val="000000"/>
                <w:sz w:val="24"/>
                <w:szCs w:val="24"/>
              </w:rPr>
            </w:pPr>
          </w:p>
        </w:tc>
        <w:tc>
          <w:tcPr>
            <w:tcW w:w="129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    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ascii="Times New Roman" w:hAnsi="Times New Roman" w:eastAsia="仿宋_GB2312" w:cs="Times New Roman"/>
                <w:color w:val="000000"/>
                <w:sz w:val="24"/>
                <w:szCs w:val="24"/>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一、一般公共预算财政拨款收入</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255.26</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一、一般公共服务支出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lang w:val="en-US" w:eastAsia="zh-CN"/>
              </w:rPr>
              <w:t>255.26</w:t>
            </w: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二、政府性基金预算财政拨款收入</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二、外交支出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三、国有资本经营预算财政拨款收入</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3</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三、国防支出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四、上级补助收入</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4</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四、公共安全支出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五、事业收入</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5</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五、教育支出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六、经营收入</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6</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六、科学技术支出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七、附属单位上缴收入</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7</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八、其他收入</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8</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0"/>
                <w:szCs w:val="20"/>
              </w:rPr>
            </w:pP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9</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仿宋_GB2312" w:cs="Times New Roman"/>
                <w:b/>
                <w:color w:val="000000"/>
                <w:sz w:val="22"/>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本年收入合计</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10</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lang w:val="en-US" w:eastAsia="zh-CN"/>
              </w:rPr>
              <w:t>255.26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本年支出合计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lang w:val="en-US" w:eastAsia="zh-CN"/>
              </w:rPr>
              <w:t>255.26</w:t>
            </w: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使用非财政拨款结余（含专用结余）</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11</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结余分配</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年初结转和结余</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12</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年末结转和结余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总计</w:t>
            </w:r>
          </w:p>
        </w:tc>
        <w:tc>
          <w:tcPr>
            <w:tcW w:w="8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13</w:t>
            </w:r>
          </w:p>
        </w:tc>
        <w:tc>
          <w:tcPr>
            <w:tcW w:w="12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lang w:val="en-US" w:eastAsia="zh-CN"/>
              </w:rPr>
              <w:t>255.26</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总计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仿宋_GB2312" w:cs="Times New Roman"/>
                <w:b/>
                <w:color w:val="000000"/>
                <w:sz w:val="22"/>
              </w:rPr>
            </w:pPr>
            <w:r>
              <w:rPr>
                <w:rFonts w:hint="eastAsia" w:ascii="Times New Roman" w:hAnsi="Times New Roman" w:eastAsia="仿宋_GB2312" w:cs="Times New Roman"/>
                <w:color w:val="000000"/>
                <w:sz w:val="22"/>
                <w:lang w:val="en-US" w:eastAsia="zh-CN"/>
              </w:rPr>
              <w:t>255.26</w:t>
            </w:r>
          </w:p>
        </w:tc>
      </w:tr>
    </w:tbl>
    <w:p>
      <w:pPr>
        <w:widowControl/>
        <w:jc w:val="left"/>
        <w:textAlignment w:val="center"/>
        <w:rPr>
          <w:rFonts w:ascii="Times New Roman" w:hAnsi="Times New Roman" w:eastAsia="宋体" w:cs="Times New Roman"/>
          <w:color w:val="000000"/>
          <w:kern w:val="0"/>
          <w:sz w:val="24"/>
          <w:szCs w:val="24"/>
          <w:lang w:bidi="ar"/>
        </w:rPr>
      </w:pPr>
    </w:p>
    <w:p>
      <w:pPr>
        <w:widowControl/>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注：1.本表反映部门本年度的总收支和年末结转结余情况。</w:t>
      </w:r>
      <w:r>
        <w:rPr>
          <w:rFonts w:ascii="Times New Roman" w:hAnsi="Times New Roman" w:eastAsia="仿宋_GB2312" w:cs="Times New Roman"/>
          <w:color w:val="000000"/>
          <w:kern w:val="0"/>
          <w:sz w:val="24"/>
          <w:szCs w:val="24"/>
          <w:lang w:bidi="ar"/>
        </w:rPr>
        <w:br w:type="textWrapping"/>
      </w:r>
      <w:r>
        <w:rPr>
          <w:rFonts w:ascii="Times New Roman" w:hAnsi="Times New Roman" w:eastAsia="仿宋_GB2312" w:cs="Times New Roman"/>
          <w:color w:val="000000"/>
          <w:kern w:val="0"/>
          <w:sz w:val="24"/>
          <w:szCs w:val="24"/>
          <w:lang w:bidi="ar"/>
        </w:rPr>
        <w:t xml:space="preserve">    2.本套报表金额单位转换时可能存在尾数误差。</w:t>
      </w:r>
    </w:p>
    <w:p>
      <w:pPr>
        <w:rPr>
          <w:rFonts w:ascii="Times New Roman" w:hAnsi="Times New Roman" w:eastAsia="华文中宋" w:cs="Times New Roman"/>
          <w:color w:val="000000"/>
          <w:sz w:val="32"/>
          <w:szCs w:val="32"/>
        </w:rPr>
      </w:pPr>
      <w:r>
        <w:rPr>
          <w:rFonts w:ascii="Times New Roman" w:hAnsi="Times New Roman" w:eastAsia="华文中宋" w:cs="Times New Roman"/>
          <w:color w:val="000000"/>
          <w:sz w:val="32"/>
          <w:szCs w:val="32"/>
        </w:rPr>
        <w:br w:type="page"/>
      </w:r>
    </w:p>
    <w:p>
      <w:pPr>
        <w:widowControl/>
        <w:spacing w:line="400" w:lineRule="exact"/>
        <w:jc w:val="center"/>
        <w:textAlignment w:val="center"/>
        <w:rPr>
          <w:rFonts w:ascii="Times New Roman" w:hAnsi="Times New Roman" w:eastAsia="黑体" w:cs="Times New Roman"/>
          <w:color w:val="000000"/>
          <w:kern w:val="0"/>
          <w:sz w:val="32"/>
          <w:szCs w:val="32"/>
          <w:lang w:bidi="ar"/>
        </w:rPr>
      </w:pPr>
    </w:p>
    <w:p>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收入决算表</w:t>
      </w:r>
    </w:p>
    <w:p>
      <w:pPr>
        <w:tabs>
          <w:tab w:val="left" w:pos="315"/>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公开02表</w:t>
      </w:r>
    </w:p>
    <w:p>
      <w:pPr>
        <w:tabs>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部门：</w:t>
      </w:r>
      <w:r>
        <w:rPr>
          <w:rFonts w:ascii="Times New Roman" w:hAnsi="Times New Roman" w:eastAsia="仿宋_GB2312" w:cs="Times New Roman"/>
          <w:color w:val="000000"/>
          <w:sz w:val="20"/>
          <w:szCs w:val="20"/>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　</w:t>
      </w:r>
      <w:r>
        <w:rPr>
          <w:rFonts w:ascii="Times New Roman" w:hAnsi="Times New Roman" w:eastAsia="仿宋_GB2312" w:cs="Times New Roman"/>
          <w:color w:val="000000"/>
          <w:sz w:val="20"/>
          <w:szCs w:val="20"/>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单位：万元</w:t>
      </w:r>
    </w:p>
    <w:tbl>
      <w:tblPr>
        <w:tblStyle w:val="12"/>
        <w:tblW w:w="14666" w:type="dxa"/>
        <w:jc w:val="center"/>
        <w:tblLayout w:type="fixed"/>
        <w:tblCellMar>
          <w:top w:w="0" w:type="dxa"/>
          <w:left w:w="0" w:type="dxa"/>
          <w:bottom w:w="0" w:type="dxa"/>
          <w:right w:w="0" w:type="dxa"/>
        </w:tblCellMar>
      </w:tblPr>
      <w:tblGrid>
        <w:gridCol w:w="1886"/>
        <w:gridCol w:w="1300"/>
        <w:gridCol w:w="1640"/>
        <w:gridCol w:w="1640"/>
        <w:gridCol w:w="1640"/>
        <w:gridCol w:w="1640"/>
        <w:gridCol w:w="1640"/>
        <w:gridCol w:w="1897"/>
        <w:gridCol w:w="1383"/>
      </w:tblGrid>
      <w:tr>
        <w:tblPrEx>
          <w:tblCellMar>
            <w:top w:w="0" w:type="dxa"/>
            <w:left w:w="0" w:type="dxa"/>
            <w:bottom w:w="0" w:type="dxa"/>
            <w:right w:w="0" w:type="dxa"/>
          </w:tblCellMar>
        </w:tblPrEx>
        <w:trPr>
          <w:trHeight w:val="450" w:hRule="atLeast"/>
          <w:jc w:val="center"/>
        </w:trPr>
        <w:tc>
          <w:tcPr>
            <w:tcW w:w="3186" w:type="dxa"/>
            <w:gridSpan w:val="2"/>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项    目</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本年收入合计</w:t>
            </w:r>
          </w:p>
        </w:tc>
        <w:tc>
          <w:tcPr>
            <w:tcW w:w="1640" w:type="dxa"/>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财政拨款收入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上级补助收入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事业收入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经营收入</w:t>
            </w:r>
          </w:p>
        </w:tc>
        <w:tc>
          <w:tcPr>
            <w:tcW w:w="1897"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附属单位上缴收入</w:t>
            </w:r>
          </w:p>
        </w:tc>
        <w:tc>
          <w:tcPr>
            <w:tcW w:w="1383"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其他收入</w:t>
            </w:r>
          </w:p>
        </w:tc>
      </w:tr>
      <w:tr>
        <w:tblPrEx>
          <w:tblCellMar>
            <w:top w:w="0" w:type="dxa"/>
            <w:left w:w="0" w:type="dxa"/>
            <w:bottom w:w="0" w:type="dxa"/>
            <w:right w:w="0" w:type="dxa"/>
          </w:tblCellMar>
        </w:tblPrEx>
        <w:trPr>
          <w:trHeight w:val="334" w:hRule="exact"/>
          <w:jc w:val="center"/>
        </w:trPr>
        <w:tc>
          <w:tcPr>
            <w:tcW w:w="1886"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功能分类科目编码</w:t>
            </w:r>
          </w:p>
        </w:tc>
        <w:tc>
          <w:tcPr>
            <w:tcW w:w="1300" w:type="dxa"/>
            <w:vMerge w:val="restart"/>
            <w:tcBorders>
              <w:top w:val="nil"/>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科目名称</w:t>
            </w: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897"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383"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r>
      <w:tr>
        <w:tblPrEx>
          <w:tblCellMar>
            <w:top w:w="0" w:type="dxa"/>
            <w:left w:w="0" w:type="dxa"/>
            <w:bottom w:w="0" w:type="dxa"/>
            <w:right w:w="0" w:type="dxa"/>
          </w:tblCellMar>
        </w:tblPrEx>
        <w:trPr>
          <w:trHeight w:val="312" w:hRule="atLeast"/>
          <w:jc w:val="center"/>
        </w:trPr>
        <w:tc>
          <w:tcPr>
            <w:tcW w:w="1886"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300" w:type="dxa"/>
            <w:vMerge w:val="continue"/>
            <w:tcBorders>
              <w:top w:val="nil"/>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897"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383"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r>
      <w:tr>
        <w:tblPrEx>
          <w:tblCellMar>
            <w:top w:w="0" w:type="dxa"/>
            <w:left w:w="0" w:type="dxa"/>
            <w:bottom w:w="0" w:type="dxa"/>
            <w:right w:w="0" w:type="dxa"/>
          </w:tblCellMar>
        </w:tblPrEx>
        <w:trPr>
          <w:trHeight w:val="450" w:hRule="atLeast"/>
          <w:jc w:val="center"/>
        </w:trPr>
        <w:tc>
          <w:tcPr>
            <w:tcW w:w="3186"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栏次</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1</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2</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3</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4</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5</w:t>
            </w:r>
          </w:p>
        </w:tc>
        <w:tc>
          <w:tcPr>
            <w:tcW w:w="1897"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6</w:t>
            </w:r>
          </w:p>
        </w:tc>
        <w:tc>
          <w:tcPr>
            <w:tcW w:w="1383"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7</w:t>
            </w:r>
          </w:p>
        </w:tc>
      </w:tr>
      <w:tr>
        <w:tblPrEx>
          <w:tblCellMar>
            <w:top w:w="0" w:type="dxa"/>
            <w:left w:w="0" w:type="dxa"/>
            <w:bottom w:w="0" w:type="dxa"/>
            <w:right w:w="0" w:type="dxa"/>
          </w:tblCellMar>
        </w:tblPrEx>
        <w:trPr>
          <w:trHeight w:val="450" w:hRule="atLeast"/>
          <w:jc w:val="center"/>
        </w:trPr>
        <w:tc>
          <w:tcPr>
            <w:tcW w:w="3186"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合计</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ascii="宋体" w:hAnsi="宋体" w:eastAsia="宋体" w:cs="宋体"/>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201</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ascii="宋体" w:hAnsi="宋体" w:eastAsia="宋体" w:cs="宋体"/>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一般公共服务支出</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ascii="宋体" w:hAnsi="宋体" w:eastAsia="宋体" w:cs="宋体"/>
                <w:kern w:val="2"/>
                <w:sz w:val="24"/>
                <w:szCs w:val="24"/>
                <w:lang w:val="en-US" w:eastAsia="zh-CN" w:bidi="ar-SA"/>
              </w:rPr>
            </w:pPr>
            <w:r>
              <w:rPr>
                <w:rFonts w:hint="eastAsia" w:ascii="Times New Roman" w:hAnsi="Times New Roman" w:eastAsia="仿宋_GB2312" w:cs="Times New Roman"/>
                <w:color w:val="000000"/>
                <w:sz w:val="22"/>
                <w:lang w:val="en-US" w:eastAsia="zh-CN"/>
              </w:rPr>
              <w:t>255.26</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ascii="宋体" w:hAnsi="宋体" w:eastAsia="宋体" w:cs="宋体"/>
                <w:kern w:val="2"/>
                <w:sz w:val="24"/>
                <w:szCs w:val="24"/>
                <w:lang w:val="en-US" w:eastAsia="zh-CN" w:bidi="ar-SA"/>
              </w:rPr>
            </w:pPr>
            <w:r>
              <w:rPr>
                <w:rFonts w:hint="eastAsia" w:ascii="Times New Roman" w:hAnsi="Times New Roman" w:eastAsia="仿宋_GB2312" w:cs="Times New Roman"/>
                <w:color w:val="000000"/>
                <w:sz w:val="22"/>
                <w:lang w:val="en-US" w:eastAsia="zh-CN"/>
              </w:rPr>
              <w:t>255.26</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ascii="宋体" w:hAnsi="宋体" w:eastAsia="宋体" w:cs="宋体"/>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20129</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ascii="宋体" w:hAnsi="宋体" w:eastAsia="宋体" w:cs="宋体"/>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群众团体事务</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ascii="华文中宋" w:hAnsi="华文中宋" w:eastAsia="华文中宋" w:cs="宋体"/>
                <w:kern w:val="2"/>
                <w:sz w:val="24"/>
                <w:szCs w:val="24"/>
                <w:lang w:val="en-US" w:eastAsia="zh-CN" w:bidi="ar-SA"/>
              </w:rPr>
            </w:pPr>
            <w:r>
              <w:rPr>
                <w:rFonts w:hint="eastAsia" w:ascii="Times New Roman" w:hAnsi="Times New Roman" w:eastAsia="仿宋_GB2312" w:cs="Times New Roman"/>
                <w:color w:val="000000"/>
                <w:sz w:val="22"/>
                <w:lang w:val="en-US" w:eastAsia="zh-CN"/>
              </w:rPr>
              <w:t>255.26</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ascii="宋体" w:hAnsi="宋体" w:eastAsia="宋体" w:cs="宋体"/>
                <w:kern w:val="2"/>
                <w:sz w:val="24"/>
                <w:szCs w:val="24"/>
                <w:lang w:val="en-US" w:eastAsia="zh-CN" w:bidi="ar-SA"/>
              </w:rPr>
            </w:pPr>
            <w:r>
              <w:rPr>
                <w:rFonts w:hint="eastAsia" w:ascii="Times New Roman" w:hAnsi="Times New Roman" w:eastAsia="仿宋_GB2312" w:cs="Times New Roman"/>
                <w:color w:val="000000"/>
                <w:sz w:val="22"/>
                <w:lang w:val="en-US" w:eastAsia="zh-CN"/>
              </w:rPr>
              <w:t>255.26</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ascii="宋体" w:hAnsi="宋体" w:eastAsia="宋体" w:cs="宋体"/>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2012901</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ascii="宋体" w:hAnsi="宋体" w:eastAsia="宋体" w:cs="宋体"/>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 xml:space="preserve">  行政运行</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ascii="宋体" w:hAnsi="宋体" w:eastAsia="宋体" w:cs="宋体"/>
                <w:kern w:val="2"/>
                <w:sz w:val="24"/>
                <w:szCs w:val="24"/>
                <w:lang w:val="en-US" w:eastAsia="zh-CN" w:bidi="ar-SA"/>
              </w:rPr>
            </w:pPr>
            <w:r>
              <w:rPr>
                <w:rFonts w:hint="eastAsia" w:ascii="Times New Roman" w:hAnsi="Times New Roman" w:eastAsia="仿宋_GB2312" w:cs="Times New Roman"/>
                <w:color w:val="000000"/>
                <w:sz w:val="22"/>
                <w:lang w:val="en-US" w:eastAsia="zh-CN"/>
              </w:rPr>
              <w:t>255.26</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ascii="宋体" w:hAnsi="宋体" w:eastAsia="宋体" w:cs="宋体"/>
                <w:kern w:val="2"/>
                <w:sz w:val="24"/>
                <w:szCs w:val="24"/>
                <w:lang w:val="en-US" w:eastAsia="zh-CN" w:bidi="ar-SA"/>
              </w:rPr>
            </w:pPr>
            <w:r>
              <w:rPr>
                <w:rFonts w:hint="eastAsia" w:ascii="Times New Roman" w:hAnsi="Times New Roman" w:eastAsia="仿宋_GB2312" w:cs="Times New Roman"/>
                <w:color w:val="000000"/>
                <w:sz w:val="22"/>
                <w:lang w:val="en-US" w:eastAsia="zh-CN"/>
              </w:rPr>
              <w:t>255.26</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ascii="Times New Roman" w:hAnsi="Times New Roman" w:eastAsia="仿宋_GB2312" w:cs="Times New Roman"/>
                <w:sz w:val="24"/>
                <w:szCs w:val="24"/>
              </w:rPr>
            </w:pPr>
            <w:r>
              <w:rPr>
                <w:rFonts w:ascii="Times New Roman" w:hAnsi="Times New Roman" w:eastAsia="仿宋_GB2312" w:cs="Times New Roman"/>
              </w:rPr>
              <w:t>　</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ascii="Times New Roman" w:hAnsi="Times New Roman" w:eastAsia="仿宋_GB2312" w:cs="Times New Roman"/>
                <w:sz w:val="24"/>
                <w:szCs w:val="24"/>
              </w:rPr>
            </w:pPr>
            <w:r>
              <w:rPr>
                <w:rFonts w:ascii="Times New Roman" w:hAnsi="Times New Roman" w:eastAsia="仿宋_GB2312" w:cs="Times New Roman"/>
              </w:rPr>
              <w:t>　</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bl>
    <w:p>
      <w:pPr>
        <w:spacing w:before="120"/>
        <w:rPr>
          <w:rFonts w:ascii="Times New Roman" w:hAnsi="Times New Roman" w:eastAsia="仿宋_GB2312" w:cs="Times New Roman"/>
          <w:sz w:val="24"/>
          <w:szCs w:val="24"/>
        </w:rPr>
      </w:pPr>
      <w:r>
        <w:rPr>
          <w:rFonts w:ascii="Times New Roman" w:hAnsi="Times New Roman" w:eastAsia="仿宋_GB2312" w:cs="Times New Roman"/>
        </w:rPr>
        <w:t>注：本表反映部门本年度取得的各项收入情况。</w:t>
      </w:r>
    </w:p>
    <w:p>
      <w:pPr>
        <w:widowControl/>
        <w:jc w:val="lef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 xml:space="preserve"> </w:t>
      </w:r>
      <w:r>
        <w:rPr>
          <w:rFonts w:ascii="Times New Roman" w:hAnsi="Times New Roman" w:eastAsia="黑体" w:cs="Times New Roman"/>
          <w:bCs/>
          <w:kern w:val="0"/>
          <w:sz w:val="32"/>
          <w:szCs w:val="32"/>
        </w:rPr>
        <w:br w:type="page"/>
      </w:r>
    </w:p>
    <w:p>
      <w:pPr>
        <w:widowControl/>
        <w:jc w:val="center"/>
        <w:textAlignment w:val="center"/>
        <w:rPr>
          <w:rFonts w:ascii="Times New Roman" w:hAnsi="Times New Roman" w:eastAsia="黑体" w:cs="Times New Roman"/>
          <w:color w:val="000000"/>
          <w:kern w:val="0"/>
          <w:sz w:val="32"/>
          <w:szCs w:val="32"/>
          <w:lang w:bidi="ar"/>
        </w:rPr>
      </w:pPr>
    </w:p>
    <w:p>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支出决算表</w:t>
      </w:r>
    </w:p>
    <w:p>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公开03表</w:t>
      </w:r>
    </w:p>
    <w:p>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　</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单位：万元</w:t>
      </w:r>
    </w:p>
    <w:tbl>
      <w:tblPr>
        <w:tblStyle w:val="12"/>
        <w:tblW w:w="4997" w:type="pct"/>
        <w:jc w:val="center"/>
        <w:tblLayout w:type="autofit"/>
        <w:tblCellMar>
          <w:top w:w="0" w:type="dxa"/>
          <w:left w:w="108" w:type="dxa"/>
          <w:bottom w:w="0" w:type="dxa"/>
          <w:right w:w="108" w:type="dxa"/>
        </w:tblCellMar>
      </w:tblPr>
      <w:tblGrid>
        <w:gridCol w:w="2295"/>
        <w:gridCol w:w="1976"/>
        <w:gridCol w:w="1877"/>
        <w:gridCol w:w="1334"/>
        <w:gridCol w:w="1206"/>
        <w:gridCol w:w="1749"/>
        <w:gridCol w:w="1206"/>
        <w:gridCol w:w="2568"/>
      </w:tblGrid>
      <w:tr>
        <w:tblPrEx>
          <w:tblCellMar>
            <w:top w:w="0" w:type="dxa"/>
            <w:left w:w="108" w:type="dxa"/>
            <w:bottom w:w="0" w:type="dxa"/>
            <w:right w:w="108" w:type="dxa"/>
          </w:tblCellMar>
        </w:tblPrEx>
        <w:trPr>
          <w:trHeight w:val="595" w:hRule="atLeast"/>
          <w:jc w:val="center"/>
        </w:trPr>
        <w:tc>
          <w:tcPr>
            <w:tcW w:w="1322" w:type="pct"/>
            <w:gridSpan w:val="2"/>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项    目</w:t>
            </w:r>
          </w:p>
        </w:tc>
        <w:tc>
          <w:tcPr>
            <w:tcW w:w="660"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本年支出合计</w:t>
            </w:r>
          </w:p>
        </w:tc>
        <w:tc>
          <w:tcPr>
            <w:tcW w:w="469"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基本支出</w:t>
            </w:r>
          </w:p>
        </w:tc>
        <w:tc>
          <w:tcPr>
            <w:tcW w:w="469"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项目支出</w:t>
            </w:r>
          </w:p>
        </w:tc>
        <w:tc>
          <w:tcPr>
            <w:tcW w:w="660"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上缴上级支出</w:t>
            </w:r>
          </w:p>
        </w:tc>
        <w:tc>
          <w:tcPr>
            <w:tcW w:w="469"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经营支出</w:t>
            </w:r>
          </w:p>
        </w:tc>
        <w:tc>
          <w:tcPr>
            <w:tcW w:w="948"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对附属单位补助支出</w:t>
            </w:r>
          </w:p>
        </w:tc>
      </w:tr>
      <w:tr>
        <w:tblPrEx>
          <w:tblCellMar>
            <w:top w:w="0" w:type="dxa"/>
            <w:left w:w="108" w:type="dxa"/>
            <w:bottom w:w="0" w:type="dxa"/>
            <w:right w:w="108" w:type="dxa"/>
          </w:tblCellMar>
        </w:tblPrEx>
        <w:trPr>
          <w:trHeight w:val="312" w:hRule="exact"/>
          <w:jc w:val="center"/>
        </w:trPr>
        <w:tc>
          <w:tcPr>
            <w:tcW w:w="852"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功能分类科目编码</w:t>
            </w:r>
          </w:p>
        </w:tc>
        <w:tc>
          <w:tcPr>
            <w:tcW w:w="470" w:type="pct"/>
            <w:vMerge w:val="restart"/>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科目名称</w:t>
            </w:r>
          </w:p>
        </w:tc>
        <w:tc>
          <w:tcPr>
            <w:tcW w:w="660"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b/>
                <w:bCs/>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b/>
                <w:bCs/>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b/>
                <w:bCs/>
                <w:kern w:val="0"/>
                <w:sz w:val="24"/>
                <w:szCs w:val="24"/>
              </w:rPr>
            </w:pPr>
          </w:p>
        </w:tc>
        <w:tc>
          <w:tcPr>
            <w:tcW w:w="660"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b/>
                <w:bCs/>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b/>
                <w:bCs/>
                <w:kern w:val="0"/>
                <w:sz w:val="24"/>
                <w:szCs w:val="24"/>
              </w:rPr>
            </w:pPr>
          </w:p>
        </w:tc>
        <w:tc>
          <w:tcPr>
            <w:tcW w:w="948"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b/>
                <w:bCs/>
                <w:kern w:val="0"/>
                <w:sz w:val="24"/>
                <w:szCs w:val="24"/>
              </w:rPr>
            </w:pPr>
          </w:p>
        </w:tc>
      </w:tr>
      <w:tr>
        <w:tblPrEx>
          <w:tblCellMar>
            <w:top w:w="0" w:type="dxa"/>
            <w:left w:w="108" w:type="dxa"/>
            <w:bottom w:w="0" w:type="dxa"/>
            <w:right w:w="108" w:type="dxa"/>
          </w:tblCellMar>
        </w:tblPrEx>
        <w:trPr>
          <w:trHeight w:val="595" w:hRule="atLeast"/>
          <w:jc w:val="center"/>
        </w:trPr>
        <w:tc>
          <w:tcPr>
            <w:tcW w:w="852"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470" w:type="pct"/>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660"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660"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948"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r>
      <w:tr>
        <w:tblPrEx>
          <w:tblCellMar>
            <w:top w:w="0" w:type="dxa"/>
            <w:left w:w="108" w:type="dxa"/>
            <w:bottom w:w="0" w:type="dxa"/>
            <w:right w:w="108" w:type="dxa"/>
          </w:tblCellMar>
        </w:tblPrEx>
        <w:trPr>
          <w:trHeight w:val="595" w:hRule="atLeast"/>
          <w:jc w:val="center"/>
        </w:trPr>
        <w:tc>
          <w:tcPr>
            <w:tcW w:w="1322" w:type="pct"/>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栏次</w:t>
            </w:r>
          </w:p>
        </w:tc>
        <w:tc>
          <w:tcPr>
            <w:tcW w:w="660" w:type="pct"/>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469" w:type="pct"/>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469" w:type="pct"/>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p>
        </w:tc>
        <w:tc>
          <w:tcPr>
            <w:tcW w:w="660" w:type="pct"/>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p>
        </w:tc>
        <w:tc>
          <w:tcPr>
            <w:tcW w:w="469" w:type="pct"/>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p>
        </w:tc>
        <w:tc>
          <w:tcPr>
            <w:tcW w:w="948" w:type="pct"/>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6</w:t>
            </w:r>
          </w:p>
        </w:tc>
      </w:tr>
      <w:tr>
        <w:tblPrEx>
          <w:tblCellMar>
            <w:top w:w="0" w:type="dxa"/>
            <w:left w:w="108" w:type="dxa"/>
            <w:bottom w:w="0" w:type="dxa"/>
            <w:right w:w="108" w:type="dxa"/>
          </w:tblCellMar>
        </w:tblPrEx>
        <w:trPr>
          <w:trHeight w:val="595" w:hRule="atLeast"/>
          <w:jc w:val="center"/>
        </w:trPr>
        <w:tc>
          <w:tcPr>
            <w:tcW w:w="1322" w:type="pct"/>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合计</w:t>
            </w:r>
          </w:p>
        </w:tc>
        <w:tc>
          <w:tcPr>
            <w:tcW w:w="660"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660"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tblPrEx>
          <w:tblCellMar>
            <w:top w:w="0" w:type="dxa"/>
            <w:left w:w="108" w:type="dxa"/>
            <w:bottom w:w="0" w:type="dxa"/>
            <w:right w:w="108" w:type="dxa"/>
          </w:tblCellMar>
        </w:tblPrEx>
        <w:trPr>
          <w:trHeight w:val="595" w:hRule="atLeast"/>
          <w:jc w:val="center"/>
        </w:trPr>
        <w:tc>
          <w:tcPr>
            <w:tcW w:w="852"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宋体" w:hAnsi="宋体" w:eastAsia="宋体" w:cs="宋体"/>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201</w:t>
            </w:r>
          </w:p>
        </w:tc>
        <w:tc>
          <w:tcPr>
            <w:tcW w:w="470" w:type="pct"/>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宋体" w:hAnsi="宋体" w:eastAsia="宋体" w:cs="宋体"/>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一般公共服务支出</w:t>
            </w:r>
          </w:p>
        </w:tc>
        <w:tc>
          <w:tcPr>
            <w:tcW w:w="1877"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kern w:val="2"/>
                <w:sz w:val="24"/>
                <w:szCs w:val="24"/>
                <w:lang w:val="en-US" w:eastAsia="zh-CN" w:bidi="ar-SA"/>
              </w:rPr>
            </w:pPr>
            <w:r>
              <w:rPr>
                <w:rFonts w:hint="eastAsia" w:ascii="Times New Roman" w:hAnsi="Times New Roman" w:eastAsia="仿宋_GB2312" w:cs="Times New Roman"/>
                <w:color w:val="000000"/>
                <w:sz w:val="22"/>
                <w:lang w:val="en-US" w:eastAsia="zh-CN"/>
              </w:rPr>
              <w:t>255.26</w:t>
            </w:r>
          </w:p>
        </w:tc>
        <w:tc>
          <w:tcPr>
            <w:tcW w:w="1334"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kern w:val="2"/>
                <w:sz w:val="24"/>
                <w:szCs w:val="24"/>
                <w:lang w:val="en-US" w:eastAsia="zh-CN" w:bidi="ar-SA"/>
              </w:rPr>
            </w:pPr>
            <w:r>
              <w:rPr>
                <w:rFonts w:hint="eastAsia" w:ascii="Times New Roman" w:hAnsi="Times New Roman" w:eastAsia="仿宋_GB2312" w:cs="Times New Roman"/>
                <w:color w:val="000000"/>
                <w:sz w:val="22"/>
                <w:lang w:val="en-US" w:eastAsia="zh-CN"/>
              </w:rPr>
              <w:t>255.26</w:t>
            </w:r>
          </w:p>
        </w:tc>
        <w:tc>
          <w:tcPr>
            <w:tcW w:w="469"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660"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tblPrEx>
          <w:tblCellMar>
            <w:top w:w="0" w:type="dxa"/>
            <w:left w:w="108" w:type="dxa"/>
            <w:bottom w:w="0" w:type="dxa"/>
            <w:right w:w="108" w:type="dxa"/>
          </w:tblCellMar>
        </w:tblPrEx>
        <w:trPr>
          <w:trHeight w:val="595" w:hRule="atLeast"/>
          <w:jc w:val="center"/>
        </w:trPr>
        <w:tc>
          <w:tcPr>
            <w:tcW w:w="852"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宋体" w:hAnsi="宋体" w:eastAsia="宋体" w:cs="宋体"/>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20129</w:t>
            </w:r>
          </w:p>
        </w:tc>
        <w:tc>
          <w:tcPr>
            <w:tcW w:w="470" w:type="pct"/>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宋体" w:hAnsi="宋体" w:eastAsia="宋体" w:cs="宋体"/>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群众团体事务</w:t>
            </w:r>
          </w:p>
        </w:tc>
        <w:tc>
          <w:tcPr>
            <w:tcW w:w="1877"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华文中宋" w:hAnsi="华文中宋" w:eastAsia="华文中宋" w:cs="宋体"/>
                <w:kern w:val="2"/>
                <w:sz w:val="24"/>
                <w:szCs w:val="24"/>
                <w:lang w:val="en-US" w:eastAsia="zh-CN" w:bidi="ar-SA"/>
              </w:rPr>
            </w:pPr>
            <w:r>
              <w:rPr>
                <w:rFonts w:hint="eastAsia" w:ascii="Times New Roman" w:hAnsi="Times New Roman" w:eastAsia="仿宋_GB2312" w:cs="Times New Roman"/>
                <w:color w:val="000000"/>
                <w:sz w:val="22"/>
                <w:lang w:val="en-US" w:eastAsia="zh-CN"/>
              </w:rPr>
              <w:t>255.26</w:t>
            </w:r>
          </w:p>
        </w:tc>
        <w:tc>
          <w:tcPr>
            <w:tcW w:w="1334"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kern w:val="2"/>
                <w:sz w:val="24"/>
                <w:szCs w:val="24"/>
                <w:lang w:val="en-US" w:eastAsia="zh-CN" w:bidi="ar-SA"/>
              </w:rPr>
            </w:pPr>
            <w:r>
              <w:rPr>
                <w:rFonts w:hint="eastAsia" w:ascii="Times New Roman" w:hAnsi="Times New Roman" w:eastAsia="仿宋_GB2312" w:cs="Times New Roman"/>
                <w:color w:val="000000"/>
                <w:sz w:val="22"/>
                <w:lang w:val="en-US" w:eastAsia="zh-CN"/>
              </w:rPr>
              <w:t>255.26</w:t>
            </w:r>
          </w:p>
        </w:tc>
        <w:tc>
          <w:tcPr>
            <w:tcW w:w="469"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660"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tblPrEx>
          <w:tblCellMar>
            <w:top w:w="0" w:type="dxa"/>
            <w:left w:w="108" w:type="dxa"/>
            <w:bottom w:w="0" w:type="dxa"/>
            <w:right w:w="108" w:type="dxa"/>
          </w:tblCellMar>
        </w:tblPrEx>
        <w:trPr>
          <w:trHeight w:val="595" w:hRule="atLeast"/>
          <w:jc w:val="center"/>
        </w:trPr>
        <w:tc>
          <w:tcPr>
            <w:tcW w:w="852"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宋体" w:hAnsi="宋体" w:eastAsia="宋体" w:cs="宋体"/>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2012901</w:t>
            </w:r>
          </w:p>
        </w:tc>
        <w:tc>
          <w:tcPr>
            <w:tcW w:w="470" w:type="pct"/>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宋体" w:hAnsi="宋体" w:eastAsia="宋体" w:cs="宋体"/>
                <w:kern w:val="2"/>
                <w:sz w:val="24"/>
                <w:szCs w:val="24"/>
                <w:lang w:val="en-US" w:eastAsia="zh-CN" w:bidi="ar-SA"/>
              </w:rPr>
            </w:pPr>
            <w:r>
              <w:rPr>
                <w:rFonts w:hint="eastAsia" w:ascii="宋体" w:hAnsi="宋体" w:eastAsia="宋体" w:cs="宋体"/>
                <w:i w:val="0"/>
                <w:iCs w:val="0"/>
                <w:color w:val="000000"/>
                <w:kern w:val="0"/>
                <w:sz w:val="22"/>
                <w:szCs w:val="22"/>
                <w:u w:val="none"/>
                <w:lang w:val="en-US" w:eastAsia="zh-CN" w:bidi="ar"/>
              </w:rPr>
              <w:t xml:space="preserve">  行政运行</w:t>
            </w:r>
          </w:p>
        </w:tc>
        <w:tc>
          <w:tcPr>
            <w:tcW w:w="1877"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kern w:val="2"/>
                <w:sz w:val="24"/>
                <w:szCs w:val="24"/>
                <w:lang w:val="en-US" w:eastAsia="zh-CN" w:bidi="ar-SA"/>
              </w:rPr>
            </w:pPr>
            <w:r>
              <w:rPr>
                <w:rFonts w:hint="eastAsia" w:ascii="Times New Roman" w:hAnsi="Times New Roman" w:eastAsia="仿宋_GB2312" w:cs="Times New Roman"/>
                <w:color w:val="000000"/>
                <w:sz w:val="22"/>
                <w:lang w:val="en-US" w:eastAsia="zh-CN"/>
              </w:rPr>
              <w:t>255.26</w:t>
            </w:r>
          </w:p>
        </w:tc>
        <w:tc>
          <w:tcPr>
            <w:tcW w:w="1334"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宋体" w:hAnsi="宋体" w:eastAsia="宋体" w:cs="宋体"/>
                <w:kern w:val="2"/>
                <w:sz w:val="24"/>
                <w:szCs w:val="24"/>
                <w:lang w:val="en-US" w:eastAsia="zh-CN" w:bidi="ar-SA"/>
              </w:rPr>
            </w:pPr>
            <w:r>
              <w:rPr>
                <w:rFonts w:hint="eastAsia" w:ascii="Times New Roman" w:hAnsi="Times New Roman" w:eastAsia="仿宋_GB2312" w:cs="Times New Roman"/>
                <w:color w:val="000000"/>
                <w:sz w:val="22"/>
                <w:lang w:val="en-US" w:eastAsia="zh-CN"/>
              </w:rPr>
              <w:t>255.26</w:t>
            </w:r>
          </w:p>
        </w:tc>
        <w:tc>
          <w:tcPr>
            <w:tcW w:w="469"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660"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tblPrEx>
          <w:tblCellMar>
            <w:top w:w="0" w:type="dxa"/>
            <w:left w:w="108" w:type="dxa"/>
            <w:bottom w:w="0" w:type="dxa"/>
            <w:right w:w="108" w:type="dxa"/>
          </w:tblCellMar>
        </w:tblPrEx>
        <w:trPr>
          <w:trHeight w:val="595" w:hRule="atLeast"/>
          <w:jc w:val="center"/>
        </w:trPr>
        <w:tc>
          <w:tcPr>
            <w:tcW w:w="852"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70" w:type="pct"/>
            <w:tcBorders>
              <w:top w:val="nil"/>
              <w:left w:val="nil"/>
              <w:bottom w:val="single" w:color="auto" w:sz="4" w:space="0"/>
              <w:right w:val="single" w:color="auto" w:sz="4" w:space="0"/>
            </w:tcBorders>
            <w:shd w:val="clear" w:color="000000" w:fill="FFFFFF"/>
            <w:noWrap/>
            <w:vAlign w:val="center"/>
          </w:tcPr>
          <w:p>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660"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660"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tblPrEx>
          <w:tblCellMar>
            <w:top w:w="0" w:type="dxa"/>
            <w:left w:w="108" w:type="dxa"/>
            <w:bottom w:w="0" w:type="dxa"/>
            <w:right w:w="108" w:type="dxa"/>
          </w:tblCellMar>
        </w:tblPrEx>
        <w:trPr>
          <w:trHeight w:val="595" w:hRule="atLeast"/>
          <w:jc w:val="center"/>
        </w:trPr>
        <w:tc>
          <w:tcPr>
            <w:tcW w:w="852"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70" w:type="pct"/>
            <w:tcBorders>
              <w:top w:val="nil"/>
              <w:left w:val="nil"/>
              <w:bottom w:val="single" w:color="auto" w:sz="4" w:space="0"/>
              <w:right w:val="single" w:color="auto" w:sz="4" w:space="0"/>
            </w:tcBorders>
            <w:shd w:val="clear" w:color="000000" w:fill="FFFFFF"/>
            <w:noWrap/>
            <w:vAlign w:val="center"/>
          </w:tcPr>
          <w:p>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660"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660"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tblPrEx>
          <w:tblCellMar>
            <w:top w:w="0" w:type="dxa"/>
            <w:left w:w="108" w:type="dxa"/>
            <w:bottom w:w="0" w:type="dxa"/>
            <w:right w:w="108" w:type="dxa"/>
          </w:tblCellMar>
        </w:tblPrEx>
        <w:trPr>
          <w:trHeight w:val="595" w:hRule="atLeast"/>
          <w:jc w:val="center"/>
        </w:trPr>
        <w:tc>
          <w:tcPr>
            <w:tcW w:w="852"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70" w:type="pct"/>
            <w:tcBorders>
              <w:top w:val="nil"/>
              <w:left w:val="nil"/>
              <w:bottom w:val="single" w:color="auto" w:sz="4" w:space="0"/>
              <w:right w:val="single" w:color="auto" w:sz="4" w:space="0"/>
            </w:tcBorders>
            <w:shd w:val="clear" w:color="000000" w:fill="FFFFFF"/>
            <w:noWrap/>
            <w:vAlign w:val="center"/>
          </w:tcPr>
          <w:p>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660"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660"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bl>
    <w:p>
      <w:pPr>
        <w:widowControl/>
        <w:spacing w:before="120"/>
        <w:jc w:val="left"/>
        <w:rPr>
          <w:rFonts w:ascii="Times New Roman" w:hAnsi="Times New Roman" w:eastAsia="方正小标宋_GBK" w:cs="Times New Roman"/>
          <w:color w:val="000000"/>
          <w:kern w:val="0"/>
          <w:sz w:val="36"/>
          <w:szCs w:val="21"/>
        </w:rPr>
      </w:pPr>
      <w:r>
        <w:rPr>
          <w:rFonts w:ascii="Times New Roman" w:hAnsi="Times New Roman" w:eastAsia="仿宋_GB2312" w:cs="Times New Roman"/>
          <w:kern w:val="0"/>
          <w:sz w:val="24"/>
          <w:szCs w:val="24"/>
        </w:rPr>
        <w:t>注：本表反映部门本年度各项支出情况。</w:t>
      </w:r>
    </w:p>
    <w:p>
      <w:pPr>
        <w:widowControl/>
        <w:tabs>
          <w:tab w:val="left" w:pos="3595"/>
          <w:tab w:val="left" w:pos="4031"/>
          <w:tab w:val="left" w:pos="5605"/>
          <w:tab w:val="left" w:pos="9152"/>
          <w:tab w:val="left" w:pos="9587"/>
          <w:tab w:val="left" w:pos="11160"/>
          <w:tab w:val="left" w:pos="12554"/>
          <w:tab w:val="left" w:pos="13948"/>
        </w:tabs>
        <w:jc w:val="right"/>
        <w:rPr>
          <w:rFonts w:ascii="Times New Roman" w:hAnsi="Times New Roman" w:eastAsia="宋体" w:cs="Times New Roman"/>
          <w:kern w:val="0"/>
          <w:sz w:val="24"/>
          <w:szCs w:val="24"/>
        </w:rPr>
      </w:pPr>
      <w:bookmarkStart w:id="0" w:name="RANGE!A1:I22"/>
      <w:bookmarkEnd w:id="0"/>
      <w:bookmarkStart w:id="1" w:name="RANGE!A1:F16"/>
      <w:r>
        <w:rPr>
          <w:rFonts w:ascii="Times New Roman" w:hAnsi="Times New Roman" w:eastAsia="黑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p>
    <w:p>
      <w:pPr>
        <w:widowControl/>
        <w:spacing w:line="400" w:lineRule="exact"/>
        <w:jc w:val="center"/>
        <w:textAlignment w:val="center"/>
        <w:rPr>
          <w:rFonts w:ascii="Times New Roman" w:hAnsi="Times New Roman" w:eastAsia="黑体" w:cs="Times New Roman"/>
          <w:color w:val="000000"/>
          <w:kern w:val="0"/>
          <w:sz w:val="32"/>
          <w:szCs w:val="32"/>
          <w:lang w:bidi="ar"/>
        </w:rPr>
      </w:pPr>
    </w:p>
    <w:p>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财政拨款收入支出决算总表</w:t>
      </w:r>
    </w:p>
    <w:p>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 xml:space="preserve">                                                                                                                  公开04表</w:t>
      </w:r>
    </w:p>
    <w:p>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color w:val="000000"/>
          <w:kern w:val="0"/>
          <w:sz w:val="20"/>
          <w:szCs w:val="20"/>
        </w:rPr>
        <w:t>单位：万元</w:t>
      </w:r>
    </w:p>
    <w:tbl>
      <w:tblPr>
        <w:tblStyle w:val="12"/>
        <w:tblW w:w="0" w:type="auto"/>
        <w:jc w:val="center"/>
        <w:tblLayout w:type="autofit"/>
        <w:tblCellMar>
          <w:top w:w="0" w:type="dxa"/>
          <w:left w:w="108" w:type="dxa"/>
          <w:bottom w:w="0" w:type="dxa"/>
          <w:right w:w="108" w:type="dxa"/>
        </w:tblCellMar>
      </w:tblPr>
      <w:tblGrid>
        <w:gridCol w:w="3516"/>
        <w:gridCol w:w="616"/>
        <w:gridCol w:w="821"/>
        <w:gridCol w:w="2636"/>
        <w:gridCol w:w="616"/>
        <w:gridCol w:w="1041"/>
        <w:gridCol w:w="1760"/>
        <w:gridCol w:w="1552"/>
        <w:gridCol w:w="1662"/>
      </w:tblGrid>
      <w:tr>
        <w:tblPrEx>
          <w:tblCellMar>
            <w:top w:w="0" w:type="dxa"/>
            <w:left w:w="108" w:type="dxa"/>
            <w:bottom w:w="0" w:type="dxa"/>
            <w:right w:w="108" w:type="dxa"/>
          </w:tblCellMar>
        </w:tblPrEx>
        <w:trPr>
          <w:trHeight w:val="402" w:hRule="atLeast"/>
          <w:jc w:val="center"/>
        </w:trPr>
        <w:tc>
          <w:tcPr>
            <w:tcW w:w="0" w:type="auto"/>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收入</w:t>
            </w:r>
          </w:p>
        </w:tc>
        <w:tc>
          <w:tcPr>
            <w:tcW w:w="0" w:type="auto"/>
            <w:gridSpan w:val="6"/>
            <w:tcBorders>
              <w:top w:val="single" w:color="auto" w:sz="4" w:space="0"/>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支出</w:t>
            </w:r>
          </w:p>
        </w:tc>
      </w:tr>
      <w:tr>
        <w:tblPrEx>
          <w:tblCellMar>
            <w:top w:w="0" w:type="dxa"/>
            <w:left w:w="108" w:type="dxa"/>
            <w:bottom w:w="0" w:type="dxa"/>
            <w:right w:w="108" w:type="dxa"/>
          </w:tblCellMar>
        </w:tblPrEx>
        <w:trPr>
          <w:trHeight w:val="630"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项    目</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行次</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金额</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项    目</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行次</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合计</w:t>
            </w:r>
          </w:p>
        </w:tc>
        <w:tc>
          <w:tcPr>
            <w:tcW w:w="0" w:type="auto"/>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一般公共预算财政拨款</w:t>
            </w:r>
          </w:p>
        </w:tc>
        <w:tc>
          <w:tcPr>
            <w:tcW w:w="0" w:type="auto"/>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政府性基金预算财政拨款</w:t>
            </w:r>
          </w:p>
        </w:tc>
        <w:tc>
          <w:tcPr>
            <w:tcW w:w="0" w:type="auto"/>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国有资本经营预算财政拨款</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    次</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    次</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一、一般公共预算财政拨款</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color w:val="000000"/>
                <w:sz w:val="22"/>
                <w:lang w:val="en-US" w:eastAsia="zh-CN"/>
              </w:rPr>
              <w:t>255.26</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一、一般公共服务支出</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15</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color w:val="000000"/>
                <w:sz w:val="22"/>
                <w:lang w:val="en-US" w:eastAsia="zh-CN"/>
              </w:rPr>
              <w:t>255.26</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r>
              <w:rPr>
                <w:rFonts w:hint="eastAsia" w:ascii="Times New Roman" w:hAnsi="Times New Roman" w:eastAsia="仿宋_GB2312" w:cs="Times New Roman"/>
                <w:color w:val="000000"/>
                <w:sz w:val="22"/>
                <w:lang w:val="en-US" w:eastAsia="zh-CN"/>
              </w:rPr>
              <w:t>255.26</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二、政府性基金预算财政拨款</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二、外交支出</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16</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三、国有资本经营预算财政拨款</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3</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三、国防支出</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17</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4</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四、公共安全支出</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18</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5</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五、教育支出</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19</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6</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六、科学技术支出</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20</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7</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21</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8</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22</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本年收入合计</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9</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color w:val="000000"/>
                <w:sz w:val="22"/>
                <w:lang w:val="en-US" w:eastAsia="zh-CN"/>
              </w:rPr>
              <w:t>255.26</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本年支出合计</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23</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r>
              <w:rPr>
                <w:rFonts w:hint="eastAsia" w:ascii="Times New Roman" w:hAnsi="Times New Roman" w:eastAsia="仿宋_GB2312" w:cs="Times New Roman"/>
                <w:color w:val="000000"/>
                <w:sz w:val="22"/>
                <w:lang w:val="en-US" w:eastAsia="zh-CN"/>
              </w:rPr>
              <w:t>255.26</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color w:val="000000"/>
                <w:sz w:val="22"/>
                <w:lang w:val="en-US" w:eastAsia="zh-CN"/>
              </w:rPr>
              <w:t>255.26</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年初财政拨款结转和结余</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10</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年末财政拨款结转和结余</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24</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一般公共预算财政拨款</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11</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25</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政府性基金预算财政拨款</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12</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26</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国有资本经营预算财政拨款</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13</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27</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总计</w:t>
            </w:r>
          </w:p>
        </w:tc>
        <w:tc>
          <w:tcPr>
            <w:tcW w:w="0" w:type="auto"/>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14</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color w:val="000000"/>
                <w:sz w:val="22"/>
                <w:lang w:val="en-US" w:eastAsia="zh-CN"/>
              </w:rPr>
              <w:t>255.26</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总计</w:t>
            </w:r>
          </w:p>
        </w:tc>
        <w:tc>
          <w:tcPr>
            <w:tcW w:w="0" w:type="auto"/>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28</w:t>
            </w:r>
          </w:p>
        </w:tc>
        <w:tc>
          <w:tcPr>
            <w:tcW w:w="0" w:type="auto"/>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color w:val="000000"/>
                <w:sz w:val="22"/>
                <w:lang w:val="en-US" w:eastAsia="zh-CN"/>
              </w:rPr>
              <w:t>255.26</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color w:val="000000"/>
                <w:sz w:val="22"/>
                <w:lang w:val="en-US" w:eastAsia="zh-CN"/>
              </w:rPr>
              <w:t>255.26</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r>
    </w:tbl>
    <w:p>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注：</w:t>
      </w:r>
      <w:r>
        <w:rPr>
          <w:rFonts w:ascii="Times New Roman" w:hAnsi="Times New Roman" w:eastAsia="仿宋_GB2312" w:cs="Times New Roman"/>
          <w:spacing w:val="-6"/>
          <w:kern w:val="0"/>
          <w:sz w:val="24"/>
          <w:szCs w:val="24"/>
        </w:rPr>
        <w:t>本表反映部门本年度一般公共预算财政拨款、政府性基金预算财政拨款和国有资本经营预算财政拨款的总收支和年末结转结余情况。</w:t>
      </w:r>
    </w:p>
    <w:p>
      <w:pPr>
        <w:widowControl/>
        <w:jc w:val="center"/>
        <w:rPr>
          <w:rFonts w:ascii="Times New Roman" w:hAnsi="Times New Roman" w:eastAsia="方正小标宋_GBK" w:cs="Times New Roman"/>
          <w:kern w:val="0"/>
          <w:sz w:val="36"/>
          <w:szCs w:val="36"/>
        </w:rPr>
      </w:pPr>
    </w:p>
    <w:p>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一般公共预算财政拨款支出决算表</w:t>
      </w:r>
      <w:bookmarkEnd w:id="1"/>
    </w:p>
    <w:p>
      <w:pPr>
        <w:widowControl/>
        <w:spacing w:before="156" w:beforeLines="50"/>
        <w:jc w:val="lef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部门：                                                                                                     公开05表</w:t>
      </w:r>
    </w:p>
    <w:p>
      <w:pPr>
        <w:widowControl/>
        <w:jc w:val="left"/>
        <w:rPr>
          <w:rFonts w:ascii="Times New Roman" w:hAnsi="Times New Roman" w:eastAsia="宋体" w:cs="Times New Roman"/>
          <w:color w:val="000000"/>
          <w:kern w:val="0"/>
          <w:sz w:val="20"/>
          <w:szCs w:val="20"/>
        </w:rPr>
      </w:pPr>
      <w:r>
        <w:rPr>
          <w:rFonts w:ascii="Times New Roman" w:hAnsi="Times New Roman" w:eastAsia="仿宋_GB2312" w:cs="Times New Roman"/>
          <w:color w:val="000000"/>
          <w:kern w:val="0"/>
          <w:szCs w:val="21"/>
        </w:rPr>
        <w:t xml:space="preserve">                                                                                                               单位：万元</w:t>
      </w:r>
    </w:p>
    <w:tbl>
      <w:tblPr>
        <w:tblStyle w:val="12"/>
        <w:tblW w:w="14219" w:type="dxa"/>
        <w:jc w:val="center"/>
        <w:tblLayout w:type="autofit"/>
        <w:tblCellMar>
          <w:top w:w="0" w:type="dxa"/>
          <w:left w:w="108" w:type="dxa"/>
          <w:bottom w:w="0" w:type="dxa"/>
          <w:right w:w="108" w:type="dxa"/>
        </w:tblCellMar>
      </w:tblPr>
      <w:tblGrid>
        <w:gridCol w:w="1200"/>
        <w:gridCol w:w="3527"/>
        <w:gridCol w:w="3000"/>
        <w:gridCol w:w="3492"/>
        <w:gridCol w:w="3000"/>
      </w:tblGrid>
      <w:tr>
        <w:tblPrEx>
          <w:tblCellMar>
            <w:top w:w="0" w:type="dxa"/>
            <w:left w:w="108" w:type="dxa"/>
            <w:bottom w:w="0" w:type="dxa"/>
            <w:right w:w="108" w:type="dxa"/>
          </w:tblCellMar>
        </w:tblPrEx>
        <w:trPr>
          <w:trHeight w:val="545" w:hRule="atLeast"/>
          <w:jc w:val="center"/>
        </w:trPr>
        <w:tc>
          <w:tcPr>
            <w:tcW w:w="4727" w:type="dxa"/>
            <w:gridSpan w:val="2"/>
            <w:tcBorders>
              <w:top w:val="single" w:color="auto" w:sz="8"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 xml:space="preserve">项 </w:t>
            </w:r>
            <w:r>
              <w:rPr>
                <w:rFonts w:ascii="Times New Roman" w:hAnsi="Times New Roman" w:eastAsia="仿宋_GB2312" w:cs="Times New Roman"/>
                <w:b/>
                <w:color w:val="000000"/>
                <w:kern w:val="0"/>
                <w:szCs w:val="21"/>
              </w:rPr>
              <w:t xml:space="preserve">   </w:t>
            </w:r>
            <w:r>
              <w:rPr>
                <w:rFonts w:ascii="Times New Roman" w:hAnsi="Times New Roman" w:eastAsia="仿宋_GB2312" w:cs="Times New Roman"/>
                <w:b/>
                <w:kern w:val="0"/>
                <w:szCs w:val="21"/>
              </w:rPr>
              <w:t>目</w:t>
            </w:r>
          </w:p>
        </w:tc>
        <w:tc>
          <w:tcPr>
            <w:tcW w:w="9492" w:type="dxa"/>
            <w:gridSpan w:val="3"/>
            <w:tcBorders>
              <w:top w:val="single" w:color="auto" w:sz="8" w:space="0"/>
              <w:left w:val="nil"/>
              <w:bottom w:val="single" w:color="auto" w:sz="4" w:space="0"/>
              <w:right w:val="single" w:color="000000" w:sz="8"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本年支出</w:t>
            </w:r>
          </w:p>
        </w:tc>
      </w:tr>
      <w:tr>
        <w:tblPrEx>
          <w:tblCellMar>
            <w:top w:w="0" w:type="dxa"/>
            <w:left w:w="108" w:type="dxa"/>
            <w:bottom w:w="0" w:type="dxa"/>
            <w:right w:w="108" w:type="dxa"/>
          </w:tblCellMar>
        </w:tblPrEx>
        <w:trPr>
          <w:trHeight w:val="312" w:hRule="exact"/>
          <w:jc w:val="center"/>
        </w:trPr>
        <w:tc>
          <w:tcPr>
            <w:tcW w:w="1200" w:type="dxa"/>
            <w:vMerge w:val="restart"/>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功能分类科目编码</w:t>
            </w:r>
          </w:p>
        </w:tc>
        <w:tc>
          <w:tcPr>
            <w:tcW w:w="3527"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科目名称</w:t>
            </w:r>
          </w:p>
        </w:tc>
        <w:tc>
          <w:tcPr>
            <w:tcW w:w="3000" w:type="dxa"/>
            <w:vMerge w:val="restart"/>
            <w:tcBorders>
              <w:top w:val="nil"/>
              <w:left w:val="single" w:color="auto" w:sz="4" w:space="0"/>
              <w:bottom w:val="single" w:color="000000"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小计</w:t>
            </w:r>
          </w:p>
        </w:tc>
        <w:tc>
          <w:tcPr>
            <w:tcW w:w="3492" w:type="dxa"/>
            <w:vMerge w:val="restart"/>
            <w:tcBorders>
              <w:top w:val="nil"/>
              <w:left w:val="single" w:color="auto" w:sz="4" w:space="0"/>
              <w:bottom w:val="single" w:color="000000"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基本支出</w:t>
            </w:r>
          </w:p>
        </w:tc>
        <w:tc>
          <w:tcPr>
            <w:tcW w:w="3000" w:type="dxa"/>
            <w:vMerge w:val="restart"/>
            <w:tcBorders>
              <w:top w:val="nil"/>
              <w:left w:val="single" w:color="auto" w:sz="4" w:space="0"/>
              <w:bottom w:val="single" w:color="000000" w:sz="4" w:space="0"/>
              <w:right w:val="single" w:color="auto" w:sz="8"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项目支出</w:t>
            </w:r>
          </w:p>
        </w:tc>
      </w:tr>
      <w:tr>
        <w:tblPrEx>
          <w:tblCellMar>
            <w:top w:w="0" w:type="dxa"/>
            <w:left w:w="108" w:type="dxa"/>
            <w:bottom w:w="0" w:type="dxa"/>
            <w:right w:w="108" w:type="dxa"/>
          </w:tblCellMar>
        </w:tblPrEx>
        <w:trPr>
          <w:trHeight w:val="360"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527"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pPr>
              <w:widowControl/>
              <w:jc w:val="lef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312"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527"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pPr>
              <w:widowControl/>
              <w:jc w:val="lef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450" w:hRule="atLeast"/>
          <w:jc w:val="center"/>
        </w:trPr>
        <w:tc>
          <w:tcPr>
            <w:tcW w:w="4727" w:type="dxa"/>
            <w:gridSpan w:val="2"/>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栏次</w:t>
            </w:r>
          </w:p>
        </w:tc>
        <w:tc>
          <w:tcPr>
            <w:tcW w:w="3000"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w:t>
            </w:r>
          </w:p>
        </w:tc>
        <w:tc>
          <w:tcPr>
            <w:tcW w:w="3492"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2</w:t>
            </w:r>
          </w:p>
        </w:tc>
        <w:tc>
          <w:tcPr>
            <w:tcW w:w="3000" w:type="dxa"/>
            <w:tcBorders>
              <w:top w:val="nil"/>
              <w:left w:val="nil"/>
              <w:bottom w:val="single" w:color="auto" w:sz="4" w:space="0"/>
              <w:right w:val="single" w:color="auto" w:sz="8"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3</w:t>
            </w:r>
          </w:p>
        </w:tc>
      </w:tr>
      <w:tr>
        <w:tblPrEx>
          <w:tblCellMar>
            <w:top w:w="0" w:type="dxa"/>
            <w:left w:w="108" w:type="dxa"/>
            <w:bottom w:w="0" w:type="dxa"/>
            <w:right w:w="108" w:type="dxa"/>
          </w:tblCellMar>
        </w:tblPrEx>
        <w:trPr>
          <w:trHeight w:val="450" w:hRule="atLeast"/>
          <w:jc w:val="center"/>
        </w:trPr>
        <w:tc>
          <w:tcPr>
            <w:tcW w:w="4727" w:type="dxa"/>
            <w:gridSpan w:val="2"/>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合计</w:t>
            </w:r>
          </w:p>
        </w:tc>
        <w:tc>
          <w:tcPr>
            <w:tcW w:w="3000"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492" w:type="dxa"/>
            <w:tcBorders>
              <w:top w:val="nil"/>
              <w:left w:val="nil"/>
              <w:bottom w:val="single" w:color="auto" w:sz="4" w:space="0"/>
              <w:right w:val="single" w:color="auto" w:sz="4" w:space="0"/>
            </w:tcBorders>
            <w:shd w:val="clear" w:color="auto" w:fill="auto"/>
            <w:vAlign w:val="center"/>
          </w:tcPr>
          <w:p>
            <w:pPr>
              <w:widowControl/>
              <w:tabs>
                <w:tab w:val="left" w:pos="277"/>
                <w:tab w:val="center" w:pos="1803"/>
              </w:tabs>
              <w:jc w:val="left"/>
              <w:rPr>
                <w:rFonts w:ascii="Times New Roman" w:hAnsi="Times New Roman" w:eastAsia="仿宋_GB2312" w:cs="Times New Roman"/>
                <w:kern w:val="0"/>
                <w:szCs w:val="21"/>
              </w:rPr>
            </w:pPr>
            <w:r>
              <w:rPr>
                <w:rFonts w:hint="eastAsia" w:ascii="Times New Roman" w:hAnsi="Times New Roman" w:eastAsia="仿宋_GB2312" w:cs="Times New Roman"/>
                <w:kern w:val="0"/>
                <w:szCs w:val="21"/>
                <w:lang w:eastAsia="zh-CN"/>
              </w:rPr>
              <w:tab/>
            </w:r>
            <w:r>
              <w:rPr>
                <w:rFonts w:hint="eastAsia" w:ascii="Times New Roman" w:hAnsi="Times New Roman" w:eastAsia="仿宋_GB2312" w:cs="Times New Roman"/>
                <w:kern w:val="0"/>
                <w:szCs w:val="21"/>
                <w:lang w:eastAsia="zh-CN"/>
              </w:rPr>
              <w:tab/>
            </w:r>
            <w:r>
              <w:rPr>
                <w:rFonts w:ascii="Times New Roman" w:hAnsi="Times New Roman" w:eastAsia="仿宋_GB2312" w:cs="Times New Roman"/>
                <w:kern w:val="0"/>
                <w:szCs w:val="21"/>
              </w:rPr>
              <w:t>　</w:t>
            </w:r>
          </w:p>
        </w:tc>
        <w:tc>
          <w:tcPr>
            <w:tcW w:w="3000" w:type="dxa"/>
            <w:tcBorders>
              <w:top w:val="nil"/>
              <w:left w:val="nil"/>
              <w:bottom w:val="single" w:color="auto" w:sz="4" w:space="0"/>
              <w:right w:val="single" w:color="auto" w:sz="8"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 w:val="21"/>
                <w:szCs w:val="21"/>
                <w:lang w:val="en-US" w:eastAsia="zh-CN" w:bidi="ar-SA"/>
              </w:rPr>
            </w:pPr>
            <w:r>
              <w:rPr>
                <w:rFonts w:hint="eastAsia" w:ascii="宋体" w:hAnsi="宋体" w:eastAsia="宋体" w:cs="宋体"/>
                <w:i w:val="0"/>
                <w:iCs w:val="0"/>
                <w:color w:val="000000"/>
                <w:kern w:val="0"/>
                <w:sz w:val="22"/>
                <w:szCs w:val="22"/>
                <w:u w:val="none"/>
                <w:lang w:val="en-US" w:eastAsia="zh-CN" w:bidi="ar"/>
              </w:rPr>
              <w:t>201</w:t>
            </w:r>
          </w:p>
        </w:tc>
        <w:tc>
          <w:tcPr>
            <w:tcW w:w="3527"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 w:val="21"/>
                <w:szCs w:val="21"/>
                <w:lang w:val="en-US" w:eastAsia="zh-CN" w:bidi="ar-SA"/>
              </w:rPr>
            </w:pPr>
            <w:r>
              <w:rPr>
                <w:rFonts w:hint="eastAsia" w:ascii="宋体" w:hAnsi="宋体" w:eastAsia="宋体" w:cs="宋体"/>
                <w:i w:val="0"/>
                <w:iCs w:val="0"/>
                <w:color w:val="000000"/>
                <w:kern w:val="0"/>
                <w:sz w:val="22"/>
                <w:szCs w:val="22"/>
                <w:u w:val="none"/>
                <w:lang w:val="en-US" w:eastAsia="zh-CN" w:bidi="ar"/>
              </w:rPr>
              <w:t>一般公共服务支出</w:t>
            </w:r>
          </w:p>
        </w:tc>
        <w:tc>
          <w:tcPr>
            <w:tcW w:w="3000"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 w:val="21"/>
                <w:szCs w:val="21"/>
                <w:lang w:val="en-US" w:eastAsia="zh-CN" w:bidi="ar-SA"/>
              </w:rPr>
            </w:pPr>
            <w:r>
              <w:rPr>
                <w:rFonts w:hint="eastAsia" w:ascii="Times New Roman" w:hAnsi="Times New Roman" w:eastAsia="仿宋_GB2312" w:cs="Times New Roman"/>
                <w:color w:val="000000"/>
                <w:sz w:val="22"/>
                <w:lang w:val="en-US" w:eastAsia="zh-CN"/>
              </w:rPr>
              <w:t>255.26</w:t>
            </w:r>
          </w:p>
        </w:tc>
        <w:tc>
          <w:tcPr>
            <w:tcW w:w="3492"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 w:val="21"/>
                <w:szCs w:val="21"/>
                <w:lang w:val="en-US" w:eastAsia="zh-CN" w:bidi="ar-SA"/>
              </w:rPr>
            </w:pPr>
            <w:r>
              <w:rPr>
                <w:rFonts w:hint="eastAsia" w:ascii="Times New Roman" w:hAnsi="Times New Roman" w:eastAsia="仿宋_GB2312" w:cs="Times New Roman"/>
                <w:color w:val="000000"/>
                <w:sz w:val="22"/>
                <w:lang w:val="en-US" w:eastAsia="zh-CN"/>
              </w:rPr>
              <w:t>204.54</w:t>
            </w:r>
          </w:p>
        </w:tc>
        <w:tc>
          <w:tcPr>
            <w:tcW w:w="3000" w:type="dxa"/>
            <w:tcBorders>
              <w:top w:val="nil"/>
              <w:left w:val="nil"/>
              <w:bottom w:val="single" w:color="auto" w:sz="4" w:space="0"/>
              <w:right w:val="single" w:color="auto" w:sz="8"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 w:val="21"/>
                <w:szCs w:val="21"/>
                <w:lang w:val="en-US" w:eastAsia="zh-CN" w:bidi="ar-SA"/>
              </w:rPr>
            </w:pPr>
            <w:r>
              <w:rPr>
                <w:rFonts w:hint="eastAsia" w:ascii="Times New Roman" w:hAnsi="Times New Roman" w:eastAsia="仿宋_GB2312" w:cs="Times New Roman"/>
                <w:kern w:val="0"/>
                <w:szCs w:val="21"/>
                <w:lang w:val="en-US" w:eastAsia="zh-CN"/>
              </w:rPr>
              <w:t>50.72</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 w:val="21"/>
                <w:szCs w:val="21"/>
                <w:lang w:val="en-US" w:eastAsia="zh-CN" w:bidi="ar-SA"/>
              </w:rPr>
            </w:pPr>
            <w:r>
              <w:rPr>
                <w:rFonts w:hint="eastAsia" w:ascii="宋体" w:hAnsi="宋体" w:eastAsia="宋体" w:cs="宋体"/>
                <w:i w:val="0"/>
                <w:iCs w:val="0"/>
                <w:color w:val="000000"/>
                <w:kern w:val="0"/>
                <w:sz w:val="22"/>
                <w:szCs w:val="22"/>
                <w:u w:val="none"/>
                <w:lang w:val="en-US" w:eastAsia="zh-CN" w:bidi="ar"/>
              </w:rPr>
              <w:t>20129</w:t>
            </w:r>
          </w:p>
        </w:tc>
        <w:tc>
          <w:tcPr>
            <w:tcW w:w="3527"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 w:val="21"/>
                <w:szCs w:val="21"/>
                <w:lang w:val="en-US" w:eastAsia="zh-CN" w:bidi="ar-SA"/>
              </w:rPr>
            </w:pPr>
            <w:r>
              <w:rPr>
                <w:rFonts w:hint="eastAsia" w:ascii="宋体" w:hAnsi="宋体" w:eastAsia="宋体" w:cs="宋体"/>
                <w:i w:val="0"/>
                <w:iCs w:val="0"/>
                <w:color w:val="000000"/>
                <w:kern w:val="0"/>
                <w:sz w:val="22"/>
                <w:szCs w:val="22"/>
                <w:u w:val="none"/>
                <w:lang w:val="en-US" w:eastAsia="zh-CN" w:bidi="ar"/>
              </w:rPr>
              <w:t>群众团体事务</w:t>
            </w:r>
          </w:p>
        </w:tc>
        <w:tc>
          <w:tcPr>
            <w:tcW w:w="3000"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 w:val="21"/>
                <w:szCs w:val="21"/>
                <w:lang w:val="en-US" w:eastAsia="zh-CN" w:bidi="ar-SA"/>
              </w:rPr>
            </w:pPr>
            <w:r>
              <w:rPr>
                <w:rFonts w:hint="eastAsia" w:ascii="Times New Roman" w:hAnsi="Times New Roman" w:eastAsia="仿宋_GB2312" w:cs="Times New Roman"/>
                <w:color w:val="000000"/>
                <w:sz w:val="22"/>
                <w:lang w:val="en-US" w:eastAsia="zh-CN"/>
              </w:rPr>
              <w:t>255.26</w:t>
            </w:r>
          </w:p>
        </w:tc>
        <w:tc>
          <w:tcPr>
            <w:tcW w:w="3492"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 w:val="21"/>
                <w:szCs w:val="21"/>
                <w:lang w:val="en-US" w:eastAsia="zh-CN" w:bidi="ar-SA"/>
              </w:rPr>
            </w:pPr>
            <w:r>
              <w:rPr>
                <w:rFonts w:hint="eastAsia" w:ascii="Times New Roman" w:hAnsi="Times New Roman" w:eastAsia="仿宋_GB2312" w:cs="Times New Roman"/>
                <w:color w:val="000000"/>
                <w:sz w:val="22"/>
                <w:lang w:val="en-US" w:eastAsia="zh-CN"/>
              </w:rPr>
              <w:t>204.54</w:t>
            </w:r>
          </w:p>
        </w:tc>
        <w:tc>
          <w:tcPr>
            <w:tcW w:w="3000" w:type="dxa"/>
            <w:tcBorders>
              <w:top w:val="nil"/>
              <w:left w:val="nil"/>
              <w:bottom w:val="single" w:color="auto" w:sz="4" w:space="0"/>
              <w:right w:val="single" w:color="auto" w:sz="8"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 w:val="21"/>
                <w:szCs w:val="21"/>
                <w:lang w:val="en-US" w:eastAsia="zh-CN" w:bidi="ar-SA"/>
              </w:rPr>
            </w:pPr>
            <w:r>
              <w:rPr>
                <w:rFonts w:hint="eastAsia" w:ascii="Times New Roman" w:hAnsi="Times New Roman" w:eastAsia="仿宋_GB2312" w:cs="Times New Roman"/>
                <w:kern w:val="0"/>
                <w:szCs w:val="21"/>
                <w:lang w:val="en-US" w:eastAsia="zh-CN"/>
              </w:rPr>
              <w:t>50.72</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 w:val="21"/>
                <w:szCs w:val="21"/>
                <w:lang w:val="en-US" w:eastAsia="zh-CN" w:bidi="ar-SA"/>
              </w:rPr>
            </w:pPr>
            <w:r>
              <w:rPr>
                <w:rFonts w:hint="eastAsia" w:ascii="宋体" w:hAnsi="宋体" w:eastAsia="宋体" w:cs="宋体"/>
                <w:i w:val="0"/>
                <w:iCs w:val="0"/>
                <w:color w:val="000000"/>
                <w:kern w:val="0"/>
                <w:sz w:val="22"/>
                <w:szCs w:val="22"/>
                <w:u w:val="none"/>
                <w:lang w:val="en-US" w:eastAsia="zh-CN" w:bidi="ar"/>
              </w:rPr>
              <w:t>2012901</w:t>
            </w:r>
          </w:p>
        </w:tc>
        <w:tc>
          <w:tcPr>
            <w:tcW w:w="3527"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 w:val="21"/>
                <w:szCs w:val="21"/>
                <w:lang w:val="en-US" w:eastAsia="zh-CN" w:bidi="ar-SA"/>
              </w:rPr>
            </w:pPr>
            <w:r>
              <w:rPr>
                <w:rFonts w:hint="eastAsia" w:ascii="宋体" w:hAnsi="宋体" w:eastAsia="宋体" w:cs="宋体"/>
                <w:i w:val="0"/>
                <w:iCs w:val="0"/>
                <w:color w:val="000000"/>
                <w:kern w:val="0"/>
                <w:sz w:val="22"/>
                <w:szCs w:val="22"/>
                <w:u w:val="none"/>
                <w:lang w:val="en-US" w:eastAsia="zh-CN" w:bidi="ar"/>
              </w:rPr>
              <w:t xml:space="preserve">  行政运行</w:t>
            </w:r>
          </w:p>
        </w:tc>
        <w:tc>
          <w:tcPr>
            <w:tcW w:w="3000"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 w:val="21"/>
                <w:szCs w:val="21"/>
                <w:lang w:val="en-US" w:eastAsia="zh-CN" w:bidi="ar-SA"/>
              </w:rPr>
            </w:pPr>
            <w:r>
              <w:rPr>
                <w:rFonts w:hint="eastAsia" w:ascii="Times New Roman" w:hAnsi="Times New Roman" w:eastAsia="仿宋_GB2312" w:cs="Times New Roman"/>
                <w:color w:val="000000"/>
                <w:sz w:val="22"/>
                <w:lang w:val="en-US" w:eastAsia="zh-CN"/>
              </w:rPr>
              <w:t>255.26</w:t>
            </w:r>
          </w:p>
        </w:tc>
        <w:tc>
          <w:tcPr>
            <w:tcW w:w="3492"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hint="default" w:ascii="Times New Roman" w:hAnsi="Times New Roman" w:eastAsia="仿宋_GB2312" w:cs="Times New Roman"/>
                <w:kern w:val="0"/>
                <w:sz w:val="21"/>
                <w:szCs w:val="21"/>
                <w:lang w:val="en-US" w:eastAsia="zh-CN" w:bidi="ar-SA"/>
              </w:rPr>
            </w:pPr>
            <w:r>
              <w:rPr>
                <w:rFonts w:hint="eastAsia" w:ascii="Times New Roman" w:hAnsi="Times New Roman" w:eastAsia="仿宋_GB2312" w:cs="Times New Roman"/>
                <w:color w:val="000000"/>
                <w:sz w:val="22"/>
                <w:lang w:val="en-US" w:eastAsia="zh-CN"/>
              </w:rPr>
              <w:t>204.54</w:t>
            </w:r>
          </w:p>
        </w:tc>
        <w:tc>
          <w:tcPr>
            <w:tcW w:w="3000" w:type="dxa"/>
            <w:tcBorders>
              <w:top w:val="nil"/>
              <w:left w:val="nil"/>
              <w:bottom w:val="single" w:color="auto" w:sz="4" w:space="0"/>
              <w:right w:val="single" w:color="auto" w:sz="8" w:space="0"/>
            </w:tcBorders>
            <w:shd w:val="clear" w:color="auto" w:fill="auto"/>
            <w:vAlign w:val="center"/>
          </w:tcPr>
          <w:p>
            <w:pPr>
              <w:keepNext w:val="0"/>
              <w:keepLines w:val="0"/>
              <w:widowControl/>
              <w:suppressLineNumbers w:val="0"/>
              <w:jc w:val="right"/>
              <w:textAlignment w:val="center"/>
              <w:rPr>
                <w:rFonts w:hint="default" w:ascii="Times New Roman" w:hAnsi="Times New Roman" w:eastAsia="仿宋_GB2312" w:cs="Times New Roman"/>
                <w:kern w:val="0"/>
                <w:sz w:val="21"/>
                <w:szCs w:val="21"/>
                <w:lang w:val="en-US" w:eastAsia="zh-CN" w:bidi="ar-SA"/>
              </w:rPr>
            </w:pPr>
            <w:r>
              <w:rPr>
                <w:rFonts w:hint="eastAsia" w:ascii="Times New Roman" w:hAnsi="Times New Roman" w:eastAsia="仿宋_GB2312" w:cs="Times New Roman"/>
                <w:kern w:val="0"/>
                <w:szCs w:val="21"/>
                <w:lang w:val="en-US" w:eastAsia="zh-CN"/>
              </w:rPr>
              <w:t>50.72</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527"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000"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492"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000" w:type="dxa"/>
            <w:tcBorders>
              <w:top w:val="nil"/>
              <w:left w:val="nil"/>
              <w:bottom w:val="single" w:color="auto" w:sz="4" w:space="0"/>
              <w:right w:val="single" w:color="auto" w:sz="8" w:space="0"/>
            </w:tcBorders>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527"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000"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492"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000" w:type="dxa"/>
            <w:tcBorders>
              <w:top w:val="nil"/>
              <w:left w:val="nil"/>
              <w:bottom w:val="single" w:color="auto" w:sz="4" w:space="0"/>
              <w:right w:val="single" w:color="auto" w:sz="8" w:space="0"/>
            </w:tcBorders>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8"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527" w:type="dxa"/>
            <w:tcBorders>
              <w:top w:val="nil"/>
              <w:left w:val="nil"/>
              <w:bottom w:val="single" w:color="auto" w:sz="8" w:space="0"/>
              <w:right w:val="single" w:color="auto" w:sz="4" w:space="0"/>
            </w:tcBorders>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000" w:type="dxa"/>
            <w:tcBorders>
              <w:top w:val="nil"/>
              <w:left w:val="nil"/>
              <w:bottom w:val="single" w:color="auto" w:sz="8" w:space="0"/>
              <w:right w:val="single" w:color="auto" w:sz="4" w:space="0"/>
            </w:tcBorders>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492" w:type="dxa"/>
            <w:tcBorders>
              <w:top w:val="nil"/>
              <w:left w:val="nil"/>
              <w:bottom w:val="single" w:color="auto" w:sz="8" w:space="0"/>
              <w:right w:val="single" w:color="auto" w:sz="4" w:space="0"/>
            </w:tcBorders>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000" w:type="dxa"/>
            <w:tcBorders>
              <w:top w:val="nil"/>
              <w:left w:val="nil"/>
              <w:bottom w:val="single" w:color="auto" w:sz="8" w:space="0"/>
              <w:right w:val="single" w:color="auto" w:sz="8" w:space="0"/>
            </w:tcBorders>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bl>
    <w:p>
      <w:pPr>
        <w:widowControl/>
        <w:spacing w:before="120"/>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注：本表反映部门本年度一般公共预算财政拨款支出情况。</w:t>
      </w:r>
    </w:p>
    <w:p>
      <w:pPr>
        <w:widowControl/>
        <w:jc w:val="left"/>
        <w:rPr>
          <w:rFonts w:ascii="Times New Roman" w:hAnsi="Times New Roman" w:eastAsia="仿宋_GB2312" w:cs="Times New Roman"/>
          <w:bCs/>
          <w:kern w:val="0"/>
          <w:szCs w:val="21"/>
        </w:rPr>
      </w:pPr>
    </w:p>
    <w:p>
      <w:pPr>
        <w:widowControl/>
        <w:jc w:val="left"/>
        <w:rPr>
          <w:rFonts w:ascii="Times New Roman" w:hAnsi="Times New Roman" w:eastAsia="仿宋_GB2312" w:cs="Times New Roman"/>
          <w:bCs/>
          <w:kern w:val="0"/>
          <w:szCs w:val="21"/>
        </w:rPr>
      </w:pPr>
      <w:r>
        <w:rPr>
          <w:rFonts w:ascii="Times New Roman" w:hAnsi="Times New Roman" w:eastAsia="仿宋_GB2312" w:cs="Times New Roman"/>
          <w:bCs/>
          <w:kern w:val="0"/>
          <w:szCs w:val="21"/>
        </w:rPr>
        <w:br w:type="page"/>
      </w:r>
    </w:p>
    <w:p>
      <w:pPr>
        <w:widowControl/>
        <w:spacing w:after="120"/>
        <w:jc w:val="center"/>
        <w:textAlignment w:val="center"/>
        <w:rPr>
          <w:rFonts w:ascii="Times New Roman" w:hAnsi="Times New Roman" w:eastAsia="黑体" w:cs="Times New Roman"/>
          <w:color w:val="000000"/>
          <w:kern w:val="0"/>
          <w:sz w:val="36"/>
          <w:szCs w:val="36"/>
          <w:lang w:bidi="ar"/>
        </w:rPr>
      </w:pPr>
      <w:bookmarkStart w:id="2" w:name="RANGE!A1:I34"/>
      <w:r>
        <w:rPr>
          <w:rFonts w:ascii="Times New Roman" w:hAnsi="Times New Roman" w:eastAsia="黑体" w:cs="Times New Roman"/>
          <w:color w:val="000000"/>
          <w:kern w:val="0"/>
          <w:sz w:val="36"/>
          <w:szCs w:val="36"/>
          <w:lang w:bidi="ar"/>
        </w:rPr>
        <w:t>一般公共预算财政拨款基本支出决算明细表</w:t>
      </w:r>
      <w:bookmarkEnd w:id="2"/>
    </w:p>
    <w:p>
      <w:pPr>
        <w:widowControl/>
        <w:wordWrap w:val="0"/>
        <w:spacing w:line="240" w:lineRule="exact"/>
        <w:jc w:val="righ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部门：                                                                                                                公开06表</w:t>
      </w:r>
    </w:p>
    <w:p>
      <w:pPr>
        <w:widowControl/>
        <w:spacing w:line="240" w:lineRule="exact"/>
        <w:jc w:val="right"/>
        <w:rPr>
          <w:rFonts w:ascii="Times New Roman" w:hAnsi="Times New Roman" w:eastAsia="华文中宋" w:cs="Times New Roman"/>
          <w:color w:val="000000"/>
          <w:kern w:val="0"/>
          <w:szCs w:val="32"/>
        </w:rPr>
      </w:pPr>
      <w:r>
        <w:rPr>
          <w:rFonts w:ascii="Times New Roman" w:hAnsi="Times New Roman" w:eastAsia="仿宋_GB2312" w:cs="Times New Roman"/>
          <w:color w:val="000000"/>
          <w:kern w:val="0"/>
          <w:szCs w:val="21"/>
        </w:rPr>
        <w:t>单位：万元</w:t>
      </w:r>
    </w:p>
    <w:tbl>
      <w:tblPr>
        <w:tblStyle w:val="12"/>
        <w:tblW w:w="14627" w:type="dxa"/>
        <w:jc w:val="center"/>
        <w:tblLayout w:type="fixed"/>
        <w:tblCellMar>
          <w:top w:w="0" w:type="dxa"/>
          <w:left w:w="108" w:type="dxa"/>
          <w:bottom w:w="0" w:type="dxa"/>
          <w:right w:w="108" w:type="dxa"/>
        </w:tblCellMar>
      </w:tblPr>
      <w:tblGrid>
        <w:gridCol w:w="1081"/>
        <w:gridCol w:w="2850"/>
        <w:gridCol w:w="966"/>
        <w:gridCol w:w="1116"/>
        <w:gridCol w:w="2018"/>
        <w:gridCol w:w="933"/>
        <w:gridCol w:w="1217"/>
        <w:gridCol w:w="3517"/>
        <w:gridCol w:w="929"/>
      </w:tblGrid>
      <w:tr>
        <w:tblPrEx>
          <w:tblCellMar>
            <w:top w:w="0" w:type="dxa"/>
            <w:left w:w="108" w:type="dxa"/>
            <w:bottom w:w="0" w:type="dxa"/>
            <w:right w:w="108" w:type="dxa"/>
          </w:tblCellMar>
        </w:tblPrEx>
        <w:trPr>
          <w:trHeight w:val="530" w:hRule="atLeast"/>
          <w:jc w:val="center"/>
        </w:trPr>
        <w:tc>
          <w:tcPr>
            <w:tcW w:w="108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 w:val="20"/>
                <w:szCs w:val="20"/>
              </w:rPr>
              <w:t>经济分类科目编码</w:t>
            </w:r>
          </w:p>
        </w:tc>
        <w:tc>
          <w:tcPr>
            <w:tcW w:w="2850"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66"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1116"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2018"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33"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1217"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3517"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29"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工资福利支出</w:t>
            </w:r>
          </w:p>
        </w:tc>
        <w:tc>
          <w:tcPr>
            <w:tcW w:w="96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 xml:space="preserve">156.96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商品和服务支出</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90.78</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债务利息及费用支出</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30101</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基本工资</w:t>
            </w:r>
          </w:p>
        </w:tc>
        <w:tc>
          <w:tcPr>
            <w:tcW w:w="96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0"/>
                <w:szCs w:val="20"/>
                <w:u w:val="none"/>
                <w:lang w:val="en-US" w:eastAsia="zh-CN" w:bidi="ar"/>
              </w:rPr>
              <w:t xml:space="preserve">57.34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30201</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办公费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68.98</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30701</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国内债务付息</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30102</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津贴补贴</w:t>
            </w:r>
          </w:p>
        </w:tc>
        <w:tc>
          <w:tcPr>
            <w:tcW w:w="96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0"/>
                <w:szCs w:val="20"/>
                <w:u w:val="none"/>
                <w:lang w:val="en-US" w:eastAsia="zh-CN" w:bidi="ar"/>
              </w:rPr>
              <w:t xml:space="preserve">25.54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30202</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印刷费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30702</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国外债务付息</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30103</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奖金</w:t>
            </w:r>
          </w:p>
        </w:tc>
        <w:tc>
          <w:tcPr>
            <w:tcW w:w="96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 xml:space="preserve">18.38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30203</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咨询费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资本性支出</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30106</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伙食补助费</w:t>
            </w:r>
          </w:p>
        </w:tc>
        <w:tc>
          <w:tcPr>
            <w:tcW w:w="96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 xml:space="preserve">3.5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30204</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手续费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31001</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房屋建筑物购建</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30107</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绩效工资</w:t>
            </w:r>
          </w:p>
        </w:tc>
        <w:tc>
          <w:tcPr>
            <w:tcW w:w="96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0"/>
                <w:szCs w:val="20"/>
                <w:u w:val="none"/>
                <w:lang w:val="en-US" w:eastAsia="zh-CN" w:bidi="ar"/>
              </w:rPr>
              <w:t xml:space="preserve">20.18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30205</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水费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31002</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办公设备购置</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0.5</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30108</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机关事业单位基本养老保险缴费</w:t>
            </w:r>
          </w:p>
        </w:tc>
        <w:tc>
          <w:tcPr>
            <w:tcW w:w="96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0"/>
                <w:szCs w:val="20"/>
                <w:u w:val="none"/>
                <w:lang w:val="en-US" w:eastAsia="zh-CN" w:bidi="ar"/>
              </w:rPr>
              <w:t xml:space="preserve">11.58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30206</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电费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0.8</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31003</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专用设备购置</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30109</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职业年金缴费</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30207</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邮电费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31005</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基础设施建设</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30110</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职工基本医疗保险缴费</w:t>
            </w:r>
          </w:p>
        </w:tc>
        <w:tc>
          <w:tcPr>
            <w:tcW w:w="96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0"/>
                <w:sz w:val="20"/>
                <w:szCs w:val="20"/>
                <w:u w:val="none"/>
                <w:lang w:val="en-US" w:eastAsia="zh-CN" w:bidi="ar"/>
              </w:rPr>
              <w:t xml:space="preserve">6.27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30208</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取暖费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31006</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大型修缮</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30111</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公务员医疗补助缴费</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30209</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物业管理费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31007</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信息网络及软件购置更新</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30112</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其他社会保障缴费</w:t>
            </w:r>
          </w:p>
        </w:tc>
        <w:tc>
          <w:tcPr>
            <w:tcW w:w="96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0"/>
                <w:szCs w:val="20"/>
                <w:u w:val="none"/>
                <w:lang w:val="en-US" w:eastAsia="zh-CN" w:bidi="ar"/>
              </w:rPr>
              <w:t xml:space="preserve">0.68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30211</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差旅费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3.4</w:t>
            </w: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31008</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物资储备</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30113</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住房公积金</w:t>
            </w:r>
          </w:p>
        </w:tc>
        <w:tc>
          <w:tcPr>
            <w:tcW w:w="96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0"/>
                <w:szCs w:val="20"/>
                <w:u w:val="none"/>
                <w:lang w:val="en-US" w:eastAsia="zh-CN" w:bidi="ar"/>
              </w:rPr>
              <w:t xml:space="preserve">13.49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30212</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因公出国（境）费用</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31009</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土地补偿</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30114</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医疗费</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30213</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维修（护）费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31010</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安置补助</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30199</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其他工资福利支出</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30214</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租赁费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31011</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地上附着物和青苗补偿</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对个人和家庭的补助</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0.2</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30215</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会议费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31012</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拆迁补偿</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30301</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离休费</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30216</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培训费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31013</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公务用车购置</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30302</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退休费</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30217</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公务接待费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0.12</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31019</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其他交通工具购置</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30303</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退职（役）费</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30218</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专用材料费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31021</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文物和陈列品购置</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30304</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抚恤金</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30224</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被装购置费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31022</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无形资产购置</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30305</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生活补助</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Cs w:val="20"/>
                <w:lang w:val="en-US"/>
              </w:rPr>
            </w:pPr>
            <w:r>
              <w:rPr>
                <w:rFonts w:hint="eastAsia" w:ascii="Times New Roman" w:hAnsi="Times New Roman" w:eastAsia="仿宋_GB2312" w:cs="Times New Roman"/>
                <w:color w:val="000000"/>
                <w:kern w:val="0"/>
                <w:szCs w:val="20"/>
                <w:lang w:val="en-US" w:eastAsia="zh-CN"/>
              </w:rPr>
              <w:t>0.1</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30225</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专用燃料费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31099</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其他资本性支出</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30306</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救济费</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30226</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劳务费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0.46</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其他支出</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30307</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医疗费补助</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30227</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委托业务费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39907</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国家赔偿费用支出</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30308</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助学金</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30228</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工会经费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6.45</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39908</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对民间非营利组织和群众性自治组织补贴</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30309</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奖励金</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30229</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福利费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39909</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经常性赠与</w:t>
            </w:r>
          </w:p>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资本性赠与</w:t>
            </w:r>
          </w:p>
          <w:p>
            <w:pPr>
              <w:widowControl/>
              <w:jc w:val="left"/>
              <w:rPr>
                <w:rFonts w:ascii="Times New Roman" w:hAnsi="Times New Roman" w:eastAsia="仿宋_GB2312" w:cs="Times New Roman"/>
                <w:color w:val="000000"/>
                <w:kern w:val="0"/>
                <w:szCs w:val="20"/>
              </w:rPr>
            </w:pPr>
          </w:p>
          <w:tbl>
            <w:tblPr>
              <w:tblStyle w:val="12"/>
              <w:tblW w:w="3946" w:type="dxa"/>
              <w:tblInd w:w="0" w:type="dxa"/>
              <w:tblLayout w:type="fixed"/>
              <w:tblCellMar>
                <w:top w:w="0" w:type="dxa"/>
                <w:left w:w="108" w:type="dxa"/>
                <w:bottom w:w="0" w:type="dxa"/>
                <w:right w:w="108" w:type="dxa"/>
              </w:tblCellMar>
            </w:tblPr>
            <w:tblGrid>
              <w:gridCol w:w="3946"/>
            </w:tblGrid>
            <w:tr>
              <w:tblPrEx>
                <w:tblCellMar>
                  <w:top w:w="0" w:type="dxa"/>
                  <w:left w:w="108" w:type="dxa"/>
                  <w:bottom w:w="0" w:type="dxa"/>
                  <w:right w:w="108" w:type="dxa"/>
                </w:tblCellMar>
              </w:tblPrEx>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经常性赠与</w:t>
                  </w:r>
                </w:p>
              </w:tc>
            </w:tr>
            <w:tr>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资本性赠与</w:t>
                  </w:r>
                </w:p>
              </w:tc>
            </w:tr>
          </w:tbl>
          <w:p>
            <w:pPr>
              <w:widowControl/>
              <w:jc w:val="left"/>
              <w:rPr>
                <w:rFonts w:ascii="Times New Roman" w:hAnsi="Times New Roman" w:eastAsia="仿宋_GB2312" w:cs="Times New Roman"/>
                <w:color w:val="000000"/>
                <w:kern w:val="0"/>
                <w:szCs w:val="20"/>
              </w:rPr>
            </w:pPr>
          </w:p>
          <w:tbl>
            <w:tblPr>
              <w:tblStyle w:val="12"/>
              <w:tblW w:w="3946" w:type="dxa"/>
              <w:tblInd w:w="0" w:type="dxa"/>
              <w:tblLayout w:type="fixed"/>
              <w:tblCellMar>
                <w:top w:w="0" w:type="dxa"/>
                <w:left w:w="108" w:type="dxa"/>
                <w:bottom w:w="0" w:type="dxa"/>
                <w:right w:w="108" w:type="dxa"/>
              </w:tblCellMar>
            </w:tblPr>
            <w:tblGrid>
              <w:gridCol w:w="3946"/>
            </w:tblGrid>
            <w:tr>
              <w:tblPrEx>
                <w:tblCellMar>
                  <w:top w:w="0" w:type="dxa"/>
                  <w:left w:w="108" w:type="dxa"/>
                  <w:bottom w:w="0" w:type="dxa"/>
                  <w:right w:w="108" w:type="dxa"/>
                </w:tblCellMar>
              </w:tblPrEx>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经常性赠与</w:t>
                  </w:r>
                </w:p>
              </w:tc>
            </w:tr>
            <w:tr>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资本性赠与</w:t>
                  </w:r>
                </w:p>
              </w:tc>
            </w:tr>
          </w:tbl>
          <w:p>
            <w:pPr>
              <w:widowControl/>
              <w:jc w:val="left"/>
              <w:rPr>
                <w:rFonts w:ascii="Times New Roman" w:hAnsi="Times New Roman" w:eastAsia="仿宋_GB2312" w:cs="Times New Roman"/>
                <w:color w:val="000000"/>
                <w:kern w:val="0"/>
                <w:szCs w:val="20"/>
              </w:rPr>
            </w:pP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30310</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个人农业生产补贴</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30231</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公务用车运行维护费</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1.51</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39910</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资本性赠与</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30311</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代缴社会保险费</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30239</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其他交通费用</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8.87</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39999</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其他支出</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30399</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其他对个人和家庭的补助</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0.1</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30240</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税金及附加费用</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30299</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其他商品和服务支出</w:t>
            </w:r>
          </w:p>
        </w:tc>
        <w:tc>
          <w:tcPr>
            <w:tcW w:w="933"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0.15</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3931"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人员经费合计</w:t>
            </w:r>
          </w:p>
        </w:tc>
        <w:tc>
          <w:tcPr>
            <w:tcW w:w="96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hint="eastAsia" w:ascii="Times New Roman" w:hAnsi="Times New Roman" w:eastAsia="仿宋_GB2312" w:cs="Times New Roman"/>
                <w:color w:val="000000"/>
                <w:kern w:val="0"/>
                <w:szCs w:val="20"/>
                <w:lang w:val="en-US" w:eastAsia="zh-CN"/>
              </w:rPr>
              <w:t>157.16</w:t>
            </w:r>
            <w:r>
              <w:rPr>
                <w:rFonts w:ascii="Times New Roman" w:hAnsi="Times New Roman" w:eastAsia="仿宋_GB2312" w:cs="Times New Roman"/>
                <w:color w:val="000000"/>
                <w:kern w:val="0"/>
                <w:szCs w:val="20"/>
              </w:rPr>
              <w:t>　</w:t>
            </w:r>
          </w:p>
        </w:tc>
        <w:tc>
          <w:tcPr>
            <w:tcW w:w="8801" w:type="dxa"/>
            <w:gridSpan w:val="5"/>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公用经费合计</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Cs w:val="18"/>
                <w:lang w:val="en-US" w:eastAsia="zh-CN"/>
              </w:rPr>
            </w:pPr>
            <w:r>
              <w:rPr>
                <w:rFonts w:ascii="Times New Roman" w:hAnsi="Times New Roman" w:eastAsia="仿宋_GB2312" w:cs="Times New Roman"/>
                <w:color w:val="000000"/>
                <w:kern w:val="0"/>
                <w:szCs w:val="18"/>
              </w:rPr>
              <w:t>　</w:t>
            </w:r>
            <w:r>
              <w:rPr>
                <w:rFonts w:hint="eastAsia" w:ascii="Times New Roman" w:hAnsi="Times New Roman" w:eastAsia="仿宋_GB2312" w:cs="Times New Roman"/>
                <w:color w:val="000000"/>
                <w:kern w:val="0"/>
                <w:szCs w:val="18"/>
                <w:lang w:val="en-US" w:eastAsia="zh-CN"/>
              </w:rPr>
              <w:t>91.28</w:t>
            </w:r>
          </w:p>
        </w:tc>
      </w:tr>
    </w:tbl>
    <w:p>
      <w:pPr>
        <w:widowControl/>
        <w:jc w:val="left"/>
        <w:rPr>
          <w:rFonts w:ascii="Times New Roman" w:hAnsi="Times New Roman" w:eastAsia="仿宋_GB2312" w:cs="Times New Roman"/>
          <w:color w:val="000000"/>
          <w:kern w:val="0"/>
          <w:szCs w:val="24"/>
        </w:rPr>
      </w:pPr>
      <w:r>
        <w:rPr>
          <w:rFonts w:ascii="Times New Roman" w:hAnsi="Times New Roman" w:eastAsia="仿宋_GB2312" w:cs="Times New Roman"/>
          <w:color w:val="000000"/>
          <w:kern w:val="0"/>
          <w:szCs w:val="24"/>
        </w:rPr>
        <w:t>注：本表反映部门本年度一般公共预算财政拨款基本支出明细情况。</w:t>
      </w:r>
    </w:p>
    <w:p>
      <w:pPr>
        <w:widowControl/>
        <w:spacing w:line="400" w:lineRule="exact"/>
        <w:jc w:val="center"/>
        <w:textAlignment w:val="center"/>
        <w:rPr>
          <w:rFonts w:ascii="Times New Roman" w:hAnsi="Times New Roman" w:eastAsia="仿宋_GB2312" w:cs="Times New Roman"/>
          <w:color w:val="000000"/>
          <w:kern w:val="0"/>
          <w:sz w:val="32"/>
          <w:szCs w:val="32"/>
          <w:lang w:bidi="ar"/>
        </w:rPr>
      </w:pPr>
    </w:p>
    <w:p>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政府性基金预算财政拨款收入支出决算表</w:t>
      </w:r>
    </w:p>
    <w:p>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公开07表</w:t>
      </w:r>
    </w:p>
    <w:p>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单位：万元</w:t>
      </w:r>
    </w:p>
    <w:tbl>
      <w:tblPr>
        <w:tblStyle w:val="12"/>
        <w:tblW w:w="14326" w:type="dxa"/>
        <w:jc w:val="center"/>
        <w:tblLayout w:type="fixed"/>
        <w:tblCellMar>
          <w:top w:w="0" w:type="dxa"/>
          <w:left w:w="108" w:type="dxa"/>
          <w:bottom w:w="0" w:type="dxa"/>
          <w:right w:w="108" w:type="dxa"/>
        </w:tblCellMar>
      </w:tblPr>
      <w:tblGrid>
        <w:gridCol w:w="1497"/>
        <w:gridCol w:w="1277"/>
        <w:gridCol w:w="1918"/>
        <w:gridCol w:w="1943"/>
        <w:gridCol w:w="1919"/>
        <w:gridCol w:w="1935"/>
        <w:gridCol w:w="1918"/>
        <w:gridCol w:w="1919"/>
      </w:tblGrid>
      <w:tr>
        <w:tblPrEx>
          <w:tblCellMar>
            <w:top w:w="0" w:type="dxa"/>
            <w:left w:w="108" w:type="dxa"/>
            <w:bottom w:w="0" w:type="dxa"/>
            <w:right w:w="108" w:type="dxa"/>
          </w:tblCellMar>
        </w:tblPrEx>
        <w:trPr>
          <w:trHeight w:val="45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项 </w:t>
            </w:r>
            <w:r>
              <w:rPr>
                <w:rStyle w:val="19"/>
                <w:rFonts w:hint="default" w:ascii="Times New Roman" w:hAnsi="Times New Roman" w:eastAsia="仿宋_GB2312" w:cs="Times New Roman"/>
                <w:b/>
                <w:bCs/>
                <w:lang w:bidi="ar"/>
              </w:rPr>
              <w:t xml:space="preserve">   </w:t>
            </w:r>
            <w:r>
              <w:rPr>
                <w:rStyle w:val="20"/>
                <w:rFonts w:hint="default" w:ascii="Times New Roman" w:hAnsi="Times New Roman" w:eastAsia="仿宋_GB2312" w:cs="Times New Roman"/>
                <w:b/>
                <w:bCs/>
                <w:lang w:bidi="ar"/>
              </w:rPr>
              <w:t>目</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年初结转和结余</w:t>
            </w:r>
          </w:p>
        </w:tc>
        <w:tc>
          <w:tcPr>
            <w:tcW w:w="194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本年收入</w:t>
            </w:r>
          </w:p>
        </w:tc>
        <w:tc>
          <w:tcPr>
            <w:tcW w:w="577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本年支出</w:t>
            </w: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年末结转和结余</w:t>
            </w:r>
          </w:p>
        </w:tc>
      </w:tr>
      <w:tr>
        <w:tblPrEx>
          <w:tblCellMar>
            <w:top w:w="0" w:type="dxa"/>
            <w:left w:w="108" w:type="dxa"/>
            <w:bottom w:w="0" w:type="dxa"/>
            <w:right w:w="108" w:type="dxa"/>
          </w:tblCellMar>
        </w:tblPrEx>
        <w:trPr>
          <w:trHeight w:val="312" w:hRule="exact"/>
          <w:jc w:val="center"/>
        </w:trPr>
        <w:tc>
          <w:tcPr>
            <w:tcW w:w="14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科目代码</w:t>
            </w:r>
          </w:p>
        </w:tc>
        <w:tc>
          <w:tcPr>
            <w:tcW w:w="127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科目名称</w:t>
            </w: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Times New Roman" w:hAnsi="Times New Roman" w:eastAsia="仿宋_GB2312" w:cs="Times New Roman"/>
                <w:b/>
                <w:bCs/>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Times New Roman" w:hAnsi="Times New Roman" w:eastAsia="仿宋_GB2312" w:cs="Times New Roman"/>
                <w:b/>
                <w:bCs/>
                <w:color w:val="000000"/>
                <w:sz w:val="24"/>
                <w:szCs w:val="24"/>
              </w:rPr>
            </w:pP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小计</w:t>
            </w:r>
          </w:p>
        </w:tc>
        <w:tc>
          <w:tcPr>
            <w:tcW w:w="19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基本支出  </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项目支出</w:t>
            </w: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409"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312"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0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栏次</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3</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4</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5</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6</w:t>
            </w:r>
          </w:p>
        </w:tc>
      </w:tr>
      <w:tr>
        <w:tblPrEx>
          <w:tblCellMar>
            <w:top w:w="0" w:type="dxa"/>
            <w:left w:w="108" w:type="dxa"/>
            <w:bottom w:w="0" w:type="dxa"/>
            <w:right w:w="108" w:type="dxa"/>
          </w:tblCellMar>
        </w:tblPrEx>
        <w:trPr>
          <w:trHeight w:val="50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合计</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Times New Roman" w:hAnsi="Times New Roman" w:eastAsia="仿宋_GB2312" w:cs="Times New Roman"/>
                <w:color w:val="000000"/>
                <w:sz w:val="24"/>
                <w:szCs w:val="24"/>
                <w:lang w:eastAsia="zh-CN"/>
              </w:rPr>
            </w:pPr>
            <w:r>
              <w:rPr>
                <w:rFonts w:hint="eastAsia" w:ascii="Times New Roman" w:hAnsi="Times New Roman" w:eastAsia="仿宋_GB2312" w:cs="Times New Roman"/>
                <w:color w:val="000000"/>
                <w:sz w:val="24"/>
                <w:szCs w:val="24"/>
                <w:lang w:eastAsia="zh-CN"/>
              </w:rPr>
              <w:t>无</w:t>
            </w: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0"/>
                <w:szCs w:val="20"/>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0"/>
                <w:szCs w:val="20"/>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bl>
    <w:p>
      <w:pPr>
        <w:widowControl/>
        <w:spacing w:before="120"/>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color w:val="000000"/>
          <w:kern w:val="0"/>
          <w:sz w:val="24"/>
          <w:szCs w:val="24"/>
          <w:lang w:bidi="ar"/>
        </w:rPr>
        <w:t>注：本表反映部门本年度政府性基金预算财政拨款收入、支出及结转和结余情况。</w:t>
      </w:r>
    </w:p>
    <w:p>
      <w:pPr>
        <w:widowControl/>
        <w:jc w:val="left"/>
        <w:textAlignment w:val="center"/>
        <w:rPr>
          <w:rFonts w:ascii="Times New Roman" w:hAnsi="Times New Roman" w:eastAsia="仿宋_GB2312" w:cs="Times New Roman"/>
          <w:color w:val="000000"/>
          <w:kern w:val="0"/>
          <w:sz w:val="24"/>
          <w:szCs w:val="24"/>
          <w:lang w:bidi="ar"/>
        </w:rPr>
      </w:pPr>
    </w:p>
    <w:p>
      <w:pPr>
        <w:widowControl/>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b/>
          <w:bCs/>
          <w:kern w:val="0"/>
          <w:sz w:val="24"/>
          <w:szCs w:val="24"/>
          <w:lang w:bidi="ar"/>
        </w:rPr>
        <w:t>说明：我单位没有政府性基金收入，也没有使用政府性基金安排的支出，故本表无数据。（当表格数据为空时，应有此说明）</w:t>
      </w:r>
    </w:p>
    <w:p>
      <w:pPr>
        <w:widowControl/>
        <w:jc w:val="center"/>
        <w:rPr>
          <w:rFonts w:ascii="Times New Roman" w:hAnsi="Times New Roman" w:eastAsia="方正小标宋_GBK" w:cs="Times New Roman"/>
          <w:color w:val="000000"/>
          <w:kern w:val="0"/>
          <w:sz w:val="36"/>
          <w:szCs w:val="36"/>
        </w:rPr>
      </w:pPr>
    </w:p>
    <w:p>
      <w:pPr>
        <w:widowControl/>
        <w:spacing w:line="400" w:lineRule="exact"/>
        <w:textAlignment w:val="center"/>
        <w:rPr>
          <w:rFonts w:ascii="Times New Roman" w:hAnsi="Times New Roman" w:eastAsia="黑体" w:cs="Times New Roman"/>
          <w:color w:val="000000"/>
          <w:kern w:val="0"/>
          <w:sz w:val="36"/>
          <w:szCs w:val="36"/>
          <w:lang w:bidi="ar"/>
        </w:rPr>
      </w:pPr>
    </w:p>
    <w:p>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国有资本经营预算财政拨款支出决算表</w:t>
      </w:r>
    </w:p>
    <w:p>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公开08表</w:t>
      </w:r>
    </w:p>
    <w:p>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单位：万元</w:t>
      </w:r>
    </w:p>
    <w:tbl>
      <w:tblPr>
        <w:tblStyle w:val="12"/>
        <w:tblW w:w="4999" w:type="pct"/>
        <w:tblInd w:w="0" w:type="dxa"/>
        <w:tblLayout w:type="autofit"/>
        <w:tblCellMar>
          <w:top w:w="0" w:type="dxa"/>
          <w:left w:w="108" w:type="dxa"/>
          <w:bottom w:w="0" w:type="dxa"/>
          <w:right w:w="108" w:type="dxa"/>
        </w:tblCellMar>
      </w:tblPr>
      <w:tblGrid>
        <w:gridCol w:w="3094"/>
        <w:gridCol w:w="3097"/>
        <w:gridCol w:w="1832"/>
        <w:gridCol w:w="3097"/>
        <w:gridCol w:w="3097"/>
      </w:tblGrid>
      <w:tr>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项 </w:t>
            </w:r>
            <w:r>
              <w:rPr>
                <w:rFonts w:ascii="Times New Roman" w:hAnsi="Times New Roman" w:eastAsia="仿宋_GB2312" w:cs="Times New Roman"/>
                <w:b/>
                <w:bCs/>
                <w:color w:val="000000"/>
                <w:kern w:val="0"/>
                <w:sz w:val="22"/>
                <w:lang w:bidi="ar"/>
              </w:rPr>
              <w:t xml:space="preserve">   </w:t>
            </w:r>
            <w:r>
              <w:rPr>
                <w:rStyle w:val="21"/>
                <w:rFonts w:hint="default" w:ascii="Times New Roman" w:hAnsi="Times New Roman" w:eastAsia="仿宋_GB2312" w:cs="Times New Roman"/>
                <w:b/>
                <w:bCs/>
                <w:lang w:bidi="ar"/>
              </w:rPr>
              <w:t>目</w:t>
            </w:r>
          </w:p>
        </w:tc>
        <w:tc>
          <w:tcPr>
            <w:tcW w:w="282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本年支出</w:t>
            </w:r>
          </w:p>
        </w:tc>
      </w:tr>
      <w:tr>
        <w:tblPrEx>
          <w:tblCellMar>
            <w:top w:w="0" w:type="dxa"/>
            <w:left w:w="108" w:type="dxa"/>
            <w:bottom w:w="0" w:type="dxa"/>
            <w:right w:w="108" w:type="dxa"/>
          </w:tblCellMar>
        </w:tblPrEx>
        <w:trPr>
          <w:trHeight w:val="312" w:hRule="exact"/>
        </w:trPr>
        <w:tc>
          <w:tcPr>
            <w:tcW w:w="108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科目代码</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科目名称</w:t>
            </w:r>
          </w:p>
        </w:tc>
        <w:tc>
          <w:tcPr>
            <w:tcW w:w="64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合计</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基本支出  </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项目支出</w:t>
            </w:r>
          </w:p>
        </w:tc>
      </w:tr>
      <w:tr>
        <w:tblPrEx>
          <w:tblCellMar>
            <w:top w:w="0" w:type="dxa"/>
            <w:left w:w="108" w:type="dxa"/>
            <w:bottom w:w="0" w:type="dxa"/>
            <w:right w:w="108" w:type="dxa"/>
          </w:tblCellMar>
        </w:tblPrEx>
        <w:trPr>
          <w:trHeight w:val="312" w:hRule="exact"/>
        </w:trPr>
        <w:tc>
          <w:tcPr>
            <w:tcW w:w="10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6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312" w:hRule="atLeast"/>
        </w:trPr>
        <w:tc>
          <w:tcPr>
            <w:tcW w:w="10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6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栏次</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3</w:t>
            </w:r>
          </w:p>
        </w:tc>
      </w:tr>
      <w:tr>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合计</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r>
              <w:rPr>
                <w:rFonts w:hint="eastAsia" w:ascii="Times New Roman" w:hAnsi="Times New Roman" w:eastAsia="仿宋_GB2312" w:cs="Times New Roman"/>
                <w:color w:val="000000"/>
                <w:sz w:val="24"/>
                <w:szCs w:val="24"/>
                <w:lang w:eastAsia="zh-CN"/>
              </w:rPr>
              <w:t>无</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0"/>
                <w:szCs w:val="20"/>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0"/>
                <w:szCs w:val="20"/>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r>
      <w:tr>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r>
      <w:tr>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r>
      <w:tr>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r>
    </w:tbl>
    <w:p>
      <w:pPr>
        <w:widowControl/>
        <w:spacing w:before="120"/>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color w:val="000000"/>
          <w:kern w:val="0"/>
          <w:sz w:val="24"/>
          <w:szCs w:val="24"/>
          <w:lang w:bidi="ar"/>
        </w:rPr>
        <w:t>注：本表反映部门本年度国有资本经营预算财政拨款支出情况。</w:t>
      </w:r>
    </w:p>
    <w:p>
      <w:pPr>
        <w:widowControl/>
        <w:jc w:val="left"/>
        <w:textAlignment w:val="center"/>
        <w:rPr>
          <w:rFonts w:ascii="Times New Roman" w:hAnsi="Times New Roman" w:eastAsia="宋体" w:cs="Times New Roman"/>
          <w:color w:val="000000"/>
          <w:kern w:val="0"/>
          <w:sz w:val="24"/>
          <w:szCs w:val="24"/>
          <w:lang w:bidi="ar"/>
        </w:rPr>
      </w:pPr>
    </w:p>
    <w:p>
      <w:pPr>
        <w:widowControl/>
        <w:jc w:val="left"/>
        <w:textAlignment w:val="center"/>
        <w:rPr>
          <w:rFonts w:ascii="Times New Roman" w:hAnsi="Times New Roman" w:eastAsia="楷体_GB2312" w:cs="Times New Roman"/>
          <w:color w:val="000000"/>
          <w:kern w:val="0"/>
          <w:sz w:val="24"/>
          <w:szCs w:val="24"/>
          <w:lang w:bidi="ar"/>
        </w:rPr>
      </w:pPr>
      <w:r>
        <w:rPr>
          <w:rFonts w:ascii="Times New Roman" w:hAnsi="Times New Roman" w:eastAsia="楷体_GB2312" w:cs="Times New Roman"/>
          <w:b/>
          <w:bCs/>
          <w:kern w:val="0"/>
          <w:sz w:val="24"/>
          <w:szCs w:val="24"/>
          <w:lang w:bidi="ar"/>
        </w:rPr>
        <w:t>说明：我单位没有使用国有资本经营预算安排的支出，故本表无数据。（当表格数据为空时，应有此说明）</w:t>
      </w:r>
    </w:p>
    <w:p>
      <w:pPr>
        <w:widowControl/>
        <w:jc w:val="center"/>
        <w:rPr>
          <w:rFonts w:ascii="Times New Roman" w:hAnsi="Times New Roman" w:eastAsia="方正小标宋_GBK" w:cs="Times New Roman"/>
          <w:color w:val="000000"/>
          <w:kern w:val="0"/>
          <w:sz w:val="36"/>
          <w:szCs w:val="36"/>
        </w:rPr>
      </w:pPr>
    </w:p>
    <w:p>
      <w:pPr>
        <w:pStyle w:val="2"/>
        <w:spacing w:line="400" w:lineRule="exact"/>
        <w:rPr>
          <w:rFonts w:ascii="Times New Roman" w:hAnsi="Times New Roman" w:eastAsia="华文中宋" w:cs="Times New Roman"/>
          <w:color w:val="000000"/>
          <w:kern w:val="0"/>
          <w:sz w:val="32"/>
          <w:szCs w:val="32"/>
          <w:lang w:bidi="ar"/>
        </w:rPr>
      </w:pPr>
    </w:p>
    <w:p>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财政拨款“三公”经费支出决算表</w:t>
      </w:r>
    </w:p>
    <w:p>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0"/>
          <w:szCs w:val="20"/>
        </w:rPr>
      </w:pP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kern w:val="0"/>
          <w:sz w:val="20"/>
          <w:szCs w:val="20"/>
          <w:lang w:bidi="ar"/>
        </w:rPr>
        <w:t>公开09表</w:t>
      </w:r>
    </w:p>
    <w:p>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0"/>
          <w:szCs w:val="20"/>
        </w:rPr>
      </w:pPr>
      <w:r>
        <w:rPr>
          <w:rFonts w:ascii="Times New Roman" w:hAnsi="Times New Roman" w:eastAsia="楷体_GB2312" w:cs="Times New Roman"/>
          <w:color w:val="000000"/>
          <w:kern w:val="0"/>
          <w:sz w:val="20"/>
          <w:szCs w:val="20"/>
          <w:lang w:bidi="ar"/>
        </w:rPr>
        <w:t>部门：</w:t>
      </w:r>
      <w:r>
        <w:rPr>
          <w:rFonts w:ascii="Times New Roman" w:hAnsi="Times New Roman" w:eastAsia="楷体_GB2312" w:cs="Times New Roman"/>
          <w:color w:val="000000"/>
          <w:sz w:val="20"/>
          <w:szCs w:val="20"/>
        </w:rPr>
        <w:tab/>
      </w:r>
      <w:r>
        <w:rPr>
          <w:rFonts w:hint="eastAsia" w:ascii="Times New Roman" w:hAnsi="Times New Roman" w:eastAsia="楷体_GB2312" w:cs="Times New Roman"/>
          <w:color w:val="000000"/>
          <w:sz w:val="20"/>
          <w:szCs w:val="20"/>
          <w:lang w:eastAsia="zh-CN"/>
        </w:rPr>
        <w:t>怀化市社会科学界联合会</w:t>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kern w:val="0"/>
          <w:sz w:val="20"/>
          <w:szCs w:val="20"/>
          <w:lang w:bidi="ar"/>
        </w:rPr>
        <w:t>单位：万元</w:t>
      </w:r>
    </w:p>
    <w:tbl>
      <w:tblPr>
        <w:tblStyle w:val="12"/>
        <w:tblW w:w="5114" w:type="pct"/>
        <w:jc w:val="center"/>
        <w:tblLayout w:type="autofit"/>
        <w:tblCellMar>
          <w:top w:w="0" w:type="dxa"/>
          <w:left w:w="108" w:type="dxa"/>
          <w:bottom w:w="0" w:type="dxa"/>
          <w:right w:w="108" w:type="dxa"/>
        </w:tblCellMar>
      </w:tblPr>
      <w:tblGrid>
        <w:gridCol w:w="934"/>
        <w:gridCol w:w="1228"/>
        <w:gridCol w:w="1085"/>
        <w:gridCol w:w="1187"/>
        <w:gridCol w:w="1425"/>
        <w:gridCol w:w="1379"/>
        <w:gridCol w:w="1050"/>
        <w:gridCol w:w="1166"/>
        <w:gridCol w:w="1166"/>
        <w:gridCol w:w="1166"/>
        <w:gridCol w:w="1358"/>
        <w:gridCol w:w="1400"/>
      </w:tblGrid>
      <w:tr>
        <w:tblPrEx>
          <w:tblCellMar>
            <w:top w:w="0" w:type="dxa"/>
            <w:left w:w="108" w:type="dxa"/>
            <w:bottom w:w="0" w:type="dxa"/>
            <w:right w:w="108" w:type="dxa"/>
          </w:tblCellMar>
        </w:tblPrEx>
        <w:trPr>
          <w:trHeight w:val="606" w:hRule="atLeast"/>
          <w:jc w:val="center"/>
        </w:trPr>
        <w:tc>
          <w:tcPr>
            <w:tcW w:w="2486"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预算数</w:t>
            </w:r>
          </w:p>
        </w:tc>
        <w:tc>
          <w:tcPr>
            <w:tcW w:w="2513"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决算数</w:t>
            </w:r>
          </w:p>
        </w:tc>
      </w:tr>
      <w:tr>
        <w:tblPrEx>
          <w:tblCellMar>
            <w:top w:w="0" w:type="dxa"/>
            <w:left w:w="108" w:type="dxa"/>
            <w:bottom w:w="0" w:type="dxa"/>
            <w:right w:w="108" w:type="dxa"/>
          </w:tblCellMar>
        </w:tblPrEx>
        <w:trPr>
          <w:trHeight w:val="495" w:hRule="atLeast"/>
          <w:jc w:val="center"/>
        </w:trPr>
        <w:tc>
          <w:tcPr>
            <w:tcW w:w="32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合计</w:t>
            </w:r>
          </w:p>
        </w:tc>
        <w:tc>
          <w:tcPr>
            <w:tcW w:w="42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因公出国（境）费</w:t>
            </w:r>
          </w:p>
        </w:tc>
        <w:tc>
          <w:tcPr>
            <w:tcW w:w="127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公务用车购置及运行维护费</w:t>
            </w:r>
          </w:p>
        </w:tc>
        <w:tc>
          <w:tcPr>
            <w:tcW w:w="47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公务接待费</w:t>
            </w:r>
          </w:p>
        </w:tc>
        <w:tc>
          <w:tcPr>
            <w:tcW w:w="36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合计</w:t>
            </w:r>
          </w:p>
        </w:tc>
        <w:tc>
          <w:tcPr>
            <w:tcW w:w="40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因公出国（境）费</w:t>
            </w:r>
          </w:p>
        </w:tc>
        <w:tc>
          <w:tcPr>
            <w:tcW w:w="126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公务用车购置及运行维护费</w:t>
            </w:r>
          </w:p>
        </w:tc>
        <w:tc>
          <w:tcPr>
            <w:tcW w:w="48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公务接待费</w:t>
            </w:r>
          </w:p>
        </w:tc>
      </w:tr>
      <w:tr>
        <w:tblPrEx>
          <w:tblCellMar>
            <w:top w:w="0" w:type="dxa"/>
            <w:left w:w="108" w:type="dxa"/>
            <w:bottom w:w="0" w:type="dxa"/>
            <w:right w:w="108" w:type="dxa"/>
          </w:tblCellMar>
        </w:tblPrEx>
        <w:trPr>
          <w:trHeight w:val="864" w:hRule="atLeast"/>
          <w:jc w:val="center"/>
        </w:trPr>
        <w:tc>
          <w:tcPr>
            <w:tcW w:w="32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42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小计</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购置费</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运行维护费</w:t>
            </w:r>
          </w:p>
        </w:tc>
        <w:tc>
          <w:tcPr>
            <w:tcW w:w="4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36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4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小计</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购置费</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运行维护费</w:t>
            </w:r>
          </w:p>
        </w:tc>
        <w:tc>
          <w:tcPr>
            <w:tcW w:w="48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614" w:hRule="atLeast"/>
          <w:jc w:val="center"/>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w:t>
            </w: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w:t>
            </w: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3</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4</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5</w:t>
            </w:r>
          </w:p>
        </w:tc>
        <w:tc>
          <w:tcPr>
            <w:tcW w:w="47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6</w:t>
            </w:r>
          </w:p>
        </w:tc>
        <w:tc>
          <w:tcPr>
            <w:tcW w:w="36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7</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8</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9</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10</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11</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12</w:t>
            </w:r>
          </w:p>
        </w:tc>
      </w:tr>
      <w:tr>
        <w:tblPrEx>
          <w:tblCellMar>
            <w:top w:w="0" w:type="dxa"/>
            <w:left w:w="108" w:type="dxa"/>
            <w:bottom w:w="0" w:type="dxa"/>
            <w:right w:w="108" w:type="dxa"/>
          </w:tblCellMar>
        </w:tblPrEx>
        <w:trPr>
          <w:trHeight w:val="579" w:hRule="atLeast"/>
          <w:jc w:val="center"/>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2</w:t>
            </w: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2</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1.45</w:t>
            </w:r>
          </w:p>
        </w:tc>
        <w:tc>
          <w:tcPr>
            <w:tcW w:w="471"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0.55</w:t>
            </w:r>
          </w:p>
        </w:tc>
        <w:tc>
          <w:tcPr>
            <w:tcW w:w="361"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1.63</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1.63</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1.51</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0.12</w:t>
            </w:r>
          </w:p>
        </w:tc>
      </w:tr>
    </w:tbl>
    <w:p>
      <w:pPr>
        <w:widowControl/>
        <w:spacing w:before="120"/>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注：本表反映部门本年度财政拨款“三公”经费支出预决算情况。其中，预算数为“三公”经费全年预算数，反映按规定程序调整后的预算数；决算数是包括当年财政拨款和以前年度结转资金安排的实际支出。</w:t>
      </w:r>
    </w:p>
    <w:p>
      <w:pPr>
        <w:autoSpaceDE w:val="0"/>
        <w:autoSpaceDN w:val="0"/>
        <w:adjustRightInd w:val="0"/>
        <w:ind w:left="315" w:leftChars="150"/>
        <w:jc w:val="left"/>
        <w:rPr>
          <w:rFonts w:ascii="Times New Roman" w:hAnsi="Times New Roman" w:eastAsia="宋体" w:cs="Times New Roman"/>
          <w:kern w:val="0"/>
          <w:sz w:val="24"/>
          <w:szCs w:val="24"/>
        </w:rPr>
      </w:pPr>
    </w:p>
    <w:p>
      <w:pPr>
        <w:autoSpaceDE w:val="0"/>
        <w:autoSpaceDN w:val="0"/>
        <w:adjustRightInd w:val="0"/>
        <w:ind w:left="315" w:leftChars="150"/>
        <w:jc w:val="left"/>
        <w:rPr>
          <w:rFonts w:ascii="Times New Roman" w:hAnsi="Times New Roman" w:eastAsia="宋体" w:cs="Times New Roman"/>
          <w:kern w:val="0"/>
          <w:sz w:val="24"/>
          <w:szCs w:val="24"/>
        </w:rPr>
      </w:pPr>
    </w:p>
    <w:p>
      <w:pPr>
        <w:autoSpaceDE w:val="0"/>
        <w:autoSpaceDN w:val="0"/>
        <w:adjustRightInd w:val="0"/>
        <w:ind w:left="315" w:leftChars="150"/>
        <w:jc w:val="left"/>
        <w:rPr>
          <w:rFonts w:ascii="Times New Roman" w:hAnsi="Times New Roman" w:eastAsia="宋体" w:cs="Times New Roman"/>
          <w:kern w:val="0"/>
          <w:sz w:val="24"/>
          <w:szCs w:val="24"/>
        </w:rPr>
      </w:pPr>
    </w:p>
    <w:p>
      <w:pPr>
        <w:autoSpaceDE w:val="0"/>
        <w:autoSpaceDN w:val="0"/>
        <w:adjustRightInd w:val="0"/>
        <w:ind w:left="315" w:leftChars="150"/>
        <w:jc w:val="left"/>
        <w:rPr>
          <w:rFonts w:ascii="Times New Roman" w:hAnsi="Times New Roman" w:eastAsia="宋体" w:cs="Times New Roman"/>
          <w:kern w:val="0"/>
          <w:sz w:val="24"/>
          <w:szCs w:val="24"/>
        </w:rPr>
      </w:pPr>
    </w:p>
    <w:p>
      <w:pPr>
        <w:autoSpaceDE w:val="0"/>
        <w:autoSpaceDN w:val="0"/>
        <w:adjustRightInd w:val="0"/>
        <w:ind w:left="315" w:leftChars="150"/>
        <w:jc w:val="left"/>
        <w:rPr>
          <w:rFonts w:ascii="Times New Roman" w:hAnsi="Times New Roman" w:eastAsia="宋体" w:cs="Times New Roman"/>
          <w:kern w:val="0"/>
          <w:sz w:val="24"/>
          <w:szCs w:val="24"/>
        </w:rPr>
      </w:pPr>
    </w:p>
    <w:p>
      <w:pPr>
        <w:widowControl/>
        <w:rPr>
          <w:rFonts w:ascii="Times New Roman" w:hAnsi="Times New Roman" w:cs="Times New Roman"/>
          <w:sz w:val="72"/>
          <w:szCs w:val="72"/>
        </w:rPr>
        <w:sectPr>
          <w:pgSz w:w="16838" w:h="11906" w:orient="landscape"/>
          <w:pgMar w:top="1134" w:right="1417" w:bottom="1134" w:left="1417" w:header="851" w:footer="992" w:gutter="0"/>
          <w:cols w:space="425" w:num="1"/>
          <w:docGrid w:type="lines" w:linePitch="312" w:charSpace="0"/>
        </w:sectPr>
      </w:pPr>
      <w:r>
        <w:rPr>
          <w:rFonts w:ascii="Times New Roman" w:hAnsi="Times New Roman" w:eastAsia="黑体" w:cs="Times New Roman"/>
          <w:szCs w:val="21"/>
        </w:rPr>
        <w:br w:type="page"/>
      </w:r>
    </w:p>
    <w:p>
      <w:pPr>
        <w:pStyle w:val="16"/>
        <w:rPr>
          <w:rFonts w:ascii="Times New Roman" w:hAnsi="Times New Roman" w:cs="Times New Roman"/>
          <w:sz w:val="72"/>
          <w:szCs w:val="72"/>
        </w:rPr>
      </w:pPr>
    </w:p>
    <w:p>
      <w:pPr>
        <w:pStyle w:val="16"/>
        <w:rPr>
          <w:rFonts w:ascii="Times New Roman" w:hAnsi="Times New Roman" w:cs="Times New Roman"/>
          <w:sz w:val="72"/>
          <w:szCs w:val="72"/>
        </w:rPr>
      </w:pPr>
    </w:p>
    <w:p>
      <w:pPr>
        <w:pStyle w:val="16"/>
        <w:rPr>
          <w:rFonts w:ascii="Times New Roman" w:hAnsi="Times New Roman" w:cs="Times New Roman"/>
          <w:sz w:val="72"/>
          <w:szCs w:val="72"/>
        </w:rPr>
      </w:pPr>
    </w:p>
    <w:p>
      <w:pPr>
        <w:pStyle w:val="16"/>
        <w:jc w:val="center"/>
        <w:rPr>
          <w:rFonts w:ascii="Times New Roman" w:hAnsi="Times New Roman" w:cs="Times New Roman"/>
          <w:sz w:val="72"/>
          <w:szCs w:val="72"/>
        </w:rPr>
      </w:pPr>
    </w:p>
    <w:p>
      <w:pPr>
        <w:pStyle w:val="16"/>
        <w:jc w:val="center"/>
        <w:rPr>
          <w:rFonts w:ascii="Times New Roman" w:hAnsi="Times New Roman" w:eastAsia="方正小标宋_GBK" w:cs="Times New Roman"/>
          <w:sz w:val="72"/>
          <w:szCs w:val="72"/>
        </w:rPr>
      </w:pPr>
    </w:p>
    <w:p>
      <w:pPr>
        <w:pStyle w:val="16"/>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第三部分</w:t>
      </w:r>
    </w:p>
    <w:p>
      <w:pPr>
        <w:pStyle w:val="16"/>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202</w:t>
      </w:r>
      <w:r>
        <w:rPr>
          <w:rFonts w:hint="eastAsia" w:ascii="Times New Roman" w:hAnsi="Times New Roman" w:eastAsia="方正小标宋_GBK" w:cs="Times New Roman"/>
          <w:sz w:val="52"/>
          <w:szCs w:val="52"/>
          <w:lang w:val="en-US" w:eastAsia="zh-CN"/>
        </w:rPr>
        <w:t>5</w:t>
      </w:r>
      <w:r>
        <w:rPr>
          <w:rFonts w:ascii="Times New Roman" w:hAnsi="Times New Roman" w:eastAsia="方正小标宋_GBK" w:cs="Times New Roman"/>
          <w:sz w:val="52"/>
          <w:szCs w:val="52"/>
        </w:rPr>
        <w:t>年度部门决算情况说明</w:t>
      </w:r>
    </w:p>
    <w:p>
      <w:pPr>
        <w:widowControl/>
        <w:jc w:val="left"/>
        <w:rPr>
          <w:rFonts w:ascii="Times New Roman" w:hAnsi="Times New Roman" w:cs="Times New Roman"/>
          <w:sz w:val="32"/>
          <w:szCs w:val="32"/>
        </w:rPr>
      </w:pPr>
      <w:r>
        <w:rPr>
          <w:rFonts w:ascii="Times New Roman" w:hAnsi="Times New Roman" w:eastAsia="方正小标宋_GBK" w:cs="Times New Roman"/>
          <w:sz w:val="70"/>
          <w:szCs w:val="70"/>
        </w:rPr>
        <w:br w:type="page"/>
      </w:r>
    </w:p>
    <w:p>
      <w:pPr>
        <w:pStyle w:val="16"/>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一、收入支出决算总体情况说明</w:t>
      </w:r>
    </w:p>
    <w:p>
      <w:pPr>
        <w:pStyle w:val="16"/>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年度收、支总计</w:t>
      </w:r>
      <w:r>
        <w:rPr>
          <w:rFonts w:hint="eastAsia" w:ascii="Times New Roman" w:hAnsi="Times New Roman" w:eastAsia="仿宋_GB2312" w:cs="Times New Roman"/>
          <w:sz w:val="32"/>
          <w:szCs w:val="32"/>
          <w:lang w:val="en-US" w:eastAsia="zh-CN"/>
        </w:rPr>
        <w:t>255.26</w:t>
      </w:r>
      <w:r>
        <w:rPr>
          <w:rFonts w:ascii="Times New Roman" w:hAnsi="Times New Roman" w:eastAsia="仿宋_GB2312" w:cs="Times New Roman"/>
          <w:sz w:val="32"/>
          <w:szCs w:val="32"/>
        </w:rPr>
        <w:t>万元。与上年相比，减少</w:t>
      </w:r>
      <w:r>
        <w:rPr>
          <w:rFonts w:hint="eastAsia" w:ascii="Times New Roman" w:hAnsi="Times New Roman" w:eastAsia="仿宋_GB2312" w:cs="Times New Roman"/>
          <w:sz w:val="32"/>
          <w:szCs w:val="32"/>
          <w:lang w:val="en-US" w:eastAsia="zh-CN"/>
        </w:rPr>
        <w:t>18.01</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6.5</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eastAsia="zh-CN"/>
        </w:rPr>
        <w:t>人员经费减少等。贯彻落实党政机关习惯过紧日子有关要求，厉行节约办一切事业，严控一般性支出，进一步优化支出结构，持续压降“三公”经费、办公经费、会议培训等行政开支。。</w:t>
      </w:r>
    </w:p>
    <w:p>
      <w:pPr>
        <w:pStyle w:val="16"/>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二、收入决算情况说明</w:t>
      </w:r>
    </w:p>
    <w:p>
      <w:pPr>
        <w:pStyle w:val="16"/>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年度收入合计</w:t>
      </w:r>
      <w:r>
        <w:rPr>
          <w:rFonts w:hint="eastAsia" w:ascii="Times New Roman" w:hAnsi="Times New Roman" w:eastAsia="仿宋_GB2312" w:cs="Times New Roman"/>
          <w:sz w:val="32"/>
          <w:szCs w:val="32"/>
          <w:lang w:val="en-US" w:eastAsia="zh-CN"/>
        </w:rPr>
        <w:t>255.26</w:t>
      </w:r>
      <w:r>
        <w:rPr>
          <w:rFonts w:ascii="Times New Roman" w:hAnsi="Times New Roman" w:eastAsia="仿宋_GB2312" w:cs="Times New Roman"/>
          <w:sz w:val="32"/>
          <w:szCs w:val="32"/>
        </w:rPr>
        <w:t>万元，其中：财政拨款收入</w:t>
      </w:r>
      <w:r>
        <w:rPr>
          <w:rFonts w:hint="eastAsia" w:ascii="Times New Roman" w:hAnsi="Times New Roman" w:eastAsia="仿宋_GB2312" w:cs="Times New Roman"/>
          <w:sz w:val="32"/>
          <w:szCs w:val="32"/>
          <w:lang w:val="en-US" w:eastAsia="zh-CN"/>
        </w:rPr>
        <w:t>255.26</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p>
    <w:p>
      <w:pPr>
        <w:pStyle w:val="16"/>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三、支出决算情况说明</w:t>
      </w:r>
    </w:p>
    <w:p>
      <w:pPr>
        <w:pStyle w:val="16"/>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年度支出合计</w:t>
      </w:r>
      <w:r>
        <w:rPr>
          <w:rFonts w:hint="eastAsia" w:ascii="Times New Roman" w:hAnsi="Times New Roman" w:eastAsia="仿宋_GB2312" w:cs="Times New Roman"/>
          <w:sz w:val="32"/>
          <w:szCs w:val="32"/>
          <w:lang w:val="en-US" w:eastAsia="zh-CN"/>
        </w:rPr>
        <w:t>255.26</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lang w:val="en-US" w:eastAsia="zh-CN"/>
        </w:rPr>
        <w:t>204.54</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80.14</w:t>
      </w:r>
      <w:r>
        <w:rPr>
          <w:rFonts w:ascii="Times New Roman" w:hAnsi="Times New Roman" w:eastAsia="仿宋_GB2312" w:cs="Times New Roman"/>
          <w:sz w:val="32"/>
          <w:szCs w:val="32"/>
        </w:rPr>
        <w:t>%；项目支出</w:t>
      </w:r>
      <w:r>
        <w:rPr>
          <w:rFonts w:hint="eastAsia" w:ascii="Times New Roman" w:hAnsi="Times New Roman" w:eastAsia="仿宋_GB2312" w:cs="Times New Roman"/>
          <w:sz w:val="32"/>
          <w:szCs w:val="32"/>
          <w:lang w:val="en-US" w:eastAsia="zh-CN"/>
        </w:rPr>
        <w:t>50.72</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19.86</w:t>
      </w:r>
      <w:r>
        <w:rPr>
          <w:rFonts w:ascii="Times New Roman" w:hAnsi="Times New Roman" w:eastAsia="仿宋_GB2312" w:cs="Times New Roman"/>
          <w:sz w:val="32"/>
          <w:szCs w:val="32"/>
        </w:rPr>
        <w:t>%。</w:t>
      </w:r>
    </w:p>
    <w:p>
      <w:pPr>
        <w:pStyle w:val="16"/>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四、财政拨款收入支出决算总体情况说明</w:t>
      </w:r>
    </w:p>
    <w:p>
      <w:pPr>
        <w:pStyle w:val="16"/>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年度财政拨款收、支总计</w:t>
      </w:r>
      <w:r>
        <w:rPr>
          <w:rFonts w:hint="eastAsia" w:ascii="Times New Roman" w:hAnsi="Times New Roman" w:eastAsia="仿宋_GB2312" w:cs="Times New Roman"/>
          <w:sz w:val="32"/>
          <w:szCs w:val="32"/>
          <w:lang w:val="en-US" w:eastAsia="zh-CN"/>
        </w:rPr>
        <w:t>255.26</w:t>
      </w:r>
      <w:r>
        <w:rPr>
          <w:rFonts w:ascii="Times New Roman" w:hAnsi="Times New Roman" w:eastAsia="仿宋_GB2312" w:cs="Times New Roman"/>
          <w:sz w:val="32"/>
          <w:szCs w:val="32"/>
        </w:rPr>
        <w:t>万元，与上年相比，减少</w:t>
      </w:r>
      <w:r>
        <w:rPr>
          <w:rFonts w:hint="eastAsia" w:ascii="Times New Roman" w:hAnsi="Times New Roman" w:eastAsia="仿宋_GB2312" w:cs="Times New Roman"/>
          <w:sz w:val="32"/>
          <w:szCs w:val="32"/>
          <w:lang w:val="en-US" w:eastAsia="zh-CN"/>
        </w:rPr>
        <w:t>18.01</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6.5</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eastAsia="zh-CN"/>
        </w:rPr>
        <w:t>人员经费减少等。</w:t>
      </w:r>
    </w:p>
    <w:p>
      <w:pPr>
        <w:pStyle w:val="16"/>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五、一般公共预算财政拨款支出决算情况说明</w:t>
      </w:r>
    </w:p>
    <w:p>
      <w:pPr>
        <w:pStyle w:val="16"/>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（一）一般公共预算财政拨款支出决算总体情况</w:t>
      </w:r>
    </w:p>
    <w:p>
      <w:pPr>
        <w:pStyle w:val="16"/>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w:t>
      </w:r>
      <w:r>
        <w:rPr>
          <w:rFonts w:hint="eastAsia" w:ascii="Times New Roman" w:hAnsi="Times New Roman" w:eastAsia="仿宋_GB2312" w:cs="Times New Roman"/>
          <w:sz w:val="32"/>
          <w:szCs w:val="32"/>
          <w:lang w:val="en-US" w:eastAsia="zh-CN"/>
        </w:rPr>
        <w:t>255.26</w:t>
      </w:r>
      <w:r>
        <w:rPr>
          <w:rFonts w:ascii="Times New Roman" w:hAnsi="Times New Roman" w:eastAsia="仿宋_GB2312" w:cs="Times New Roman"/>
          <w:sz w:val="32"/>
          <w:szCs w:val="32"/>
        </w:rPr>
        <w:t>万元，占本年支出合计的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%，与上年相比，财政拨款支出减少</w:t>
      </w:r>
      <w:r>
        <w:rPr>
          <w:rFonts w:hint="eastAsia" w:ascii="Times New Roman" w:hAnsi="Times New Roman" w:eastAsia="仿宋_GB2312" w:cs="Times New Roman"/>
          <w:sz w:val="32"/>
          <w:szCs w:val="32"/>
          <w:lang w:val="en-US" w:eastAsia="zh-CN"/>
        </w:rPr>
        <w:t>18.01</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6.5</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eastAsia="zh-CN"/>
        </w:rPr>
        <w:t>人员经费减少等。</w:t>
      </w:r>
    </w:p>
    <w:p>
      <w:pPr>
        <w:pStyle w:val="16"/>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（二）一般公共预算财政拨款支出决算结构情况</w:t>
      </w:r>
    </w:p>
    <w:p>
      <w:pPr>
        <w:pStyle w:val="16"/>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eastAsia="zh-CN"/>
        </w:rPr>
        <w:t>2025年</w:t>
      </w:r>
      <w:r>
        <w:rPr>
          <w:rFonts w:ascii="Times New Roman" w:hAnsi="Times New Roman" w:eastAsia="仿宋_GB2312" w:cs="Times New Roman"/>
          <w:sz w:val="32"/>
          <w:szCs w:val="32"/>
        </w:rPr>
        <w:t>度财政拨款支出</w:t>
      </w:r>
      <w:r>
        <w:rPr>
          <w:rFonts w:hint="eastAsia" w:ascii="Times New Roman" w:hAnsi="Times New Roman" w:eastAsia="仿宋_GB2312" w:cs="Times New Roman"/>
          <w:sz w:val="32"/>
          <w:szCs w:val="32"/>
          <w:lang w:val="en-US" w:eastAsia="zh-CN"/>
        </w:rPr>
        <w:t>255.26</w:t>
      </w:r>
      <w:r>
        <w:rPr>
          <w:rFonts w:ascii="Times New Roman" w:hAnsi="Times New Roman" w:eastAsia="仿宋_GB2312" w:cs="Times New Roman"/>
          <w:sz w:val="32"/>
          <w:szCs w:val="32"/>
        </w:rPr>
        <w:t>万元，主要用于以下方面：一般公共服务（类）支出</w:t>
      </w:r>
      <w:r>
        <w:rPr>
          <w:rFonts w:hint="eastAsia" w:ascii="Times New Roman" w:hAnsi="Times New Roman" w:eastAsia="仿宋_GB2312" w:cs="Times New Roman"/>
          <w:sz w:val="32"/>
          <w:szCs w:val="32"/>
          <w:lang w:val="en-US" w:eastAsia="zh-CN"/>
        </w:rPr>
        <w:t>255.26</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w:t>
      </w:r>
    </w:p>
    <w:p>
      <w:pPr>
        <w:pStyle w:val="16"/>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（三）一般公共预算财政拨款支出决算具体情况</w:t>
      </w:r>
    </w:p>
    <w:p>
      <w:pPr>
        <w:pStyle w:val="16"/>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年度财政拨款支出年初预算数为</w:t>
      </w:r>
      <w:r>
        <w:rPr>
          <w:rFonts w:hint="eastAsia" w:ascii="Times New Roman" w:hAnsi="Times New Roman" w:eastAsia="仿宋_GB2312" w:cs="Times New Roman"/>
          <w:sz w:val="32"/>
          <w:szCs w:val="32"/>
          <w:lang w:val="en-US" w:eastAsia="zh-CN"/>
        </w:rPr>
        <w:t>200.25</w:t>
      </w:r>
      <w:r>
        <w:rPr>
          <w:rFonts w:ascii="Times New Roman" w:hAnsi="Times New Roman" w:eastAsia="仿宋_GB2312" w:cs="Times New Roman"/>
          <w:sz w:val="32"/>
          <w:szCs w:val="32"/>
        </w:rPr>
        <w:t>万元，支出决算数为</w:t>
      </w:r>
      <w:r>
        <w:rPr>
          <w:rFonts w:hint="eastAsia" w:ascii="Times New Roman" w:hAnsi="Times New Roman" w:eastAsia="仿宋_GB2312" w:cs="Times New Roman"/>
          <w:sz w:val="32"/>
          <w:szCs w:val="32"/>
          <w:lang w:val="en-US" w:eastAsia="zh-CN"/>
        </w:rPr>
        <w:t>255.26</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127.47</w:t>
      </w:r>
      <w:r>
        <w:rPr>
          <w:rFonts w:ascii="Times New Roman" w:hAnsi="Times New Roman" w:eastAsia="仿宋_GB2312" w:cs="Times New Roman"/>
          <w:sz w:val="32"/>
          <w:szCs w:val="32"/>
        </w:rPr>
        <w:t>%，其中：</w:t>
      </w:r>
    </w:p>
    <w:p>
      <w:pPr>
        <w:pStyle w:val="16"/>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1、</w:t>
      </w:r>
      <w:r>
        <w:rPr>
          <w:rFonts w:hint="eastAsia" w:ascii="Times New Roman" w:hAnsi="Times New Roman" w:eastAsia="仿宋_GB2312"/>
          <w:sz w:val="32"/>
          <w:szCs w:val="32"/>
        </w:rPr>
        <w:t>一般公共服务（类）群众团体事务（款）行政运行（项）</w:t>
      </w:r>
      <w:r>
        <w:rPr>
          <w:rFonts w:ascii="Times New Roman" w:hAnsi="Times New Roman" w:eastAsia="仿宋_GB2312" w:cs="Times New Roman"/>
          <w:sz w:val="32"/>
          <w:szCs w:val="32"/>
        </w:rPr>
        <w:t>。</w:t>
      </w:r>
    </w:p>
    <w:p>
      <w:pPr>
        <w:pStyle w:val="16"/>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200.25</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255.26</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127.47</w:t>
      </w:r>
      <w:r>
        <w:rPr>
          <w:rFonts w:ascii="Times New Roman" w:hAnsi="Times New Roman" w:eastAsia="仿宋_GB2312" w:cs="Times New Roman"/>
          <w:sz w:val="32"/>
          <w:szCs w:val="32"/>
        </w:rPr>
        <w:t>%，决算数大于年初预算数的主要原因是：</w:t>
      </w:r>
      <w:r>
        <w:rPr>
          <w:rFonts w:hint="eastAsia" w:ascii="Times New Roman" w:hAnsi="Times New Roman" w:eastAsia="仿宋_GB2312" w:cs="Times New Roman"/>
          <w:sz w:val="32"/>
          <w:szCs w:val="32"/>
        </w:rPr>
        <w:t>绩效、工资等调标，承担省社科</w:t>
      </w:r>
      <w:r>
        <w:rPr>
          <w:rFonts w:hint="eastAsia" w:ascii="Times New Roman" w:hAnsi="Times New Roman" w:eastAsia="仿宋_GB2312" w:cs="Times New Roman"/>
          <w:sz w:val="32"/>
          <w:szCs w:val="32"/>
          <w:lang w:eastAsia="zh-CN"/>
        </w:rPr>
        <w:t>湖湘大学堂</w:t>
      </w:r>
      <w:r>
        <w:rPr>
          <w:rFonts w:hint="eastAsia" w:ascii="Times New Roman" w:hAnsi="Times New Roman" w:eastAsia="仿宋_GB2312" w:cs="Times New Roman"/>
          <w:sz w:val="32"/>
          <w:szCs w:val="32"/>
        </w:rPr>
        <w:t>等。</w:t>
      </w:r>
    </w:p>
    <w:p>
      <w:pPr>
        <w:pStyle w:val="16"/>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六、一般公共预算财政拨款基本支出决算情况说明</w:t>
      </w:r>
    </w:p>
    <w:p>
      <w:pPr>
        <w:pStyle w:val="16"/>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年度一般公共预算财政拨款基本支出</w:t>
      </w:r>
      <w:r>
        <w:rPr>
          <w:rFonts w:hint="eastAsia" w:ascii="Times New Roman" w:hAnsi="Times New Roman" w:eastAsia="仿宋_GB2312" w:cs="Times New Roman"/>
          <w:sz w:val="32"/>
          <w:szCs w:val="32"/>
        </w:rPr>
        <w:t>出204.54</w:t>
      </w:r>
      <w:r>
        <w:rPr>
          <w:rFonts w:ascii="Times New Roman" w:hAnsi="Times New Roman" w:eastAsia="仿宋_GB2312" w:cs="Times New Roman"/>
          <w:sz w:val="32"/>
          <w:szCs w:val="32"/>
        </w:rPr>
        <w:t>万元，其中：</w:t>
      </w:r>
    </w:p>
    <w:p>
      <w:pPr>
        <w:pStyle w:val="16"/>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b/>
          <w:bCs/>
          <w:sz w:val="32"/>
          <w:szCs w:val="32"/>
        </w:rPr>
        <w:t>人员经费</w:t>
      </w:r>
      <w:r>
        <w:rPr>
          <w:rFonts w:hint="eastAsia" w:ascii="Times New Roman" w:hAnsi="Times New Roman" w:eastAsia="仿宋_GB2312" w:cs="Times New Roman"/>
          <w:sz w:val="32"/>
          <w:szCs w:val="32"/>
        </w:rPr>
        <w:t>157.16</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76.83</w:t>
      </w:r>
      <w:r>
        <w:rPr>
          <w:rFonts w:ascii="Times New Roman" w:hAnsi="Times New Roman" w:eastAsia="仿宋_GB2312" w:cs="Times New Roman"/>
          <w:sz w:val="32"/>
          <w:szCs w:val="32"/>
        </w:rPr>
        <w:t>%,主要包括基本工资</w:t>
      </w:r>
      <w:r>
        <w:rPr>
          <w:rFonts w:hint="eastAsia" w:ascii="Times New Roman" w:hAnsi="Times New Roman" w:eastAsia="仿宋_GB2312" w:cs="Times New Roman"/>
          <w:sz w:val="32"/>
          <w:szCs w:val="32"/>
          <w:lang w:val="en-US" w:eastAsia="zh-CN"/>
        </w:rPr>
        <w:t>57.34</w:t>
      </w:r>
      <w:r>
        <w:rPr>
          <w:rFonts w:ascii="Times New Roman" w:hAnsi="Times New Roman" w:eastAsia="仿宋_GB2312" w:cs="Times New Roman"/>
          <w:sz w:val="32"/>
          <w:szCs w:val="32"/>
        </w:rPr>
        <w:t>万元、津贴补贴</w:t>
      </w:r>
      <w:r>
        <w:rPr>
          <w:rFonts w:hint="eastAsia" w:ascii="Times New Roman" w:hAnsi="Times New Roman" w:eastAsia="仿宋_GB2312" w:cs="Times New Roman"/>
          <w:sz w:val="32"/>
          <w:szCs w:val="32"/>
          <w:lang w:val="en-US" w:eastAsia="zh-CN"/>
        </w:rPr>
        <w:t>25.54</w:t>
      </w:r>
      <w:r>
        <w:rPr>
          <w:rFonts w:ascii="Times New Roman" w:hAnsi="Times New Roman" w:eastAsia="仿宋_GB2312" w:cs="Times New Roman"/>
          <w:sz w:val="32"/>
          <w:szCs w:val="32"/>
        </w:rPr>
        <w:t>万元、奖金</w:t>
      </w:r>
      <w:r>
        <w:rPr>
          <w:rFonts w:hint="eastAsia" w:ascii="Times New Roman" w:hAnsi="Times New Roman" w:eastAsia="仿宋_GB2312" w:cs="Times New Roman"/>
          <w:sz w:val="32"/>
          <w:szCs w:val="32"/>
          <w:lang w:val="en-US" w:eastAsia="zh-CN"/>
        </w:rPr>
        <w:t>18.38</w:t>
      </w:r>
      <w:r>
        <w:rPr>
          <w:rFonts w:ascii="Times New Roman" w:hAnsi="Times New Roman" w:eastAsia="仿宋_GB2312" w:cs="Times New Roman"/>
          <w:sz w:val="32"/>
          <w:szCs w:val="32"/>
        </w:rPr>
        <w:t>万元、伙食补助费</w:t>
      </w:r>
      <w:r>
        <w:rPr>
          <w:rFonts w:hint="eastAsia" w:ascii="Times New Roman" w:hAnsi="Times New Roman" w:eastAsia="仿宋_GB2312" w:cs="Times New Roman"/>
          <w:sz w:val="32"/>
          <w:szCs w:val="32"/>
          <w:lang w:val="en-US" w:eastAsia="zh-CN"/>
        </w:rPr>
        <w:t>3.5</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、绩效工资</w:t>
      </w:r>
      <w:r>
        <w:rPr>
          <w:rFonts w:hint="eastAsia" w:ascii="Times New Roman" w:hAnsi="Times New Roman" w:eastAsia="仿宋_GB2312" w:cs="Times New Roman"/>
          <w:sz w:val="32"/>
          <w:szCs w:val="32"/>
          <w:lang w:val="en-US" w:eastAsia="zh-CN"/>
        </w:rPr>
        <w:t>2018</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、机关事业单位基本养老保险</w:t>
      </w:r>
      <w:r>
        <w:rPr>
          <w:rFonts w:hint="eastAsia" w:ascii="Times New Roman" w:hAnsi="Times New Roman" w:eastAsia="仿宋_GB2312" w:cs="Times New Roman"/>
          <w:sz w:val="32"/>
          <w:szCs w:val="32"/>
          <w:lang w:val="en-US" w:eastAsia="zh-CN"/>
        </w:rPr>
        <w:t>11.58</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、职工基本医疗保险缴费</w:t>
      </w:r>
      <w:r>
        <w:rPr>
          <w:rFonts w:hint="eastAsia" w:ascii="Times New Roman" w:hAnsi="Times New Roman" w:eastAsia="仿宋_GB2312" w:cs="Times New Roman"/>
          <w:sz w:val="32"/>
          <w:szCs w:val="32"/>
          <w:lang w:val="en-US" w:eastAsia="zh-CN"/>
        </w:rPr>
        <w:t>6.27</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、其他社会保险缴费</w:t>
      </w:r>
      <w:r>
        <w:rPr>
          <w:rFonts w:hint="eastAsia" w:ascii="Times New Roman" w:hAnsi="Times New Roman" w:eastAsia="仿宋_GB2312" w:cs="Times New Roman"/>
          <w:sz w:val="32"/>
          <w:szCs w:val="32"/>
          <w:lang w:val="en-US" w:eastAsia="zh-CN"/>
        </w:rPr>
        <w:t>0.68</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、住房公积金</w:t>
      </w:r>
      <w:r>
        <w:rPr>
          <w:rFonts w:hint="eastAsia" w:ascii="Times New Roman" w:hAnsi="Times New Roman" w:eastAsia="仿宋_GB2312" w:cs="Times New Roman"/>
          <w:sz w:val="32"/>
          <w:szCs w:val="32"/>
          <w:lang w:val="en-US" w:eastAsia="zh-CN"/>
        </w:rPr>
        <w:t>13.49</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，对个人和家庭的补助</w:t>
      </w:r>
      <w:r>
        <w:rPr>
          <w:rFonts w:hint="eastAsia" w:ascii="Times New Roman" w:hAnsi="Times New Roman" w:eastAsia="仿宋_GB2312" w:cs="Times New Roman"/>
          <w:sz w:val="32"/>
          <w:szCs w:val="32"/>
          <w:lang w:val="en-US" w:eastAsia="zh-CN"/>
        </w:rPr>
        <w:t>0.2万元</w:t>
      </w:r>
      <w:r>
        <w:rPr>
          <w:rFonts w:ascii="Times New Roman" w:hAnsi="Times New Roman" w:eastAsia="仿宋_GB2312" w:cs="Times New Roman"/>
          <w:sz w:val="32"/>
          <w:szCs w:val="32"/>
        </w:rPr>
        <w:t>。</w:t>
      </w:r>
    </w:p>
    <w:p>
      <w:pPr>
        <w:pStyle w:val="16"/>
        <w:overflowPunct w:val="0"/>
        <w:autoSpaceDE/>
        <w:autoSpaceDN/>
        <w:spacing w:line="600" w:lineRule="exact"/>
        <w:ind w:firstLine="640" w:firstLineChars="200"/>
        <w:jc w:val="both"/>
        <w:rPr>
          <w:rFonts w:ascii="Times New Roman" w:hAnsi="Times New Roman" w:eastAsia="仿宋_GB2312" w:cs="Times New Roman"/>
          <w:b/>
          <w:sz w:val="32"/>
          <w:szCs w:val="32"/>
        </w:rPr>
      </w:pPr>
      <w:r>
        <w:rPr>
          <w:rFonts w:ascii="Times New Roman" w:hAnsi="Times New Roman" w:eastAsia="仿宋_GB2312" w:cs="Times New Roman"/>
          <w:b/>
          <w:bCs/>
          <w:sz w:val="32"/>
          <w:szCs w:val="32"/>
        </w:rPr>
        <w:t>公用经费</w:t>
      </w:r>
      <w:r>
        <w:rPr>
          <w:rFonts w:hint="eastAsia" w:ascii="Times New Roman" w:hAnsi="Times New Roman" w:eastAsia="仿宋_GB2312" w:cs="Times New Roman"/>
          <w:sz w:val="32"/>
          <w:szCs w:val="32"/>
          <w:lang w:val="en-US" w:eastAsia="zh-CN"/>
        </w:rPr>
        <w:t>91.28</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23.17</w:t>
      </w:r>
      <w:r>
        <w:rPr>
          <w:rFonts w:ascii="Times New Roman" w:hAnsi="Times New Roman" w:eastAsia="仿宋_GB2312" w:cs="Times New Roman"/>
          <w:sz w:val="32"/>
          <w:szCs w:val="32"/>
        </w:rPr>
        <w:t>%，主要包括办公费</w:t>
      </w:r>
      <w:r>
        <w:rPr>
          <w:rFonts w:hint="eastAsia" w:ascii="Times New Roman" w:hAnsi="Times New Roman" w:eastAsia="仿宋_GB2312" w:cs="Times New Roman"/>
          <w:sz w:val="32"/>
          <w:szCs w:val="32"/>
          <w:lang w:val="en-US" w:eastAsia="zh-CN"/>
        </w:rPr>
        <w:t>68.98</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电费</w:t>
      </w:r>
      <w:r>
        <w:rPr>
          <w:rFonts w:hint="eastAsia" w:ascii="Times New Roman" w:hAnsi="Times New Roman" w:eastAsia="仿宋_GB2312" w:cs="Times New Roman"/>
          <w:sz w:val="32"/>
          <w:szCs w:val="32"/>
          <w:lang w:val="en-US" w:eastAsia="zh-CN"/>
        </w:rPr>
        <w:t>0.8</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、差旅费</w:t>
      </w:r>
      <w:r>
        <w:rPr>
          <w:rFonts w:hint="eastAsia" w:ascii="Times New Roman" w:hAnsi="Times New Roman" w:eastAsia="仿宋_GB2312" w:cs="Times New Roman"/>
          <w:sz w:val="32"/>
          <w:szCs w:val="32"/>
          <w:lang w:val="en-US" w:eastAsia="zh-CN"/>
        </w:rPr>
        <w:t>3.4</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、公务接待费</w:t>
      </w:r>
      <w:r>
        <w:rPr>
          <w:rFonts w:hint="eastAsia" w:ascii="Times New Roman" w:hAnsi="Times New Roman" w:eastAsia="仿宋_GB2312" w:cs="Times New Roman"/>
          <w:sz w:val="32"/>
          <w:szCs w:val="32"/>
          <w:lang w:val="en-US" w:eastAsia="zh-CN"/>
        </w:rPr>
        <w:t>0.12</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、劳务费</w:t>
      </w:r>
      <w:r>
        <w:rPr>
          <w:rFonts w:hint="eastAsia" w:ascii="Times New Roman" w:hAnsi="Times New Roman" w:eastAsia="仿宋_GB2312" w:cs="Times New Roman"/>
          <w:sz w:val="32"/>
          <w:szCs w:val="32"/>
          <w:lang w:val="en-US" w:eastAsia="zh-CN"/>
        </w:rPr>
        <w:t>0.46</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、工会经费</w:t>
      </w:r>
      <w:r>
        <w:rPr>
          <w:rFonts w:hint="eastAsia" w:ascii="Times New Roman" w:hAnsi="Times New Roman" w:eastAsia="仿宋_GB2312" w:cs="Times New Roman"/>
          <w:sz w:val="32"/>
          <w:szCs w:val="32"/>
          <w:lang w:val="en-US" w:eastAsia="zh-CN"/>
        </w:rPr>
        <w:t>6.45</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、公车运行费</w:t>
      </w:r>
      <w:r>
        <w:rPr>
          <w:rFonts w:hint="eastAsia" w:ascii="Times New Roman" w:hAnsi="Times New Roman" w:eastAsia="仿宋_GB2312" w:cs="Times New Roman"/>
          <w:sz w:val="32"/>
          <w:szCs w:val="32"/>
          <w:lang w:val="en-US" w:eastAsia="zh-CN"/>
        </w:rPr>
        <w:t>1.51</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、其他交通费用</w:t>
      </w:r>
      <w:r>
        <w:rPr>
          <w:rFonts w:hint="eastAsia" w:ascii="Times New Roman" w:hAnsi="Times New Roman" w:eastAsia="仿宋_GB2312" w:cs="Times New Roman"/>
          <w:sz w:val="32"/>
          <w:szCs w:val="32"/>
          <w:lang w:val="en-US" w:eastAsia="zh-CN"/>
        </w:rPr>
        <w:t>8.87</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、其他商品服务</w:t>
      </w:r>
      <w:r>
        <w:rPr>
          <w:rFonts w:hint="eastAsia" w:ascii="Times New Roman" w:hAnsi="Times New Roman" w:eastAsia="仿宋_GB2312" w:cs="Times New Roman"/>
          <w:sz w:val="32"/>
          <w:szCs w:val="32"/>
          <w:lang w:val="en-US" w:eastAsia="zh-CN"/>
        </w:rPr>
        <w:t>0.15</w:t>
      </w:r>
      <w:r>
        <w:rPr>
          <w:rFonts w:ascii="Times New Roman" w:hAnsi="Times New Roman" w:eastAsia="仿宋_GB2312" w:cs="Times New Roman"/>
          <w:sz w:val="32"/>
          <w:szCs w:val="32"/>
        </w:rPr>
        <w:t>万元。</w:t>
      </w:r>
    </w:p>
    <w:p>
      <w:pPr>
        <w:pStyle w:val="16"/>
        <w:overflowPunct w:val="0"/>
        <w:autoSpaceDE/>
        <w:autoSpaceDN/>
        <w:spacing w:line="600" w:lineRule="exact"/>
        <w:ind w:firstLine="640" w:firstLineChars="200"/>
        <w:jc w:val="both"/>
        <w:rPr>
          <w:rFonts w:ascii="Times New Roman" w:hAnsi="Times New Roman" w:eastAsia="仿宋_GB2312" w:cs="Times New Roman"/>
          <w:b/>
          <w:sz w:val="32"/>
          <w:szCs w:val="32"/>
        </w:rPr>
      </w:pPr>
      <w:r>
        <w:rPr>
          <w:rFonts w:ascii="Times New Roman" w:hAnsi="Times New Roman" w:cs="Times New Roman"/>
          <w:bCs/>
          <w:sz w:val="32"/>
          <w:szCs w:val="32"/>
        </w:rPr>
        <w:t>七、财政拨款“三公”经费支出决算情况说明</w:t>
      </w:r>
      <w:r>
        <w:rPr>
          <w:rFonts w:ascii="Times New Roman" w:hAnsi="Times New Roman" w:eastAsia="楷体_GB2312" w:cs="Times New Roman"/>
          <w:b/>
          <w:bCs/>
          <w:i/>
          <w:color w:val="auto"/>
          <w:sz w:val="32"/>
          <w:szCs w:val="32"/>
        </w:rPr>
        <w:t>（注意：“三公”经费不再是一般公共预算财政拨款口径，而是财政拨款口径）</w:t>
      </w:r>
    </w:p>
    <w:p>
      <w:pPr>
        <w:pStyle w:val="16"/>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（一）“三公”经费财政拨款支出决算总体情况说明</w:t>
      </w:r>
    </w:p>
    <w:p>
      <w:pPr>
        <w:pStyle w:val="16"/>
        <w:overflowPunct w:val="0"/>
        <w:autoSpaceDE/>
        <w:autoSpaceDN/>
        <w:spacing w:line="600" w:lineRule="exact"/>
        <w:ind w:firstLine="640" w:firstLineChars="200"/>
        <w:jc w:val="both"/>
        <w:rPr>
          <w:rFonts w:ascii="Times New Roman" w:hAnsi="Times New Roman" w:eastAsia="仿宋_GB2312" w:cs="Times New Roman"/>
          <w:sz w:val="32"/>
          <w:szCs w:val="32"/>
          <w:highlight w:val="yellow"/>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年度“三公”经费财政拨款支出预算为</w:t>
      </w:r>
      <w:r>
        <w:rPr>
          <w:rFonts w:hint="eastAsia" w:ascii="Times New Roman" w:hAnsi="Times New Roman" w:eastAsia="仿宋_GB2312" w:cs="Times New Roman"/>
          <w:sz w:val="32"/>
          <w:szCs w:val="32"/>
          <w:lang w:val="en-US" w:eastAsia="zh-CN"/>
        </w:rPr>
        <w:t>2</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1.63</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81.5</w:t>
      </w:r>
      <w:r>
        <w:rPr>
          <w:rFonts w:ascii="Times New Roman" w:hAnsi="Times New Roman" w:eastAsia="仿宋_GB2312" w:cs="Times New Roman"/>
          <w:sz w:val="32"/>
          <w:szCs w:val="32"/>
        </w:rPr>
        <w:t>%；与上年相比减少</w:t>
      </w:r>
      <w:r>
        <w:rPr>
          <w:rFonts w:hint="eastAsia" w:ascii="Times New Roman" w:hAnsi="Times New Roman" w:eastAsia="仿宋_GB2312" w:cs="Times New Roman"/>
          <w:sz w:val="32"/>
          <w:szCs w:val="32"/>
          <w:lang w:val="en-US" w:eastAsia="zh-CN"/>
        </w:rPr>
        <w:t>0.37</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18.5</w:t>
      </w:r>
      <w:r>
        <w:rPr>
          <w:rFonts w:ascii="Times New Roman" w:hAnsi="Times New Roman" w:eastAsia="仿宋_GB2312" w:cs="Times New Roman"/>
          <w:sz w:val="32"/>
          <w:szCs w:val="32"/>
        </w:rPr>
        <w:t>%。决算数小于预算数的主要原因是</w:t>
      </w:r>
      <w:r>
        <w:rPr>
          <w:rFonts w:hint="eastAsia" w:ascii="Times New Roman" w:hAnsi="Times New Roman" w:eastAsia="仿宋_GB2312" w:cs="Times New Roman"/>
          <w:sz w:val="32"/>
          <w:szCs w:val="32"/>
          <w:lang w:eastAsia="zh-CN"/>
        </w:rPr>
        <w:t>接待费用减少</w:t>
      </w:r>
      <w:r>
        <w:rPr>
          <w:rFonts w:ascii="Times New Roman" w:hAnsi="Times New Roman" w:eastAsia="仿宋_GB2312" w:cs="Times New Roman"/>
          <w:sz w:val="32"/>
          <w:szCs w:val="32"/>
        </w:rPr>
        <w:t>。</w:t>
      </w:r>
    </w:p>
    <w:p>
      <w:pPr>
        <w:pStyle w:val="16"/>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（二）“三公”经费财政拨款支出决算具体情况说明</w:t>
      </w:r>
    </w:p>
    <w:p>
      <w:pPr>
        <w:pStyle w:val="16"/>
        <w:overflowPunct w:val="0"/>
        <w:autoSpaceDE/>
        <w:autoSpaceDN/>
        <w:spacing w:line="600" w:lineRule="exact"/>
        <w:ind w:firstLine="640" w:firstLineChars="200"/>
        <w:jc w:val="both"/>
        <w:rPr>
          <w:rFonts w:hint="eastAsia" w:ascii="Times New Roman" w:hAnsi="Times New Roman" w:eastAsia="仿宋_GB2312" w:cs="Times New Roman"/>
          <w:b/>
          <w:bCs/>
          <w:i/>
          <w:color w:val="auto"/>
          <w:sz w:val="32"/>
          <w:szCs w:val="32"/>
          <w:lang w:eastAsia="zh-CN"/>
        </w:rPr>
      </w:pPr>
      <w:r>
        <w:rPr>
          <w:rFonts w:ascii="Times New Roman" w:hAnsi="Times New Roman" w:eastAsia="仿宋_GB2312" w:cs="Times New Roman"/>
          <w:sz w:val="32"/>
          <w:szCs w:val="32"/>
        </w:rPr>
        <w:t>1.因公出国（境）费支出预算为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w:t>
      </w:r>
    </w:p>
    <w:p>
      <w:pPr>
        <w:pStyle w:val="16"/>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2.公务用车购置费及运行维护费支出预算为</w:t>
      </w:r>
      <w:r>
        <w:rPr>
          <w:rFonts w:hint="eastAsia" w:ascii="Times New Roman" w:hAnsi="Times New Roman" w:eastAsia="仿宋_GB2312" w:cs="Times New Roman"/>
          <w:sz w:val="32"/>
          <w:szCs w:val="32"/>
          <w:lang w:val="en-US" w:eastAsia="zh-CN"/>
        </w:rPr>
        <w:t>1.45</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1.51</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104</w:t>
      </w:r>
      <w:r>
        <w:rPr>
          <w:rFonts w:ascii="Times New Roman" w:hAnsi="Times New Roman" w:eastAsia="仿宋_GB2312" w:cs="Times New Roman"/>
          <w:sz w:val="32"/>
          <w:szCs w:val="32"/>
        </w:rPr>
        <w:t>%；与上年相比增加</w:t>
      </w:r>
      <w:r>
        <w:rPr>
          <w:rFonts w:hint="eastAsia" w:ascii="Times New Roman" w:hAnsi="Times New Roman" w:eastAsia="仿宋_GB2312" w:cs="Times New Roman"/>
          <w:sz w:val="32"/>
          <w:szCs w:val="32"/>
          <w:lang w:val="en-US" w:eastAsia="zh-CN"/>
        </w:rPr>
        <w:t>0.06</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其中：</w:t>
      </w:r>
    </w:p>
    <w:p>
      <w:pPr>
        <w:pStyle w:val="16"/>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公务用车购置费支出预算为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p>
    <w:p>
      <w:pPr>
        <w:pStyle w:val="16"/>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公务用车运行维护费支出预算为</w:t>
      </w:r>
      <w:r>
        <w:rPr>
          <w:rFonts w:hint="eastAsia" w:ascii="Times New Roman" w:hAnsi="Times New Roman" w:eastAsia="仿宋_GB2312" w:cs="Times New Roman"/>
          <w:sz w:val="32"/>
          <w:szCs w:val="32"/>
          <w:lang w:val="en-US" w:eastAsia="zh-CN"/>
        </w:rPr>
        <w:t>1.45</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1.51</w:t>
      </w:r>
      <w:r>
        <w:rPr>
          <w:rFonts w:ascii="Times New Roman" w:hAnsi="Times New Roman" w:eastAsia="仿宋_GB2312" w:cs="Times New Roman"/>
          <w:sz w:val="32"/>
          <w:szCs w:val="32"/>
        </w:rPr>
        <w:t>万元，主要是公务用车运行维护费支出，完成预算的</w:t>
      </w:r>
      <w:r>
        <w:rPr>
          <w:rFonts w:hint="eastAsia" w:ascii="Times New Roman" w:hAnsi="Times New Roman" w:eastAsia="仿宋_GB2312" w:cs="Times New Roman"/>
          <w:sz w:val="32"/>
          <w:szCs w:val="32"/>
          <w:lang w:val="en-US" w:eastAsia="zh-CN"/>
        </w:rPr>
        <w:t>104</w:t>
      </w:r>
      <w:r>
        <w:rPr>
          <w:rFonts w:ascii="Times New Roman" w:hAnsi="Times New Roman" w:eastAsia="仿宋_GB2312" w:cs="Times New Roman"/>
          <w:sz w:val="32"/>
          <w:szCs w:val="32"/>
        </w:rPr>
        <w:t>%；与上年相比增加</w:t>
      </w:r>
      <w:r>
        <w:rPr>
          <w:rFonts w:hint="eastAsia" w:ascii="Times New Roman" w:hAnsi="Times New Roman" w:eastAsia="仿宋_GB2312" w:cs="Times New Roman"/>
          <w:sz w:val="32"/>
          <w:szCs w:val="32"/>
          <w:lang w:val="en-US" w:eastAsia="zh-CN"/>
        </w:rPr>
        <w:t>0.01</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0.6</w:t>
      </w:r>
      <w:r>
        <w:rPr>
          <w:rFonts w:ascii="Times New Roman" w:hAnsi="Times New Roman" w:eastAsia="仿宋_GB2312" w:cs="Times New Roman"/>
          <w:sz w:val="32"/>
          <w:szCs w:val="32"/>
        </w:rPr>
        <w:t>%。决算数大于预算数的主要原因是</w:t>
      </w:r>
      <w:r>
        <w:rPr>
          <w:rFonts w:hint="eastAsia" w:ascii="Times New Roman" w:hAnsi="Times New Roman" w:eastAsia="仿宋_GB2312" w:cs="Times New Roman"/>
          <w:sz w:val="32"/>
          <w:szCs w:val="32"/>
          <w:lang w:eastAsia="zh-CN"/>
        </w:rPr>
        <w:t>公车维修费用增加</w:t>
      </w:r>
      <w:r>
        <w:rPr>
          <w:rFonts w:ascii="Times New Roman" w:hAnsi="Times New Roman" w:eastAsia="仿宋_GB2312" w:cs="Times New Roman"/>
          <w:sz w:val="32"/>
          <w:szCs w:val="32"/>
        </w:rPr>
        <w:t>。截止202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年12月31日，我单位开支财政拨款的公务用车保有量为</w:t>
      </w:r>
      <w:r>
        <w:rPr>
          <w:rFonts w:hint="eastAsia" w:ascii="Times New Roman" w:hAnsi="Times New Roman" w:eastAsia="仿宋_GB2312" w:cs="Times New Roman"/>
          <w:sz w:val="32"/>
          <w:szCs w:val="32"/>
          <w:lang w:val="en-US" w:eastAsia="zh-CN"/>
        </w:rPr>
        <w:t>1</w:t>
      </w:r>
      <w:r>
        <w:rPr>
          <w:rFonts w:ascii="Times New Roman" w:hAnsi="Times New Roman" w:eastAsia="仿宋_GB2312" w:cs="Times New Roman"/>
          <w:sz w:val="32"/>
          <w:szCs w:val="32"/>
        </w:rPr>
        <w:t>辆。</w:t>
      </w:r>
    </w:p>
    <w:p>
      <w:pPr>
        <w:pStyle w:val="16"/>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3.公务接待费支出预算为</w:t>
      </w:r>
      <w:r>
        <w:rPr>
          <w:rFonts w:hint="eastAsia" w:ascii="Times New Roman" w:hAnsi="Times New Roman" w:eastAsia="仿宋_GB2312" w:cs="Times New Roman"/>
          <w:sz w:val="32"/>
          <w:szCs w:val="32"/>
          <w:lang w:val="en-US" w:eastAsia="zh-CN"/>
        </w:rPr>
        <w:t>0.55</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0.12</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21</w:t>
      </w:r>
      <w:r>
        <w:rPr>
          <w:rFonts w:ascii="Times New Roman" w:hAnsi="Times New Roman" w:eastAsia="仿宋_GB2312" w:cs="Times New Roman"/>
          <w:sz w:val="32"/>
          <w:szCs w:val="32"/>
        </w:rPr>
        <w:t>%；与上年相比减少</w:t>
      </w:r>
      <w:r>
        <w:rPr>
          <w:rFonts w:hint="eastAsia" w:ascii="Times New Roman" w:hAnsi="Times New Roman" w:eastAsia="仿宋_GB2312" w:cs="Times New Roman"/>
          <w:sz w:val="32"/>
          <w:szCs w:val="32"/>
          <w:lang w:val="en-US" w:eastAsia="zh-CN"/>
        </w:rPr>
        <w:t>0.3</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71</w:t>
      </w:r>
      <w:r>
        <w:rPr>
          <w:rFonts w:ascii="Times New Roman" w:hAnsi="Times New Roman" w:eastAsia="仿宋_GB2312" w:cs="Times New Roman"/>
          <w:sz w:val="32"/>
          <w:szCs w:val="32"/>
        </w:rPr>
        <w:t>%。决算数小于预算数的主要原因是</w:t>
      </w:r>
      <w:r>
        <w:rPr>
          <w:rFonts w:hint="eastAsia" w:ascii="Times New Roman" w:hAnsi="Times New Roman" w:eastAsia="仿宋_GB2312" w:cs="Times New Roman"/>
          <w:sz w:val="32"/>
          <w:szCs w:val="32"/>
          <w:lang w:eastAsia="zh-CN"/>
        </w:rPr>
        <w:t>公务接待减少</w:t>
      </w:r>
      <w:r>
        <w:rPr>
          <w:rFonts w:ascii="Times New Roman" w:hAnsi="Times New Roman" w:eastAsia="仿宋_GB2312" w:cs="Times New Roman"/>
          <w:sz w:val="32"/>
          <w:szCs w:val="32"/>
        </w:rPr>
        <w:t>。决算数小于上年数的主要原因是</w:t>
      </w:r>
      <w:r>
        <w:rPr>
          <w:rFonts w:hint="eastAsia" w:ascii="Times New Roman" w:hAnsi="Times New Roman" w:eastAsia="仿宋_GB2312" w:cs="Times New Roman"/>
          <w:sz w:val="32"/>
          <w:szCs w:val="32"/>
          <w:lang w:eastAsia="zh-CN"/>
        </w:rPr>
        <w:t>公务接待减少</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2025年</w:t>
      </w:r>
      <w:r>
        <w:rPr>
          <w:rFonts w:ascii="Times New Roman" w:hAnsi="Times New Roman" w:eastAsia="仿宋_GB2312" w:cs="Times New Roman"/>
          <w:sz w:val="32"/>
          <w:szCs w:val="32"/>
        </w:rPr>
        <w:t>度共接待来访团组</w:t>
      </w:r>
      <w:r>
        <w:rPr>
          <w:rFonts w:hint="eastAsia" w:ascii="Times New Roman" w:hAnsi="Times New Roman" w:eastAsia="仿宋_GB2312" w:cs="Times New Roman"/>
          <w:sz w:val="32"/>
          <w:szCs w:val="32"/>
          <w:lang w:val="en-US" w:eastAsia="zh-CN"/>
        </w:rPr>
        <w:t>1</w:t>
      </w:r>
      <w:r>
        <w:rPr>
          <w:rFonts w:ascii="Times New Roman" w:hAnsi="Times New Roman" w:eastAsia="仿宋_GB2312" w:cs="Times New Roman"/>
          <w:sz w:val="32"/>
          <w:szCs w:val="32"/>
        </w:rPr>
        <w:t>个、来宾</w:t>
      </w:r>
      <w:r>
        <w:rPr>
          <w:rFonts w:hint="eastAsia" w:ascii="Times New Roman" w:hAnsi="Times New Roman" w:eastAsia="仿宋_GB2312" w:cs="Times New Roman"/>
          <w:sz w:val="32"/>
          <w:szCs w:val="32"/>
          <w:lang w:val="en-US" w:eastAsia="zh-CN"/>
        </w:rPr>
        <w:t>9</w:t>
      </w:r>
      <w:r>
        <w:rPr>
          <w:rFonts w:ascii="Times New Roman" w:hAnsi="Times New Roman" w:eastAsia="仿宋_GB2312" w:cs="Times New Roman"/>
          <w:sz w:val="32"/>
          <w:szCs w:val="32"/>
        </w:rPr>
        <w:t>人次，主要是</w:t>
      </w:r>
      <w:r>
        <w:rPr>
          <w:rFonts w:hint="eastAsia" w:ascii="Times New Roman" w:hAnsi="Times New Roman" w:eastAsia="仿宋_GB2312" w:cs="Times New Roman"/>
          <w:sz w:val="32"/>
          <w:szCs w:val="32"/>
          <w:lang w:eastAsia="zh-CN"/>
        </w:rPr>
        <w:t>湖湘大学堂</w:t>
      </w:r>
      <w:r>
        <w:rPr>
          <w:rFonts w:ascii="Times New Roman" w:hAnsi="Times New Roman" w:eastAsia="仿宋_GB2312" w:cs="Times New Roman"/>
          <w:sz w:val="32"/>
          <w:szCs w:val="32"/>
        </w:rPr>
        <w:t>发生的接待支出。</w:t>
      </w:r>
    </w:p>
    <w:p>
      <w:pPr>
        <w:pStyle w:val="16"/>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八、政府性基金预算收入支出决算情况</w:t>
      </w:r>
    </w:p>
    <w:p>
      <w:pPr>
        <w:pStyle w:val="16"/>
        <w:overflowPunct w:val="0"/>
        <w:autoSpaceDE/>
        <w:autoSpaceDN/>
        <w:spacing w:line="600" w:lineRule="exact"/>
        <w:ind w:firstLine="640" w:firstLineChars="200"/>
        <w:jc w:val="both"/>
        <w:rPr>
          <w:rFonts w:ascii="Times New Roman" w:hAnsi="Times New Roman" w:eastAsia="楷体" w:cs="Times New Roman"/>
          <w:b/>
          <w:bCs/>
          <w:i/>
          <w:color w:val="auto"/>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年度政府性基金预算财政拨款收入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万元；年初结转和结余</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万元，项目支出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万元；年末结转和结余</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p>
    <w:p>
      <w:pPr>
        <w:pStyle w:val="16"/>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九、关于机关运行经费支出说明</w:t>
      </w:r>
    </w:p>
    <w:p>
      <w:pPr>
        <w:pStyle w:val="16"/>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年度机关运行经费支出</w:t>
      </w:r>
      <w:r>
        <w:rPr>
          <w:rFonts w:hint="eastAsia" w:ascii="Times New Roman" w:hAnsi="Times New Roman" w:eastAsia="仿宋_GB2312" w:cs="Times New Roman"/>
          <w:sz w:val="32"/>
          <w:szCs w:val="32"/>
          <w:lang w:val="en-US" w:eastAsia="zh-CN"/>
        </w:rPr>
        <w:t>91.28</w:t>
      </w:r>
      <w:r>
        <w:rPr>
          <w:rFonts w:ascii="Times New Roman" w:hAnsi="Times New Roman" w:eastAsia="仿宋_GB2312" w:cs="Times New Roman"/>
          <w:sz w:val="32"/>
          <w:szCs w:val="32"/>
        </w:rPr>
        <w:t>万元，比上年决算数增加</w:t>
      </w:r>
      <w:r>
        <w:rPr>
          <w:rFonts w:hint="eastAsia" w:ascii="Times New Roman" w:hAnsi="Times New Roman" w:eastAsia="仿宋_GB2312" w:cs="Times New Roman"/>
          <w:sz w:val="32"/>
          <w:szCs w:val="32"/>
          <w:lang w:val="en-US" w:eastAsia="zh-CN"/>
        </w:rPr>
        <w:t>28.85</w:t>
      </w:r>
      <w:r>
        <w:rPr>
          <w:rFonts w:ascii="Times New Roman" w:hAnsi="Times New Roman" w:eastAsia="仿宋_GB2312" w:cs="Times New Roman"/>
          <w:sz w:val="32"/>
          <w:szCs w:val="32"/>
        </w:rPr>
        <w:t xml:space="preserve"> 万元，增长</w:t>
      </w:r>
      <w:r>
        <w:rPr>
          <w:rFonts w:hint="eastAsia" w:ascii="Times New Roman" w:hAnsi="Times New Roman" w:eastAsia="仿宋_GB2312" w:cs="Times New Roman"/>
          <w:sz w:val="32"/>
          <w:szCs w:val="32"/>
          <w:lang w:val="en-US" w:eastAsia="zh-CN"/>
        </w:rPr>
        <w:t>46</w:t>
      </w:r>
      <w:r>
        <w:rPr>
          <w:rFonts w:ascii="Times New Roman" w:hAnsi="Times New Roman" w:eastAsia="仿宋_GB2312" w:cs="Times New Roman"/>
          <w:sz w:val="32"/>
          <w:szCs w:val="32"/>
        </w:rPr>
        <w:t>%。主要原因是：</w:t>
      </w:r>
      <w:r>
        <w:rPr>
          <w:rFonts w:hint="eastAsia" w:ascii="Times New Roman" w:hAnsi="Times New Roman" w:eastAsia="仿宋_GB2312" w:cs="Times New Roman"/>
          <w:sz w:val="32"/>
          <w:szCs w:val="32"/>
          <w:lang w:eastAsia="zh-CN"/>
        </w:rPr>
        <w:t>承办省社科联学术年会和湖湘大学堂等活动</w:t>
      </w:r>
      <w:r>
        <w:rPr>
          <w:rFonts w:ascii="Times New Roman" w:hAnsi="Times New Roman" w:eastAsia="仿宋_GB2312" w:cs="Times New Roman"/>
          <w:sz w:val="32"/>
          <w:szCs w:val="32"/>
        </w:rPr>
        <w:t>。</w:t>
      </w:r>
    </w:p>
    <w:p>
      <w:pPr>
        <w:pStyle w:val="16"/>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十、一般性支出情况说明</w:t>
      </w:r>
    </w:p>
    <w:p>
      <w:pPr>
        <w:pStyle w:val="16"/>
        <w:overflowPunct w:val="0"/>
        <w:autoSpaceDE/>
        <w:autoSpaceDN/>
        <w:spacing w:line="600" w:lineRule="exact"/>
        <w:ind w:firstLine="640" w:firstLineChars="200"/>
        <w:jc w:val="both"/>
        <w:rPr>
          <w:rFonts w:hint="eastAsia" w:ascii="Times New Roman" w:hAnsi="Times New Roman" w:eastAsia="仿宋_GB2312" w:cs="Times New Roman"/>
          <w:b/>
          <w:bCs/>
          <w:i/>
          <w:color w:val="auto"/>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年本部门举办</w:t>
      </w:r>
      <w:r>
        <w:rPr>
          <w:rFonts w:hint="eastAsia" w:ascii="Times New Roman" w:hAnsi="Times New Roman" w:eastAsia="仿宋_GB2312" w:cs="Times New Roman"/>
          <w:sz w:val="32"/>
          <w:szCs w:val="32"/>
          <w:lang w:eastAsia="zh-CN"/>
        </w:rPr>
        <w:t>湖湘大学堂活动</w:t>
      </w:r>
      <w:r>
        <w:rPr>
          <w:rFonts w:ascii="Times New Roman" w:hAnsi="Times New Roman" w:eastAsia="仿宋_GB2312" w:cs="Times New Roman"/>
          <w:sz w:val="32"/>
          <w:szCs w:val="32"/>
        </w:rPr>
        <w:t>，开支</w:t>
      </w:r>
      <w:r>
        <w:rPr>
          <w:rFonts w:hint="eastAsia" w:ascii="Times New Roman" w:hAnsi="Times New Roman" w:eastAsia="仿宋_GB2312" w:cs="Times New Roman"/>
          <w:sz w:val="32"/>
          <w:szCs w:val="32"/>
          <w:lang w:val="en-US" w:eastAsia="zh-CN"/>
        </w:rPr>
        <w:t>4</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；开展怀化国际陆港研究，开支</w:t>
      </w:r>
      <w:r>
        <w:rPr>
          <w:rFonts w:hint="eastAsia" w:ascii="Times New Roman" w:hAnsi="Times New Roman" w:eastAsia="仿宋_GB2312" w:cs="Times New Roman"/>
          <w:sz w:val="32"/>
          <w:szCs w:val="32"/>
          <w:lang w:val="en-US" w:eastAsia="zh-CN"/>
        </w:rPr>
        <w:t>2万元；开展东盟课题研究，开支5万元</w:t>
      </w:r>
      <w:r>
        <w:rPr>
          <w:rFonts w:hint="eastAsia" w:ascii="Times New Roman" w:hAnsi="Times New Roman" w:eastAsia="仿宋_GB2312" w:cs="Times New Roman"/>
          <w:sz w:val="32"/>
          <w:szCs w:val="32"/>
          <w:lang w:eastAsia="zh-CN"/>
        </w:rPr>
        <w:t>。</w:t>
      </w:r>
    </w:p>
    <w:p>
      <w:pPr>
        <w:pStyle w:val="16"/>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十一、关于政府采购支出说明</w:t>
      </w:r>
    </w:p>
    <w:p>
      <w:pPr>
        <w:pStyle w:val="16"/>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年度政府采购支出总额</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万元，其中：政府采购货物支出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 xml:space="preserve"> 万元、政府采购工程支出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万元、政府采购服务支出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万元。授予中小企业合同金额</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万元，占政府采购支出总额的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p>
    <w:p>
      <w:pPr>
        <w:pStyle w:val="16"/>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十二、关于国有资产占用情况说明</w:t>
      </w:r>
    </w:p>
    <w:p>
      <w:pPr>
        <w:pStyle w:val="16"/>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截至202</w:t>
      </w:r>
      <w:r>
        <w:rPr>
          <w:rFonts w:hint="eastAsia" w:ascii="Times New Roman" w:hAnsi="Times New Roman" w:eastAsia="仿宋_GB2312" w:cs="Times New Roman"/>
          <w:color w:val="auto"/>
          <w:sz w:val="32"/>
          <w:szCs w:val="32"/>
          <w:lang w:val="en-US" w:eastAsia="zh-CN"/>
        </w:rPr>
        <w:t>5</w:t>
      </w:r>
      <w:r>
        <w:rPr>
          <w:rFonts w:ascii="Times New Roman" w:hAnsi="Times New Roman" w:eastAsia="仿宋_GB2312" w:cs="Times New Roman"/>
          <w:color w:val="auto"/>
          <w:sz w:val="32"/>
          <w:szCs w:val="32"/>
        </w:rPr>
        <w:t>年12月31日，部门（单位）共有车辆</w:t>
      </w:r>
      <w:r>
        <w:rPr>
          <w:rFonts w:hint="eastAsia" w:ascii="Times New Roman" w:hAnsi="Times New Roman" w:eastAsia="仿宋_GB2312" w:cs="Times New Roman"/>
          <w:color w:val="auto"/>
          <w:sz w:val="32"/>
          <w:szCs w:val="32"/>
          <w:lang w:val="en-US" w:eastAsia="zh-CN"/>
        </w:rPr>
        <w:t>1</w:t>
      </w:r>
      <w:r>
        <w:rPr>
          <w:rFonts w:ascii="Times New Roman" w:hAnsi="Times New Roman" w:eastAsia="仿宋_GB2312" w:cs="Times New Roman"/>
          <w:color w:val="auto"/>
          <w:sz w:val="32"/>
          <w:szCs w:val="32"/>
        </w:rPr>
        <w:t>辆，其中，机要通信用车</w:t>
      </w:r>
      <w:r>
        <w:rPr>
          <w:rFonts w:hint="eastAsia" w:ascii="Times New Roman" w:hAnsi="Times New Roman" w:eastAsia="仿宋_GB2312" w:cs="Times New Roman"/>
          <w:color w:val="auto"/>
          <w:sz w:val="32"/>
          <w:szCs w:val="32"/>
          <w:lang w:val="en-US" w:eastAsia="zh-CN"/>
        </w:rPr>
        <w:t>1</w:t>
      </w:r>
      <w:r>
        <w:rPr>
          <w:rFonts w:ascii="Times New Roman" w:hAnsi="Times New Roman" w:eastAsia="仿宋_GB2312" w:cs="Times New Roman"/>
          <w:color w:val="auto"/>
          <w:sz w:val="32"/>
          <w:szCs w:val="32"/>
        </w:rPr>
        <w:t>辆；单位价值100万元以上设备（不含车辆）</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台（套）。</w:t>
      </w:r>
    </w:p>
    <w:p>
      <w:pPr>
        <w:pStyle w:val="16"/>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十三、关于</w:t>
      </w:r>
      <w:r>
        <w:rPr>
          <w:rFonts w:ascii="Times New Roman" w:hAnsi="Times New Roman" w:eastAsia="仿宋_GB2312" w:cs="Times New Roman"/>
          <w:color w:val="auto"/>
          <w:sz w:val="32"/>
          <w:szCs w:val="32"/>
        </w:rPr>
        <w:t>202</w:t>
      </w:r>
      <w:r>
        <w:rPr>
          <w:rFonts w:hint="eastAsia" w:ascii="Times New Roman" w:hAnsi="Times New Roman" w:eastAsia="仿宋_GB2312" w:cs="Times New Roman"/>
          <w:color w:val="auto"/>
          <w:sz w:val="32"/>
          <w:szCs w:val="32"/>
          <w:lang w:val="en-US" w:eastAsia="zh-CN"/>
        </w:rPr>
        <w:t>5</w:t>
      </w:r>
      <w:r>
        <w:rPr>
          <w:rFonts w:ascii="Times New Roman" w:hAnsi="Times New Roman" w:cs="Times New Roman"/>
          <w:bCs/>
          <w:color w:val="auto"/>
          <w:sz w:val="32"/>
          <w:szCs w:val="32"/>
        </w:rPr>
        <w:t>年度预算绩效情况的说明</w:t>
      </w:r>
    </w:p>
    <w:p>
      <w:pPr>
        <w:overflowPunct w:val="0"/>
        <w:spacing w:line="600" w:lineRule="exact"/>
        <w:ind w:firstLine="640" w:firstLineChars="200"/>
        <w:rPr>
          <w:rFonts w:ascii="Times New Roman" w:hAnsi="Times New Roman" w:eastAsia="仿宋_GB2312" w:cs="Times New Roman"/>
          <w:b/>
          <w:bCs/>
          <w:kern w:val="0"/>
          <w:sz w:val="32"/>
          <w:szCs w:val="32"/>
        </w:rPr>
      </w:pPr>
      <w:r>
        <w:rPr>
          <w:rFonts w:ascii="Times New Roman" w:hAnsi="Times New Roman" w:eastAsia="楷体_GB2312" w:cs="Times New Roman"/>
          <w:b/>
          <w:bCs/>
          <w:sz w:val="32"/>
          <w:szCs w:val="32"/>
        </w:rPr>
        <w:t>（一）绩效评价工作开展情况。</w:t>
      </w:r>
      <w:r>
        <w:rPr>
          <w:rFonts w:ascii="Times New Roman" w:hAnsi="Times New Roman" w:eastAsia="仿宋_GB2312" w:cs="Times New Roman"/>
          <w:b/>
          <w:bCs/>
          <w:kern w:val="0"/>
          <w:sz w:val="32"/>
          <w:szCs w:val="32"/>
        </w:rPr>
        <w:t>一是绩效自评开展情况。</w:t>
      </w:r>
      <w:r>
        <w:rPr>
          <w:rFonts w:ascii="Times New Roman" w:hAnsi="Times New Roman" w:eastAsia="仿宋_GB2312" w:cs="Times New Roman"/>
          <w:kern w:val="0"/>
          <w:sz w:val="32"/>
          <w:szCs w:val="32"/>
        </w:rPr>
        <w:t>组织对202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年度本部门（单位）整体支出开展绩效自评，涉及项目</w:t>
      </w:r>
      <w:r>
        <w:rPr>
          <w:rFonts w:hint="eastAsia" w:ascii="Times New Roman" w:hAnsi="Times New Roman" w:eastAsia="仿宋_GB2312" w:cs="Times New Roman"/>
          <w:kern w:val="0"/>
          <w:sz w:val="32"/>
          <w:szCs w:val="32"/>
          <w:lang w:val="en-US" w:eastAsia="zh-CN"/>
        </w:rPr>
        <w:t>2</w:t>
      </w:r>
      <w:r>
        <w:rPr>
          <w:rFonts w:ascii="Times New Roman" w:hAnsi="Times New Roman" w:eastAsia="仿宋_GB2312" w:cs="Times New Roman"/>
          <w:kern w:val="0"/>
          <w:sz w:val="32"/>
          <w:szCs w:val="32"/>
        </w:rPr>
        <w:t>个，共涉及资金</w:t>
      </w:r>
      <w:r>
        <w:rPr>
          <w:rFonts w:hint="eastAsia" w:ascii="Times New Roman" w:hAnsi="Times New Roman" w:eastAsia="仿宋_GB2312" w:cs="Times New Roman"/>
          <w:kern w:val="0"/>
          <w:sz w:val="32"/>
          <w:szCs w:val="32"/>
          <w:lang w:val="en-US" w:eastAsia="zh-CN"/>
        </w:rPr>
        <w:t>49.5</w:t>
      </w:r>
      <w:r>
        <w:rPr>
          <w:rFonts w:ascii="Times New Roman" w:hAnsi="Times New Roman" w:eastAsia="仿宋_GB2312" w:cs="Times New Roman"/>
          <w:kern w:val="0"/>
          <w:sz w:val="32"/>
          <w:szCs w:val="32"/>
        </w:rPr>
        <w:t>万元。其中，一般公共预算项目</w:t>
      </w:r>
      <w:r>
        <w:rPr>
          <w:rFonts w:hint="eastAsia" w:ascii="Times New Roman" w:hAnsi="Times New Roman" w:eastAsia="仿宋_GB2312" w:cs="Times New Roman"/>
          <w:kern w:val="0"/>
          <w:sz w:val="32"/>
          <w:szCs w:val="32"/>
          <w:lang w:val="en-US" w:eastAsia="zh-CN"/>
        </w:rPr>
        <w:t>2</w:t>
      </w:r>
      <w:r>
        <w:rPr>
          <w:rFonts w:ascii="Times New Roman" w:hAnsi="Times New Roman" w:eastAsia="仿宋_GB2312" w:cs="Times New Roman"/>
          <w:kern w:val="0"/>
          <w:sz w:val="32"/>
          <w:szCs w:val="32"/>
        </w:rPr>
        <w:t>个</w:t>
      </w:r>
      <w:r>
        <w:rPr>
          <w:rFonts w:hint="eastAsia" w:ascii="Times New Roman" w:hAnsi="Times New Roman" w:eastAsia="仿宋_GB2312" w:cs="Times New Roman"/>
          <w:kern w:val="0"/>
          <w:sz w:val="32"/>
          <w:szCs w:val="32"/>
          <w:lang w:val="en-US" w:eastAsia="zh-CN"/>
        </w:rPr>
        <w:t>49.5</w:t>
      </w:r>
      <w:r>
        <w:rPr>
          <w:rFonts w:ascii="Times New Roman" w:hAnsi="Times New Roman" w:eastAsia="仿宋_GB2312" w:cs="Times New Roman"/>
          <w:kern w:val="0"/>
          <w:sz w:val="32"/>
          <w:szCs w:val="32"/>
        </w:rPr>
        <w:t xml:space="preserve"> 万元，占一般公共预算支出总额的</w:t>
      </w:r>
      <w:r>
        <w:rPr>
          <w:rFonts w:hint="eastAsia" w:ascii="Times New Roman" w:hAnsi="Times New Roman" w:eastAsia="仿宋_GB2312" w:cs="Times New Roman"/>
          <w:kern w:val="0"/>
          <w:sz w:val="32"/>
          <w:szCs w:val="32"/>
          <w:lang w:val="en-US" w:eastAsia="zh-CN"/>
        </w:rPr>
        <w:t>100</w:t>
      </w:r>
      <w:r>
        <w:rPr>
          <w:rFonts w:ascii="Times New Roman" w:hAnsi="Times New Roman" w:eastAsia="仿宋_GB2312" w:cs="Times New Roman"/>
          <w:kern w:val="0"/>
          <w:sz w:val="32"/>
          <w:szCs w:val="32"/>
        </w:rPr>
        <w:t>%。</w:t>
      </w:r>
      <w:r>
        <w:rPr>
          <w:rFonts w:ascii="Times New Roman" w:hAnsi="Times New Roman" w:eastAsia="仿宋_GB2312" w:cs="Times New Roman"/>
          <w:b/>
          <w:bCs/>
          <w:kern w:val="0"/>
          <w:sz w:val="32"/>
          <w:szCs w:val="32"/>
        </w:rPr>
        <w:t>二是部门评价开展情况。</w:t>
      </w:r>
      <w:r>
        <w:rPr>
          <w:rFonts w:ascii="Times New Roman" w:hAnsi="Times New Roman" w:eastAsia="仿宋_GB2312" w:cs="Times New Roman"/>
          <w:kern w:val="0"/>
          <w:sz w:val="32"/>
          <w:szCs w:val="32"/>
        </w:rPr>
        <w:t>组织对所属单位202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w:t>
      </w:r>
      <w:r>
        <w:rPr>
          <w:rFonts w:hint="eastAsia" w:ascii="Times New Roman" w:hAnsi="Times New Roman" w:eastAsia="仿宋_GB2312" w:cs="Times New Roman"/>
          <w:sz w:val="32"/>
          <w:szCs w:val="32"/>
          <w:lang w:eastAsia="zh-CN"/>
        </w:rPr>
        <w:t>社科普及</w:t>
      </w:r>
      <w:r>
        <w:rPr>
          <w:rFonts w:ascii="Times New Roman" w:hAnsi="Times New Roman" w:eastAsia="仿宋_GB2312" w:cs="Times New Roman"/>
          <w:kern w:val="0"/>
          <w:sz w:val="32"/>
          <w:szCs w:val="32"/>
        </w:rPr>
        <w:t>”“</w:t>
      </w:r>
      <w:r>
        <w:rPr>
          <w:rFonts w:hint="eastAsia" w:ascii="Times New Roman" w:hAnsi="Times New Roman" w:eastAsia="仿宋_GB2312" w:cs="Times New Roman"/>
          <w:sz w:val="32"/>
          <w:szCs w:val="32"/>
          <w:lang w:eastAsia="zh-CN"/>
        </w:rPr>
        <w:t>智库建设</w:t>
      </w:r>
      <w:r>
        <w:rPr>
          <w:rFonts w:ascii="Times New Roman" w:hAnsi="Times New Roman" w:eastAsia="仿宋_GB2312" w:cs="Times New Roman"/>
          <w:kern w:val="0"/>
          <w:sz w:val="32"/>
          <w:szCs w:val="32"/>
        </w:rPr>
        <w:t>”等</w:t>
      </w:r>
      <w:r>
        <w:rPr>
          <w:rFonts w:hint="eastAsia" w:ascii="Times New Roman" w:hAnsi="Times New Roman" w:eastAsia="仿宋_GB2312" w:cs="Times New Roman"/>
          <w:sz w:val="32"/>
          <w:szCs w:val="32"/>
          <w:lang w:val="en-US" w:eastAsia="zh-CN"/>
        </w:rPr>
        <w:t>2</w:t>
      </w:r>
      <w:r>
        <w:rPr>
          <w:rFonts w:ascii="Times New Roman" w:hAnsi="Times New Roman" w:eastAsia="仿宋_GB2312" w:cs="Times New Roman"/>
          <w:kern w:val="0"/>
          <w:sz w:val="32"/>
          <w:szCs w:val="32"/>
        </w:rPr>
        <w:t>个项目开展了部门评价，涉及一般公共预算支出</w:t>
      </w:r>
      <w:r>
        <w:rPr>
          <w:rFonts w:hint="eastAsia" w:ascii="Times New Roman" w:hAnsi="Times New Roman" w:eastAsia="仿宋_GB2312" w:cs="Times New Roman"/>
          <w:sz w:val="32"/>
          <w:szCs w:val="32"/>
          <w:lang w:val="en-US" w:eastAsia="zh-CN"/>
        </w:rPr>
        <w:t>49.5</w:t>
      </w:r>
      <w:r>
        <w:rPr>
          <w:rFonts w:ascii="Times New Roman" w:hAnsi="Times New Roman" w:eastAsia="仿宋_GB2312" w:cs="Times New Roman"/>
          <w:kern w:val="0"/>
          <w:sz w:val="32"/>
          <w:szCs w:val="32"/>
        </w:rPr>
        <w:t>万元</w:t>
      </w:r>
      <w:r>
        <w:rPr>
          <w:rFonts w:ascii="Times New Roman" w:hAnsi="Times New Roman" w:eastAsia="仿宋_GB2312" w:cs="Times New Roman"/>
          <w:b/>
          <w:bCs/>
          <w:kern w:val="0"/>
          <w:sz w:val="32"/>
          <w:szCs w:val="32"/>
        </w:rPr>
        <w:t>。</w:t>
      </w:r>
    </w:p>
    <w:p>
      <w:pPr>
        <w:overflowPunct w:val="0"/>
        <w:spacing w:line="600" w:lineRule="exact"/>
        <w:ind w:firstLine="640" w:firstLineChars="200"/>
        <w:rPr>
          <w:rFonts w:hint="eastAsia" w:ascii="Times New Roman" w:hAnsi="Times New Roman" w:eastAsia="仿宋_GB2312"/>
          <w:sz w:val="32"/>
          <w:szCs w:val="32"/>
        </w:rPr>
      </w:pPr>
      <w:r>
        <w:rPr>
          <w:rFonts w:ascii="Times New Roman" w:hAnsi="Times New Roman" w:eastAsia="楷体_GB2312" w:cs="Times New Roman"/>
          <w:b/>
          <w:bCs/>
          <w:sz w:val="32"/>
          <w:szCs w:val="32"/>
        </w:rPr>
        <w:t>（二）绩效评价结果。</w:t>
      </w:r>
      <w:r>
        <w:rPr>
          <w:rFonts w:ascii="Times New Roman" w:hAnsi="Times New Roman" w:eastAsia="仿宋_GB2312" w:cs="Times New Roman"/>
          <w:b/>
          <w:bCs/>
          <w:kern w:val="0"/>
          <w:sz w:val="32"/>
          <w:szCs w:val="32"/>
        </w:rPr>
        <w:t>一是绩效自评结果。</w:t>
      </w:r>
      <w:r>
        <w:rPr>
          <w:rFonts w:ascii="Times New Roman" w:hAnsi="Times New Roman" w:eastAsia="仿宋_GB2312" w:cs="Times New Roman"/>
          <w:kern w:val="0"/>
          <w:sz w:val="32"/>
          <w:szCs w:val="32"/>
        </w:rPr>
        <w:t>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年度本部门（单位）整体支出</w:t>
      </w:r>
      <w:r>
        <w:rPr>
          <w:rFonts w:ascii="Times New Roman" w:hAnsi="Times New Roman" w:eastAsia="仿宋_GB2312" w:cs="Times New Roman"/>
          <w:sz w:val="32"/>
          <w:szCs w:val="32"/>
        </w:rPr>
        <w:t>全年预算数</w:t>
      </w:r>
      <w:r>
        <w:rPr>
          <w:rFonts w:hint="eastAsia" w:ascii="Times New Roman" w:hAnsi="Times New Roman" w:eastAsia="仿宋_GB2312" w:cs="Times New Roman"/>
          <w:sz w:val="32"/>
          <w:szCs w:val="32"/>
          <w:lang w:val="en-US" w:eastAsia="zh-CN"/>
        </w:rPr>
        <w:t>200.25</w:t>
      </w:r>
      <w:r>
        <w:rPr>
          <w:rFonts w:ascii="Times New Roman" w:hAnsi="Times New Roman" w:eastAsia="仿宋_GB2312" w:cs="Times New Roman"/>
          <w:sz w:val="32"/>
          <w:szCs w:val="32"/>
        </w:rPr>
        <w:t>万元，执行数</w:t>
      </w:r>
      <w:r>
        <w:rPr>
          <w:rFonts w:hint="eastAsia" w:ascii="Times New Roman" w:hAnsi="Times New Roman" w:eastAsia="仿宋_GB2312" w:cs="Times New Roman"/>
          <w:sz w:val="32"/>
          <w:szCs w:val="32"/>
          <w:lang w:val="en-US" w:eastAsia="zh-CN"/>
        </w:rPr>
        <w:t>255.26</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127</w:t>
      </w:r>
      <w:r>
        <w:rPr>
          <w:rFonts w:ascii="Times New Roman" w:hAnsi="Times New Roman" w:eastAsia="仿宋_GB2312" w:cs="Times New Roman"/>
          <w:sz w:val="32"/>
          <w:szCs w:val="32"/>
        </w:rPr>
        <w:t>%</w:t>
      </w:r>
      <w:r>
        <w:rPr>
          <w:rFonts w:ascii="Times New Roman" w:hAnsi="Times New Roman" w:eastAsia="仿宋_GB2312" w:cs="Times New Roman"/>
          <w:kern w:val="0"/>
          <w:sz w:val="32"/>
          <w:szCs w:val="32"/>
        </w:rPr>
        <w:t>，绩效自评得分</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分</w:t>
      </w:r>
      <w:r>
        <w:rPr>
          <w:rFonts w:ascii="Times New Roman" w:hAnsi="Times New Roman" w:eastAsia="仿宋_GB2312" w:cs="Times New Roman"/>
          <w:kern w:val="0"/>
          <w:sz w:val="32"/>
          <w:szCs w:val="32"/>
        </w:rPr>
        <w:t>，评价等级为</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优秀</w:t>
      </w:r>
      <w:r>
        <w:rPr>
          <w:rFonts w:ascii="Times New Roman" w:hAnsi="Times New Roman" w:eastAsia="仿宋_GB2312" w:cs="Times New Roman"/>
          <w:sz w:val="32"/>
          <w:szCs w:val="32"/>
        </w:rPr>
        <w:t>”。绩效目标完成情况：</w:t>
      </w:r>
      <w:r>
        <w:rPr>
          <w:rFonts w:hint="eastAsia" w:ascii="Times New Roman" w:hAnsi="Times New Roman" w:eastAsia="仿宋_GB2312" w:cs="Times New Roman"/>
          <w:sz w:val="32"/>
          <w:szCs w:val="32"/>
        </w:rPr>
        <w:t>(1)一是召开2025年市社科普及联席会议；二是举办2025年怀化市社科普及主题活动周启动式，推动全市社科普及活动周的开展；三是召开社科年度学术年会。五是围绕学习贯彻习近平新时代中国特色社会主义思想、党的二十大及二十届四中精神主题主线开展宣传宣讲。探索组建理论微宣传宣讲志愿服务队，推动理论宣传通俗化、大众化。组织社科短视频大赛。(2)开展2025年市级课题立项及2024年度市级课题结题评审。抓好智库宣传阵地等平台建设。建立社科专家库，聘请入库专家等。组织编印2025年在《怀化社科》全年出刊4期，刊发理论文章；对2024年的市级重大社科课题成果在《怀化社科》等刊物择优选登，供决策吸纳。</w:t>
      </w:r>
      <w:r>
        <w:rPr>
          <w:rFonts w:ascii="Times New Roman" w:hAnsi="Times New Roman" w:eastAsia="仿宋_GB2312" w:cs="Times New Roman"/>
          <w:sz w:val="32"/>
          <w:szCs w:val="32"/>
        </w:rPr>
        <w:t>发现的主要问题及原因：</w:t>
      </w:r>
      <w:r>
        <w:rPr>
          <w:rFonts w:hint="eastAsia" w:ascii="Times New Roman" w:hAnsi="Times New Roman" w:eastAsia="仿宋_GB2312"/>
          <w:sz w:val="32"/>
          <w:szCs w:val="32"/>
        </w:rPr>
        <w:t>预算编制不够精准</w:t>
      </w:r>
      <w:r>
        <w:rPr>
          <w:rFonts w:ascii="Times New Roman" w:hAnsi="Times New Roman" w:eastAsia="仿宋_GB2312" w:cs="Times New Roman"/>
          <w:sz w:val="32"/>
          <w:szCs w:val="32"/>
        </w:rPr>
        <w:t>。下一步改进措施：</w:t>
      </w:r>
      <w:r>
        <w:rPr>
          <w:rFonts w:hint="eastAsia" w:ascii="Times New Roman" w:hAnsi="Times New Roman" w:eastAsia="仿宋_GB2312"/>
          <w:sz w:val="32"/>
          <w:szCs w:val="32"/>
        </w:rPr>
        <w:t>增强预算编制的全面性、准确性，严格按预算批复的用途使用资金，减少预算调整事项。开展预算执行分析，及时掌握预算执行进度，对确有必要的预算调整严格按程序审核报批。</w:t>
      </w:r>
    </w:p>
    <w:p>
      <w:pPr>
        <w:overflowPunct w:val="0"/>
        <w:spacing w:line="600" w:lineRule="exact"/>
        <w:ind w:firstLine="640" w:firstLineChars="200"/>
        <w:rPr>
          <w:rFonts w:hint="eastAsia" w:ascii="Times New Roman" w:hAnsi="Times New Roman" w:eastAsia="仿宋_GB2312"/>
          <w:sz w:val="32"/>
          <w:szCs w:val="32"/>
        </w:rPr>
      </w:pPr>
      <w:r>
        <w:rPr>
          <w:rFonts w:ascii="Times New Roman" w:hAnsi="Times New Roman" w:eastAsia="仿宋_GB2312" w:cs="Times New Roman"/>
          <w:b/>
          <w:bCs/>
          <w:kern w:val="0"/>
          <w:sz w:val="32"/>
          <w:szCs w:val="32"/>
        </w:rPr>
        <w:t>二是部门评价结果（如有，一级预算部门填写）。</w:t>
      </w:r>
      <w:r>
        <w:rPr>
          <w:rFonts w:hint="eastAsia" w:ascii="Times New Roman" w:hAnsi="Times New Roman" w:eastAsia="仿宋_GB2312" w:cs="Times New Roman"/>
          <w:sz w:val="32"/>
          <w:szCs w:val="32"/>
          <w:lang w:val="en-US" w:eastAsia="zh-CN"/>
        </w:rPr>
        <w:t>2</w:t>
      </w:r>
      <w:r>
        <w:rPr>
          <w:rFonts w:ascii="Times New Roman" w:hAnsi="Times New Roman" w:eastAsia="仿宋_GB2312" w:cs="Times New Roman"/>
          <w:sz w:val="32"/>
          <w:szCs w:val="32"/>
        </w:rPr>
        <w:t>项目全年预算数</w:t>
      </w:r>
      <w:r>
        <w:rPr>
          <w:rFonts w:hint="eastAsia" w:ascii="Times New Roman" w:hAnsi="Times New Roman" w:eastAsia="仿宋_GB2312" w:cs="Times New Roman"/>
          <w:sz w:val="32"/>
          <w:szCs w:val="32"/>
          <w:lang w:val="en-US" w:eastAsia="zh-CN"/>
        </w:rPr>
        <w:t>49.45</w:t>
      </w:r>
      <w:r>
        <w:rPr>
          <w:rFonts w:ascii="Times New Roman" w:hAnsi="Times New Roman" w:eastAsia="仿宋_GB2312" w:cs="Times New Roman"/>
          <w:sz w:val="32"/>
          <w:szCs w:val="32"/>
        </w:rPr>
        <w:t>万元，执行数</w:t>
      </w:r>
      <w:r>
        <w:rPr>
          <w:rFonts w:hint="eastAsia" w:ascii="Times New Roman" w:hAnsi="Times New Roman" w:eastAsia="仿宋_GB2312" w:cs="Times New Roman"/>
          <w:sz w:val="32"/>
          <w:szCs w:val="32"/>
          <w:lang w:val="en-US" w:eastAsia="zh-CN"/>
        </w:rPr>
        <w:t>49.45</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ascii="Times New Roman" w:hAnsi="Times New Roman" w:eastAsia="仿宋_GB2312" w:cs="Times New Roman"/>
          <w:kern w:val="0"/>
          <w:sz w:val="32"/>
          <w:szCs w:val="32"/>
        </w:rPr>
        <w:t>，</w:t>
      </w:r>
      <w:r>
        <w:rPr>
          <w:rFonts w:ascii="Times New Roman" w:hAnsi="Times New Roman" w:eastAsia="仿宋_GB2312" w:cs="Times New Roman"/>
          <w:sz w:val="32"/>
          <w:szCs w:val="32"/>
        </w:rPr>
        <w:t>部门评价得分</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分，评价等级为“</w:t>
      </w:r>
      <w:r>
        <w:rPr>
          <w:rFonts w:hint="eastAsia" w:ascii="Times New Roman" w:hAnsi="Times New Roman" w:eastAsia="仿宋_GB2312" w:cs="Times New Roman"/>
          <w:sz w:val="32"/>
          <w:szCs w:val="32"/>
          <w:lang w:eastAsia="zh-CN"/>
        </w:rPr>
        <w:t>优秀</w:t>
      </w:r>
      <w:r>
        <w:rPr>
          <w:rFonts w:ascii="Times New Roman" w:hAnsi="Times New Roman" w:eastAsia="仿宋_GB2312" w:cs="Times New Roman"/>
          <w:sz w:val="32"/>
          <w:szCs w:val="32"/>
        </w:rPr>
        <w:t>”。发现的主要问题及原因：</w:t>
      </w:r>
      <w:r>
        <w:rPr>
          <w:rFonts w:hint="eastAsia" w:ascii="Times New Roman" w:hAnsi="Times New Roman" w:eastAsia="仿宋_GB2312"/>
          <w:sz w:val="32"/>
          <w:szCs w:val="32"/>
        </w:rPr>
        <w:t>预算编制不够精准</w:t>
      </w:r>
      <w:r>
        <w:rPr>
          <w:rFonts w:ascii="Times New Roman" w:hAnsi="Times New Roman" w:eastAsia="仿宋_GB2312" w:cs="Times New Roman"/>
          <w:sz w:val="32"/>
          <w:szCs w:val="32"/>
        </w:rPr>
        <w:t>。下一步改进措施：</w:t>
      </w:r>
      <w:r>
        <w:rPr>
          <w:rFonts w:hint="eastAsia" w:ascii="Times New Roman" w:hAnsi="Times New Roman" w:eastAsia="仿宋_GB2312"/>
          <w:sz w:val="32"/>
          <w:szCs w:val="32"/>
        </w:rPr>
        <w:t>增强预算编制的全面性、准确性，严格按预算批复的用途使用资金，减少预算调整事项。开展预算执行分析，及时掌握预算执行进度，对确有必要的预算调整严格按程序审核报批。</w:t>
      </w:r>
    </w:p>
    <w:p>
      <w:pPr>
        <w:pStyle w:val="16"/>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楷体_GB2312" w:cs="Times New Roman"/>
          <w:b/>
          <w:bCs/>
          <w:color w:val="auto"/>
          <w:kern w:val="2"/>
          <w:sz w:val="32"/>
          <w:szCs w:val="32"/>
        </w:rPr>
        <w:t>（三）评价结果应用情况。</w:t>
      </w:r>
      <w:r>
        <w:rPr>
          <w:rFonts w:ascii="Times New Roman" w:hAnsi="Times New Roman" w:eastAsia="仿宋_GB2312" w:cs="Times New Roman"/>
          <w:color w:val="auto"/>
          <w:sz w:val="32"/>
          <w:szCs w:val="32"/>
        </w:rPr>
        <w:t>请根据202</w:t>
      </w:r>
      <w:r>
        <w:rPr>
          <w:rFonts w:hint="eastAsia" w:ascii="Times New Roman" w:hAnsi="Times New Roman" w:eastAsia="仿宋_GB2312" w:cs="Times New Roman"/>
          <w:color w:val="auto"/>
          <w:sz w:val="32"/>
          <w:szCs w:val="32"/>
          <w:lang w:val="en-US" w:eastAsia="zh-CN"/>
        </w:rPr>
        <w:t>5</w:t>
      </w:r>
      <w:r>
        <w:rPr>
          <w:rFonts w:ascii="Times New Roman" w:hAnsi="Times New Roman" w:eastAsia="仿宋_GB2312" w:cs="Times New Roman"/>
          <w:color w:val="auto"/>
          <w:sz w:val="32"/>
          <w:szCs w:val="32"/>
        </w:rPr>
        <w:t>年度绩效自评结果、部门评价结果、财政评价结果对本部门2025年度预算安排，支出结构调整，资金管理，制度建设等方面结果运用进行简要说明。</w:t>
      </w:r>
    </w:p>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20" w:lineRule="exact"/>
        <w:ind w:right="0" w:firstLine="632"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eastAsia" w:ascii="仿宋" w:hAnsi="仿宋" w:eastAsia="仿宋" w:cstheme="minorBidi"/>
          <w:spacing w:val="-2"/>
          <w:kern w:val="0"/>
          <w:sz w:val="32"/>
          <w:szCs w:val="32"/>
          <w:lang w:val="en-US" w:eastAsia="zh-CN" w:bidi="ar"/>
        </w:rPr>
        <w:t>单位整体支出资金使用和管理中，实际支出与计划支出规定的用途一致，资金使用按照规定程序上报和审批，财务制度健全，财务信息真实完整，无截留、侵占等违规行为。根据相关管理办法和规定，对我单位整体支出资金绩效自评得分100分</w:t>
      </w:r>
      <w:r>
        <w:rPr>
          <w:rFonts w:hint="default" w:ascii="仿宋" w:hAnsi="仿宋" w:eastAsia="仿宋" w:cstheme="minorBidi"/>
          <w:spacing w:val="-2"/>
          <w:kern w:val="0"/>
          <w:sz w:val="32"/>
          <w:szCs w:val="32"/>
          <w:lang w:val="en-US" w:eastAsia="zh-CN" w:bidi="ar"/>
        </w:rPr>
        <w:t>。</w:t>
      </w:r>
    </w:p>
    <w:p>
      <w:pPr>
        <w:pStyle w:val="16"/>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p>
    <w:p>
      <w:pPr>
        <w:pStyle w:val="16"/>
        <w:jc w:val="center"/>
        <w:rPr>
          <w:rFonts w:ascii="Times New Roman" w:hAnsi="Times New Roman" w:cs="Times New Roman"/>
          <w:sz w:val="72"/>
          <w:szCs w:val="72"/>
        </w:rPr>
      </w:pPr>
    </w:p>
    <w:p>
      <w:pPr>
        <w:pStyle w:val="16"/>
        <w:jc w:val="center"/>
        <w:rPr>
          <w:rFonts w:ascii="Times New Roman" w:hAnsi="Times New Roman" w:cs="Times New Roman"/>
          <w:sz w:val="72"/>
          <w:szCs w:val="72"/>
        </w:rPr>
      </w:pPr>
    </w:p>
    <w:p>
      <w:pPr>
        <w:pStyle w:val="16"/>
        <w:jc w:val="center"/>
        <w:rPr>
          <w:rFonts w:ascii="Times New Roman" w:hAnsi="Times New Roman" w:cs="Times New Roman"/>
          <w:sz w:val="72"/>
          <w:szCs w:val="72"/>
        </w:rPr>
      </w:pPr>
    </w:p>
    <w:p>
      <w:pPr>
        <w:pStyle w:val="16"/>
        <w:jc w:val="center"/>
        <w:rPr>
          <w:rFonts w:ascii="Times New Roman" w:hAnsi="Times New Roman" w:cs="Times New Roman"/>
          <w:sz w:val="72"/>
          <w:szCs w:val="72"/>
        </w:rPr>
      </w:pPr>
    </w:p>
    <w:p>
      <w:pPr>
        <w:pStyle w:val="16"/>
        <w:jc w:val="center"/>
        <w:rPr>
          <w:rFonts w:ascii="Times New Roman" w:hAnsi="Times New Roman" w:cs="Times New Roman"/>
          <w:sz w:val="72"/>
          <w:szCs w:val="72"/>
        </w:rPr>
      </w:pPr>
    </w:p>
    <w:p>
      <w:pPr>
        <w:pStyle w:val="16"/>
        <w:jc w:val="center"/>
        <w:rPr>
          <w:rFonts w:ascii="Times New Roman" w:hAnsi="Times New Roman" w:cs="Times New Roman"/>
          <w:sz w:val="72"/>
          <w:szCs w:val="72"/>
        </w:rPr>
      </w:pPr>
    </w:p>
    <w:p>
      <w:pPr>
        <w:pStyle w:val="16"/>
        <w:jc w:val="center"/>
        <w:rPr>
          <w:rFonts w:ascii="Times New Roman" w:hAnsi="Times New Roman" w:cs="Times New Roman"/>
          <w:sz w:val="72"/>
          <w:szCs w:val="72"/>
        </w:rPr>
      </w:pPr>
    </w:p>
    <w:p>
      <w:pPr>
        <w:pStyle w:val="16"/>
        <w:jc w:val="center"/>
        <w:rPr>
          <w:rFonts w:ascii="Times New Roman" w:hAnsi="Times New Roman" w:cs="Times New Roman"/>
          <w:sz w:val="72"/>
          <w:szCs w:val="72"/>
        </w:rPr>
      </w:pPr>
    </w:p>
    <w:p>
      <w:pPr>
        <w:pStyle w:val="16"/>
        <w:jc w:val="center"/>
        <w:rPr>
          <w:rFonts w:ascii="Times New Roman" w:hAnsi="Times New Roman" w:cs="Times New Roman"/>
          <w:sz w:val="72"/>
          <w:szCs w:val="72"/>
        </w:rPr>
      </w:pPr>
    </w:p>
    <w:p>
      <w:pPr>
        <w:pStyle w:val="16"/>
        <w:jc w:val="center"/>
        <w:rPr>
          <w:rFonts w:ascii="Times New Roman" w:hAnsi="Times New Roman" w:cs="Times New Roman"/>
          <w:sz w:val="72"/>
          <w:szCs w:val="72"/>
        </w:rPr>
      </w:pPr>
    </w:p>
    <w:p>
      <w:pPr>
        <w:pStyle w:val="16"/>
        <w:jc w:val="both"/>
        <w:rPr>
          <w:rFonts w:ascii="Times New Roman" w:hAnsi="Times New Roman" w:cs="Times New Roman"/>
          <w:sz w:val="72"/>
          <w:szCs w:val="72"/>
        </w:rPr>
      </w:pPr>
    </w:p>
    <w:p>
      <w:pPr>
        <w:pStyle w:val="16"/>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第四部分    名词解释</w:t>
      </w:r>
    </w:p>
    <w:p>
      <w:pPr>
        <w:widowControl/>
        <w:jc w:val="left"/>
        <w:rPr>
          <w:rFonts w:ascii="Times New Roman" w:hAnsi="Times New Roman" w:cs="Times New Roman"/>
          <w:color w:val="000000"/>
          <w:kern w:val="0"/>
          <w:sz w:val="32"/>
          <w:szCs w:val="32"/>
        </w:rPr>
      </w:pPr>
    </w:p>
    <w:p>
      <w:pPr>
        <w:widowControl/>
        <w:ind w:firstLine="640" w:firstLineChars="200"/>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一、……</w:t>
      </w:r>
    </w:p>
    <w:p>
      <w:pPr>
        <w:ind w:firstLine="640" w:firstLineChars="200"/>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二、……</w:t>
      </w:r>
    </w:p>
    <w:p>
      <w:pPr>
        <w:ind w:firstLine="640" w:firstLineChars="200"/>
        <w:jc w:val="left"/>
        <w:rPr>
          <w:rFonts w:ascii="Times New Roman" w:hAnsi="Times New Roman" w:cs="Times New Roman"/>
          <w:color w:val="000000"/>
          <w:kern w:val="0"/>
          <w:sz w:val="32"/>
          <w:szCs w:val="32"/>
        </w:rPr>
      </w:pPr>
      <w:r>
        <w:rPr>
          <w:rFonts w:ascii="Times New Roman" w:hAnsi="Times New Roman" w:eastAsia="仿宋_GB2312" w:cs="Times New Roman"/>
          <w:color w:val="000000"/>
          <w:kern w:val="0"/>
          <w:sz w:val="32"/>
          <w:szCs w:val="32"/>
        </w:rPr>
        <w:t>三、…</w:t>
      </w:r>
      <w:r>
        <w:rPr>
          <w:rFonts w:ascii="Times New Roman" w:hAnsi="Times New Roman" w:cs="Times New Roman"/>
          <w:color w:val="000000"/>
          <w:kern w:val="0"/>
          <w:sz w:val="32"/>
          <w:szCs w:val="32"/>
        </w:rPr>
        <w:t>…</w:t>
      </w:r>
    </w:p>
    <w:p>
      <w:pPr>
        <w:pStyle w:val="16"/>
        <w:ind w:firstLine="640" w:firstLineChars="200"/>
        <w:rPr>
          <w:rFonts w:ascii="Times New Roman" w:hAnsi="Times New Roman" w:cs="Times New Roman" w:eastAsiaTheme="minorEastAsia"/>
          <w:sz w:val="32"/>
          <w:szCs w:val="32"/>
        </w:rPr>
      </w:pPr>
      <w:r>
        <w:rPr>
          <w:rFonts w:ascii="Times New Roman" w:hAnsi="Times New Roman" w:cs="Times New Roman" w:eastAsiaTheme="minorEastAsia"/>
          <w:sz w:val="32"/>
          <w:szCs w:val="32"/>
        </w:rPr>
        <w:t>………</w:t>
      </w:r>
    </w:p>
    <w:p>
      <w:pPr>
        <w:pStyle w:val="16"/>
        <w:spacing w:line="600" w:lineRule="exact"/>
        <w:ind w:firstLine="640" w:firstLineChars="200"/>
        <w:rPr>
          <w:rFonts w:ascii="Times New Roman" w:hAnsi="Times New Roman" w:eastAsia="楷体_GB2312" w:cs="Times New Roman"/>
          <w:b/>
          <w:bCs/>
          <w:i/>
          <w:color w:val="auto"/>
          <w:sz w:val="32"/>
          <w:szCs w:val="32"/>
        </w:rPr>
      </w:pPr>
      <w:r>
        <w:rPr>
          <w:rFonts w:ascii="Times New Roman" w:hAnsi="Times New Roman" w:eastAsia="楷体_GB2312" w:cs="Times New Roman"/>
          <w:b/>
          <w:bCs/>
          <w:i/>
          <w:color w:val="auto"/>
          <w:sz w:val="32"/>
          <w:szCs w:val="32"/>
        </w:rPr>
        <w:t>（名词解释应包含本部门专有名词，如省财政厅应有对“财政事务”科目的解释）</w:t>
      </w:r>
    </w:p>
    <w:p>
      <w:pPr>
        <w:pStyle w:val="16"/>
        <w:jc w:val="center"/>
        <w:rPr>
          <w:rFonts w:ascii="Times New Roman" w:hAnsi="Times New Roman" w:cs="Times New Roman"/>
          <w:sz w:val="72"/>
          <w:szCs w:val="72"/>
        </w:rPr>
      </w:pPr>
    </w:p>
    <w:p>
      <w:pPr>
        <w:pStyle w:val="16"/>
        <w:jc w:val="center"/>
        <w:rPr>
          <w:rFonts w:ascii="Times New Roman" w:hAnsi="Times New Roman" w:cs="Times New Roman"/>
          <w:sz w:val="72"/>
          <w:szCs w:val="72"/>
        </w:rPr>
      </w:pPr>
    </w:p>
    <w:p>
      <w:pPr>
        <w:pStyle w:val="16"/>
        <w:jc w:val="center"/>
        <w:rPr>
          <w:rFonts w:ascii="Times New Roman" w:hAnsi="Times New Roman" w:cs="Times New Roman"/>
          <w:sz w:val="72"/>
          <w:szCs w:val="72"/>
        </w:rPr>
      </w:pPr>
    </w:p>
    <w:p>
      <w:pPr>
        <w:pStyle w:val="16"/>
        <w:jc w:val="center"/>
        <w:rPr>
          <w:rFonts w:ascii="Times New Roman" w:hAnsi="Times New Roman" w:cs="Times New Roman"/>
          <w:sz w:val="72"/>
          <w:szCs w:val="72"/>
        </w:rPr>
      </w:pPr>
    </w:p>
    <w:p>
      <w:pPr>
        <w:pStyle w:val="16"/>
        <w:jc w:val="both"/>
        <w:rPr>
          <w:rFonts w:ascii="Times New Roman" w:hAnsi="Times New Roman" w:cs="Times New Roman"/>
          <w:sz w:val="72"/>
          <w:szCs w:val="72"/>
        </w:rPr>
      </w:pPr>
    </w:p>
    <w:p>
      <w:pPr>
        <w:pStyle w:val="16"/>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第五部分   附 件</w:t>
      </w:r>
    </w:p>
    <w:p>
      <w:pPr>
        <w:rPr>
          <w:rFonts w:ascii="Times New Roman" w:hAnsi="Times New Roman" w:cs="Times New Roman"/>
          <w:sz w:val="72"/>
          <w:szCs w:val="72"/>
        </w:rPr>
      </w:pPr>
    </w:p>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eastAsia" w:ascii="方正小标宋_GBK" w:hAnsi="方正小标宋_GBK" w:eastAsia="方正小标宋_GBK" w:cs="方正小标宋_GBK"/>
          <w:i w:val="0"/>
          <w:iCs w:val="0"/>
          <w:caps w:val="0"/>
          <w:color w:val="000000"/>
          <w:spacing w:val="0"/>
          <w:sz w:val="24"/>
          <w:szCs w:val="24"/>
          <w:shd w:val="clear" w:fill="FFFFFF"/>
          <w:lang w:val="en-US" w:eastAsia="zh-CN"/>
        </w:rPr>
      </w:pPr>
      <w:r>
        <w:rPr>
          <w:rFonts w:hint="eastAsia" w:ascii="方正小标宋_GBK" w:hAnsi="方正小标宋_GBK" w:eastAsia="方正小标宋_GBK" w:cs="方正小标宋_GBK"/>
          <w:i w:val="0"/>
          <w:iCs w:val="0"/>
          <w:caps w:val="0"/>
          <w:color w:val="000000"/>
          <w:spacing w:val="0"/>
          <w:sz w:val="24"/>
          <w:szCs w:val="24"/>
          <w:shd w:val="clear" w:fill="FFFFFF"/>
          <w:lang w:val="en-US" w:eastAsia="zh-CN"/>
        </w:rPr>
        <w:t>附件5</w:t>
      </w:r>
    </w:p>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eastAsia" w:ascii="方正小标宋_GBK" w:hAnsi="方正小标宋_GBK" w:eastAsia="方正小标宋_GBK" w:cs="方正小标宋_GBK"/>
          <w:i w:val="0"/>
          <w:iCs w:val="0"/>
          <w:caps w:val="0"/>
          <w:color w:val="000000"/>
          <w:spacing w:val="0"/>
          <w:sz w:val="24"/>
          <w:szCs w:val="24"/>
          <w:shd w:val="clear" w:fill="FFFFFF"/>
          <w:lang w:val="en-US" w:eastAsia="zh-CN"/>
        </w:rPr>
      </w:pPr>
    </w:p>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right="0"/>
        <w:jc w:val="center"/>
        <w:textAlignment w:val="auto"/>
        <w:rPr>
          <w:rFonts w:hint="eastAsia" w:ascii="方正小标宋_GBK" w:hAnsi="方正小标宋_GBK" w:eastAsia="方正小标宋_GBK" w:cs="方正小标宋_GBK"/>
          <w:i w:val="0"/>
          <w:iCs w:val="0"/>
          <w:caps w:val="0"/>
          <w:color w:val="000000"/>
          <w:spacing w:val="0"/>
          <w:sz w:val="40"/>
          <w:szCs w:val="40"/>
          <w:shd w:val="clear" w:fill="FFFFFF"/>
          <w:lang w:val="en-US" w:eastAsia="zh-CN"/>
        </w:rPr>
      </w:pPr>
      <w:r>
        <w:rPr>
          <w:rFonts w:hint="eastAsia" w:ascii="方正小标宋_GBK" w:hAnsi="方正小标宋_GBK" w:eastAsia="方正小标宋_GBK" w:cs="方正小标宋_GBK"/>
          <w:i w:val="0"/>
          <w:iCs w:val="0"/>
          <w:caps w:val="0"/>
          <w:color w:val="000000"/>
          <w:spacing w:val="0"/>
          <w:sz w:val="40"/>
          <w:szCs w:val="40"/>
          <w:shd w:val="clear" w:fill="FFFFFF"/>
          <w:lang w:val="en-US" w:eastAsia="zh-CN"/>
        </w:rPr>
        <w:t>2025年度怀化市社会科学界联合会整体支出</w:t>
      </w:r>
    </w:p>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right="0" w:firstLine="2800" w:firstLineChars="700"/>
        <w:jc w:val="center"/>
        <w:textAlignment w:val="auto"/>
        <w:rPr>
          <w:rFonts w:hint="eastAsia" w:ascii="方正小标宋_GBK" w:hAnsi="方正小标宋_GBK" w:eastAsia="方正小标宋_GBK" w:cs="方正小标宋_GBK"/>
          <w:i w:val="0"/>
          <w:iCs w:val="0"/>
          <w:caps w:val="0"/>
          <w:color w:val="000000"/>
          <w:spacing w:val="0"/>
          <w:sz w:val="40"/>
          <w:szCs w:val="40"/>
          <w:shd w:val="clear" w:fill="FFFFFF"/>
          <w:lang w:val="en-US" w:eastAsia="zh-CN"/>
        </w:rPr>
      </w:pPr>
    </w:p>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right="0" w:firstLine="2800" w:firstLineChars="700"/>
        <w:jc w:val="both"/>
        <w:textAlignment w:val="auto"/>
        <w:rPr>
          <w:rFonts w:hint="eastAsia" w:ascii="方正小标宋_GBK" w:hAnsi="方正小标宋_GBK" w:eastAsia="方正小标宋_GBK" w:cs="方正小标宋_GBK"/>
          <w:i w:val="0"/>
          <w:iCs w:val="0"/>
          <w:caps w:val="0"/>
          <w:color w:val="000000"/>
          <w:spacing w:val="0"/>
          <w:sz w:val="40"/>
          <w:szCs w:val="40"/>
          <w:shd w:val="clear" w:fill="FFFFFF"/>
          <w:lang w:val="en-US" w:eastAsia="zh-CN"/>
        </w:rPr>
      </w:pPr>
      <w:r>
        <w:rPr>
          <w:rFonts w:hint="eastAsia" w:ascii="方正小标宋_GBK" w:hAnsi="方正小标宋_GBK" w:eastAsia="方正小标宋_GBK" w:cs="方正小标宋_GBK"/>
          <w:i w:val="0"/>
          <w:iCs w:val="0"/>
          <w:caps w:val="0"/>
          <w:color w:val="000000"/>
          <w:spacing w:val="0"/>
          <w:sz w:val="40"/>
          <w:szCs w:val="40"/>
          <w:shd w:val="clear" w:fill="FFFFFF"/>
          <w:lang w:val="en-US" w:eastAsia="zh-CN"/>
        </w:rPr>
        <w:t>绩效自评报告</w:t>
      </w:r>
    </w:p>
    <w:p>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方正黑体_GBK" w:hAnsi="方正黑体_GBK" w:eastAsia="方正黑体_GBK" w:cs="方正黑体_GBK"/>
          <w:b/>
          <w:bCs/>
          <w:color w:val="auto"/>
          <w:sz w:val="32"/>
          <w:szCs w:val="32"/>
          <w:highlight w:val="none"/>
          <w:lang w:val="en-US" w:eastAsia="zh-CN"/>
        </w:rPr>
      </w:pPr>
    </w:p>
    <w:p>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方正黑体_GBK" w:hAnsi="方正黑体_GBK" w:eastAsia="方正黑体_GBK" w:cs="方正黑体_GBK"/>
          <w:b/>
          <w:bCs/>
          <w:color w:val="auto"/>
          <w:sz w:val="32"/>
          <w:szCs w:val="32"/>
          <w:highlight w:val="none"/>
          <w:lang w:val="en-US" w:eastAsia="zh-CN"/>
        </w:rPr>
      </w:pPr>
    </w:p>
    <w:p>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方正黑体_GBK" w:hAnsi="方正黑体_GBK" w:eastAsia="方正黑体_GBK" w:cs="方正黑体_GBK"/>
          <w:b/>
          <w:bCs/>
          <w:color w:val="auto"/>
          <w:sz w:val="32"/>
          <w:szCs w:val="32"/>
          <w:highlight w:val="none"/>
          <w:lang w:val="en-US" w:eastAsia="zh-CN"/>
        </w:rPr>
      </w:pPr>
    </w:p>
    <w:p>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方正黑体_GBK" w:hAnsi="方正黑体_GBK" w:eastAsia="方正黑体_GBK" w:cs="方正黑体_GBK"/>
          <w:b/>
          <w:bCs/>
          <w:color w:val="auto"/>
          <w:sz w:val="32"/>
          <w:szCs w:val="32"/>
          <w:highlight w:val="none"/>
          <w:lang w:val="en-US" w:eastAsia="zh-CN"/>
        </w:rPr>
      </w:pPr>
    </w:p>
    <w:p>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eastAsia" w:ascii="方正黑体_GBK" w:hAnsi="方正黑体_GBK" w:eastAsia="方正黑体_GBK" w:cs="方正黑体_GBK"/>
          <w:b/>
          <w:bCs/>
          <w:color w:val="auto"/>
          <w:sz w:val="32"/>
          <w:szCs w:val="32"/>
          <w:highlight w:val="none"/>
          <w:lang w:val="en-US" w:eastAsia="zh-CN"/>
        </w:rPr>
      </w:pPr>
    </w:p>
    <w:p>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方正黑体_GBK" w:hAnsi="方正黑体_GBK" w:eastAsia="方正黑体_GBK" w:cs="方正黑体_GBK"/>
          <w:b/>
          <w:bCs/>
          <w:color w:val="auto"/>
          <w:sz w:val="32"/>
          <w:szCs w:val="32"/>
          <w:highlight w:val="none"/>
          <w:lang w:val="en-US" w:eastAsia="zh-CN"/>
        </w:rPr>
      </w:pPr>
    </w:p>
    <w:p>
      <w:pPr>
        <w:pStyle w:val="2"/>
        <w:rPr>
          <w:rFonts w:hint="eastAsia" w:ascii="方正黑体_GBK" w:hAnsi="方正黑体_GBK" w:eastAsia="方正黑体_GBK" w:cs="方正黑体_GBK"/>
          <w:b/>
          <w:bCs/>
          <w:color w:val="auto"/>
          <w:sz w:val="32"/>
          <w:szCs w:val="32"/>
          <w:highlight w:val="none"/>
          <w:lang w:val="en-US" w:eastAsia="zh-CN"/>
        </w:rPr>
      </w:pPr>
    </w:p>
    <w:p>
      <w:pPr>
        <w:pStyle w:val="3"/>
        <w:rPr>
          <w:rFonts w:hint="eastAsia" w:ascii="方正黑体_GBK" w:hAnsi="方正黑体_GBK" w:eastAsia="方正黑体_GBK" w:cs="方正黑体_GBK"/>
          <w:b/>
          <w:bCs/>
          <w:color w:val="auto"/>
          <w:sz w:val="32"/>
          <w:szCs w:val="32"/>
          <w:highlight w:val="none"/>
          <w:lang w:val="en-US" w:eastAsia="zh-CN"/>
        </w:rPr>
      </w:pPr>
    </w:p>
    <w:p>
      <w:pPr>
        <w:rPr>
          <w:rFonts w:hint="eastAsia"/>
          <w:lang w:val="en-US" w:eastAsia="zh-CN"/>
        </w:rPr>
      </w:pPr>
    </w:p>
    <w:p>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方正黑体_GBK" w:hAnsi="方正黑体_GBK" w:eastAsia="方正黑体_GBK" w:cs="方正黑体_GBK"/>
          <w:b/>
          <w:bCs/>
          <w:color w:val="auto"/>
          <w:sz w:val="32"/>
          <w:szCs w:val="32"/>
          <w:highlight w:val="none"/>
          <w:lang w:val="en-US" w:eastAsia="zh-CN"/>
        </w:rPr>
      </w:pPr>
    </w:p>
    <w:p>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方正黑体_GBK" w:hAnsi="方正黑体_GBK" w:eastAsia="方正黑体_GBK" w:cs="方正黑体_GBK"/>
          <w:b/>
          <w:bCs/>
          <w:color w:val="auto"/>
          <w:sz w:val="32"/>
          <w:szCs w:val="32"/>
          <w:highlight w:val="none"/>
          <w:lang w:val="en-US" w:eastAsia="zh-CN"/>
        </w:rPr>
      </w:pPr>
      <w:r>
        <w:rPr>
          <w:rFonts w:hint="eastAsia" w:ascii="方正黑体_GBK" w:hAnsi="方正黑体_GBK" w:eastAsia="方正黑体_GBK" w:cs="方正黑体_GBK"/>
          <w:b/>
          <w:bCs/>
          <w:color w:val="auto"/>
          <w:sz w:val="32"/>
          <w:szCs w:val="32"/>
          <w:highlight w:val="none"/>
          <w:lang w:val="en-US" w:eastAsia="zh-CN"/>
        </w:rPr>
        <w:t xml:space="preserve">  </w:t>
      </w:r>
    </w:p>
    <w:p>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方正黑体_GBK" w:hAnsi="方正黑体_GBK" w:eastAsia="方正黑体_GBK" w:cs="方正黑体_GBK"/>
          <w:b/>
          <w:bCs/>
          <w:color w:val="auto"/>
          <w:sz w:val="32"/>
          <w:szCs w:val="32"/>
          <w:highlight w:val="none"/>
          <w:lang w:val="en-US" w:eastAsia="zh-CN"/>
        </w:rPr>
      </w:pPr>
    </w:p>
    <w:p>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方正黑体_GBK" w:hAnsi="方正黑体_GBK" w:eastAsia="方正黑体_GBK" w:cs="方正黑体_GBK"/>
          <w:b/>
          <w:bCs/>
          <w:color w:val="auto"/>
          <w:sz w:val="32"/>
          <w:szCs w:val="32"/>
          <w:highlight w:val="none"/>
          <w:lang w:val="en-US" w:eastAsia="zh-CN"/>
        </w:rPr>
      </w:pPr>
      <w:r>
        <w:rPr>
          <w:rFonts w:hint="eastAsia" w:ascii="方正黑体_GBK" w:hAnsi="方正黑体_GBK" w:eastAsia="方正黑体_GBK" w:cs="方正黑体_GBK"/>
          <w:b/>
          <w:bCs/>
          <w:color w:val="auto"/>
          <w:sz w:val="32"/>
          <w:szCs w:val="32"/>
          <w:highlight w:val="none"/>
          <w:lang w:val="en-US" w:eastAsia="zh-CN"/>
        </w:rPr>
        <w:t xml:space="preserve">             单位名称（盖章）：</w:t>
      </w:r>
    </w:p>
    <w:p>
      <w:pPr>
        <w:keepNext w:val="0"/>
        <w:keepLines w:val="0"/>
        <w:pageBreakBefore w:val="0"/>
        <w:widowControl w:val="0"/>
        <w:kinsoku/>
        <w:wordWrap/>
        <w:overflowPunct/>
        <w:topLinePunct w:val="0"/>
        <w:autoSpaceDE/>
        <w:autoSpaceDN/>
        <w:bidi w:val="0"/>
        <w:adjustRightInd/>
        <w:snapToGrid w:val="0"/>
        <w:spacing w:line="520" w:lineRule="exact"/>
        <w:ind w:firstLine="2240" w:firstLineChars="700"/>
        <w:textAlignment w:val="auto"/>
        <w:rPr>
          <w:rFonts w:hint="eastAsia" w:ascii="方正黑体_GBK" w:hAnsi="方正黑体_GBK" w:eastAsia="方正黑体_GBK" w:cs="方正黑体_GBK"/>
          <w:b/>
          <w:bCs/>
          <w:color w:val="auto"/>
          <w:sz w:val="32"/>
          <w:szCs w:val="32"/>
          <w:highlight w:val="none"/>
          <w:lang w:val="en-US" w:eastAsia="zh-CN"/>
        </w:rPr>
      </w:pPr>
      <w:r>
        <w:rPr>
          <w:rFonts w:hint="eastAsia" w:ascii="方正黑体_GBK" w:hAnsi="方正黑体_GBK" w:eastAsia="方正黑体_GBK" w:cs="方正黑体_GBK"/>
          <w:b/>
          <w:bCs/>
          <w:color w:val="auto"/>
          <w:sz w:val="32"/>
          <w:szCs w:val="32"/>
          <w:highlight w:val="none"/>
          <w:lang w:val="en-US" w:eastAsia="zh-CN"/>
        </w:rPr>
        <w:t>怀化市社会科学界联合会</w:t>
      </w:r>
    </w:p>
    <w:p>
      <w:pPr>
        <w:keepNext w:val="0"/>
        <w:keepLines w:val="0"/>
        <w:pageBreakBefore w:val="0"/>
        <w:widowControl w:val="0"/>
        <w:kinsoku/>
        <w:wordWrap/>
        <w:overflowPunct/>
        <w:topLinePunct w:val="0"/>
        <w:autoSpaceDE/>
        <w:autoSpaceDN/>
        <w:bidi w:val="0"/>
        <w:adjustRightInd/>
        <w:snapToGrid w:val="0"/>
        <w:spacing w:line="520" w:lineRule="exact"/>
        <w:ind w:firstLine="2240" w:firstLineChars="700"/>
        <w:textAlignment w:val="auto"/>
        <w:rPr>
          <w:rFonts w:hint="eastAsia" w:ascii="方正黑体_GBK" w:hAnsi="方正黑体_GBK" w:eastAsia="方正黑体_GBK" w:cs="方正黑体_GBK"/>
          <w:b/>
          <w:bCs/>
          <w:color w:val="auto"/>
          <w:sz w:val="32"/>
          <w:szCs w:val="32"/>
          <w:highlight w:val="none"/>
          <w:lang w:val="en-US" w:eastAsia="zh-CN"/>
        </w:rPr>
      </w:pPr>
    </w:p>
    <w:p>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方正黑体_GBK" w:hAnsi="方正黑体_GBK" w:eastAsia="方正黑体_GBK" w:cs="方正黑体_GBK"/>
          <w:b/>
          <w:bCs/>
          <w:color w:val="auto"/>
          <w:sz w:val="32"/>
          <w:szCs w:val="32"/>
          <w:highlight w:val="none"/>
          <w:lang w:val="en-US" w:eastAsia="zh-CN"/>
        </w:rPr>
      </w:pPr>
    </w:p>
    <w:p>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方正黑体_GBK" w:hAnsi="方正黑体_GBK" w:eastAsia="方正黑体_GBK" w:cs="方正黑体_GBK"/>
          <w:b/>
          <w:bCs/>
          <w:color w:val="auto"/>
          <w:sz w:val="32"/>
          <w:szCs w:val="32"/>
          <w:highlight w:val="none"/>
          <w:lang w:val="en-US" w:eastAsia="zh-CN"/>
        </w:rPr>
      </w:pPr>
    </w:p>
    <w:p>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方正黑体_GBK" w:hAnsi="方正黑体_GBK" w:eastAsia="方正黑体_GBK" w:cs="方正黑体_GBK"/>
          <w:b/>
          <w:bCs/>
          <w:color w:val="auto"/>
          <w:sz w:val="32"/>
          <w:szCs w:val="32"/>
          <w:highlight w:val="none"/>
          <w:lang w:val="en-US" w:eastAsia="zh-CN"/>
        </w:rPr>
      </w:pPr>
      <w:r>
        <w:rPr>
          <w:rFonts w:hint="default" w:ascii="方正黑体_GBK" w:hAnsi="方正黑体_GBK" w:eastAsia="方正黑体_GBK" w:cs="方正黑体_GBK"/>
          <w:b/>
          <w:bCs/>
          <w:color w:val="auto"/>
          <w:sz w:val="32"/>
          <w:szCs w:val="32"/>
          <w:highlight w:val="none"/>
          <w:lang w:val="en-US" w:eastAsia="zh-CN"/>
        </w:rPr>
        <w:t>一、部门概况</w:t>
      </w:r>
    </w:p>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20" w:lineRule="exact"/>
        <w:ind w:right="0" w:firstLine="0"/>
        <w:textAlignment w:val="auto"/>
        <w:rPr>
          <w:rFonts w:hint="default" w:ascii="楷体_GB2312" w:eastAsia="楷体_GB2312" w:cs="楷体_GB2312"/>
          <w:i w:val="0"/>
          <w:iCs w:val="0"/>
          <w:caps w:val="0"/>
          <w:color w:val="000000"/>
          <w:spacing w:val="0"/>
          <w:sz w:val="32"/>
          <w:szCs w:val="32"/>
          <w:shd w:val="clear" w:fill="FFFFFF"/>
        </w:rPr>
      </w:pPr>
      <w:r>
        <w:rPr>
          <w:rFonts w:hint="default" w:ascii="楷体_GB2312" w:eastAsia="楷体_GB2312" w:cs="楷体_GB2312"/>
          <w:i w:val="0"/>
          <w:iCs w:val="0"/>
          <w:caps w:val="0"/>
          <w:color w:val="000000"/>
          <w:spacing w:val="0"/>
          <w:sz w:val="32"/>
          <w:szCs w:val="32"/>
          <w:shd w:val="clear" w:fill="FFFFFF"/>
        </w:rPr>
        <w:t>（一）机构设置情况</w:t>
      </w:r>
    </w:p>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20" w:lineRule="exact"/>
        <w:ind w:right="0" w:firstLine="640" w:firstLineChars="200"/>
        <w:textAlignment w:val="auto"/>
        <w:rPr>
          <w:rFonts w:hint="default" w:ascii="仿宋" w:hAnsi="仿宋" w:eastAsia="仿宋" w:cs="仿宋"/>
          <w:i w:val="0"/>
          <w:caps w:val="0"/>
          <w:color w:val="333333"/>
          <w:spacing w:val="0"/>
          <w:sz w:val="32"/>
          <w:szCs w:val="32"/>
          <w:shd w:val="clear" w:color="auto" w:fill="FFFFFF"/>
          <w:lang w:val="en-US" w:eastAsia="zh-CN"/>
        </w:rPr>
      </w:pPr>
      <w:r>
        <w:rPr>
          <w:rFonts w:hint="eastAsia" w:ascii="仿宋" w:hAnsi="仿宋" w:eastAsia="仿宋" w:cs="仿宋"/>
          <w:i w:val="0"/>
          <w:caps w:val="0"/>
          <w:color w:val="333333"/>
          <w:spacing w:val="0"/>
          <w:sz w:val="32"/>
          <w:szCs w:val="32"/>
          <w:shd w:val="clear" w:color="auto" w:fill="FFFFFF"/>
          <w:lang w:val="en-US" w:eastAsia="zh-CN"/>
        </w:rPr>
        <w:t>怀化市社会科学界联合会（以下简称怀化社科联）作为一级部门预算单位，内设科室为：办公室、科研组织科、学会工作科。</w:t>
      </w:r>
    </w:p>
    <w:p>
      <w:pPr>
        <w:pStyle w:val="10"/>
        <w:keepNext w:val="0"/>
        <w:keepLines w:val="0"/>
        <w:pageBreakBefore w:val="0"/>
        <w:widowControl/>
        <w:numPr>
          <w:ilvl w:val="0"/>
          <w:numId w:val="1"/>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20" w:lineRule="exact"/>
        <w:ind w:right="0" w:firstLine="0"/>
        <w:textAlignment w:val="auto"/>
        <w:rPr>
          <w:rFonts w:hint="default" w:ascii="楷体_GB2312" w:eastAsia="楷体_GB2312" w:cs="楷体_GB2312"/>
          <w:i w:val="0"/>
          <w:iCs w:val="0"/>
          <w:caps w:val="0"/>
          <w:color w:val="000000"/>
          <w:spacing w:val="0"/>
          <w:sz w:val="32"/>
          <w:szCs w:val="32"/>
          <w:shd w:val="clear" w:fill="FFFFFF"/>
        </w:rPr>
      </w:pPr>
      <w:r>
        <w:rPr>
          <w:rFonts w:hint="default" w:ascii="楷体_GB2312" w:eastAsia="楷体_GB2312" w:cs="楷体_GB2312"/>
          <w:i w:val="0"/>
          <w:iCs w:val="0"/>
          <w:caps w:val="0"/>
          <w:color w:val="000000"/>
          <w:spacing w:val="0"/>
          <w:sz w:val="32"/>
          <w:szCs w:val="32"/>
          <w:shd w:val="clear" w:fill="FFFFFF"/>
        </w:rPr>
        <w:t>人员编制情况</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20" w:lineRule="exact"/>
        <w:ind w:leftChars="0" w:right="0" w:rightChars="0" w:firstLine="640" w:firstLineChars="200"/>
        <w:textAlignment w:val="auto"/>
        <w:rPr>
          <w:rFonts w:hint="default" w:ascii="楷体_GB2312" w:eastAsia="楷体_GB2312" w:cs="楷体_GB2312"/>
          <w:i w:val="0"/>
          <w:iCs w:val="0"/>
          <w:caps w:val="0"/>
          <w:color w:val="000000"/>
          <w:spacing w:val="0"/>
          <w:sz w:val="32"/>
          <w:szCs w:val="32"/>
          <w:shd w:val="clear" w:fill="FFFFFF"/>
        </w:rPr>
      </w:pPr>
      <w:r>
        <w:rPr>
          <w:rFonts w:hint="default" w:ascii="楷体_GB2312" w:eastAsia="楷体_GB2312" w:cs="楷体_GB2312"/>
          <w:i w:val="0"/>
          <w:iCs w:val="0"/>
          <w:caps w:val="0"/>
          <w:color w:val="000000"/>
          <w:spacing w:val="0"/>
          <w:sz w:val="32"/>
          <w:szCs w:val="32"/>
          <w:shd w:val="clear" w:fill="FFFFFF"/>
        </w:rPr>
        <w:t>202</w:t>
      </w:r>
      <w:r>
        <w:rPr>
          <w:rFonts w:hint="eastAsia" w:ascii="楷体_GB2312" w:eastAsia="楷体_GB2312" w:cs="楷体_GB2312"/>
          <w:i w:val="0"/>
          <w:iCs w:val="0"/>
          <w:caps w:val="0"/>
          <w:color w:val="000000"/>
          <w:spacing w:val="0"/>
          <w:sz w:val="32"/>
          <w:szCs w:val="32"/>
          <w:shd w:val="clear" w:fill="FFFFFF"/>
          <w:lang w:val="en-US" w:eastAsia="zh-CN"/>
        </w:rPr>
        <w:t>5</w:t>
      </w:r>
      <w:r>
        <w:rPr>
          <w:rFonts w:hint="default" w:ascii="楷体_GB2312" w:eastAsia="楷体_GB2312" w:cs="楷体_GB2312"/>
          <w:i w:val="0"/>
          <w:iCs w:val="0"/>
          <w:caps w:val="0"/>
          <w:color w:val="000000"/>
          <w:spacing w:val="0"/>
          <w:sz w:val="32"/>
          <w:szCs w:val="32"/>
          <w:shd w:val="clear" w:fill="FFFFFF"/>
        </w:rPr>
        <w:t>年末，我单位共有编制11人，年末实有在职人数</w:t>
      </w:r>
      <w:r>
        <w:rPr>
          <w:rFonts w:hint="eastAsia" w:ascii="楷体_GB2312" w:eastAsia="楷体_GB2312" w:cs="楷体_GB2312"/>
          <w:i w:val="0"/>
          <w:iCs w:val="0"/>
          <w:caps w:val="0"/>
          <w:color w:val="000000"/>
          <w:spacing w:val="0"/>
          <w:sz w:val="32"/>
          <w:szCs w:val="32"/>
          <w:shd w:val="clear" w:fill="FFFFFF"/>
          <w:lang w:val="en-US" w:eastAsia="zh-CN"/>
        </w:rPr>
        <w:t>10</w:t>
      </w:r>
      <w:r>
        <w:rPr>
          <w:rFonts w:hint="default" w:ascii="楷体_GB2312" w:eastAsia="楷体_GB2312" w:cs="楷体_GB2312"/>
          <w:i w:val="0"/>
          <w:iCs w:val="0"/>
          <w:caps w:val="0"/>
          <w:color w:val="000000"/>
          <w:spacing w:val="0"/>
          <w:sz w:val="32"/>
          <w:szCs w:val="32"/>
          <w:shd w:val="clear" w:fill="FFFFFF"/>
        </w:rPr>
        <w:t>人。</w:t>
      </w:r>
    </w:p>
    <w:p>
      <w:pPr>
        <w:pStyle w:val="10"/>
        <w:keepNext w:val="0"/>
        <w:keepLines w:val="0"/>
        <w:pageBreakBefore w:val="0"/>
        <w:widowControl/>
        <w:numPr>
          <w:ilvl w:val="0"/>
          <w:numId w:val="1"/>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20" w:lineRule="exact"/>
        <w:ind w:left="0" w:leftChars="0" w:right="0" w:firstLine="0" w:firstLineChars="0"/>
        <w:textAlignment w:val="auto"/>
        <w:rPr>
          <w:rFonts w:hint="default" w:ascii="楷体_GB2312" w:eastAsia="楷体_GB2312" w:cs="楷体_GB2312"/>
          <w:i w:val="0"/>
          <w:iCs w:val="0"/>
          <w:caps w:val="0"/>
          <w:color w:val="000000"/>
          <w:spacing w:val="0"/>
          <w:sz w:val="32"/>
          <w:szCs w:val="32"/>
          <w:shd w:val="clear" w:fill="FFFFFF"/>
        </w:rPr>
      </w:pPr>
      <w:r>
        <w:rPr>
          <w:rFonts w:hint="default" w:ascii="楷体_GB2312" w:eastAsia="楷体_GB2312" w:cs="楷体_GB2312"/>
          <w:i w:val="0"/>
          <w:iCs w:val="0"/>
          <w:caps w:val="0"/>
          <w:color w:val="000000"/>
          <w:spacing w:val="0"/>
          <w:sz w:val="32"/>
          <w:szCs w:val="32"/>
          <w:shd w:val="clear" w:fill="FFFFFF"/>
        </w:rPr>
        <w:t>主要职能职责</w:t>
      </w:r>
    </w:p>
    <w:p>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仿宋" w:hAnsi="仿宋" w:eastAsia="仿宋" w:cs="仿宋"/>
          <w:i w:val="0"/>
          <w:caps w:val="0"/>
          <w:color w:val="333333"/>
          <w:spacing w:val="0"/>
          <w:sz w:val="32"/>
          <w:szCs w:val="32"/>
          <w:shd w:val="clear" w:color="auto" w:fill="FFFFFF"/>
          <w:lang w:val="en-US" w:eastAsia="zh-CN"/>
        </w:rPr>
      </w:pPr>
      <w:r>
        <w:rPr>
          <w:rFonts w:hint="default" w:ascii="仿宋" w:hAnsi="仿宋" w:eastAsia="仿宋" w:cs="仿宋"/>
          <w:i w:val="0"/>
          <w:caps w:val="0"/>
          <w:color w:val="333333"/>
          <w:spacing w:val="0"/>
          <w:sz w:val="32"/>
          <w:szCs w:val="32"/>
          <w:shd w:val="clear" w:color="auto" w:fill="FFFFFF"/>
          <w:lang w:val="en-US" w:eastAsia="zh-CN"/>
        </w:rPr>
        <w:t>市社会科学界联合会（以下简称市社科联）主要职能：一是组织领导和协调管理市级社会科学组织、指导县（市、区）社科联工作。二是组织和推动所属团体会员开展社会科学研究和学术活动，参与全市改革开放和现代化建设重大课题攻关，为党委政府决策提供咨询，为全市政治、经济、文化建设和社会进步服务。三是组织和推动社会科学知识宣传、普及和咨询服务，促进社会科学研究成果转化。四是组织和推动社会科学界和自然科学界之间的联系及学术交流协作攻关。五是负责社会科学优秀成果评奖，社科应用研究成果转化评奖，优秀社会科学专家、优秀青年社会科学专家等优秀社会科学工作人才的评奖。六是负责市社会科学成果评审委员会课题立项和社会科学研究成果鉴定等的组织工作。</w:t>
      </w:r>
    </w:p>
    <w:p>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方正黑体_GBK" w:hAnsi="方正黑体_GBK" w:eastAsia="方正黑体_GBK" w:cs="方正黑体_GBK"/>
          <w:b/>
          <w:bCs/>
          <w:color w:val="auto"/>
          <w:sz w:val="32"/>
          <w:szCs w:val="32"/>
          <w:highlight w:val="none"/>
          <w:lang w:val="en-US" w:eastAsia="zh-CN"/>
        </w:rPr>
      </w:pPr>
      <w:r>
        <w:rPr>
          <w:rFonts w:hint="default" w:ascii="方正黑体_GBK" w:hAnsi="方正黑体_GBK" w:eastAsia="方正黑体_GBK" w:cs="方正黑体_GBK"/>
          <w:b/>
          <w:bCs/>
          <w:color w:val="auto"/>
          <w:sz w:val="32"/>
          <w:szCs w:val="32"/>
          <w:highlight w:val="none"/>
          <w:lang w:val="en-US" w:eastAsia="zh-CN"/>
        </w:rPr>
        <w:t>二、一般公共预算支出情况</w:t>
      </w:r>
    </w:p>
    <w:p>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（一）基本支出</w:t>
      </w:r>
    </w:p>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20" w:lineRule="exact"/>
        <w:ind w:right="0" w:firstLine="640" w:firstLineChars="200"/>
        <w:textAlignment w:val="auto"/>
        <w:rPr>
          <w:rFonts w:hint="eastAsia" w:ascii="仿宋" w:hAnsi="仿宋" w:eastAsia="仿宋" w:cs="仿宋"/>
          <w:i w:val="0"/>
          <w:caps w:val="0"/>
          <w:color w:val="333333"/>
          <w:spacing w:val="0"/>
          <w:sz w:val="32"/>
          <w:szCs w:val="32"/>
          <w:shd w:val="clear" w:color="auto" w:fill="FFFFFF"/>
          <w:lang w:val="en-US" w:eastAsia="zh-CN"/>
        </w:rPr>
      </w:pPr>
      <w:r>
        <w:rPr>
          <w:rFonts w:hint="eastAsia" w:ascii="仿宋" w:hAnsi="仿宋" w:eastAsia="仿宋" w:cs="仿宋"/>
          <w:i w:val="0"/>
          <w:caps w:val="0"/>
          <w:color w:val="333333"/>
          <w:spacing w:val="0"/>
          <w:sz w:val="32"/>
          <w:szCs w:val="32"/>
          <w:shd w:val="clear" w:color="auto" w:fill="FFFFFF"/>
          <w:lang w:val="en-US" w:eastAsia="zh-CN"/>
        </w:rPr>
        <w:t>2025年</w:t>
      </w:r>
      <w:r>
        <w:rPr>
          <w:rFonts w:hint="eastAsia" w:ascii="仿宋" w:hAnsi="仿宋" w:eastAsia="仿宋" w:cs="仿宋"/>
          <w:i w:val="0"/>
          <w:caps w:val="0"/>
          <w:color w:val="333333"/>
          <w:spacing w:val="0"/>
          <w:sz w:val="32"/>
          <w:szCs w:val="32"/>
          <w:shd w:val="clear" w:color="auto" w:fill="FFFFFF"/>
        </w:rPr>
        <w:t>基本支出</w:t>
      </w:r>
      <w:r>
        <w:rPr>
          <w:rFonts w:hint="eastAsia" w:ascii="仿宋" w:hAnsi="仿宋" w:eastAsia="仿宋" w:cs="仿宋"/>
          <w:i w:val="0"/>
          <w:caps w:val="0"/>
          <w:color w:val="333333"/>
          <w:spacing w:val="0"/>
          <w:sz w:val="32"/>
          <w:szCs w:val="32"/>
          <w:shd w:val="clear" w:color="auto" w:fill="FFFFFF"/>
          <w:lang w:val="en-US" w:eastAsia="zh-CN"/>
        </w:rPr>
        <w:t>255.26</w:t>
      </w:r>
      <w:r>
        <w:rPr>
          <w:rFonts w:hint="eastAsia" w:ascii="仿宋" w:hAnsi="仿宋" w:eastAsia="仿宋" w:cs="仿宋"/>
          <w:i w:val="0"/>
          <w:caps w:val="0"/>
          <w:color w:val="333333"/>
          <w:spacing w:val="0"/>
          <w:sz w:val="32"/>
          <w:szCs w:val="32"/>
          <w:shd w:val="clear" w:color="auto" w:fill="FFFFFF"/>
        </w:rPr>
        <w:t>万元</w:t>
      </w:r>
      <w:r>
        <w:rPr>
          <w:rFonts w:hint="eastAsia" w:ascii="仿宋" w:hAnsi="仿宋" w:eastAsia="仿宋" w:cs="仿宋"/>
          <w:i w:val="0"/>
          <w:caps w:val="0"/>
          <w:color w:val="333333"/>
          <w:spacing w:val="0"/>
          <w:sz w:val="32"/>
          <w:szCs w:val="32"/>
          <w:shd w:val="clear" w:color="auto" w:fill="FFFFFF"/>
          <w:lang w:eastAsia="zh-CN"/>
        </w:rPr>
        <w:t>，</w:t>
      </w:r>
      <w:r>
        <w:rPr>
          <w:rFonts w:hint="eastAsia" w:ascii="仿宋" w:hAnsi="仿宋" w:eastAsia="仿宋" w:cs="仿宋"/>
          <w:i w:val="0"/>
          <w:caps w:val="0"/>
          <w:color w:val="333333"/>
          <w:spacing w:val="0"/>
          <w:sz w:val="32"/>
          <w:szCs w:val="32"/>
          <w:shd w:val="clear" w:color="auto" w:fill="FFFFFF"/>
        </w:rPr>
        <w:t>主要是为保障行政机关管理工作正常运转而发生的必要费用</w:t>
      </w:r>
      <w:r>
        <w:rPr>
          <w:rFonts w:hint="eastAsia" w:ascii="仿宋" w:hAnsi="仿宋" w:eastAsia="仿宋" w:cs="仿宋"/>
          <w:i w:val="0"/>
          <w:caps w:val="0"/>
          <w:color w:val="333333"/>
          <w:spacing w:val="0"/>
          <w:sz w:val="32"/>
          <w:szCs w:val="32"/>
          <w:shd w:val="clear" w:color="auto" w:fill="FFFFFF"/>
          <w:lang w:eastAsia="zh-CN"/>
        </w:rPr>
        <w:t>，其中工资福利支出</w:t>
      </w:r>
      <w:r>
        <w:rPr>
          <w:rFonts w:hint="eastAsia" w:ascii="仿宋" w:hAnsi="仿宋" w:eastAsia="仿宋" w:cs="仿宋"/>
          <w:i w:val="0"/>
          <w:caps w:val="0"/>
          <w:color w:val="333333"/>
          <w:spacing w:val="0"/>
          <w:sz w:val="32"/>
          <w:szCs w:val="32"/>
          <w:shd w:val="clear" w:color="auto" w:fill="FFFFFF"/>
          <w:lang w:val="en-US" w:eastAsia="zh-CN"/>
        </w:rPr>
        <w:t>156.96万元，商品和服务支出90.78万元，对个人和家庭补助7万元。</w:t>
      </w:r>
    </w:p>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20" w:lineRule="exact"/>
        <w:ind w:right="0" w:firstLine="632" w:firstLineChars="200"/>
        <w:textAlignment w:val="auto"/>
        <w:rPr>
          <w:rFonts w:hint="default" w:ascii="仿宋" w:hAnsi="仿宋" w:eastAsia="仿宋" w:cs="仿宋"/>
          <w:i w:val="0"/>
          <w:caps w:val="0"/>
          <w:color w:val="333333"/>
          <w:spacing w:val="0"/>
          <w:sz w:val="32"/>
          <w:szCs w:val="32"/>
          <w:shd w:val="clear" w:color="auto" w:fill="FFFFFF"/>
          <w:lang w:val="en-US" w:eastAsia="zh-CN"/>
        </w:rPr>
      </w:pPr>
      <w:r>
        <w:rPr>
          <w:rFonts w:hint="eastAsia" w:ascii="仿宋" w:hAnsi="仿宋" w:eastAsia="仿宋"/>
          <w:spacing w:val="-2"/>
          <w:sz w:val="32"/>
          <w:szCs w:val="32"/>
        </w:rPr>
        <w:t>“三公”经费支出</w:t>
      </w:r>
      <w:r>
        <w:rPr>
          <w:rFonts w:hint="eastAsia" w:ascii="仿宋" w:hAnsi="仿宋" w:eastAsia="仿宋"/>
          <w:spacing w:val="-2"/>
          <w:sz w:val="32"/>
          <w:szCs w:val="32"/>
          <w:lang w:val="en-US" w:eastAsia="zh-CN"/>
        </w:rPr>
        <w:t>1.62</w:t>
      </w:r>
      <w:r>
        <w:rPr>
          <w:rFonts w:hint="eastAsia" w:ascii="仿宋" w:hAnsi="仿宋" w:eastAsia="仿宋"/>
          <w:spacing w:val="-2"/>
          <w:sz w:val="32"/>
          <w:szCs w:val="32"/>
        </w:rPr>
        <w:t>万元，其中：因公出国（境）费</w:t>
      </w:r>
      <w:r>
        <w:rPr>
          <w:rFonts w:hint="eastAsia" w:ascii="仿宋" w:hAnsi="仿宋" w:eastAsia="仿宋"/>
          <w:spacing w:val="-2"/>
          <w:sz w:val="32"/>
          <w:szCs w:val="32"/>
          <w:lang w:val="en-US" w:eastAsia="zh-CN"/>
        </w:rPr>
        <w:t>0万元，</w:t>
      </w:r>
      <w:r>
        <w:rPr>
          <w:rFonts w:hint="eastAsia" w:ascii="仿宋" w:hAnsi="仿宋" w:eastAsia="仿宋"/>
          <w:spacing w:val="-2"/>
          <w:sz w:val="32"/>
          <w:szCs w:val="32"/>
        </w:rPr>
        <w:t>公务用车运行维护费</w:t>
      </w:r>
      <w:r>
        <w:rPr>
          <w:rFonts w:hint="eastAsia" w:ascii="仿宋" w:hAnsi="仿宋" w:eastAsia="仿宋"/>
          <w:spacing w:val="-2"/>
          <w:sz w:val="32"/>
          <w:szCs w:val="32"/>
          <w:lang w:val="en-US" w:eastAsia="zh-CN"/>
        </w:rPr>
        <w:t>1.5万元，公务接待费0.12万元。</w:t>
      </w:r>
    </w:p>
    <w:p>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（二）项目支出</w:t>
      </w:r>
    </w:p>
    <w:p>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仿宋" w:hAnsi="仿宋" w:eastAsia="仿宋" w:cs="仿宋"/>
          <w:i w:val="0"/>
          <w:caps w:val="0"/>
          <w:color w:val="333333"/>
          <w:spacing w:val="0"/>
          <w:sz w:val="32"/>
          <w:szCs w:val="32"/>
          <w:shd w:val="clear" w:color="auto" w:fill="FFFFFF"/>
          <w:lang w:val="en-US" w:eastAsia="zh-CN"/>
        </w:rPr>
      </w:pPr>
      <w:r>
        <w:rPr>
          <w:rFonts w:hint="eastAsia" w:ascii="仿宋" w:hAnsi="仿宋" w:eastAsia="仿宋" w:cs="仿宋"/>
          <w:i w:val="0"/>
          <w:caps w:val="0"/>
          <w:color w:val="333333"/>
          <w:spacing w:val="0"/>
          <w:sz w:val="32"/>
          <w:szCs w:val="32"/>
          <w:shd w:val="clear" w:color="auto" w:fill="FFFFFF"/>
          <w:lang w:eastAsia="zh-CN"/>
        </w:rPr>
        <w:t>202</w:t>
      </w:r>
      <w:r>
        <w:rPr>
          <w:rFonts w:hint="eastAsia" w:ascii="仿宋" w:hAnsi="仿宋" w:eastAsia="仿宋" w:cs="仿宋"/>
          <w:i w:val="0"/>
          <w:caps w:val="0"/>
          <w:color w:val="333333"/>
          <w:spacing w:val="0"/>
          <w:sz w:val="32"/>
          <w:szCs w:val="32"/>
          <w:shd w:val="clear" w:color="auto" w:fill="FFFFFF"/>
          <w:lang w:val="en-US" w:eastAsia="zh-CN"/>
        </w:rPr>
        <w:t>5财政拨入专项经费49.5万元，支出项目经费49.5万元，其中：社科普及经费29.5万元，怀化市社科联智库发展20万元。</w:t>
      </w:r>
    </w:p>
    <w:p>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方正黑体_GBK" w:hAnsi="方正黑体_GBK" w:eastAsia="方正黑体_GBK" w:cs="方正黑体_GBK"/>
          <w:b/>
          <w:bCs/>
          <w:color w:val="auto"/>
          <w:sz w:val="32"/>
          <w:szCs w:val="32"/>
          <w:highlight w:val="none"/>
          <w:lang w:val="en-US" w:eastAsia="zh-CN"/>
        </w:rPr>
      </w:pPr>
      <w:r>
        <w:rPr>
          <w:rFonts w:hint="default" w:ascii="方正黑体_GBK" w:hAnsi="方正黑体_GBK" w:eastAsia="方正黑体_GBK" w:cs="方正黑体_GBK"/>
          <w:b/>
          <w:bCs/>
          <w:color w:val="auto"/>
          <w:sz w:val="32"/>
          <w:szCs w:val="32"/>
          <w:highlight w:val="none"/>
          <w:lang w:val="en-US" w:eastAsia="zh-CN"/>
        </w:rPr>
        <w:t>三、项目组织实施情况</w:t>
      </w:r>
    </w:p>
    <w:p>
      <w:pPr>
        <w:pStyle w:val="22"/>
        <w:spacing w:line="240" w:lineRule="auto"/>
        <w:ind w:firstLine="640" w:firstLineChars="200"/>
        <w:rPr>
          <w:rFonts w:hint="eastAsia" w:ascii="仿宋_GB2312" w:eastAsia="仿宋_GB2312" w:cs="仿宋_GB2312" w:hAnsiTheme="minorHAnsi"/>
          <w:i w:val="0"/>
          <w:iCs w:val="0"/>
          <w:caps w:val="0"/>
          <w:color w:val="000000"/>
          <w:spacing w:val="0"/>
          <w:kern w:val="0"/>
          <w:sz w:val="32"/>
          <w:szCs w:val="32"/>
          <w:shd w:val="clear" w:fill="FFFFFF"/>
          <w:lang w:val="en-US" w:eastAsia="zh-CN" w:bidi="ar"/>
        </w:rPr>
      </w:pPr>
      <w:r>
        <w:rPr>
          <w:rFonts w:hint="eastAsia" w:ascii="仿宋_GB2312" w:eastAsia="仿宋_GB2312" w:cs="仿宋_GB2312" w:hAnsiTheme="minorHAnsi"/>
          <w:i w:val="0"/>
          <w:iCs w:val="0"/>
          <w:caps w:val="0"/>
          <w:color w:val="000000"/>
          <w:spacing w:val="0"/>
          <w:kern w:val="0"/>
          <w:sz w:val="32"/>
          <w:szCs w:val="32"/>
          <w:shd w:val="clear" w:fill="FFFFFF"/>
          <w:lang w:val="en-US" w:eastAsia="zh-CN" w:bidi="ar"/>
        </w:rPr>
        <w:t>(1)一是召开2025年市社科普及联席会议；二是举办2025年怀化市社科普及主题活动周启动式，推动全市社科普及活动周的开展；三是召开社科年度学术年会。五是围绕学习贯彻习近平新时代中国特色社会主义思想、党的二十大及二十届四中精神主题主线开展宣传宣讲。探索组建理论微宣传宣讲志愿服务队，推动理论宣传通俗化、大众化。组织社科短视频大赛。</w:t>
      </w:r>
    </w:p>
    <w:p>
      <w:pPr>
        <w:pStyle w:val="22"/>
        <w:spacing w:line="240" w:lineRule="auto"/>
        <w:ind w:firstLine="640" w:firstLineChars="200"/>
        <w:rPr>
          <w:rFonts w:hint="eastAsia" w:ascii="仿宋_GB2312" w:eastAsia="仿宋_GB2312" w:cs="仿宋_GB2312" w:hAnsiTheme="minorHAnsi"/>
          <w:i w:val="0"/>
          <w:iCs w:val="0"/>
          <w:caps w:val="0"/>
          <w:color w:val="000000"/>
          <w:spacing w:val="0"/>
          <w:kern w:val="0"/>
          <w:sz w:val="32"/>
          <w:szCs w:val="32"/>
          <w:shd w:val="clear" w:fill="FFFFFF"/>
          <w:lang w:val="en-US" w:eastAsia="zh-CN" w:bidi="ar"/>
        </w:rPr>
      </w:pPr>
    </w:p>
    <w:p>
      <w:pPr>
        <w:pStyle w:val="22"/>
        <w:spacing w:line="240" w:lineRule="auto"/>
        <w:ind w:firstLine="640" w:firstLineChars="200"/>
        <w:rPr>
          <w:rFonts w:hint="default" w:ascii="仿宋_GB2312" w:eastAsia="仿宋_GB2312" w:cs="仿宋_GB2312" w:hAnsiTheme="minorHAnsi"/>
          <w:i w:val="0"/>
          <w:iCs w:val="0"/>
          <w:caps w:val="0"/>
          <w:color w:val="000000"/>
          <w:spacing w:val="0"/>
          <w:kern w:val="0"/>
          <w:sz w:val="32"/>
          <w:szCs w:val="32"/>
          <w:shd w:val="clear" w:fill="FFFFFF"/>
          <w:lang w:val="en-US" w:eastAsia="zh-CN" w:bidi="ar"/>
        </w:rPr>
      </w:pPr>
      <w:r>
        <w:rPr>
          <w:rFonts w:hint="eastAsia" w:ascii="仿宋_GB2312" w:eastAsia="仿宋_GB2312" w:cs="仿宋_GB2312" w:hAnsiTheme="minorHAnsi"/>
          <w:i w:val="0"/>
          <w:iCs w:val="0"/>
          <w:caps w:val="0"/>
          <w:color w:val="000000"/>
          <w:spacing w:val="0"/>
          <w:kern w:val="0"/>
          <w:sz w:val="32"/>
          <w:szCs w:val="32"/>
          <w:shd w:val="clear" w:fill="FFFFFF"/>
          <w:lang w:val="en-US" w:eastAsia="zh-CN" w:bidi="ar"/>
        </w:rPr>
        <w:t>(2)开展2025年市级课题立项及2024年度市级课题结题评审。抓好智库宣传阵地等平台建设。建立社科专家库，聘请入库专家等。组织编印</w:t>
      </w:r>
      <w:r>
        <w:rPr>
          <w:rFonts w:hint="eastAsia" w:ascii="仿宋" w:eastAsia="仿宋"/>
          <w:sz w:val="32"/>
          <w:szCs w:val="32"/>
          <w:lang w:val="en-US" w:eastAsia="zh-CN"/>
        </w:rPr>
        <w:t>2025年在《怀化社科》全年出刊4期，刊发理论文章；对2024年的市级重大社科课题成果在《怀化社科》等刊物择优选登，供决策吸纳。</w:t>
      </w:r>
    </w:p>
    <w:p>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方正黑体_GBK" w:hAnsi="方正黑体_GBK" w:eastAsia="方正黑体_GBK" w:cs="方正黑体_GBK"/>
          <w:b/>
          <w:bCs/>
          <w:color w:val="auto"/>
          <w:sz w:val="32"/>
          <w:szCs w:val="32"/>
          <w:highlight w:val="none"/>
          <w:lang w:val="en-US" w:eastAsia="zh-CN"/>
        </w:rPr>
      </w:pPr>
      <w:r>
        <w:rPr>
          <w:rFonts w:hint="default" w:ascii="方正黑体_GBK" w:hAnsi="方正黑体_GBK" w:eastAsia="方正黑体_GBK" w:cs="方正黑体_GBK"/>
          <w:b/>
          <w:bCs/>
          <w:color w:val="auto"/>
          <w:sz w:val="32"/>
          <w:szCs w:val="32"/>
          <w:highlight w:val="none"/>
          <w:lang w:val="en-US" w:eastAsia="zh-CN"/>
        </w:rPr>
        <w:t>四、资产管理情况</w:t>
      </w:r>
    </w:p>
    <w:p>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firstLine="640" w:firstLineChars="200"/>
        <w:textAlignment w:val="auto"/>
        <w:rPr>
          <w:rFonts w:hint="default" w:ascii="方正黑体_GBK" w:hAnsi="方正黑体_GBK" w:eastAsia="方正黑体_GBK" w:cs="方正黑体_GBK"/>
          <w:b/>
          <w:bCs/>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2025年新增固定资产0.49万元，报废资产0.65万元。</w:t>
      </w:r>
    </w:p>
    <w:p>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方正黑体_GBK" w:hAnsi="方正黑体_GBK" w:eastAsia="方正黑体_GBK" w:cs="方正黑体_GBK"/>
          <w:b/>
          <w:bCs/>
          <w:color w:val="auto"/>
          <w:sz w:val="32"/>
          <w:szCs w:val="32"/>
          <w:highlight w:val="none"/>
          <w:lang w:val="en-US" w:eastAsia="zh-CN"/>
        </w:rPr>
      </w:pPr>
      <w:r>
        <w:rPr>
          <w:rFonts w:hint="default" w:ascii="方正黑体_GBK" w:hAnsi="方正黑体_GBK" w:eastAsia="方正黑体_GBK" w:cs="方正黑体_GBK"/>
          <w:b/>
          <w:bCs/>
          <w:color w:val="auto"/>
          <w:sz w:val="32"/>
          <w:szCs w:val="32"/>
          <w:highlight w:val="none"/>
          <w:lang w:val="en-US" w:eastAsia="zh-CN"/>
        </w:rPr>
        <w:t>五、政府性基金预算支出情况</w:t>
      </w:r>
    </w:p>
    <w:p>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方正黑体_GBK" w:hAnsi="方正黑体_GBK" w:eastAsia="方正黑体_GBK" w:cs="方正黑体_GBK"/>
          <w:b/>
          <w:bCs/>
          <w:color w:val="auto"/>
          <w:sz w:val="32"/>
          <w:szCs w:val="32"/>
          <w:highlight w:val="none"/>
          <w:lang w:val="en-US" w:eastAsia="zh-CN"/>
        </w:rPr>
      </w:pPr>
      <w:r>
        <w:rPr>
          <w:rFonts w:hint="eastAsia" w:ascii="方正黑体_GBK" w:hAnsi="方正黑体_GBK" w:eastAsia="方正黑体_GBK" w:cs="方正黑体_GBK"/>
          <w:b/>
          <w:bCs/>
          <w:color w:val="auto"/>
          <w:sz w:val="32"/>
          <w:szCs w:val="32"/>
          <w:highlight w:val="none"/>
          <w:lang w:val="en-US" w:eastAsia="zh-CN"/>
        </w:rPr>
        <w:t>无</w:t>
      </w:r>
    </w:p>
    <w:p>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方正黑体_GBK" w:hAnsi="方正黑体_GBK" w:eastAsia="方正黑体_GBK" w:cs="方正黑体_GBK"/>
          <w:b/>
          <w:bCs/>
          <w:color w:val="auto"/>
          <w:sz w:val="32"/>
          <w:szCs w:val="32"/>
          <w:highlight w:val="none"/>
          <w:lang w:val="en-US" w:eastAsia="zh-CN"/>
        </w:rPr>
      </w:pPr>
      <w:r>
        <w:rPr>
          <w:rFonts w:hint="default" w:ascii="方正黑体_GBK" w:hAnsi="方正黑体_GBK" w:eastAsia="方正黑体_GBK" w:cs="方正黑体_GBK"/>
          <w:b/>
          <w:bCs/>
          <w:color w:val="auto"/>
          <w:sz w:val="32"/>
          <w:szCs w:val="32"/>
          <w:highlight w:val="none"/>
          <w:lang w:val="en-US" w:eastAsia="zh-CN"/>
        </w:rPr>
        <w:t>六、国有资本经营预算支出情况</w:t>
      </w:r>
    </w:p>
    <w:p>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方正黑体_GBK" w:hAnsi="方正黑体_GBK" w:eastAsia="方正黑体_GBK" w:cs="方正黑体_GBK"/>
          <w:b/>
          <w:bCs/>
          <w:color w:val="auto"/>
          <w:sz w:val="32"/>
          <w:szCs w:val="32"/>
          <w:highlight w:val="none"/>
          <w:lang w:val="en-US" w:eastAsia="zh-CN"/>
        </w:rPr>
      </w:pPr>
      <w:r>
        <w:rPr>
          <w:rFonts w:hint="eastAsia" w:ascii="方正黑体_GBK" w:hAnsi="方正黑体_GBK" w:eastAsia="方正黑体_GBK" w:cs="方正黑体_GBK"/>
          <w:b/>
          <w:bCs/>
          <w:color w:val="auto"/>
          <w:sz w:val="32"/>
          <w:szCs w:val="32"/>
          <w:highlight w:val="none"/>
          <w:lang w:val="en-US" w:eastAsia="zh-CN"/>
        </w:rPr>
        <w:t>无</w:t>
      </w:r>
    </w:p>
    <w:p>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方正黑体_GBK" w:hAnsi="方正黑体_GBK" w:eastAsia="方正黑体_GBK" w:cs="方正黑体_GBK"/>
          <w:b/>
          <w:bCs/>
          <w:color w:val="auto"/>
          <w:sz w:val="32"/>
          <w:szCs w:val="32"/>
          <w:highlight w:val="none"/>
          <w:lang w:val="en-US" w:eastAsia="zh-CN"/>
        </w:rPr>
      </w:pPr>
      <w:r>
        <w:rPr>
          <w:rFonts w:hint="default" w:ascii="方正黑体_GBK" w:hAnsi="方正黑体_GBK" w:eastAsia="方正黑体_GBK" w:cs="方正黑体_GBK"/>
          <w:b/>
          <w:bCs/>
          <w:color w:val="auto"/>
          <w:sz w:val="32"/>
          <w:szCs w:val="32"/>
          <w:highlight w:val="none"/>
          <w:lang w:val="en-US" w:eastAsia="zh-CN"/>
        </w:rPr>
        <w:t>七、社会保险基金预算支出情况</w:t>
      </w:r>
    </w:p>
    <w:p>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方正黑体_GBK" w:hAnsi="方正黑体_GBK" w:eastAsia="方正黑体_GBK" w:cs="方正黑体_GBK"/>
          <w:b/>
          <w:bCs/>
          <w:color w:val="auto"/>
          <w:sz w:val="32"/>
          <w:szCs w:val="32"/>
          <w:highlight w:val="none"/>
          <w:lang w:val="en-US" w:eastAsia="zh-CN"/>
        </w:rPr>
      </w:pPr>
      <w:r>
        <w:rPr>
          <w:rFonts w:hint="eastAsia" w:ascii="方正黑体_GBK" w:hAnsi="方正黑体_GBK" w:eastAsia="方正黑体_GBK" w:cs="方正黑体_GBK"/>
          <w:b/>
          <w:bCs/>
          <w:color w:val="auto"/>
          <w:sz w:val="32"/>
          <w:szCs w:val="32"/>
          <w:highlight w:val="none"/>
          <w:lang w:val="en-US" w:eastAsia="zh-CN"/>
        </w:rPr>
        <w:t>无</w:t>
      </w:r>
    </w:p>
    <w:p>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方正黑体_GBK" w:hAnsi="方正黑体_GBK" w:eastAsia="方正黑体_GBK" w:cs="方正黑体_GBK"/>
          <w:b/>
          <w:bCs/>
          <w:color w:val="auto"/>
          <w:sz w:val="32"/>
          <w:szCs w:val="32"/>
          <w:highlight w:val="none"/>
          <w:lang w:val="en-US" w:eastAsia="zh-CN"/>
        </w:rPr>
      </w:pPr>
      <w:r>
        <w:rPr>
          <w:rFonts w:hint="default" w:ascii="方正黑体_GBK" w:hAnsi="方正黑体_GBK" w:eastAsia="方正黑体_GBK" w:cs="方正黑体_GBK"/>
          <w:b/>
          <w:bCs/>
          <w:color w:val="auto"/>
          <w:sz w:val="32"/>
          <w:szCs w:val="32"/>
          <w:highlight w:val="none"/>
          <w:lang w:val="en-US" w:eastAsia="zh-CN"/>
        </w:rPr>
        <w:t>八、部门整体支出绩效情况</w:t>
      </w:r>
    </w:p>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20" w:lineRule="exact"/>
        <w:ind w:right="0" w:firstLine="0"/>
        <w:textAlignment w:val="auto"/>
        <w:rPr>
          <w:rFonts w:hint="default" w:ascii="楷体_GB2312" w:eastAsia="楷体_GB2312" w:cs="楷体_GB2312"/>
          <w:i w:val="0"/>
          <w:iCs w:val="0"/>
          <w:caps w:val="0"/>
          <w:color w:val="000000"/>
          <w:spacing w:val="0"/>
          <w:sz w:val="32"/>
          <w:szCs w:val="32"/>
        </w:rPr>
      </w:pPr>
      <w:r>
        <w:rPr>
          <w:rFonts w:hint="default" w:ascii="楷体_GB2312" w:eastAsia="楷体_GB2312" w:cs="楷体_GB2312"/>
          <w:i w:val="0"/>
          <w:iCs w:val="0"/>
          <w:caps w:val="0"/>
          <w:color w:val="000000"/>
          <w:spacing w:val="0"/>
          <w:sz w:val="32"/>
          <w:szCs w:val="32"/>
          <w:shd w:val="clear" w:fill="FFFFFF"/>
        </w:rPr>
        <w:t>（一）综合评价结论。</w:t>
      </w:r>
      <w:r>
        <w:rPr>
          <w:rFonts w:hint="default" w:ascii="仿宋_GB2312" w:eastAsia="仿宋_GB2312" w:cs="仿宋_GB2312"/>
          <w:i w:val="0"/>
          <w:iCs w:val="0"/>
          <w:caps w:val="0"/>
          <w:color w:val="000000"/>
          <w:spacing w:val="0"/>
          <w:sz w:val="32"/>
          <w:szCs w:val="32"/>
          <w:shd w:val="clear" w:fill="FFFFFF"/>
        </w:rPr>
        <w:t>自评得分</w:t>
      </w:r>
      <w:r>
        <w:rPr>
          <w:rFonts w:hint="eastAsia" w:ascii="仿宋_GB2312" w:eastAsia="仿宋_GB2312" w:cs="仿宋_GB2312"/>
          <w:i w:val="0"/>
          <w:iCs w:val="0"/>
          <w:caps w:val="0"/>
          <w:color w:val="000000"/>
          <w:spacing w:val="0"/>
          <w:sz w:val="32"/>
          <w:szCs w:val="32"/>
          <w:shd w:val="clear" w:fill="FFFFFF"/>
          <w:lang w:val="en-US" w:eastAsia="zh-CN"/>
        </w:rPr>
        <w:t>100分，</w:t>
      </w:r>
      <w:r>
        <w:rPr>
          <w:rFonts w:hint="default" w:ascii="仿宋_GB2312" w:eastAsia="仿宋_GB2312" w:cs="仿宋_GB2312"/>
          <w:i w:val="0"/>
          <w:iCs w:val="0"/>
          <w:caps w:val="0"/>
          <w:color w:val="000000"/>
          <w:spacing w:val="0"/>
          <w:sz w:val="32"/>
          <w:szCs w:val="32"/>
          <w:shd w:val="clear" w:fill="FFFFFF"/>
        </w:rPr>
        <w:t>评价等级</w:t>
      </w:r>
      <w:r>
        <w:rPr>
          <w:rFonts w:hint="eastAsia" w:ascii="仿宋_GB2312" w:eastAsia="仿宋_GB2312" w:cs="仿宋_GB2312"/>
          <w:i w:val="0"/>
          <w:iCs w:val="0"/>
          <w:caps w:val="0"/>
          <w:color w:val="000000"/>
          <w:spacing w:val="0"/>
          <w:sz w:val="32"/>
          <w:szCs w:val="32"/>
          <w:shd w:val="clear" w:fill="FFFFFF"/>
          <w:lang w:eastAsia="zh-CN"/>
        </w:rPr>
        <w:t>优</w:t>
      </w:r>
      <w:r>
        <w:rPr>
          <w:rFonts w:hint="default" w:ascii="仿宋_GB2312" w:eastAsia="仿宋_GB2312" w:cs="仿宋_GB2312"/>
          <w:i w:val="0"/>
          <w:iCs w:val="0"/>
          <w:caps w:val="0"/>
          <w:color w:val="000000"/>
          <w:spacing w:val="0"/>
          <w:sz w:val="32"/>
          <w:szCs w:val="32"/>
          <w:shd w:val="clear" w:fill="FFFFFF"/>
        </w:rPr>
        <w:t>。</w:t>
      </w:r>
    </w:p>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20" w:lineRule="exact"/>
        <w:ind w:right="0" w:firstLine="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default" w:ascii="楷体_GB2312" w:eastAsia="楷体_GB2312" w:cs="楷体_GB2312"/>
          <w:i w:val="0"/>
          <w:iCs w:val="0"/>
          <w:caps w:val="0"/>
          <w:color w:val="000000"/>
          <w:spacing w:val="0"/>
          <w:sz w:val="32"/>
          <w:szCs w:val="32"/>
          <w:shd w:val="clear" w:fill="FFFFFF"/>
        </w:rPr>
        <w:t>（二）综合评价情况。</w:t>
      </w:r>
      <w:r>
        <w:rPr>
          <w:rFonts w:hint="eastAsia" w:ascii="仿宋" w:hAnsi="仿宋" w:eastAsia="仿宋" w:cstheme="minorBidi"/>
          <w:spacing w:val="-2"/>
          <w:kern w:val="0"/>
          <w:sz w:val="32"/>
          <w:szCs w:val="32"/>
          <w:lang w:val="en-US" w:eastAsia="zh-CN" w:bidi="ar"/>
        </w:rPr>
        <w:t>我单位整体支出资金使用和管理中，实际支出与计划支出规定的用途一致，资金使用按照规定程序上报和审批，财务制度健全，财务信息真实完整，无截留、侵占等违规行为。根据相关管理办法和规定，对我单位整体支出资金绩效自评得分100分</w:t>
      </w:r>
      <w:r>
        <w:rPr>
          <w:rFonts w:hint="default" w:ascii="仿宋" w:hAnsi="仿宋" w:eastAsia="仿宋" w:cstheme="minorBidi"/>
          <w:spacing w:val="-2"/>
          <w:kern w:val="0"/>
          <w:sz w:val="32"/>
          <w:szCs w:val="32"/>
          <w:lang w:val="en-US" w:eastAsia="zh-CN" w:bidi="ar"/>
        </w:rPr>
        <w:t>。</w:t>
      </w:r>
    </w:p>
    <w:p>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方正黑体_GBK" w:hAnsi="方正黑体_GBK" w:eastAsia="方正黑体_GBK" w:cs="方正黑体_GBK"/>
          <w:b/>
          <w:bCs/>
          <w:color w:val="auto"/>
          <w:sz w:val="32"/>
          <w:szCs w:val="32"/>
          <w:highlight w:val="none"/>
          <w:lang w:val="en-US" w:eastAsia="zh-CN"/>
        </w:rPr>
      </w:pPr>
      <w:r>
        <w:rPr>
          <w:rFonts w:hint="default" w:ascii="方正黑体_GBK" w:hAnsi="方正黑体_GBK" w:eastAsia="方正黑体_GBK" w:cs="方正黑体_GBK"/>
          <w:b/>
          <w:bCs/>
          <w:color w:val="auto"/>
          <w:sz w:val="32"/>
          <w:szCs w:val="32"/>
          <w:highlight w:val="none"/>
          <w:lang w:val="en-US" w:eastAsia="zh-CN"/>
        </w:rPr>
        <w:t>九、存在的问题及原因分析</w:t>
      </w:r>
    </w:p>
    <w:p>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无</w:t>
      </w:r>
    </w:p>
    <w:p>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方正黑体_GBK" w:hAnsi="方正黑体_GBK" w:eastAsia="方正黑体_GBK" w:cs="方正黑体_GBK"/>
          <w:b/>
          <w:bCs/>
          <w:color w:val="auto"/>
          <w:sz w:val="32"/>
          <w:szCs w:val="32"/>
          <w:highlight w:val="none"/>
          <w:lang w:val="en-US" w:eastAsia="zh-CN"/>
        </w:rPr>
      </w:pPr>
      <w:r>
        <w:rPr>
          <w:rFonts w:hint="default" w:ascii="方正黑体_GBK" w:hAnsi="方正黑体_GBK" w:eastAsia="方正黑体_GBK" w:cs="方正黑体_GBK"/>
          <w:b/>
          <w:bCs/>
          <w:color w:val="auto"/>
          <w:sz w:val="32"/>
          <w:szCs w:val="32"/>
          <w:highlight w:val="none"/>
          <w:lang w:val="en-US" w:eastAsia="zh-CN"/>
        </w:rPr>
        <w:t>十、下一步改进措施</w:t>
      </w:r>
    </w:p>
    <w:p>
      <w:pPr>
        <w:ind w:firstLine="632" w:firstLineChars="200"/>
        <w:rPr>
          <w:rFonts w:hint="default" w:ascii="方正黑体_GBK" w:hAnsi="方正黑体_GBK" w:eastAsia="方正黑体_GBK" w:cs="方正黑体_GBK"/>
          <w:b/>
          <w:bCs/>
          <w:color w:val="auto"/>
          <w:sz w:val="32"/>
          <w:szCs w:val="32"/>
          <w:highlight w:val="none"/>
          <w:lang w:val="en-US" w:eastAsia="zh-CN"/>
        </w:rPr>
      </w:pPr>
      <w:r>
        <w:rPr>
          <w:rFonts w:hint="eastAsia" w:ascii="仿宋" w:hAnsi="仿宋" w:eastAsia="仿宋" w:cstheme="minorBidi"/>
          <w:spacing w:val="-2"/>
          <w:kern w:val="0"/>
          <w:sz w:val="32"/>
          <w:szCs w:val="32"/>
          <w:lang w:val="en-US" w:eastAsia="zh-CN" w:bidi="ar"/>
        </w:rPr>
        <w:t>增强预算编制的全面性、准确性，严格按预算批复的用途使用资金，减少预算调整事项。开展预算执行分析，及时掌握预算执行进度，对确有必要的预算调整严格按程序审核报批。</w:t>
      </w:r>
    </w:p>
    <w:p>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方正黑体_GBK" w:hAnsi="方正黑体_GBK" w:eastAsia="方正黑体_GBK" w:cs="方正黑体_GBK"/>
          <w:b/>
          <w:bCs/>
          <w:color w:val="auto"/>
          <w:sz w:val="32"/>
          <w:szCs w:val="32"/>
          <w:highlight w:val="none"/>
          <w:lang w:val="en-US" w:eastAsia="zh-CN"/>
        </w:rPr>
      </w:pPr>
    </w:p>
    <w:p>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方正黑体_GBK" w:hAnsi="方正黑体_GBK" w:eastAsia="方正黑体_GBK" w:cs="方正黑体_GBK"/>
          <w:b/>
          <w:bCs/>
          <w:color w:val="auto"/>
          <w:sz w:val="32"/>
          <w:szCs w:val="32"/>
          <w:highlight w:val="none"/>
          <w:lang w:val="en-US" w:eastAsia="zh-CN"/>
        </w:rPr>
      </w:pPr>
      <w:r>
        <w:rPr>
          <w:rFonts w:hint="default" w:ascii="方正黑体_GBK" w:hAnsi="方正黑体_GBK" w:eastAsia="方正黑体_GBK" w:cs="方正黑体_GBK"/>
          <w:b/>
          <w:bCs/>
          <w:color w:val="auto"/>
          <w:sz w:val="32"/>
          <w:szCs w:val="32"/>
          <w:highlight w:val="none"/>
          <w:lang w:val="en-US" w:eastAsia="zh-CN"/>
        </w:rPr>
        <w:t>十一、绩效自评结果拟应用和公开情况</w:t>
      </w:r>
    </w:p>
    <w:p>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eastAsia" w:ascii="方正黑体_GBK" w:hAnsi="方正黑体_GBK" w:eastAsia="方正黑体_GBK" w:cs="方正黑体_GBK"/>
          <w:b/>
          <w:bCs/>
          <w:color w:val="auto"/>
          <w:sz w:val="32"/>
          <w:szCs w:val="32"/>
          <w:highlight w:val="none"/>
          <w:lang w:val="en-US" w:eastAsia="zh-CN"/>
        </w:rPr>
      </w:pPr>
      <w:r>
        <w:rPr>
          <w:rFonts w:hint="eastAsia" w:ascii="楷体_GB2312" w:eastAsia="楷体_GB2312" w:cs="楷体_GB2312"/>
          <w:i w:val="0"/>
          <w:iCs w:val="0"/>
          <w:caps w:val="0"/>
          <w:color w:val="000000"/>
          <w:spacing w:val="0"/>
          <w:sz w:val="32"/>
          <w:szCs w:val="32"/>
          <w:shd w:val="clear" w:fill="FFFFFF"/>
          <w:lang w:eastAsia="zh-CN"/>
        </w:rPr>
        <w:t>拟上报市财政局统一公开</w:t>
      </w:r>
    </w:p>
    <w:p>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方正黑体_GBK" w:hAnsi="方正黑体_GBK" w:eastAsia="方正黑体_GBK" w:cs="方正黑体_GBK"/>
          <w:b/>
          <w:bCs/>
          <w:color w:val="auto"/>
          <w:sz w:val="32"/>
          <w:szCs w:val="32"/>
          <w:highlight w:val="none"/>
          <w:lang w:val="en-US" w:eastAsia="zh-CN"/>
        </w:rPr>
      </w:pPr>
      <w:r>
        <w:rPr>
          <w:rFonts w:hint="default" w:ascii="方正黑体_GBK" w:hAnsi="方正黑体_GBK" w:eastAsia="方正黑体_GBK" w:cs="方正黑体_GBK"/>
          <w:b/>
          <w:bCs/>
          <w:color w:val="auto"/>
          <w:sz w:val="32"/>
          <w:szCs w:val="32"/>
          <w:highlight w:val="none"/>
          <w:lang w:val="en-US" w:eastAsia="zh-CN"/>
        </w:rPr>
        <w:t>十二、其他需要说明的情况</w:t>
      </w:r>
    </w:p>
    <w:p>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整体支出报告需要以下附件：</w:t>
      </w:r>
    </w:p>
    <w:p>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1.部门整体支出绩效评价基础数据表</w:t>
      </w:r>
    </w:p>
    <w:p>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2.部门整体支出绩效自评表</w:t>
      </w:r>
    </w:p>
    <w:p>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3.项目支出绩效自评表（每个一级项目支出一张表）</w:t>
      </w:r>
    </w:p>
    <w:p>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如有政府性基金预算、国有资本经营预算和社会保险基金预算支出，还需对应提供以下附件：</w:t>
      </w:r>
    </w:p>
    <w:p>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4</w:t>
      </w:r>
      <w:r>
        <w:rPr>
          <w:rFonts w:hint="default" w:ascii="Times New Roman Regular" w:hAnsi="Times New Roman Regular" w:eastAsia="仿宋_GB2312" w:cs="Times New Roman Regular"/>
          <w:color w:val="auto"/>
          <w:sz w:val="32"/>
          <w:szCs w:val="32"/>
          <w:highlight w:val="none"/>
          <w:lang w:val="en-US" w:eastAsia="zh-CN"/>
        </w:rPr>
        <w:t>、政府性基金预算支出情况表</w:t>
      </w:r>
    </w:p>
    <w:p>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5</w:t>
      </w:r>
      <w:r>
        <w:rPr>
          <w:rFonts w:hint="default" w:ascii="Times New Roman Regular" w:hAnsi="Times New Roman Regular" w:eastAsia="仿宋_GB2312" w:cs="Times New Roman Regular"/>
          <w:color w:val="auto"/>
          <w:sz w:val="32"/>
          <w:szCs w:val="32"/>
          <w:highlight w:val="none"/>
          <w:lang w:val="en-US" w:eastAsia="zh-CN"/>
        </w:rPr>
        <w:t>、国有资本经营预算支出情况表</w:t>
      </w:r>
    </w:p>
    <w:p>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6</w:t>
      </w:r>
      <w:r>
        <w:rPr>
          <w:rFonts w:hint="default" w:ascii="Times New Roman Regular" w:hAnsi="Times New Roman Regular" w:eastAsia="仿宋_GB2312" w:cs="Times New Roman Regular"/>
          <w:color w:val="auto"/>
          <w:sz w:val="32"/>
          <w:szCs w:val="32"/>
          <w:highlight w:val="none"/>
          <w:lang w:val="en-US" w:eastAsia="zh-CN"/>
        </w:rPr>
        <w:t>、社会保险基金预算支出情况表</w:t>
      </w:r>
    </w:p>
    <w:p>
      <w:pPr>
        <w:pStyle w:val="16"/>
        <w:spacing w:line="600" w:lineRule="exact"/>
        <w:ind w:firstLine="640" w:firstLineChars="200"/>
        <w:rPr>
          <w:rFonts w:ascii="Times New Roman" w:hAnsi="Times New Roman" w:eastAsia="仿宋_GB2312" w:cs="Times New Roman"/>
          <w:sz w:val="32"/>
          <w:szCs w:val="32"/>
        </w:rPr>
      </w:pPr>
    </w:p>
    <w:p>
      <w:pPr>
        <w:pStyle w:val="16"/>
        <w:jc w:val="center"/>
        <w:rPr>
          <w:rFonts w:ascii="Times New Roman" w:hAnsi="Times New Roman" w:cs="Times New Roman"/>
          <w:sz w:val="72"/>
          <w:szCs w:val="72"/>
        </w:rPr>
      </w:pPr>
    </w:p>
    <w:p>
      <w:pPr>
        <w:pStyle w:val="16"/>
        <w:jc w:val="center"/>
        <w:rPr>
          <w:rFonts w:ascii="Times New Roman" w:hAnsi="Times New Roman" w:cs="Times New Roman"/>
          <w:sz w:val="72"/>
          <w:szCs w:val="72"/>
        </w:rPr>
      </w:pPr>
    </w:p>
    <w:p>
      <w:pPr>
        <w:jc w:val="left"/>
        <w:rPr>
          <w:rFonts w:ascii="Times New Roman" w:hAnsi="Times New Roman" w:cs="Times New Roman"/>
          <w:color w:val="000000"/>
          <w:kern w:val="0"/>
          <w:sz w:val="32"/>
          <w:szCs w:val="32"/>
        </w:rPr>
      </w:pPr>
    </w:p>
    <w:sectPr>
      <w:pgSz w:w="11906" w:h="16838"/>
      <w:pgMar w:top="1417" w:right="1588" w:bottom="1417" w:left="1588"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altName w:val="Arial Unicode MS"/>
    <w:panose1 w:val="02010601030101010101"/>
    <w:charset w:val="86"/>
    <w:family w:val="auto"/>
    <w:pitch w:val="default"/>
    <w:sig w:usb0="00000000" w:usb1="00000000" w:usb2="00000000" w:usb3="00000000" w:csb0="00040000" w:csb1="00000000"/>
  </w:font>
  <w:font w:name="Arial Unicode MS">
    <w:panose1 w:val="020B0604020202020204"/>
    <w:charset w:val="86"/>
    <w:family w:val="auto"/>
    <w:pitch w:val="default"/>
    <w:sig w:usb0="FFFFFFFF" w:usb1="E9FFFFFF" w:usb2="0000003F" w:usb3="00000000" w:csb0="603F01FF" w:csb1="FFFF0000"/>
  </w:font>
  <w:font w:name="方正小标宋_GBK">
    <w:altName w:val="Arial Unicode MS"/>
    <w:panose1 w:val="03000509000000000000"/>
    <w:charset w:val="86"/>
    <w:family w:val="script"/>
    <w:pitch w:val="default"/>
    <w:sig w:usb0="00000000" w:usb1="00000000" w:usb2="0000000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华文中宋">
    <w:panose1 w:val="02010600040101010101"/>
    <w:charset w:val="86"/>
    <w:family w:val="auto"/>
    <w:pitch w:val="default"/>
    <w:sig w:usb0="00000287" w:usb1="080F0000" w:usb2="00000000" w:usb3="00000000" w:csb0="0004009F" w:csb1="DFD7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Times New Roman Regular">
    <w:altName w:val="Times New Roman"/>
    <w:panose1 w:val="02020603050405020304"/>
    <w:charset w:val="00"/>
    <w:family w:val="auto"/>
    <w:pitch w:val="default"/>
    <w:sig w:usb0="00000000" w:usb1="00000000" w:usb2="00000009" w:usb3="00000000" w:csb0="400001FF" w:csb1="FFFF0000"/>
  </w:font>
  <w:font w:name="方正黑体_GBK">
    <w:altName w:val="Arial Unicode MS"/>
    <w:panose1 w:val="02000000000000000000"/>
    <w:charset w:val="86"/>
    <w:family w:val="auto"/>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8"/>
                          </w:pPr>
                          <w:r>
                            <w:fldChar w:fldCharType="begin"/>
                          </w:r>
                          <w:r>
                            <w:instrText xml:space="preserve"> PAGE  \* MERGEFORMAT </w:instrText>
                          </w:r>
                          <w:r>
                            <w:fldChar w:fldCharType="separate"/>
                          </w:r>
                          <w:r>
                            <w:t>20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fill on="f" focussize="0,0"/>
              <v:stroke on="f" weight="0.5pt"/>
              <v:imagedata o:title=""/>
              <o:lock v:ext="edit" aspectratio="f"/>
              <v:textbox inset="0mm,0mm,0mm,0mm" style="mso-fit-shape-to-text:t;">
                <w:txbxContent>
                  <w:p>
                    <w:pPr>
                      <w:pStyle w:val="8"/>
                    </w:pPr>
                    <w:r>
                      <w:fldChar w:fldCharType="begin"/>
                    </w:r>
                    <w:r>
                      <w:instrText xml:space="preserve"> PAGE  \* MERGEFORMAT </w:instrText>
                    </w:r>
                    <w:r>
                      <w:fldChar w:fldCharType="separate"/>
                    </w:r>
                    <w:r>
                      <w:t>20</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54CE151"/>
    <w:multiLevelType w:val="singleLevel"/>
    <w:tmpl w:val="D54CE151"/>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BjY2EyZDVlN2QwYTBkMjJmOTgxZjY2NzlhZGMwYWEifQ=="/>
  </w:docVars>
  <w:rsids>
    <w:rsidRoot w:val="004506F9"/>
    <w:rsid w:val="0000001A"/>
    <w:rsid w:val="0002229B"/>
    <w:rsid w:val="000273BD"/>
    <w:rsid w:val="0003620C"/>
    <w:rsid w:val="00040CBC"/>
    <w:rsid w:val="000415B7"/>
    <w:rsid w:val="00041E3F"/>
    <w:rsid w:val="00055DAA"/>
    <w:rsid w:val="00061F7B"/>
    <w:rsid w:val="000658A3"/>
    <w:rsid w:val="00074155"/>
    <w:rsid w:val="00080785"/>
    <w:rsid w:val="000A3F69"/>
    <w:rsid w:val="000B20F1"/>
    <w:rsid w:val="000C5742"/>
    <w:rsid w:val="00103957"/>
    <w:rsid w:val="00152C6D"/>
    <w:rsid w:val="00162D39"/>
    <w:rsid w:val="001678BD"/>
    <w:rsid w:val="00182373"/>
    <w:rsid w:val="001A67DB"/>
    <w:rsid w:val="001B67D1"/>
    <w:rsid w:val="001C3C29"/>
    <w:rsid w:val="001D2B79"/>
    <w:rsid w:val="001D51E5"/>
    <w:rsid w:val="001E080D"/>
    <w:rsid w:val="001E53D0"/>
    <w:rsid w:val="001F0C3B"/>
    <w:rsid w:val="00202C82"/>
    <w:rsid w:val="00214427"/>
    <w:rsid w:val="00220689"/>
    <w:rsid w:val="00221AFD"/>
    <w:rsid w:val="00226CB7"/>
    <w:rsid w:val="00252450"/>
    <w:rsid w:val="00264552"/>
    <w:rsid w:val="00264EF9"/>
    <w:rsid w:val="00265724"/>
    <w:rsid w:val="0027426B"/>
    <w:rsid w:val="00296D60"/>
    <w:rsid w:val="002E0A30"/>
    <w:rsid w:val="0030077D"/>
    <w:rsid w:val="003130C4"/>
    <w:rsid w:val="00316C4B"/>
    <w:rsid w:val="0032192B"/>
    <w:rsid w:val="0033283E"/>
    <w:rsid w:val="003479BD"/>
    <w:rsid w:val="0037197D"/>
    <w:rsid w:val="003768D5"/>
    <w:rsid w:val="003926B9"/>
    <w:rsid w:val="003C2E17"/>
    <w:rsid w:val="003C47E6"/>
    <w:rsid w:val="003C4FC2"/>
    <w:rsid w:val="00401F9A"/>
    <w:rsid w:val="00416E61"/>
    <w:rsid w:val="0042790C"/>
    <w:rsid w:val="004506F9"/>
    <w:rsid w:val="00462315"/>
    <w:rsid w:val="004717A2"/>
    <w:rsid w:val="00473DF3"/>
    <w:rsid w:val="00487911"/>
    <w:rsid w:val="00490F48"/>
    <w:rsid w:val="00491741"/>
    <w:rsid w:val="004B0CEE"/>
    <w:rsid w:val="004C2A0A"/>
    <w:rsid w:val="004F5EFB"/>
    <w:rsid w:val="00500E5F"/>
    <w:rsid w:val="005122EF"/>
    <w:rsid w:val="0051441A"/>
    <w:rsid w:val="00517C33"/>
    <w:rsid w:val="00517D5F"/>
    <w:rsid w:val="00523644"/>
    <w:rsid w:val="0054069E"/>
    <w:rsid w:val="00544866"/>
    <w:rsid w:val="00552A3D"/>
    <w:rsid w:val="00574CC8"/>
    <w:rsid w:val="005767CC"/>
    <w:rsid w:val="00590D9F"/>
    <w:rsid w:val="00595D26"/>
    <w:rsid w:val="005A74E6"/>
    <w:rsid w:val="005B404E"/>
    <w:rsid w:val="005D4D55"/>
    <w:rsid w:val="005E0E6C"/>
    <w:rsid w:val="005E2CFB"/>
    <w:rsid w:val="005F2103"/>
    <w:rsid w:val="005F3D1C"/>
    <w:rsid w:val="005F4189"/>
    <w:rsid w:val="006171EE"/>
    <w:rsid w:val="0062378F"/>
    <w:rsid w:val="00641842"/>
    <w:rsid w:val="00651EEC"/>
    <w:rsid w:val="00686673"/>
    <w:rsid w:val="00691E8C"/>
    <w:rsid w:val="006A22C4"/>
    <w:rsid w:val="006A351B"/>
    <w:rsid w:val="006B0422"/>
    <w:rsid w:val="006C1B53"/>
    <w:rsid w:val="006D7730"/>
    <w:rsid w:val="006E5284"/>
    <w:rsid w:val="006F3EB5"/>
    <w:rsid w:val="006F56C8"/>
    <w:rsid w:val="00702E34"/>
    <w:rsid w:val="00704395"/>
    <w:rsid w:val="00710FE7"/>
    <w:rsid w:val="00717621"/>
    <w:rsid w:val="00720FF1"/>
    <w:rsid w:val="00727A53"/>
    <w:rsid w:val="007502DE"/>
    <w:rsid w:val="00787B42"/>
    <w:rsid w:val="007C4539"/>
    <w:rsid w:val="007F3657"/>
    <w:rsid w:val="00810F0C"/>
    <w:rsid w:val="00811AA2"/>
    <w:rsid w:val="00812ED5"/>
    <w:rsid w:val="008277D9"/>
    <w:rsid w:val="0084478C"/>
    <w:rsid w:val="0086638C"/>
    <w:rsid w:val="008764FA"/>
    <w:rsid w:val="008A1079"/>
    <w:rsid w:val="008A3E8D"/>
    <w:rsid w:val="008A5055"/>
    <w:rsid w:val="008D17F4"/>
    <w:rsid w:val="009237C4"/>
    <w:rsid w:val="00944C48"/>
    <w:rsid w:val="00950252"/>
    <w:rsid w:val="00967F5D"/>
    <w:rsid w:val="009A0F95"/>
    <w:rsid w:val="009B3ADF"/>
    <w:rsid w:val="009C31C5"/>
    <w:rsid w:val="009C3B52"/>
    <w:rsid w:val="009E6817"/>
    <w:rsid w:val="009E6E9A"/>
    <w:rsid w:val="00A01D2B"/>
    <w:rsid w:val="00A1392A"/>
    <w:rsid w:val="00A42218"/>
    <w:rsid w:val="00A70249"/>
    <w:rsid w:val="00A70B02"/>
    <w:rsid w:val="00A71D9F"/>
    <w:rsid w:val="00A92E9F"/>
    <w:rsid w:val="00AB18FF"/>
    <w:rsid w:val="00B26269"/>
    <w:rsid w:val="00B33BEA"/>
    <w:rsid w:val="00B57C9F"/>
    <w:rsid w:val="00B63572"/>
    <w:rsid w:val="00B845B3"/>
    <w:rsid w:val="00B85D8B"/>
    <w:rsid w:val="00BB4A40"/>
    <w:rsid w:val="00BD6022"/>
    <w:rsid w:val="00BD6C3E"/>
    <w:rsid w:val="00BE3674"/>
    <w:rsid w:val="00C10681"/>
    <w:rsid w:val="00C10822"/>
    <w:rsid w:val="00C15C89"/>
    <w:rsid w:val="00C27C0D"/>
    <w:rsid w:val="00C3049A"/>
    <w:rsid w:val="00C31B1E"/>
    <w:rsid w:val="00C32F2E"/>
    <w:rsid w:val="00C73888"/>
    <w:rsid w:val="00C77645"/>
    <w:rsid w:val="00CE04C3"/>
    <w:rsid w:val="00CE34BE"/>
    <w:rsid w:val="00CE76A0"/>
    <w:rsid w:val="00D148C6"/>
    <w:rsid w:val="00D17A8A"/>
    <w:rsid w:val="00D415BA"/>
    <w:rsid w:val="00D63780"/>
    <w:rsid w:val="00D644EE"/>
    <w:rsid w:val="00DD06FF"/>
    <w:rsid w:val="00DD5FE9"/>
    <w:rsid w:val="00E00C7A"/>
    <w:rsid w:val="00E37D6C"/>
    <w:rsid w:val="00E55B68"/>
    <w:rsid w:val="00E561AE"/>
    <w:rsid w:val="00E67BE6"/>
    <w:rsid w:val="00E8683C"/>
    <w:rsid w:val="00EA2B72"/>
    <w:rsid w:val="00F74360"/>
    <w:rsid w:val="00FB462F"/>
    <w:rsid w:val="00FE16FA"/>
    <w:rsid w:val="00FE328A"/>
    <w:rsid w:val="00FE6269"/>
    <w:rsid w:val="00FF5CD6"/>
    <w:rsid w:val="05702936"/>
    <w:rsid w:val="0B3C1F19"/>
    <w:rsid w:val="0B6A625A"/>
    <w:rsid w:val="1C7A7810"/>
    <w:rsid w:val="1D97DEFF"/>
    <w:rsid w:val="1DFF72E5"/>
    <w:rsid w:val="1EFC6F07"/>
    <w:rsid w:val="2FDF85B8"/>
    <w:rsid w:val="2FFFEE04"/>
    <w:rsid w:val="33442D26"/>
    <w:rsid w:val="34DF85B0"/>
    <w:rsid w:val="36203E0F"/>
    <w:rsid w:val="3B8F36BC"/>
    <w:rsid w:val="491FF225"/>
    <w:rsid w:val="4FFD214C"/>
    <w:rsid w:val="5777D4F5"/>
    <w:rsid w:val="59DD8326"/>
    <w:rsid w:val="5DEF592A"/>
    <w:rsid w:val="5EB5628A"/>
    <w:rsid w:val="5FC6BB1E"/>
    <w:rsid w:val="5FF720F1"/>
    <w:rsid w:val="63CC70B6"/>
    <w:rsid w:val="67FF5C0B"/>
    <w:rsid w:val="681F3B90"/>
    <w:rsid w:val="6EFC0924"/>
    <w:rsid w:val="6FB74722"/>
    <w:rsid w:val="6FEF8B7E"/>
    <w:rsid w:val="71A6591B"/>
    <w:rsid w:val="737D59BA"/>
    <w:rsid w:val="77C37683"/>
    <w:rsid w:val="79D19834"/>
    <w:rsid w:val="79FF515B"/>
    <w:rsid w:val="7BF549BF"/>
    <w:rsid w:val="7C90228C"/>
    <w:rsid w:val="7E9B7606"/>
    <w:rsid w:val="7E9E1962"/>
    <w:rsid w:val="7E9F11B4"/>
    <w:rsid w:val="7EC54CAB"/>
    <w:rsid w:val="7F37EC1E"/>
    <w:rsid w:val="7F7DCD9D"/>
    <w:rsid w:val="7F970A6F"/>
    <w:rsid w:val="7FC1FFF3"/>
    <w:rsid w:val="7FC69637"/>
    <w:rsid w:val="7FDF8620"/>
    <w:rsid w:val="7FE8C8F7"/>
    <w:rsid w:val="7FFB242F"/>
    <w:rsid w:val="7FFDB408"/>
    <w:rsid w:val="7FFE4EEB"/>
    <w:rsid w:val="95FB2B98"/>
    <w:rsid w:val="9A639BC2"/>
    <w:rsid w:val="9BFA491D"/>
    <w:rsid w:val="9FF7D786"/>
    <w:rsid w:val="ABBFB23D"/>
    <w:rsid w:val="B6AFFE39"/>
    <w:rsid w:val="C3B4DA5A"/>
    <w:rsid w:val="CBFF70E0"/>
    <w:rsid w:val="CFF50B82"/>
    <w:rsid w:val="CFFFAD89"/>
    <w:rsid w:val="DFFE359E"/>
    <w:rsid w:val="DFFE4FFD"/>
    <w:rsid w:val="EEABED75"/>
    <w:rsid w:val="F56FDF51"/>
    <w:rsid w:val="F6B69F17"/>
    <w:rsid w:val="F77F1D61"/>
    <w:rsid w:val="F7FED3A9"/>
    <w:rsid w:val="F8C9DB26"/>
    <w:rsid w:val="F97E8EAE"/>
    <w:rsid w:val="FB36E1A6"/>
    <w:rsid w:val="FB3BE134"/>
    <w:rsid w:val="FCFF4275"/>
    <w:rsid w:val="FD7FEEEA"/>
    <w:rsid w:val="FDFFB577"/>
    <w:rsid w:val="FEEA50FE"/>
    <w:rsid w:val="FF7D47A9"/>
    <w:rsid w:val="FF7F63BE"/>
    <w:rsid w:val="FFCF21CB"/>
    <w:rsid w:val="FFFF1C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nhideWhenUsed="0" w:uiPriority="0" w:semiHidden="0"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3">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2">
    <w:name w:val="footnote text"/>
    <w:basedOn w:val="1"/>
    <w:next w:val="3"/>
    <w:semiHidden/>
    <w:qFormat/>
    <w:uiPriority w:val="0"/>
    <w:pPr>
      <w:snapToGrid w:val="0"/>
      <w:jc w:val="left"/>
    </w:pPr>
    <w:rPr>
      <w:sz w:val="18"/>
      <w:szCs w:val="18"/>
    </w:rPr>
  </w:style>
  <w:style w:type="paragraph" w:styleId="3">
    <w:name w:val="Body Text First Indent 2"/>
    <w:basedOn w:val="4"/>
    <w:next w:val="1"/>
    <w:unhideWhenUsed/>
    <w:qFormat/>
    <w:uiPriority w:val="99"/>
    <w:pPr>
      <w:ind w:firstLine="420" w:firstLineChars="200"/>
    </w:pPr>
  </w:style>
  <w:style w:type="paragraph" w:styleId="4">
    <w:name w:val="Body Text Indent"/>
    <w:basedOn w:val="1"/>
    <w:next w:val="3"/>
    <w:unhideWhenUsed/>
    <w:qFormat/>
    <w:uiPriority w:val="99"/>
    <w:pPr>
      <w:widowControl/>
      <w:spacing w:after="120"/>
      <w:ind w:left="420" w:leftChars="200"/>
      <w:jc w:val="left"/>
    </w:pPr>
    <w:rPr>
      <w:rFonts w:ascii="宋体" w:hAnsi="宋体" w:eastAsia="宋体" w:cs="宋体"/>
      <w:kern w:val="0"/>
      <w:sz w:val="24"/>
    </w:rPr>
  </w:style>
  <w:style w:type="paragraph" w:styleId="5">
    <w:name w:val="Body Text"/>
    <w:basedOn w:val="1"/>
    <w:next w:val="6"/>
    <w:unhideWhenUsed/>
    <w:qFormat/>
    <w:uiPriority w:val="99"/>
    <w:pPr>
      <w:spacing w:after="120"/>
    </w:pPr>
  </w:style>
  <w:style w:type="paragraph" w:customStyle="1" w:styleId="6">
    <w:name w:val="列出段落1"/>
    <w:basedOn w:val="1"/>
    <w:qFormat/>
    <w:uiPriority w:val="0"/>
    <w:pPr>
      <w:ind w:firstLine="420"/>
    </w:pPr>
    <w:rPr>
      <w:rFonts w:ascii="Times New Roman" w:hAnsi="Times New Roman" w:cs="Times New Roman"/>
    </w:rPr>
  </w:style>
  <w:style w:type="paragraph" w:styleId="7">
    <w:name w:val="Balloon Text"/>
    <w:basedOn w:val="1"/>
    <w:link w:val="18"/>
    <w:semiHidden/>
    <w:unhideWhenUsed/>
    <w:qFormat/>
    <w:uiPriority w:val="99"/>
    <w:rPr>
      <w:sz w:val="18"/>
      <w:szCs w:val="18"/>
    </w:rPr>
  </w:style>
  <w:style w:type="paragraph" w:styleId="8">
    <w:name w:val="footer"/>
    <w:basedOn w:val="1"/>
    <w:link w:val="15"/>
    <w:unhideWhenUsed/>
    <w:qFormat/>
    <w:uiPriority w:val="99"/>
    <w:pPr>
      <w:tabs>
        <w:tab w:val="center" w:pos="4153"/>
        <w:tab w:val="right" w:pos="8306"/>
      </w:tabs>
      <w:snapToGrid w:val="0"/>
      <w:jc w:val="left"/>
    </w:pPr>
    <w:rPr>
      <w:sz w:val="18"/>
      <w:szCs w:val="18"/>
    </w:rPr>
  </w:style>
  <w:style w:type="paragraph" w:styleId="9">
    <w:name w:val="header"/>
    <w:basedOn w:val="1"/>
    <w:link w:val="14"/>
    <w:unhideWhenUsed/>
    <w:qFormat/>
    <w:uiPriority w:val="99"/>
    <w:pPr>
      <w:pBdr>
        <w:bottom w:val="single" w:color="auto" w:sz="6" w:space="1"/>
      </w:pBdr>
      <w:tabs>
        <w:tab w:val="center" w:pos="4153"/>
        <w:tab w:val="right" w:pos="8306"/>
      </w:tabs>
      <w:snapToGrid w:val="0"/>
      <w:jc w:val="center"/>
    </w:pPr>
    <w:rPr>
      <w:sz w:val="18"/>
      <w:szCs w:val="18"/>
    </w:rPr>
  </w:style>
  <w:style w:type="paragraph" w:styleId="10">
    <w:name w:val="Normal (Web)"/>
    <w:basedOn w:val="1"/>
    <w:qFormat/>
    <w:uiPriority w:val="0"/>
    <w:pPr>
      <w:spacing w:before="0" w:beforeAutospacing="1" w:after="0" w:afterAutospacing="1"/>
      <w:ind w:left="0" w:right="0"/>
      <w:jc w:val="left"/>
    </w:pPr>
    <w:rPr>
      <w:kern w:val="0"/>
      <w:sz w:val="24"/>
      <w:lang w:val="en-US" w:eastAsia="zh-CN" w:bidi="ar"/>
    </w:rPr>
  </w:style>
  <w:style w:type="paragraph" w:styleId="11">
    <w:name w:val="Body Text First Indent"/>
    <w:basedOn w:val="5"/>
    <w:qFormat/>
    <w:uiPriority w:val="0"/>
    <w:pPr>
      <w:ind w:firstLine="100" w:firstLineChars="100"/>
    </w:pPr>
    <w:rPr>
      <w:rFonts w:ascii="Times New Roman" w:hAnsi="Times New Roman" w:cs="Times New Roman"/>
    </w:rPr>
  </w:style>
  <w:style w:type="character" w:customStyle="1" w:styleId="14">
    <w:name w:val="页眉 Char"/>
    <w:basedOn w:val="13"/>
    <w:link w:val="9"/>
    <w:qFormat/>
    <w:uiPriority w:val="99"/>
    <w:rPr>
      <w:sz w:val="18"/>
      <w:szCs w:val="18"/>
    </w:rPr>
  </w:style>
  <w:style w:type="character" w:customStyle="1" w:styleId="15">
    <w:name w:val="页脚 Char"/>
    <w:basedOn w:val="13"/>
    <w:link w:val="8"/>
    <w:qFormat/>
    <w:uiPriority w:val="99"/>
    <w:rPr>
      <w:sz w:val="18"/>
      <w:szCs w:val="18"/>
    </w:rPr>
  </w:style>
  <w:style w:type="paragraph" w:customStyle="1" w:styleId="16">
    <w:name w:val="Default"/>
    <w:qFormat/>
    <w:uiPriority w:val="0"/>
    <w:pPr>
      <w:widowControl w:val="0"/>
      <w:autoSpaceDE w:val="0"/>
      <w:autoSpaceDN w:val="0"/>
      <w:adjustRightInd w:val="0"/>
    </w:pPr>
    <w:rPr>
      <w:rFonts w:ascii="黑体" w:eastAsia="黑体" w:cs="黑体" w:hAnsiTheme="minorHAnsi"/>
      <w:color w:val="000000"/>
      <w:sz w:val="24"/>
      <w:szCs w:val="24"/>
      <w:lang w:val="en-US" w:eastAsia="zh-CN" w:bidi="ar-SA"/>
    </w:rPr>
  </w:style>
  <w:style w:type="paragraph" w:styleId="17">
    <w:name w:val="List Paragraph"/>
    <w:basedOn w:val="1"/>
    <w:qFormat/>
    <w:uiPriority w:val="34"/>
    <w:pPr>
      <w:ind w:firstLine="420" w:firstLineChars="200"/>
    </w:pPr>
  </w:style>
  <w:style w:type="character" w:customStyle="1" w:styleId="18">
    <w:name w:val="批注框文本 Char"/>
    <w:basedOn w:val="13"/>
    <w:link w:val="7"/>
    <w:semiHidden/>
    <w:qFormat/>
    <w:uiPriority w:val="99"/>
    <w:rPr>
      <w:sz w:val="18"/>
      <w:szCs w:val="18"/>
    </w:rPr>
  </w:style>
  <w:style w:type="character" w:customStyle="1" w:styleId="19">
    <w:name w:val="font01"/>
    <w:basedOn w:val="13"/>
    <w:qFormat/>
    <w:uiPriority w:val="0"/>
    <w:rPr>
      <w:rFonts w:hint="eastAsia" w:ascii="宋体" w:hAnsi="宋体" w:eastAsia="宋体" w:cs="宋体"/>
      <w:color w:val="000000"/>
      <w:sz w:val="22"/>
      <w:szCs w:val="22"/>
      <w:u w:val="none"/>
    </w:rPr>
  </w:style>
  <w:style w:type="character" w:customStyle="1" w:styleId="20">
    <w:name w:val="font21"/>
    <w:basedOn w:val="13"/>
    <w:qFormat/>
    <w:uiPriority w:val="0"/>
    <w:rPr>
      <w:rFonts w:hint="eastAsia" w:ascii="宋体" w:hAnsi="宋体" w:eastAsia="宋体" w:cs="宋体"/>
      <w:color w:val="000000"/>
      <w:sz w:val="24"/>
      <w:szCs w:val="24"/>
      <w:u w:val="none"/>
    </w:rPr>
  </w:style>
  <w:style w:type="character" w:customStyle="1" w:styleId="21">
    <w:name w:val="font11"/>
    <w:basedOn w:val="13"/>
    <w:qFormat/>
    <w:uiPriority w:val="0"/>
    <w:rPr>
      <w:rFonts w:hint="eastAsia" w:ascii="宋体" w:hAnsi="宋体" w:eastAsia="宋体" w:cs="宋体"/>
      <w:color w:val="000000"/>
      <w:sz w:val="24"/>
      <w:szCs w:val="24"/>
      <w:u w:val="none"/>
    </w:rPr>
  </w:style>
  <w:style w:type="paragraph" w:customStyle="1" w:styleId="22">
    <w:name w:val="无间隔"/>
    <w:qFormat/>
    <w:uiPriority w:val="0"/>
    <w:pPr>
      <w:widowControl w:val="0"/>
      <w:jc w:val="both"/>
    </w:pPr>
    <w:rPr>
      <w:rFonts w:ascii="Calibri" w:hAnsi="Calibri"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29</Pages>
  <Words>7409</Words>
  <Characters>8599</Characters>
  <Lines>69</Lines>
  <Paragraphs>19</Paragraphs>
  <TotalTime>2</TotalTime>
  <ScaleCrop>false</ScaleCrop>
  <LinksUpToDate>false</LinksUpToDate>
  <CharactersWithSpaces>9880</CharactersWithSpaces>
  <Application>WPS Office_11.1.0.12763_F1E327BC-269C-435d-A152-05C5408002CA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2025-08-19T18:17:00Z</dcterms:created>
  <dc:creator>李航 null</dc:creator>
  <cp:lastModifiedBy>Administrator</cp:lastModifiedBy>
  <cp:lastPrinted>2024-08-10T02:20:00Z</cp:lastPrinted>
  <dcterms:modified xsi:type="dcterms:W3CDTF">2026-09-21T07:58:49Z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2052-11.1.0.12763</vt:lpwstr>
  </property>
  <property fmtid="{D5CDD505-2E9C-101B-9397-08002B2CF9AE}" pid="3" name="ICV">
    <vt:lpwstr>4F0B27C0AAC35EFA9177686ADDD5E058</vt:lpwstr>
  </property>
</Properties>
</file>