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49551">
      <w:pPr>
        <w:pStyle w:val="15"/>
        <w:jc w:val="both"/>
        <w:rPr>
          <w:rFonts w:hAnsi="黑体"/>
          <w:sz w:val="32"/>
          <w:szCs w:val="32"/>
        </w:rPr>
      </w:pPr>
      <w:r>
        <w:rPr>
          <w:rFonts w:hint="eastAsia" w:hAnsi="黑体"/>
          <w:sz w:val="32"/>
          <w:szCs w:val="32"/>
        </w:rPr>
        <w:t>附件2</w:t>
      </w:r>
    </w:p>
    <w:p w14:paraId="6795BAB4">
      <w:pPr>
        <w:pStyle w:val="15"/>
        <w:jc w:val="center"/>
        <w:rPr>
          <w:rFonts w:ascii="Times New Roman" w:hAnsi="Times New Roman" w:cs="Times New Roman"/>
          <w:sz w:val="56"/>
          <w:szCs w:val="56"/>
        </w:rPr>
      </w:pPr>
    </w:p>
    <w:p w14:paraId="09154A9A">
      <w:pPr>
        <w:pStyle w:val="15"/>
        <w:jc w:val="both"/>
        <w:rPr>
          <w:rFonts w:ascii="Times New Roman" w:hAnsi="Times New Roman" w:cs="Times New Roman"/>
          <w:sz w:val="84"/>
          <w:szCs w:val="84"/>
        </w:rPr>
      </w:pPr>
    </w:p>
    <w:p w14:paraId="6761F6C1">
      <w:pPr>
        <w:pStyle w:val="15"/>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202</w:t>
      </w:r>
      <w:r>
        <w:rPr>
          <w:rFonts w:hint="eastAsia" w:ascii="Times New Roman" w:hAnsi="Times New Roman" w:eastAsia="方正小标宋简体" w:cs="Times New Roman"/>
          <w:sz w:val="52"/>
          <w:szCs w:val="52"/>
        </w:rPr>
        <w:t>5</w:t>
      </w:r>
      <w:r>
        <w:rPr>
          <w:rFonts w:ascii="Times New Roman" w:hAnsi="Times New Roman" w:eastAsia="方正小标宋简体" w:cs="Times New Roman"/>
          <w:sz w:val="52"/>
          <w:szCs w:val="52"/>
        </w:rPr>
        <w:t>年度</w:t>
      </w:r>
    </w:p>
    <w:p w14:paraId="55C16DE2">
      <w:pPr>
        <w:pStyle w:val="15"/>
        <w:jc w:val="center"/>
        <w:rPr>
          <w:rFonts w:ascii="Times New Roman" w:hAnsi="Times New Roman" w:eastAsia="方正小标宋简体" w:cs="Times New Roman"/>
          <w:sz w:val="52"/>
          <w:szCs w:val="52"/>
        </w:rPr>
      </w:pPr>
      <w:r>
        <w:rPr>
          <w:rFonts w:hint="eastAsia" w:ascii="Times New Roman" w:hAnsi="Times New Roman" w:eastAsia="方正小标宋简体" w:cs="Times New Roman"/>
          <w:sz w:val="52"/>
          <w:szCs w:val="52"/>
        </w:rPr>
        <w:t>怀化大中坡电视转播台</w:t>
      </w:r>
      <w:r>
        <w:rPr>
          <w:rFonts w:ascii="Times New Roman" w:hAnsi="Times New Roman" w:eastAsia="方正小标宋简体" w:cs="Times New Roman"/>
          <w:sz w:val="52"/>
          <w:szCs w:val="52"/>
        </w:rPr>
        <w:t>部门决算</w:t>
      </w:r>
    </w:p>
    <w:p w14:paraId="241C15DA">
      <w:pPr>
        <w:pStyle w:val="15"/>
        <w:jc w:val="center"/>
        <w:rPr>
          <w:rFonts w:ascii="Times New Roman" w:hAnsi="Times New Roman" w:eastAsia="方正小标宋_GBK" w:cs="Times New Roman"/>
          <w:sz w:val="56"/>
          <w:szCs w:val="56"/>
        </w:rPr>
      </w:pPr>
    </w:p>
    <w:p w14:paraId="3A9FC8FB">
      <w:pPr>
        <w:pStyle w:val="15"/>
        <w:jc w:val="center"/>
        <w:rPr>
          <w:rFonts w:ascii="Times New Roman" w:hAnsi="Times New Roman" w:cs="Times New Roman"/>
          <w:sz w:val="56"/>
          <w:szCs w:val="56"/>
        </w:rPr>
      </w:pPr>
    </w:p>
    <w:p w14:paraId="72D1C6F4">
      <w:pPr>
        <w:pStyle w:val="15"/>
        <w:rPr>
          <w:rFonts w:ascii="Times New Roman" w:hAnsi="Times New Roman" w:cs="Times New Roman"/>
          <w:sz w:val="56"/>
          <w:szCs w:val="56"/>
        </w:rPr>
      </w:pPr>
    </w:p>
    <w:p w14:paraId="2A6EFA98">
      <w:pPr>
        <w:pStyle w:val="15"/>
        <w:jc w:val="center"/>
        <w:rPr>
          <w:rFonts w:ascii="Times New Roman" w:hAnsi="Times New Roman" w:cs="Times New Roman"/>
          <w:sz w:val="32"/>
          <w:szCs w:val="32"/>
        </w:rPr>
      </w:pPr>
    </w:p>
    <w:p w14:paraId="6805B238">
      <w:pPr>
        <w:pStyle w:val="15"/>
        <w:jc w:val="center"/>
        <w:rPr>
          <w:rFonts w:ascii="Times New Roman" w:hAnsi="Times New Roman" w:cs="Times New Roman"/>
          <w:sz w:val="32"/>
          <w:szCs w:val="32"/>
        </w:rPr>
      </w:pPr>
    </w:p>
    <w:p w14:paraId="6C9CFCC4">
      <w:pPr>
        <w:pStyle w:val="15"/>
        <w:jc w:val="center"/>
        <w:rPr>
          <w:rFonts w:ascii="Times New Roman" w:hAnsi="Times New Roman" w:cs="Times New Roman"/>
          <w:sz w:val="32"/>
          <w:szCs w:val="32"/>
        </w:rPr>
      </w:pPr>
    </w:p>
    <w:p w14:paraId="1373EA4E">
      <w:pPr>
        <w:pStyle w:val="15"/>
        <w:jc w:val="center"/>
        <w:rPr>
          <w:rFonts w:ascii="Times New Roman" w:hAnsi="Times New Roman" w:cs="Times New Roman"/>
          <w:sz w:val="32"/>
          <w:szCs w:val="32"/>
        </w:rPr>
      </w:pPr>
    </w:p>
    <w:p w14:paraId="2FBBF677">
      <w:pPr>
        <w:pStyle w:val="15"/>
        <w:jc w:val="center"/>
        <w:rPr>
          <w:rFonts w:ascii="Times New Roman" w:hAnsi="Times New Roman" w:cs="Times New Roman"/>
          <w:sz w:val="32"/>
          <w:szCs w:val="32"/>
        </w:rPr>
      </w:pPr>
    </w:p>
    <w:p w14:paraId="2F49A8A1">
      <w:pPr>
        <w:pStyle w:val="15"/>
        <w:jc w:val="center"/>
        <w:rPr>
          <w:rFonts w:ascii="Times New Roman" w:hAnsi="Times New Roman" w:cs="Times New Roman"/>
          <w:sz w:val="32"/>
          <w:szCs w:val="32"/>
        </w:rPr>
      </w:pPr>
    </w:p>
    <w:p w14:paraId="1FA48FDA">
      <w:pPr>
        <w:pStyle w:val="15"/>
        <w:spacing w:line="540" w:lineRule="exact"/>
        <w:jc w:val="center"/>
        <w:rPr>
          <w:rFonts w:ascii="Times New Roman" w:hAnsi="Times New Roman" w:cs="Times New Roman"/>
          <w:sz w:val="56"/>
          <w:szCs w:val="56"/>
        </w:rPr>
      </w:pPr>
    </w:p>
    <w:p w14:paraId="3F699CCD">
      <w:pPr>
        <w:pStyle w:val="15"/>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2E2622DB">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C6752C0">
      <w:pPr>
        <w:pStyle w:val="15"/>
        <w:spacing w:line="600" w:lineRule="exact"/>
        <w:jc w:val="center"/>
        <w:rPr>
          <w:rFonts w:ascii="Times New Roman" w:hAnsi="Times New Roman" w:cs="Times New Roman"/>
          <w:b/>
          <w:sz w:val="36"/>
          <w:szCs w:val="28"/>
        </w:rPr>
      </w:pPr>
    </w:p>
    <w:p w14:paraId="4D1D63CB">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怀化大中坡电视转播台</w:t>
      </w:r>
      <w:r>
        <w:rPr>
          <w:rFonts w:ascii="Times New Roman" w:hAnsi="Times New Roman" w:cs="Times New Roman"/>
          <w:bCs/>
          <w:sz w:val="32"/>
          <w:szCs w:val="32"/>
        </w:rPr>
        <w:t>概况</w:t>
      </w:r>
    </w:p>
    <w:p w14:paraId="6BA0681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9F4609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0A80D68">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BC6CCD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25C35B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E6C436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285C46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9760EC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426313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100ECA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0D8788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275C54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5EAA357">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A043F9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A385B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F3B5C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867C62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E4391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E0C3BF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35AA8F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5D5EE6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78419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AFAD3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055A2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FE0658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C44B7C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014CED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06377FFD">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092158D">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B1D9C57">
      <w:pPr>
        <w:pStyle w:val="15"/>
        <w:spacing w:line="600" w:lineRule="exact"/>
        <w:rPr>
          <w:rFonts w:ascii="Times New Roman" w:hAnsi="Times New Roman" w:cs="Times New Roman"/>
          <w:bCs/>
          <w:sz w:val="28"/>
          <w:szCs w:val="28"/>
        </w:rPr>
      </w:pPr>
    </w:p>
    <w:p w14:paraId="3B2B5C54">
      <w:pPr>
        <w:jc w:val="center"/>
        <w:rPr>
          <w:rFonts w:ascii="Times New Roman" w:hAnsi="Times New Roman" w:cs="Times New Roman"/>
          <w:sz w:val="72"/>
          <w:szCs w:val="72"/>
        </w:rPr>
      </w:pPr>
    </w:p>
    <w:p w14:paraId="280569B0">
      <w:pPr>
        <w:jc w:val="center"/>
        <w:rPr>
          <w:rFonts w:ascii="Times New Roman" w:hAnsi="Times New Roman" w:cs="Times New Roman"/>
          <w:sz w:val="72"/>
          <w:szCs w:val="72"/>
        </w:rPr>
      </w:pPr>
    </w:p>
    <w:p w14:paraId="2C0FD06A">
      <w:pPr>
        <w:jc w:val="center"/>
        <w:rPr>
          <w:rFonts w:ascii="Times New Roman" w:hAnsi="Times New Roman" w:cs="Times New Roman"/>
          <w:sz w:val="72"/>
          <w:szCs w:val="72"/>
        </w:rPr>
      </w:pPr>
    </w:p>
    <w:p w14:paraId="1EDAA1CD">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F01BEA0">
      <w:pPr>
        <w:rPr>
          <w:rFonts w:ascii="Times New Roman" w:hAnsi="Times New Roman" w:eastAsia="方正小标宋_GBK" w:cs="Times New Roman"/>
          <w:sz w:val="72"/>
          <w:szCs w:val="72"/>
        </w:rPr>
      </w:pPr>
    </w:p>
    <w:p w14:paraId="02454FC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F47EC13">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怀化大中坡电视转播台</w:t>
      </w:r>
      <w:r>
        <w:rPr>
          <w:rFonts w:ascii="Times New Roman" w:hAnsi="Times New Roman" w:eastAsia="方正小标宋_GBK" w:cs="Times New Roman"/>
          <w:sz w:val="52"/>
          <w:szCs w:val="52"/>
        </w:rPr>
        <w:t>概况</w:t>
      </w:r>
    </w:p>
    <w:p w14:paraId="53C66623">
      <w:pPr>
        <w:pStyle w:val="5"/>
        <w:ind w:left="0" w:leftChars="0" w:firstLine="0" w:firstLineChars="0"/>
        <w:rPr>
          <w:rFonts w:ascii="Times New Roman" w:hAnsi="Times New Roman" w:cs="Times New Roman"/>
        </w:rPr>
      </w:pPr>
    </w:p>
    <w:p w14:paraId="3128C26C">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0ADAE8B">
      <w:pPr>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怀化市大中坡电视转播台属于怀化市广播电视台下属二级机构,副处级全额拨款事业单位,负责广播电视转播等职责。</w:t>
      </w:r>
    </w:p>
    <w:p w14:paraId="07241EC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0874633">
      <w:pPr>
        <w:widowControl/>
        <w:spacing w:line="600" w:lineRule="exact"/>
        <w:ind w:firstLine="640" w:firstLineChars="200"/>
        <w:rPr>
          <w:rFonts w:ascii="仿宋" w:hAnsi="仿宋" w:eastAsia="仿宋" w:cs="仿宋"/>
          <w:sz w:val="32"/>
          <w:szCs w:val="32"/>
        </w:rPr>
      </w:pPr>
      <w:r>
        <w:rPr>
          <w:rFonts w:hint="eastAsia" w:ascii="仿宋" w:hAnsi="仿宋" w:eastAsia="仿宋" w:cs="仿宋"/>
          <w:bCs/>
          <w:kern w:val="0"/>
          <w:sz w:val="32"/>
          <w:szCs w:val="32"/>
        </w:rPr>
        <w:t>（一）内设机构设置。</w:t>
      </w:r>
      <w:r>
        <w:rPr>
          <w:rFonts w:hint="eastAsia" w:ascii="仿宋" w:hAnsi="仿宋" w:eastAsia="仿宋" w:cs="仿宋"/>
          <w:sz w:val="32"/>
          <w:szCs w:val="32"/>
        </w:rPr>
        <w:t>怀化市大中坡电视转播台作为二级部门预算单位，内设机构为:办公室（含财务）、技术部、播出部。</w:t>
      </w:r>
    </w:p>
    <w:p w14:paraId="337CD8A0">
      <w:pPr>
        <w:jc w:val="center"/>
        <w:rPr>
          <w:rFonts w:ascii="仿宋" w:hAnsi="仿宋" w:eastAsia="仿宋" w:cs="仿宋"/>
          <w:sz w:val="32"/>
          <w:szCs w:val="32"/>
        </w:rPr>
      </w:pPr>
      <w:r>
        <w:rPr>
          <w:rFonts w:hint="eastAsia" w:ascii="仿宋" w:hAnsi="仿宋" w:eastAsia="仿宋" w:cs="仿宋"/>
          <w:bCs/>
          <w:kern w:val="0"/>
          <w:sz w:val="32"/>
          <w:szCs w:val="32"/>
        </w:rPr>
        <w:t>（二）决算单位构成。</w:t>
      </w:r>
      <w:r>
        <w:rPr>
          <w:rFonts w:hint="eastAsia" w:ascii="仿宋" w:hAnsi="仿宋" w:eastAsia="仿宋" w:cs="仿宋"/>
          <w:sz w:val="32"/>
          <w:szCs w:val="32"/>
        </w:rPr>
        <w:t>怀化市大中坡电视转播台</w:t>
      </w:r>
      <w:r>
        <w:rPr>
          <w:rFonts w:hint="eastAsia" w:ascii="仿宋" w:hAnsi="仿宋" w:eastAsia="仿宋" w:cs="仿宋"/>
          <w:bCs/>
          <w:kern w:val="0"/>
          <w:sz w:val="32"/>
          <w:szCs w:val="32"/>
        </w:rPr>
        <w:t>2025年部门决算公开单位构成包括：</w:t>
      </w:r>
      <w:r>
        <w:rPr>
          <w:rFonts w:hint="eastAsia" w:ascii="仿宋" w:hAnsi="仿宋" w:eastAsia="仿宋" w:cs="仿宋"/>
          <w:sz w:val="32"/>
          <w:szCs w:val="32"/>
        </w:rPr>
        <w:t>怀化市大中坡电视转播台</w:t>
      </w:r>
      <w:r>
        <w:rPr>
          <w:rFonts w:hint="eastAsia" w:ascii="仿宋" w:hAnsi="仿宋" w:eastAsia="仿宋" w:cs="仿宋"/>
          <w:bCs/>
          <w:kern w:val="0"/>
          <w:sz w:val="32"/>
          <w:szCs w:val="32"/>
        </w:rPr>
        <w:t>单位本级。</w:t>
      </w:r>
    </w:p>
    <w:p w14:paraId="349B65FD">
      <w:pPr>
        <w:jc w:val="left"/>
        <w:rPr>
          <w:rFonts w:ascii="Times New Roman" w:hAnsi="Times New Roman" w:eastAsia="仿宋_GB2312" w:cs="Times New Roman"/>
          <w:sz w:val="28"/>
          <w:szCs w:val="32"/>
        </w:rPr>
      </w:pPr>
    </w:p>
    <w:p w14:paraId="526EFA92">
      <w:pPr>
        <w:jc w:val="center"/>
        <w:rPr>
          <w:rFonts w:ascii="Times New Roman" w:hAnsi="Times New Roman" w:eastAsia="黑体" w:cs="Times New Roman"/>
          <w:sz w:val="28"/>
          <w:szCs w:val="28"/>
        </w:rPr>
      </w:pPr>
    </w:p>
    <w:p w14:paraId="4BDDF685">
      <w:pPr>
        <w:jc w:val="center"/>
        <w:rPr>
          <w:rFonts w:ascii="Times New Roman" w:hAnsi="Times New Roman" w:eastAsia="黑体" w:cs="Times New Roman"/>
          <w:sz w:val="28"/>
          <w:szCs w:val="28"/>
        </w:rPr>
      </w:pPr>
    </w:p>
    <w:p w14:paraId="2A3B8849">
      <w:pPr>
        <w:jc w:val="center"/>
        <w:rPr>
          <w:rFonts w:ascii="Times New Roman" w:hAnsi="Times New Roman" w:eastAsia="黑体" w:cs="Times New Roman"/>
          <w:sz w:val="28"/>
          <w:szCs w:val="28"/>
        </w:rPr>
      </w:pPr>
    </w:p>
    <w:p w14:paraId="7BDCC024">
      <w:pPr>
        <w:jc w:val="center"/>
        <w:rPr>
          <w:rFonts w:ascii="Times New Roman" w:hAnsi="Times New Roman" w:eastAsia="黑体" w:cs="Times New Roman"/>
          <w:sz w:val="28"/>
          <w:szCs w:val="28"/>
        </w:rPr>
      </w:pPr>
    </w:p>
    <w:p w14:paraId="76ED6504">
      <w:pPr>
        <w:jc w:val="center"/>
        <w:rPr>
          <w:rFonts w:ascii="Times New Roman" w:hAnsi="Times New Roman" w:eastAsia="黑体" w:cs="Times New Roman"/>
          <w:sz w:val="28"/>
          <w:szCs w:val="28"/>
        </w:rPr>
      </w:pPr>
    </w:p>
    <w:p w14:paraId="4AC97DB0">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5960440">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2308F5F">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61A9AEC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37E6C8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84AA54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F76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A53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36AC86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69C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A8DC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6EA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2A2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3C6F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1BE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18B7A7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651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FDDB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E72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888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6961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D96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D80E2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0F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6AD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D30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618.20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A48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ED2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5E4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15.87</w:t>
            </w:r>
          </w:p>
        </w:tc>
      </w:tr>
      <w:tr w14:paraId="7CA947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E4A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73C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4B7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33C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C4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F759">
            <w:pPr>
              <w:jc w:val="right"/>
              <w:rPr>
                <w:rFonts w:ascii="Times New Roman" w:hAnsi="Times New Roman" w:eastAsia="仿宋_GB2312" w:cs="Times New Roman"/>
                <w:color w:val="000000"/>
                <w:sz w:val="22"/>
              </w:rPr>
            </w:pPr>
          </w:p>
        </w:tc>
      </w:tr>
      <w:tr w14:paraId="4AA90E5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92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A42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D52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784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B2D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2D80">
            <w:pPr>
              <w:jc w:val="right"/>
              <w:rPr>
                <w:rFonts w:ascii="Times New Roman" w:hAnsi="Times New Roman" w:eastAsia="仿宋_GB2312" w:cs="Times New Roman"/>
                <w:color w:val="000000"/>
                <w:sz w:val="22"/>
              </w:rPr>
            </w:pPr>
          </w:p>
        </w:tc>
      </w:tr>
      <w:tr w14:paraId="7B2A9E2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B8D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000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A13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D8A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172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091A">
            <w:pPr>
              <w:jc w:val="right"/>
              <w:rPr>
                <w:rFonts w:ascii="Times New Roman" w:hAnsi="Times New Roman" w:eastAsia="仿宋_GB2312" w:cs="Times New Roman"/>
                <w:color w:val="000000"/>
                <w:sz w:val="22"/>
              </w:rPr>
            </w:pPr>
          </w:p>
        </w:tc>
      </w:tr>
      <w:tr w14:paraId="6CDF06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B0A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FD9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C50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CD2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203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6199">
            <w:pPr>
              <w:jc w:val="right"/>
              <w:rPr>
                <w:rFonts w:ascii="Times New Roman" w:hAnsi="Times New Roman" w:eastAsia="仿宋_GB2312" w:cs="Times New Roman"/>
                <w:color w:val="000000"/>
                <w:sz w:val="22"/>
              </w:rPr>
            </w:pPr>
          </w:p>
        </w:tc>
      </w:tr>
      <w:tr w14:paraId="552E3A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979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02B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C1A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E15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69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91AA">
            <w:pPr>
              <w:jc w:val="right"/>
              <w:rPr>
                <w:rFonts w:ascii="Times New Roman" w:hAnsi="Times New Roman" w:eastAsia="仿宋_GB2312" w:cs="Times New Roman"/>
                <w:color w:val="000000"/>
                <w:sz w:val="22"/>
              </w:rPr>
            </w:pPr>
          </w:p>
        </w:tc>
      </w:tr>
      <w:tr w14:paraId="1AE8E31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97A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815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406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E9B2">
            <w:pPr>
              <w:widowControl/>
              <w:numPr>
                <w:ilvl w:val="0"/>
                <w:numId w:val="1"/>
              </w:numPr>
              <w:jc w:val="left"/>
              <w:textAlignment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文化旅游体育与传媒支出</w:t>
            </w:r>
          </w:p>
          <w:p w14:paraId="76C258AC">
            <w:pPr>
              <w:pStyle w:val="9"/>
              <w:numPr>
                <w:ilvl w:val="0"/>
                <w:numId w:val="1"/>
              </w:num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D2B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EA8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620.30</w:t>
            </w:r>
          </w:p>
        </w:tc>
      </w:tr>
      <w:tr w14:paraId="58D23D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B15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07B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947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E30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w:t>
            </w:r>
            <w:r>
              <w:rPr>
                <w:rFonts w:hint="eastAsia" w:ascii="Times New Roman" w:hAnsi="Times New Roman" w:eastAsia="仿宋_GB2312" w:cs="Times New Roman"/>
                <w:color w:val="000000"/>
                <w:kern w:val="0"/>
                <w:sz w:val="22"/>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1AA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2BE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1.21</w:t>
            </w:r>
          </w:p>
        </w:tc>
      </w:tr>
      <w:tr w14:paraId="7EEFEB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8532F">
            <w:pPr>
              <w:widowControl/>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948EF">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C1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B63DE">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FB82A">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CB3C">
            <w:pPr>
              <w:jc w:val="right"/>
              <w:rPr>
                <w:rFonts w:ascii="Times New Roman" w:hAnsi="Times New Roman" w:eastAsia="仿宋_GB2312" w:cs="Times New Roman"/>
                <w:color w:val="000000"/>
                <w:sz w:val="22"/>
              </w:rPr>
            </w:pPr>
          </w:p>
        </w:tc>
      </w:tr>
      <w:tr w14:paraId="041D3C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A68E0">
            <w:pPr>
              <w:widowControl/>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C6E11">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5F5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36DED">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十、住房保障支出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E9FF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40F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1.19</w:t>
            </w:r>
          </w:p>
        </w:tc>
      </w:tr>
      <w:tr w14:paraId="05BC72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1E8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8A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936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4314">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2"/>
              </w:rPr>
              <w:t>十一</w:t>
            </w:r>
            <w:r>
              <w:rPr>
                <w:rFonts w:ascii="Times New Roman" w:hAnsi="Times New Roman" w:eastAsia="仿宋_GB2312" w:cs="Times New Roman"/>
                <w:color w:val="000000"/>
                <w:kern w:val="0"/>
                <w:sz w:val="22"/>
              </w:rPr>
              <w:t>、其他</w:t>
            </w:r>
            <w:r>
              <w:rPr>
                <w:rFonts w:hint="eastAsia"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A62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CAF0">
            <w:pPr>
              <w:jc w:val="right"/>
              <w:rPr>
                <w:rFonts w:ascii="Times New Roman" w:hAnsi="Times New Roman" w:eastAsia="仿宋_GB2312" w:cs="Times New Roman"/>
                <w:b/>
                <w:color w:val="000000"/>
                <w:sz w:val="22"/>
              </w:rPr>
            </w:pPr>
            <w:r>
              <w:rPr>
                <w:rFonts w:hint="eastAsia" w:ascii="Times New Roman" w:hAnsi="Times New Roman" w:eastAsia="仿宋_GB2312" w:cs="Times New Roman"/>
                <w:bCs/>
                <w:color w:val="000000"/>
                <w:sz w:val="22"/>
              </w:rPr>
              <w:t>11.46</w:t>
            </w:r>
          </w:p>
        </w:tc>
      </w:tr>
      <w:tr w14:paraId="6E2168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4A1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23B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D098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650.64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B82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710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3C3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650.64</w:t>
            </w:r>
          </w:p>
        </w:tc>
      </w:tr>
      <w:tr w14:paraId="7E9559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89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71C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D68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8A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100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4710">
            <w:pPr>
              <w:jc w:val="right"/>
              <w:rPr>
                <w:rFonts w:ascii="Times New Roman" w:hAnsi="Times New Roman" w:eastAsia="仿宋_GB2312" w:cs="Times New Roman"/>
                <w:color w:val="000000"/>
                <w:sz w:val="22"/>
              </w:rPr>
            </w:pPr>
          </w:p>
        </w:tc>
      </w:tr>
      <w:tr w14:paraId="47B724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6A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1A6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D39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11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D9E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49BC">
            <w:pPr>
              <w:jc w:val="right"/>
              <w:rPr>
                <w:rFonts w:ascii="Times New Roman" w:hAnsi="Times New Roman" w:eastAsia="仿宋_GB2312" w:cs="Times New Roman"/>
                <w:color w:val="000000"/>
                <w:sz w:val="22"/>
              </w:rPr>
            </w:pPr>
          </w:p>
        </w:tc>
      </w:tr>
      <w:tr w14:paraId="0E0D91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73A4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159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5AE4">
            <w:pPr>
              <w:jc w:val="right"/>
              <w:rPr>
                <w:rFonts w:ascii="Times New Roman" w:hAnsi="Times New Roman" w:eastAsia="仿宋_GB2312" w:cs="Times New Roman"/>
                <w:color w:val="000000"/>
                <w:sz w:val="22"/>
              </w:rPr>
            </w:pPr>
            <w:r>
              <w:rPr>
                <w:rFonts w:hint="eastAsia" w:ascii="Times New Roman" w:hAnsi="Times New Roman" w:eastAsia="仿宋_GB2312" w:cs="Times New Roman"/>
                <w:b/>
                <w:bCs/>
                <w:color w:val="000000"/>
                <w:sz w:val="22"/>
              </w:rPr>
              <w:t>650.64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741D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7C2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r>
              <w:rPr>
                <w:rFonts w:hint="eastAsia"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9527">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650.64</w:t>
            </w:r>
          </w:p>
        </w:tc>
      </w:tr>
    </w:tbl>
    <w:p w14:paraId="5EBA9BA2">
      <w:pPr>
        <w:widowControl/>
        <w:jc w:val="left"/>
        <w:textAlignment w:val="center"/>
        <w:rPr>
          <w:rFonts w:ascii="Times New Roman" w:hAnsi="Times New Roman" w:eastAsia="宋体" w:cs="Times New Roman"/>
          <w:color w:val="000000"/>
          <w:kern w:val="0"/>
          <w:sz w:val="24"/>
          <w:szCs w:val="24"/>
        </w:rPr>
      </w:pPr>
    </w:p>
    <w:p w14:paraId="48F96F6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37426390">
      <w:pPr>
        <w:jc w:val="center"/>
        <w:rPr>
          <w:rFonts w:ascii="Times New Roman" w:hAnsi="Times New Roman" w:eastAsia="黑体" w:cs="Times New Roman"/>
          <w:color w:val="000000"/>
          <w:kern w:val="0"/>
          <w:sz w:val="36"/>
          <w:szCs w:val="36"/>
        </w:rPr>
      </w:pPr>
      <w:r>
        <w:rPr>
          <w:rFonts w:ascii="Times New Roman" w:hAnsi="Times New Roman" w:eastAsia="华文中宋" w:cs="Times New Roman"/>
          <w:color w:val="000000"/>
          <w:sz w:val="32"/>
          <w:szCs w:val="32"/>
        </w:rPr>
        <w:br w:type="page"/>
      </w:r>
      <w:r>
        <w:rPr>
          <w:rFonts w:ascii="Times New Roman" w:hAnsi="Times New Roman" w:eastAsia="黑体" w:cs="Times New Roman"/>
          <w:color w:val="000000"/>
          <w:kern w:val="0"/>
          <w:sz w:val="36"/>
          <w:szCs w:val="36"/>
        </w:rPr>
        <w:t>收入决算表</w:t>
      </w:r>
    </w:p>
    <w:p w14:paraId="6482729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0612D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530"/>
        <w:gridCol w:w="1828"/>
        <w:gridCol w:w="1468"/>
        <w:gridCol w:w="1640"/>
        <w:gridCol w:w="1640"/>
        <w:gridCol w:w="1640"/>
        <w:gridCol w:w="1640"/>
        <w:gridCol w:w="1897"/>
        <w:gridCol w:w="1383"/>
      </w:tblGrid>
      <w:tr w14:paraId="4F959483">
        <w:tblPrEx>
          <w:tblCellMar>
            <w:top w:w="0" w:type="dxa"/>
            <w:left w:w="0" w:type="dxa"/>
            <w:bottom w:w="0" w:type="dxa"/>
            <w:right w:w="0" w:type="dxa"/>
          </w:tblCellMar>
        </w:tblPrEx>
        <w:trPr>
          <w:trHeight w:val="450" w:hRule="atLeast"/>
          <w:jc w:val="center"/>
        </w:trPr>
        <w:tc>
          <w:tcPr>
            <w:tcW w:w="335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6E8DA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AE738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D18E2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9E59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32DE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79AE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7812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D66B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A26DA44">
        <w:tblPrEx>
          <w:tblCellMar>
            <w:top w:w="0" w:type="dxa"/>
            <w:left w:w="0" w:type="dxa"/>
            <w:bottom w:w="0" w:type="dxa"/>
            <w:right w:w="0" w:type="dxa"/>
          </w:tblCellMar>
        </w:tblPrEx>
        <w:trPr>
          <w:trHeight w:val="334" w:hRule="exact"/>
          <w:jc w:val="center"/>
        </w:trPr>
        <w:tc>
          <w:tcPr>
            <w:tcW w:w="15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4A0C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2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F132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68" w:type="dxa"/>
            <w:vMerge w:val="continue"/>
            <w:tcBorders>
              <w:top w:val="single" w:color="auto" w:sz="4" w:space="0"/>
              <w:left w:val="single" w:color="auto" w:sz="4" w:space="0"/>
              <w:bottom w:val="single" w:color="auto" w:sz="4" w:space="0"/>
              <w:right w:val="single" w:color="auto" w:sz="4" w:space="0"/>
            </w:tcBorders>
            <w:vAlign w:val="center"/>
          </w:tcPr>
          <w:p w14:paraId="6B1ADB4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957C5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D56E7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CBBE5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1BB8AA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8812FD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F880D13">
            <w:pPr>
              <w:rPr>
                <w:rFonts w:ascii="Times New Roman" w:hAnsi="Times New Roman" w:eastAsia="仿宋_GB2312" w:cs="Times New Roman"/>
                <w:sz w:val="24"/>
                <w:szCs w:val="24"/>
              </w:rPr>
            </w:pPr>
          </w:p>
        </w:tc>
      </w:tr>
      <w:tr w14:paraId="66E265F3">
        <w:tblPrEx>
          <w:tblCellMar>
            <w:top w:w="0" w:type="dxa"/>
            <w:left w:w="0" w:type="dxa"/>
            <w:bottom w:w="0" w:type="dxa"/>
            <w:right w:w="0" w:type="dxa"/>
          </w:tblCellMar>
        </w:tblPrEx>
        <w:trPr>
          <w:trHeight w:val="312" w:hRule="atLeast"/>
          <w:jc w:val="center"/>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046991DB">
            <w:pPr>
              <w:rPr>
                <w:rFonts w:ascii="Times New Roman" w:hAnsi="Times New Roman" w:eastAsia="仿宋_GB2312" w:cs="Times New Roman"/>
                <w:sz w:val="24"/>
                <w:szCs w:val="24"/>
              </w:rPr>
            </w:pPr>
          </w:p>
        </w:tc>
        <w:tc>
          <w:tcPr>
            <w:tcW w:w="1828" w:type="dxa"/>
            <w:vMerge w:val="continue"/>
            <w:tcBorders>
              <w:top w:val="nil"/>
              <w:left w:val="single" w:color="auto" w:sz="4" w:space="0"/>
              <w:bottom w:val="single" w:color="auto" w:sz="4" w:space="0"/>
              <w:right w:val="single" w:color="auto" w:sz="4" w:space="0"/>
            </w:tcBorders>
            <w:vAlign w:val="center"/>
          </w:tcPr>
          <w:p w14:paraId="15B08F5E">
            <w:pPr>
              <w:rPr>
                <w:rFonts w:ascii="Times New Roman" w:hAnsi="Times New Roman" w:eastAsia="仿宋_GB2312" w:cs="Times New Roman"/>
                <w:sz w:val="24"/>
                <w:szCs w:val="24"/>
              </w:rPr>
            </w:pPr>
          </w:p>
        </w:tc>
        <w:tc>
          <w:tcPr>
            <w:tcW w:w="1468" w:type="dxa"/>
            <w:vMerge w:val="continue"/>
            <w:tcBorders>
              <w:top w:val="single" w:color="auto" w:sz="4" w:space="0"/>
              <w:left w:val="single" w:color="auto" w:sz="4" w:space="0"/>
              <w:bottom w:val="single" w:color="auto" w:sz="4" w:space="0"/>
              <w:right w:val="single" w:color="auto" w:sz="4" w:space="0"/>
            </w:tcBorders>
            <w:vAlign w:val="center"/>
          </w:tcPr>
          <w:p w14:paraId="621231F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30DE82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65D34D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538F4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43AC9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56A64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D8A5973">
            <w:pPr>
              <w:rPr>
                <w:rFonts w:ascii="Times New Roman" w:hAnsi="Times New Roman" w:eastAsia="仿宋_GB2312" w:cs="Times New Roman"/>
                <w:sz w:val="24"/>
                <w:szCs w:val="24"/>
              </w:rPr>
            </w:pPr>
          </w:p>
        </w:tc>
      </w:tr>
      <w:tr w14:paraId="56102A9B">
        <w:tblPrEx>
          <w:tblCellMar>
            <w:top w:w="0" w:type="dxa"/>
            <w:left w:w="0" w:type="dxa"/>
            <w:bottom w:w="0" w:type="dxa"/>
            <w:right w:w="0" w:type="dxa"/>
          </w:tblCellMar>
        </w:tblPrEx>
        <w:trPr>
          <w:trHeight w:val="450" w:hRule="atLeast"/>
          <w:jc w:val="center"/>
        </w:trPr>
        <w:tc>
          <w:tcPr>
            <w:tcW w:w="33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B96D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44E47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312D1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B05FB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4BF2A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DB7AD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FAE9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9EFE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413E1A7">
        <w:tblPrEx>
          <w:tblCellMar>
            <w:top w:w="0" w:type="dxa"/>
            <w:left w:w="0" w:type="dxa"/>
            <w:bottom w:w="0" w:type="dxa"/>
            <w:right w:w="0" w:type="dxa"/>
          </w:tblCellMar>
        </w:tblPrEx>
        <w:trPr>
          <w:trHeight w:val="450" w:hRule="atLeast"/>
          <w:jc w:val="center"/>
        </w:trPr>
        <w:tc>
          <w:tcPr>
            <w:tcW w:w="33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9A77B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563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B657A">
            <w:pPr>
              <w:jc w:val="right"/>
              <w:rPr>
                <w:rFonts w:ascii="Times New Roman" w:hAnsi="Times New Roman" w:eastAsia="仿宋_GB2312" w:cs="Times New Roman"/>
                <w:sz w:val="24"/>
                <w:szCs w:val="24"/>
              </w:rPr>
            </w:pPr>
            <w:r>
              <w:rPr>
                <w:rFonts w:hint="eastAsia" w:ascii="Times New Roman" w:hAnsi="Times New Roman" w:eastAsia="仿宋_GB2312" w:cs="Times New Roman"/>
              </w:rPr>
              <w:t>618.20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E1A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836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EC0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545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6089C">
            <w:pPr>
              <w:jc w:val="right"/>
              <w:rPr>
                <w:rFonts w:ascii="Times New Roman" w:hAnsi="Times New Roman" w:eastAsia="仿宋_GB2312" w:cs="Times New Roman"/>
                <w:sz w:val="24"/>
                <w:szCs w:val="24"/>
              </w:rPr>
            </w:pPr>
            <w:r>
              <w:rPr>
                <w:rFonts w:hint="eastAsia" w:ascii="Times New Roman" w:hAnsi="Times New Roman" w:eastAsia="仿宋_GB2312" w:cs="Times New Roman"/>
              </w:rPr>
              <w:t>32.44</w:t>
            </w:r>
            <w:r>
              <w:rPr>
                <w:rFonts w:ascii="Times New Roman" w:hAnsi="Times New Roman" w:eastAsia="仿宋_GB2312" w:cs="Times New Roman"/>
              </w:rPr>
              <w:t>　</w:t>
            </w:r>
          </w:p>
        </w:tc>
      </w:tr>
      <w:tr w14:paraId="5246516A">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8E9FEA">
            <w:pPr>
              <w:jc w:val="center"/>
              <w:rPr>
                <w:rFonts w:ascii="Times New Roman" w:hAnsi="Times New Roman" w:eastAsia="仿宋_GB2312" w:cs="Times New Roman"/>
              </w:rPr>
            </w:pPr>
            <w:r>
              <w:rPr>
                <w:rFonts w:hint="eastAsia" w:ascii="Times New Roman" w:hAnsi="Times New Roman" w:eastAsia="仿宋_GB2312" w:cs="Times New Roman"/>
              </w:rPr>
              <w:t>2019999</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AC1142">
            <w:pPr>
              <w:rPr>
                <w:rFonts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577B0">
            <w:pPr>
              <w:jc w:val="right"/>
              <w:rPr>
                <w:rFonts w:ascii="Times New Roman" w:hAnsi="Times New Roman" w:eastAsia="仿宋_GB2312" w:cs="Times New Roman"/>
                <w:sz w:val="24"/>
                <w:szCs w:val="24"/>
              </w:rPr>
            </w:pPr>
            <w:r>
              <w:rPr>
                <w:rFonts w:hint="eastAsia" w:ascii="Times New Roman" w:hAnsi="Times New Roman" w:eastAsia="仿宋_GB2312" w:cs="Times New Roman"/>
              </w:rPr>
              <w:t>15.87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5C6726">
            <w:pPr>
              <w:jc w:val="right"/>
              <w:rPr>
                <w:rFonts w:ascii="Times New Roman" w:hAnsi="Times New Roman" w:eastAsia="仿宋_GB2312" w:cs="Times New Roman"/>
                <w:sz w:val="24"/>
                <w:szCs w:val="24"/>
              </w:rPr>
            </w:pPr>
            <w:r>
              <w:rPr>
                <w:rFonts w:hint="eastAsia" w:ascii="Times New Roman" w:hAnsi="Times New Roman" w:eastAsia="仿宋_GB2312" w:cs="Times New Roman"/>
              </w:rPr>
              <w:t>15.87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CD8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BAC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84DC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8BB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F03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AC6DB04">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22A531">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2070601</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A6D5B6">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D54B24">
            <w:pPr>
              <w:jc w:val="right"/>
              <w:rPr>
                <w:rFonts w:ascii="Times New Roman" w:hAnsi="Times New Roman" w:eastAsia="仿宋_GB2312" w:cs="Times New Roman"/>
                <w:sz w:val="24"/>
                <w:szCs w:val="24"/>
              </w:rPr>
            </w:pPr>
            <w:r>
              <w:rPr>
                <w:rFonts w:hint="eastAsia" w:ascii="Times New Roman" w:hAnsi="Times New Roman" w:eastAsia="仿宋_GB2312" w:cs="Times New Roman"/>
              </w:rPr>
              <w:t>405.60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6FF6D">
            <w:pPr>
              <w:jc w:val="right"/>
              <w:rPr>
                <w:rFonts w:ascii="Times New Roman" w:hAnsi="Times New Roman" w:eastAsia="仿宋_GB2312" w:cs="Times New Roman"/>
                <w:sz w:val="24"/>
                <w:szCs w:val="24"/>
              </w:rPr>
            </w:pPr>
            <w:r>
              <w:rPr>
                <w:rFonts w:hint="eastAsia" w:ascii="Times New Roman" w:hAnsi="Times New Roman" w:eastAsia="仿宋_GB2312" w:cs="Times New Roman"/>
              </w:rPr>
              <w:t>405.60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EFD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D00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7A4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F5B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A2B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DEE7D3C">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DA22CE">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2070899</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FA3317">
            <w:pPr>
              <w:rPr>
                <w:rFonts w:ascii="Times New Roman" w:hAnsi="Times New Roman" w:eastAsia="仿宋_GB2312" w:cs="Times New Roman"/>
                <w:sz w:val="24"/>
                <w:szCs w:val="24"/>
              </w:rPr>
            </w:pPr>
            <w:r>
              <w:rPr>
                <w:rFonts w:hint="eastAsia" w:ascii="Times New Roman" w:hAnsi="Times New Roman" w:eastAsia="仿宋_GB2312" w:cs="Times New Roman"/>
              </w:rPr>
              <w:t>其他广播电视支出</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1E4C8">
            <w:pPr>
              <w:jc w:val="right"/>
              <w:rPr>
                <w:rFonts w:ascii="Times New Roman" w:hAnsi="Times New Roman" w:eastAsia="仿宋_GB2312" w:cs="Times New Roman"/>
                <w:sz w:val="24"/>
                <w:szCs w:val="24"/>
              </w:rPr>
            </w:pPr>
            <w:r>
              <w:rPr>
                <w:rFonts w:hint="eastAsia" w:ascii="Times New Roman" w:hAnsi="Times New Roman" w:eastAsia="仿宋_GB2312" w:cs="Times New Roman"/>
              </w:rPr>
              <w:t>183.50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21DA1">
            <w:pPr>
              <w:jc w:val="right"/>
              <w:rPr>
                <w:rFonts w:ascii="Times New Roman" w:hAnsi="Times New Roman" w:eastAsia="仿宋_GB2312" w:cs="Times New Roman"/>
                <w:sz w:val="24"/>
                <w:szCs w:val="24"/>
              </w:rPr>
            </w:pPr>
            <w:r>
              <w:rPr>
                <w:rFonts w:hint="eastAsia" w:ascii="Times New Roman" w:hAnsi="Times New Roman" w:eastAsia="仿宋_GB2312" w:cs="Times New Roman"/>
              </w:rPr>
              <w:t>162.52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00F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A02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872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248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37318">
            <w:pPr>
              <w:jc w:val="right"/>
              <w:rPr>
                <w:rFonts w:ascii="Times New Roman" w:hAnsi="Times New Roman" w:eastAsia="仿宋_GB2312" w:cs="Times New Roman"/>
                <w:sz w:val="24"/>
                <w:szCs w:val="24"/>
              </w:rPr>
            </w:pPr>
            <w:r>
              <w:rPr>
                <w:rFonts w:hint="eastAsia" w:ascii="Times New Roman" w:hAnsi="Times New Roman" w:eastAsia="仿宋_GB2312" w:cs="Times New Roman"/>
              </w:rPr>
              <w:t>20.98</w:t>
            </w:r>
            <w:r>
              <w:rPr>
                <w:rFonts w:ascii="Times New Roman" w:hAnsi="Times New Roman" w:eastAsia="仿宋_GB2312" w:cs="Times New Roman"/>
              </w:rPr>
              <w:t>　</w:t>
            </w:r>
          </w:p>
        </w:tc>
      </w:tr>
      <w:tr w14:paraId="21B264DE">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A0CD9D">
            <w:pPr>
              <w:jc w:val="center"/>
              <w:rPr>
                <w:rFonts w:ascii="Times New Roman" w:hAnsi="Times New Roman" w:eastAsia="仿宋_GB2312" w:cs="Times New Roman"/>
              </w:rPr>
            </w:pPr>
            <w:r>
              <w:rPr>
                <w:rFonts w:hint="eastAsia" w:ascii="Times New Roman" w:hAnsi="Times New Roman" w:eastAsia="仿宋_GB2312" w:cs="Times New Roman"/>
              </w:rPr>
              <w:t>2079999</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D54F5C">
            <w:pPr>
              <w:rPr>
                <w:rFonts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97E42">
            <w:pPr>
              <w:jc w:val="right"/>
              <w:rPr>
                <w:rFonts w:ascii="Times New Roman" w:hAnsi="Times New Roman" w:eastAsia="仿宋_GB2312" w:cs="Times New Roman"/>
                <w:sz w:val="24"/>
                <w:szCs w:val="24"/>
              </w:rPr>
            </w:pPr>
            <w:r>
              <w:rPr>
                <w:rFonts w:hint="eastAsia" w:ascii="Times New Roman" w:hAnsi="Times New Roman" w:eastAsia="仿宋_GB2312" w:cs="Times New Roman"/>
              </w:rPr>
              <w:t>31.20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9C4A2">
            <w:pPr>
              <w:jc w:val="right"/>
              <w:rPr>
                <w:rFonts w:ascii="Times New Roman" w:hAnsi="Times New Roman" w:eastAsia="仿宋_GB2312" w:cs="Times New Roman"/>
                <w:sz w:val="24"/>
                <w:szCs w:val="24"/>
              </w:rPr>
            </w:pPr>
            <w:r>
              <w:rPr>
                <w:rFonts w:hint="eastAsia" w:ascii="Times New Roman" w:hAnsi="Times New Roman" w:eastAsia="仿宋_GB2312" w:cs="Times New Roman"/>
              </w:rPr>
              <w:t>31.20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ACB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AEC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8683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06F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2AA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77E086">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1CB34">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8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2040E">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机关事业单位基本医疗保险缴费支出</w:t>
            </w:r>
          </w:p>
        </w:tc>
        <w:tc>
          <w:tcPr>
            <w:tcW w:w="14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19DAA">
            <w:pPr>
              <w:jc w:val="right"/>
              <w:rPr>
                <w:rFonts w:ascii="Times New Roman" w:hAnsi="Times New Roman" w:eastAsia="仿宋_GB2312" w:cs="Times New Roman"/>
                <w:sz w:val="24"/>
                <w:szCs w:val="24"/>
              </w:rPr>
            </w:pPr>
            <w:r>
              <w:rPr>
                <w:rFonts w:hint="eastAsia" w:ascii="Times New Roman" w:hAnsi="Times New Roman" w:eastAsia="仿宋_GB2312" w:cs="Times New Roman"/>
              </w:rPr>
              <w:t>1.21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A440D">
            <w:pPr>
              <w:jc w:val="right"/>
              <w:rPr>
                <w:rFonts w:ascii="Times New Roman" w:hAnsi="Times New Roman" w:eastAsia="仿宋_GB2312" w:cs="Times New Roman"/>
                <w:sz w:val="24"/>
                <w:szCs w:val="24"/>
              </w:rPr>
            </w:pPr>
            <w:r>
              <w:rPr>
                <w:rFonts w:hint="eastAsia" w:ascii="Times New Roman" w:hAnsi="Times New Roman" w:eastAsia="仿宋_GB2312" w:cs="Times New Roman"/>
              </w:rPr>
              <w:t>1.21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5D4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D01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4B7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9D1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D0C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D1BF5D">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C7A649">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2101102</w:t>
            </w:r>
          </w:p>
        </w:tc>
        <w:tc>
          <w:tcPr>
            <w:tcW w:w="18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015AF">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4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5B8801">
            <w:pPr>
              <w:jc w:val="right"/>
              <w:rPr>
                <w:rFonts w:ascii="Times New Roman" w:hAnsi="Times New Roman" w:eastAsia="仿宋_GB2312" w:cs="Times New Roman"/>
                <w:sz w:val="24"/>
                <w:szCs w:val="24"/>
              </w:rPr>
            </w:pPr>
            <w:r>
              <w:rPr>
                <w:rFonts w:hint="eastAsia" w:ascii="Times New Roman" w:hAnsi="Times New Roman" w:eastAsia="仿宋_GB2312" w:cs="Times New Roman"/>
              </w:rPr>
              <w:t>0.61</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479CBE">
            <w:pPr>
              <w:jc w:val="right"/>
              <w:rPr>
                <w:rFonts w:ascii="Times New Roman" w:hAnsi="Times New Roman" w:eastAsia="仿宋_GB2312" w:cs="Times New Roman"/>
                <w:sz w:val="24"/>
                <w:szCs w:val="24"/>
              </w:rPr>
            </w:pPr>
            <w:r>
              <w:rPr>
                <w:rFonts w:hint="eastAsia" w:ascii="Times New Roman" w:hAnsi="Times New Roman" w:eastAsia="仿宋_GB2312" w:cs="Times New Roman"/>
              </w:rPr>
              <w:t>0.61</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7324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EEDC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EE2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659D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8F74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FF9B2D">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8B1B57">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2210201</w:t>
            </w:r>
          </w:p>
        </w:tc>
        <w:tc>
          <w:tcPr>
            <w:tcW w:w="18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A9CBED">
            <w:pPr>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14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AB451A">
            <w:pPr>
              <w:jc w:val="right"/>
              <w:rPr>
                <w:rFonts w:ascii="Times New Roman" w:hAnsi="Times New Roman" w:eastAsia="仿宋_GB2312" w:cs="Times New Roman"/>
              </w:rPr>
            </w:pPr>
            <w:r>
              <w:rPr>
                <w:rFonts w:hint="eastAsia" w:ascii="Times New Roman" w:hAnsi="Times New Roman" w:eastAsia="仿宋_GB2312" w:cs="Times New Roman"/>
              </w:rPr>
              <w:t>1.19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9FA43">
            <w:pPr>
              <w:jc w:val="right"/>
              <w:rPr>
                <w:rFonts w:ascii="Times New Roman" w:hAnsi="Times New Roman" w:eastAsia="仿宋_GB2312" w:cs="Times New Roman"/>
              </w:rPr>
            </w:pPr>
            <w:r>
              <w:rPr>
                <w:rFonts w:hint="eastAsia" w:ascii="Times New Roman" w:hAnsi="Times New Roman" w:eastAsia="仿宋_GB2312" w:cs="Times New Roman"/>
              </w:rPr>
              <w:t>1.19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CC3ED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F0191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A27FA4">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6617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FE7202">
            <w:pPr>
              <w:jc w:val="right"/>
              <w:rPr>
                <w:rFonts w:ascii="Times New Roman" w:hAnsi="Times New Roman" w:eastAsia="仿宋_GB2312" w:cs="Times New Roman"/>
              </w:rPr>
            </w:pPr>
          </w:p>
        </w:tc>
      </w:tr>
      <w:tr w14:paraId="4159FB45">
        <w:tblPrEx>
          <w:tblCellMar>
            <w:top w:w="0" w:type="dxa"/>
            <w:left w:w="0" w:type="dxa"/>
            <w:bottom w:w="0" w:type="dxa"/>
            <w:right w:w="0" w:type="dxa"/>
          </w:tblCellMar>
        </w:tblPrEx>
        <w:trPr>
          <w:trHeight w:val="450" w:hRule="atLeast"/>
          <w:jc w:val="center"/>
        </w:trPr>
        <w:tc>
          <w:tcPr>
            <w:tcW w:w="15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48D66">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2299999</w:t>
            </w:r>
          </w:p>
        </w:tc>
        <w:tc>
          <w:tcPr>
            <w:tcW w:w="18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6750A">
            <w:pPr>
              <w:rPr>
                <w:rFonts w:ascii="Times New Roman" w:hAnsi="Times New Roman" w:eastAsia="仿宋_GB2312" w:cs="Times New Roman"/>
              </w:rPr>
            </w:pPr>
            <w:r>
              <w:rPr>
                <w:rFonts w:hint="eastAsia" w:ascii="Times New Roman" w:hAnsi="Times New Roman" w:eastAsia="仿宋_GB2312" w:cs="Times New Roman"/>
              </w:rPr>
              <w:t>其他支出</w:t>
            </w:r>
          </w:p>
        </w:tc>
        <w:tc>
          <w:tcPr>
            <w:tcW w:w="14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98C03D">
            <w:pPr>
              <w:jc w:val="right"/>
              <w:rPr>
                <w:rFonts w:ascii="Times New Roman" w:hAnsi="Times New Roman" w:eastAsia="仿宋_GB2312" w:cs="Times New Roman"/>
              </w:rPr>
            </w:pPr>
            <w:r>
              <w:rPr>
                <w:rFonts w:hint="eastAsia" w:ascii="Times New Roman" w:hAnsi="Times New Roman" w:eastAsia="仿宋_GB2312" w:cs="Times New Roman"/>
              </w:rPr>
              <w:t>11.46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14C4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7426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702FC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7DBA1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9AC8F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61E77A">
            <w:pPr>
              <w:jc w:val="right"/>
              <w:rPr>
                <w:rFonts w:ascii="Times New Roman" w:hAnsi="Times New Roman" w:eastAsia="仿宋_GB2312" w:cs="Times New Roman"/>
              </w:rPr>
            </w:pPr>
            <w:r>
              <w:rPr>
                <w:rFonts w:hint="eastAsia" w:ascii="Times New Roman" w:hAnsi="Times New Roman" w:eastAsia="仿宋_GB2312" w:cs="Times New Roman"/>
              </w:rPr>
              <w:t>11.46</w:t>
            </w:r>
          </w:p>
        </w:tc>
      </w:tr>
    </w:tbl>
    <w:p w14:paraId="2765CEC0">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D4ADB4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70D5A22D">
      <w:pPr>
        <w:widowControl/>
        <w:jc w:val="center"/>
        <w:textAlignment w:val="center"/>
        <w:rPr>
          <w:rFonts w:ascii="Times New Roman" w:hAnsi="Times New Roman" w:eastAsia="黑体" w:cs="Times New Roman"/>
          <w:color w:val="000000"/>
          <w:kern w:val="0"/>
          <w:sz w:val="32"/>
          <w:szCs w:val="32"/>
        </w:rPr>
      </w:pPr>
    </w:p>
    <w:p w14:paraId="6CCA51E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11B2BF3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88D34A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2102"/>
        <w:gridCol w:w="3581"/>
        <w:gridCol w:w="1556"/>
        <w:gridCol w:w="1012"/>
        <w:gridCol w:w="1012"/>
        <w:gridCol w:w="1556"/>
        <w:gridCol w:w="1012"/>
        <w:gridCol w:w="2378"/>
      </w:tblGrid>
      <w:tr w14:paraId="7842B49E">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F6BA4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D520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1896A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D5AC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DAC1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67BA2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BDEBF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C0DA019">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A750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8" w:type="pct"/>
            <w:vMerge w:val="restart"/>
            <w:tcBorders>
              <w:top w:val="nil"/>
              <w:left w:val="single" w:color="auto" w:sz="4" w:space="0"/>
              <w:bottom w:val="single" w:color="auto" w:sz="4" w:space="0"/>
              <w:right w:val="single" w:color="auto" w:sz="4" w:space="0"/>
            </w:tcBorders>
            <w:shd w:val="clear" w:color="000000" w:fill="FFFFFF"/>
            <w:vAlign w:val="center"/>
          </w:tcPr>
          <w:p w14:paraId="2E13FF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DD4A4A2">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6809FD86">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70A10483">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7227ECE">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517EE760">
            <w:pPr>
              <w:widowControl/>
              <w:jc w:val="left"/>
              <w:rPr>
                <w:rFonts w:ascii="Times New Roman" w:hAnsi="Times New Roman" w:eastAsia="仿宋_GB2312" w:cs="Times New Roman"/>
                <w:b/>
                <w:bCs/>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208BDD68">
            <w:pPr>
              <w:widowControl/>
              <w:jc w:val="left"/>
              <w:rPr>
                <w:rFonts w:ascii="Times New Roman" w:hAnsi="Times New Roman" w:eastAsia="仿宋_GB2312" w:cs="Times New Roman"/>
                <w:b/>
                <w:bCs/>
                <w:kern w:val="0"/>
                <w:sz w:val="24"/>
                <w:szCs w:val="24"/>
              </w:rPr>
            </w:pPr>
          </w:p>
        </w:tc>
      </w:tr>
      <w:tr w14:paraId="5678C7F6">
        <w:tblPrEx>
          <w:tblCellMar>
            <w:top w:w="0" w:type="dxa"/>
            <w:left w:w="108" w:type="dxa"/>
            <w:bottom w:w="0" w:type="dxa"/>
            <w:right w:w="108" w:type="dxa"/>
          </w:tblCellMar>
        </w:tblPrEx>
        <w:trPr>
          <w:trHeight w:val="595"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14:paraId="3383F39B">
            <w:pPr>
              <w:widowControl/>
              <w:jc w:val="left"/>
              <w:rPr>
                <w:rFonts w:ascii="Times New Roman" w:hAnsi="Times New Roman" w:eastAsia="仿宋_GB2312" w:cs="Times New Roman"/>
                <w:kern w:val="0"/>
                <w:sz w:val="24"/>
                <w:szCs w:val="24"/>
              </w:rPr>
            </w:pPr>
          </w:p>
        </w:tc>
        <w:tc>
          <w:tcPr>
            <w:tcW w:w="1258" w:type="pct"/>
            <w:vMerge w:val="continue"/>
            <w:tcBorders>
              <w:top w:val="nil"/>
              <w:left w:val="single" w:color="auto" w:sz="4" w:space="0"/>
              <w:bottom w:val="single" w:color="auto" w:sz="4" w:space="0"/>
              <w:right w:val="single" w:color="auto" w:sz="4" w:space="0"/>
            </w:tcBorders>
            <w:vAlign w:val="center"/>
          </w:tcPr>
          <w:p w14:paraId="6774C7CA">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0FA0194">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2338DB06">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191BE326">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A7FCB53">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1B55A4C0">
            <w:pPr>
              <w:widowControl/>
              <w:jc w:val="left"/>
              <w:rPr>
                <w:rFonts w:ascii="Times New Roman" w:hAnsi="Times New Roman" w:eastAsia="仿宋_GB2312" w:cs="Times New Roman"/>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03758473">
            <w:pPr>
              <w:widowControl/>
              <w:jc w:val="left"/>
              <w:rPr>
                <w:rFonts w:ascii="Times New Roman" w:hAnsi="Times New Roman" w:eastAsia="仿宋_GB2312" w:cs="Times New Roman"/>
                <w:kern w:val="0"/>
                <w:sz w:val="24"/>
                <w:szCs w:val="24"/>
              </w:rPr>
            </w:pPr>
          </w:p>
        </w:tc>
      </w:tr>
      <w:tr w14:paraId="58C1F35B">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BE52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7" w:type="pct"/>
            <w:tcBorders>
              <w:top w:val="nil"/>
              <w:left w:val="nil"/>
              <w:bottom w:val="single" w:color="auto" w:sz="4" w:space="0"/>
              <w:right w:val="single" w:color="auto" w:sz="4" w:space="0"/>
            </w:tcBorders>
            <w:shd w:val="clear" w:color="000000" w:fill="FFFFFF"/>
            <w:noWrap/>
            <w:vAlign w:val="center"/>
          </w:tcPr>
          <w:p w14:paraId="680E9D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14:paraId="6A666C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14:paraId="3982D4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14:paraId="5FFD27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5552C7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6" w:type="pct"/>
            <w:tcBorders>
              <w:top w:val="nil"/>
              <w:left w:val="nil"/>
              <w:bottom w:val="single" w:color="auto" w:sz="4" w:space="0"/>
              <w:right w:val="single" w:color="auto" w:sz="4" w:space="0"/>
            </w:tcBorders>
            <w:shd w:val="clear" w:color="000000" w:fill="FFFFFF"/>
            <w:noWrap/>
            <w:vAlign w:val="center"/>
          </w:tcPr>
          <w:p w14:paraId="7876B4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736CF57">
        <w:tblPrEx>
          <w:tblCellMar>
            <w:top w:w="0" w:type="dxa"/>
            <w:left w:w="108" w:type="dxa"/>
            <w:bottom w:w="0" w:type="dxa"/>
            <w:right w:w="108" w:type="dxa"/>
          </w:tblCellMar>
        </w:tblPrEx>
        <w:trPr>
          <w:trHeight w:val="486"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EB1F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7" w:type="pct"/>
            <w:tcBorders>
              <w:top w:val="nil"/>
              <w:left w:val="nil"/>
              <w:bottom w:val="single" w:color="auto" w:sz="4" w:space="0"/>
              <w:right w:val="single" w:color="auto" w:sz="4" w:space="0"/>
            </w:tcBorders>
            <w:shd w:val="clear" w:color="auto" w:fill="auto"/>
            <w:noWrap/>
            <w:vAlign w:val="center"/>
          </w:tcPr>
          <w:p w14:paraId="7F2CEDB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650.64</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4537526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582.86</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E1F328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67.78</w:t>
            </w: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75C2D2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1FF23B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5D1B77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FA2027">
        <w:tblPrEx>
          <w:tblCellMar>
            <w:top w:w="0" w:type="dxa"/>
            <w:left w:w="108" w:type="dxa"/>
            <w:bottom w:w="0" w:type="dxa"/>
            <w:right w:w="108" w:type="dxa"/>
          </w:tblCellMar>
        </w:tblPrEx>
        <w:trPr>
          <w:trHeight w:val="500"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692A7C">
            <w:pPr>
              <w:jc w:val="center"/>
              <w:rPr>
                <w:rFonts w:ascii="Times New Roman" w:hAnsi="Times New Roman" w:eastAsia="仿宋_GB2312" w:cs="Times New Roman"/>
              </w:rPr>
            </w:pPr>
            <w:r>
              <w:rPr>
                <w:rFonts w:hint="eastAsia" w:ascii="Times New Roman" w:hAnsi="Times New Roman" w:eastAsia="仿宋_GB2312" w:cs="Times New Roman"/>
              </w:rPr>
              <w:t>2019999</w:t>
            </w:r>
          </w:p>
        </w:tc>
        <w:tc>
          <w:tcPr>
            <w:tcW w:w="1258" w:type="pct"/>
            <w:tcBorders>
              <w:top w:val="nil"/>
              <w:left w:val="nil"/>
              <w:bottom w:val="single" w:color="auto" w:sz="4" w:space="0"/>
              <w:right w:val="single" w:color="auto" w:sz="4" w:space="0"/>
            </w:tcBorders>
            <w:shd w:val="clear" w:color="000000" w:fill="FFFFFF"/>
            <w:noWrap/>
            <w:vAlign w:val="center"/>
          </w:tcPr>
          <w:p w14:paraId="3C73E648">
            <w:pPr>
              <w:rPr>
                <w:rFonts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547" w:type="pct"/>
            <w:tcBorders>
              <w:top w:val="nil"/>
              <w:left w:val="nil"/>
              <w:bottom w:val="single" w:color="auto" w:sz="4" w:space="0"/>
              <w:right w:val="single" w:color="auto" w:sz="4" w:space="0"/>
            </w:tcBorders>
            <w:shd w:val="clear" w:color="auto" w:fill="auto"/>
            <w:noWrap/>
            <w:vAlign w:val="center"/>
          </w:tcPr>
          <w:p w14:paraId="7AEDE39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15.87</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BEA515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15.87</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1151BE2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023D46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5CAC46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506DB8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573585D">
        <w:tblPrEx>
          <w:tblCellMar>
            <w:top w:w="0" w:type="dxa"/>
            <w:left w:w="108" w:type="dxa"/>
            <w:bottom w:w="0" w:type="dxa"/>
            <w:right w:w="108" w:type="dxa"/>
          </w:tblCellMar>
        </w:tblPrEx>
        <w:trPr>
          <w:trHeight w:val="47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CBDA68">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2070601</w:t>
            </w:r>
          </w:p>
        </w:tc>
        <w:tc>
          <w:tcPr>
            <w:tcW w:w="1258" w:type="pct"/>
            <w:tcBorders>
              <w:top w:val="nil"/>
              <w:left w:val="nil"/>
              <w:bottom w:val="single" w:color="auto" w:sz="4" w:space="0"/>
              <w:right w:val="single" w:color="auto" w:sz="4" w:space="0"/>
            </w:tcBorders>
            <w:shd w:val="clear" w:color="000000" w:fill="FFFFFF"/>
            <w:noWrap/>
            <w:vAlign w:val="center"/>
          </w:tcPr>
          <w:p w14:paraId="2F046678">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547" w:type="pct"/>
            <w:tcBorders>
              <w:top w:val="nil"/>
              <w:left w:val="nil"/>
              <w:bottom w:val="single" w:color="auto" w:sz="4" w:space="0"/>
              <w:right w:val="single" w:color="auto" w:sz="4" w:space="0"/>
            </w:tcBorders>
            <w:shd w:val="clear" w:color="auto" w:fill="auto"/>
            <w:noWrap/>
            <w:vAlign w:val="center"/>
          </w:tcPr>
          <w:p w14:paraId="3F54C5F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405.60</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45F4E6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405.60</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1D99E1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1AF285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6A2C8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6CC34F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96D896">
        <w:tblPrEx>
          <w:tblCellMar>
            <w:top w:w="0" w:type="dxa"/>
            <w:left w:w="108" w:type="dxa"/>
            <w:bottom w:w="0" w:type="dxa"/>
            <w:right w:w="108" w:type="dxa"/>
          </w:tblCellMar>
        </w:tblPrEx>
        <w:trPr>
          <w:trHeight w:val="43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C1F07B">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2070899</w:t>
            </w:r>
          </w:p>
        </w:tc>
        <w:tc>
          <w:tcPr>
            <w:tcW w:w="1258" w:type="pct"/>
            <w:tcBorders>
              <w:top w:val="nil"/>
              <w:left w:val="nil"/>
              <w:bottom w:val="single" w:color="auto" w:sz="4" w:space="0"/>
              <w:right w:val="single" w:color="auto" w:sz="4" w:space="0"/>
            </w:tcBorders>
            <w:shd w:val="clear" w:color="000000" w:fill="FFFFFF"/>
            <w:noWrap/>
            <w:vAlign w:val="center"/>
          </w:tcPr>
          <w:p w14:paraId="6B8E6EC4">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rPr>
              <w:t>其他广播电视</w:t>
            </w:r>
            <w:r>
              <w:rPr>
                <w:rFonts w:hint="eastAsia" w:ascii="Times New Roman" w:hAnsi="Times New Roman" w:eastAsia="仿宋_GB2312" w:cs="Times New Roman"/>
                <w:lang w:eastAsia="zh-CN"/>
              </w:rPr>
              <w:t>支出</w:t>
            </w:r>
          </w:p>
        </w:tc>
        <w:tc>
          <w:tcPr>
            <w:tcW w:w="547" w:type="pct"/>
            <w:tcBorders>
              <w:top w:val="nil"/>
              <w:left w:val="nil"/>
              <w:bottom w:val="single" w:color="auto" w:sz="4" w:space="0"/>
              <w:right w:val="single" w:color="auto" w:sz="4" w:space="0"/>
            </w:tcBorders>
            <w:shd w:val="clear" w:color="auto" w:fill="auto"/>
            <w:noWrap/>
            <w:vAlign w:val="center"/>
          </w:tcPr>
          <w:p w14:paraId="6A544A1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183.50</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01B79D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146.92</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2E12EF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36.58</w:t>
            </w: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2D79F5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68DF01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4B563E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838BAF">
        <w:tblPrEx>
          <w:tblCellMar>
            <w:top w:w="0" w:type="dxa"/>
            <w:left w:w="108" w:type="dxa"/>
            <w:bottom w:w="0" w:type="dxa"/>
            <w:right w:w="108" w:type="dxa"/>
          </w:tblCellMar>
        </w:tblPrEx>
        <w:trPr>
          <w:trHeight w:val="513"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916119">
            <w:pPr>
              <w:jc w:val="center"/>
              <w:rPr>
                <w:rFonts w:ascii="Times New Roman" w:hAnsi="Times New Roman" w:eastAsia="仿宋_GB2312" w:cs="Times New Roman"/>
              </w:rPr>
            </w:pPr>
            <w:r>
              <w:rPr>
                <w:rFonts w:hint="eastAsia" w:ascii="Times New Roman" w:hAnsi="Times New Roman" w:eastAsia="仿宋_GB2312" w:cs="Times New Roman"/>
              </w:rPr>
              <w:t>2079999</w:t>
            </w:r>
          </w:p>
        </w:tc>
        <w:tc>
          <w:tcPr>
            <w:tcW w:w="1258" w:type="pct"/>
            <w:tcBorders>
              <w:top w:val="nil"/>
              <w:left w:val="nil"/>
              <w:bottom w:val="single" w:color="auto" w:sz="4" w:space="0"/>
              <w:right w:val="single" w:color="auto" w:sz="4" w:space="0"/>
            </w:tcBorders>
            <w:shd w:val="clear" w:color="000000" w:fill="FFFFFF"/>
            <w:noWrap/>
            <w:vAlign w:val="center"/>
          </w:tcPr>
          <w:p w14:paraId="67703283">
            <w:pPr>
              <w:rPr>
                <w:rFonts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547" w:type="pct"/>
            <w:tcBorders>
              <w:top w:val="nil"/>
              <w:left w:val="nil"/>
              <w:bottom w:val="single" w:color="auto" w:sz="4" w:space="0"/>
              <w:right w:val="single" w:color="auto" w:sz="4" w:space="0"/>
            </w:tcBorders>
            <w:shd w:val="clear" w:color="auto" w:fill="auto"/>
            <w:noWrap/>
            <w:vAlign w:val="center"/>
          </w:tcPr>
          <w:p w14:paraId="5C04285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31.20</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18C74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1D66CB8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31.20</w:t>
            </w: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41C8F6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B7B88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065A75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18338D3">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A3C610">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258" w:type="pct"/>
            <w:tcBorders>
              <w:top w:val="nil"/>
              <w:left w:val="nil"/>
              <w:bottom w:val="single" w:color="auto" w:sz="4" w:space="0"/>
              <w:right w:val="single" w:color="auto" w:sz="4" w:space="0"/>
            </w:tcBorders>
            <w:shd w:val="clear" w:color="000000" w:fill="FFFFFF"/>
            <w:noWrap/>
            <w:vAlign w:val="center"/>
          </w:tcPr>
          <w:p w14:paraId="6CCA11F0">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机关事业单位基本医疗保险缴费支出</w:t>
            </w:r>
          </w:p>
        </w:tc>
        <w:tc>
          <w:tcPr>
            <w:tcW w:w="547" w:type="pct"/>
            <w:tcBorders>
              <w:top w:val="nil"/>
              <w:left w:val="nil"/>
              <w:bottom w:val="single" w:color="auto" w:sz="4" w:space="0"/>
              <w:right w:val="single" w:color="auto" w:sz="4" w:space="0"/>
            </w:tcBorders>
            <w:shd w:val="clear" w:color="auto" w:fill="auto"/>
            <w:noWrap/>
            <w:vAlign w:val="center"/>
          </w:tcPr>
          <w:p w14:paraId="24E2E3A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471F5D9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6BDD21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580112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17603E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74BCF4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95C2CE2">
        <w:tblPrEx>
          <w:tblCellMar>
            <w:top w:w="0" w:type="dxa"/>
            <w:left w:w="108" w:type="dxa"/>
            <w:bottom w:w="0" w:type="dxa"/>
            <w:right w:w="108" w:type="dxa"/>
          </w:tblCellMar>
        </w:tblPrEx>
        <w:trPr>
          <w:trHeight w:val="48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2FBF1D">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2101102</w:t>
            </w:r>
          </w:p>
        </w:tc>
        <w:tc>
          <w:tcPr>
            <w:tcW w:w="1258" w:type="pct"/>
            <w:tcBorders>
              <w:top w:val="nil"/>
              <w:left w:val="nil"/>
              <w:bottom w:val="single" w:color="auto" w:sz="4" w:space="0"/>
              <w:right w:val="single" w:color="auto" w:sz="4" w:space="0"/>
            </w:tcBorders>
            <w:shd w:val="clear" w:color="000000" w:fill="FFFFFF"/>
            <w:noWrap/>
            <w:vAlign w:val="center"/>
          </w:tcPr>
          <w:p w14:paraId="00DC12D8">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547" w:type="pct"/>
            <w:tcBorders>
              <w:top w:val="nil"/>
              <w:left w:val="nil"/>
              <w:bottom w:val="single" w:color="auto" w:sz="4" w:space="0"/>
              <w:right w:val="single" w:color="auto" w:sz="4" w:space="0"/>
            </w:tcBorders>
            <w:shd w:val="clear" w:color="auto" w:fill="auto"/>
            <w:noWrap/>
            <w:vAlign w:val="center"/>
          </w:tcPr>
          <w:p w14:paraId="257C02D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0.61</w:t>
            </w:r>
          </w:p>
        </w:tc>
        <w:tc>
          <w:tcPr>
            <w:tcW w:w="356" w:type="pct"/>
            <w:tcBorders>
              <w:top w:val="nil"/>
              <w:left w:val="nil"/>
              <w:bottom w:val="single" w:color="auto" w:sz="4" w:space="0"/>
              <w:right w:val="single" w:color="auto" w:sz="4" w:space="0"/>
            </w:tcBorders>
            <w:shd w:val="clear" w:color="auto" w:fill="auto"/>
            <w:noWrap/>
            <w:vAlign w:val="center"/>
          </w:tcPr>
          <w:p w14:paraId="28FFF65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0.61</w:t>
            </w:r>
          </w:p>
        </w:tc>
        <w:tc>
          <w:tcPr>
            <w:tcW w:w="356" w:type="pct"/>
            <w:tcBorders>
              <w:top w:val="nil"/>
              <w:left w:val="nil"/>
              <w:bottom w:val="single" w:color="auto" w:sz="4" w:space="0"/>
              <w:right w:val="single" w:color="auto" w:sz="4" w:space="0"/>
            </w:tcBorders>
            <w:shd w:val="clear" w:color="auto" w:fill="auto"/>
            <w:noWrap/>
            <w:vAlign w:val="center"/>
          </w:tcPr>
          <w:p w14:paraId="2CE06123">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1BF01D7E">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53447D4F">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2049F4D9">
            <w:pPr>
              <w:widowControl/>
              <w:jc w:val="right"/>
              <w:rPr>
                <w:rFonts w:ascii="Times New Roman" w:hAnsi="Times New Roman" w:eastAsia="仿宋_GB2312" w:cs="Times New Roman"/>
                <w:kern w:val="0"/>
                <w:sz w:val="24"/>
                <w:szCs w:val="24"/>
              </w:rPr>
            </w:pPr>
          </w:p>
        </w:tc>
      </w:tr>
      <w:tr w14:paraId="2FFEE08E">
        <w:tblPrEx>
          <w:tblCellMar>
            <w:top w:w="0" w:type="dxa"/>
            <w:left w:w="108" w:type="dxa"/>
            <w:bottom w:w="0" w:type="dxa"/>
            <w:right w:w="108" w:type="dxa"/>
          </w:tblCellMar>
        </w:tblPrEx>
        <w:trPr>
          <w:trHeight w:val="45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65B8F7">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2210201</w:t>
            </w:r>
          </w:p>
        </w:tc>
        <w:tc>
          <w:tcPr>
            <w:tcW w:w="1258" w:type="pct"/>
            <w:tcBorders>
              <w:top w:val="nil"/>
              <w:left w:val="nil"/>
              <w:bottom w:val="single" w:color="auto" w:sz="4" w:space="0"/>
              <w:right w:val="single" w:color="auto" w:sz="4" w:space="0"/>
            </w:tcBorders>
            <w:shd w:val="clear" w:color="000000" w:fill="FFFFFF"/>
            <w:noWrap/>
            <w:vAlign w:val="center"/>
          </w:tcPr>
          <w:p w14:paraId="08801322">
            <w:pPr>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547" w:type="pct"/>
            <w:tcBorders>
              <w:top w:val="nil"/>
              <w:left w:val="nil"/>
              <w:bottom w:val="single" w:color="auto" w:sz="4" w:space="0"/>
              <w:right w:val="single" w:color="auto" w:sz="4" w:space="0"/>
            </w:tcBorders>
            <w:shd w:val="clear" w:color="auto" w:fill="auto"/>
            <w:noWrap/>
            <w:vAlign w:val="center"/>
          </w:tcPr>
          <w:p w14:paraId="37FA071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1.19</w:t>
            </w:r>
          </w:p>
        </w:tc>
        <w:tc>
          <w:tcPr>
            <w:tcW w:w="356" w:type="pct"/>
            <w:tcBorders>
              <w:top w:val="nil"/>
              <w:left w:val="nil"/>
              <w:bottom w:val="single" w:color="auto" w:sz="4" w:space="0"/>
              <w:right w:val="single" w:color="auto" w:sz="4" w:space="0"/>
            </w:tcBorders>
            <w:shd w:val="clear" w:color="auto" w:fill="auto"/>
            <w:noWrap/>
            <w:vAlign w:val="center"/>
          </w:tcPr>
          <w:p w14:paraId="13DCC16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1.19</w:t>
            </w:r>
          </w:p>
        </w:tc>
        <w:tc>
          <w:tcPr>
            <w:tcW w:w="356" w:type="pct"/>
            <w:tcBorders>
              <w:top w:val="nil"/>
              <w:left w:val="nil"/>
              <w:bottom w:val="single" w:color="auto" w:sz="4" w:space="0"/>
              <w:right w:val="single" w:color="auto" w:sz="4" w:space="0"/>
            </w:tcBorders>
            <w:shd w:val="clear" w:color="auto" w:fill="auto"/>
            <w:noWrap/>
            <w:vAlign w:val="center"/>
          </w:tcPr>
          <w:p w14:paraId="22E919A6">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47ACB3E8">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1138132A">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7E70F0BA">
            <w:pPr>
              <w:widowControl/>
              <w:jc w:val="right"/>
              <w:rPr>
                <w:rFonts w:ascii="Times New Roman" w:hAnsi="Times New Roman" w:eastAsia="仿宋_GB2312" w:cs="Times New Roman"/>
                <w:kern w:val="0"/>
                <w:sz w:val="24"/>
                <w:szCs w:val="24"/>
              </w:rPr>
            </w:pPr>
          </w:p>
        </w:tc>
      </w:tr>
      <w:tr w14:paraId="04D3292E">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64F074">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2299999</w:t>
            </w:r>
          </w:p>
        </w:tc>
        <w:tc>
          <w:tcPr>
            <w:tcW w:w="1258" w:type="pct"/>
            <w:tcBorders>
              <w:top w:val="nil"/>
              <w:left w:val="nil"/>
              <w:bottom w:val="single" w:color="auto" w:sz="4" w:space="0"/>
              <w:right w:val="single" w:color="auto" w:sz="4" w:space="0"/>
            </w:tcBorders>
            <w:shd w:val="clear" w:color="000000" w:fill="FFFFFF"/>
            <w:noWrap/>
            <w:vAlign w:val="center"/>
          </w:tcPr>
          <w:p w14:paraId="08DDF870">
            <w:pPr>
              <w:rPr>
                <w:rFonts w:ascii="Times New Roman" w:hAnsi="Times New Roman" w:eastAsia="仿宋_GB2312" w:cs="Times New Roman"/>
              </w:rPr>
            </w:pPr>
            <w:r>
              <w:rPr>
                <w:rFonts w:hint="eastAsia" w:ascii="Times New Roman" w:hAnsi="Times New Roman" w:eastAsia="仿宋_GB2312" w:cs="Times New Roman"/>
              </w:rPr>
              <w:t>其他支出</w:t>
            </w:r>
          </w:p>
        </w:tc>
        <w:tc>
          <w:tcPr>
            <w:tcW w:w="547" w:type="pct"/>
            <w:tcBorders>
              <w:top w:val="nil"/>
              <w:left w:val="nil"/>
              <w:bottom w:val="single" w:color="auto" w:sz="4" w:space="0"/>
              <w:right w:val="single" w:color="auto" w:sz="4" w:space="0"/>
            </w:tcBorders>
            <w:shd w:val="clear" w:color="auto" w:fill="auto"/>
            <w:noWrap/>
            <w:vAlign w:val="center"/>
          </w:tcPr>
          <w:p w14:paraId="3F3BF9A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11.46</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7B9E73F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11.46</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625A9B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5D073C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7B82BC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004D06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57969B6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42EC2C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BC41E3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C4726D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D36E5E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fixed"/>
        <w:tblCellMar>
          <w:top w:w="0" w:type="dxa"/>
          <w:left w:w="108" w:type="dxa"/>
          <w:bottom w:w="0" w:type="dxa"/>
          <w:right w:w="108" w:type="dxa"/>
        </w:tblCellMar>
      </w:tblPr>
      <w:tblGrid>
        <w:gridCol w:w="3516"/>
        <w:gridCol w:w="478"/>
        <w:gridCol w:w="959"/>
        <w:gridCol w:w="3232"/>
        <w:gridCol w:w="500"/>
        <w:gridCol w:w="927"/>
        <w:gridCol w:w="1254"/>
        <w:gridCol w:w="1528"/>
        <w:gridCol w:w="1826"/>
      </w:tblGrid>
      <w:tr w14:paraId="3642A85B">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3C9E4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14:paraId="0345C8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08033CC">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15380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78" w:type="dxa"/>
            <w:tcBorders>
              <w:top w:val="nil"/>
              <w:left w:val="nil"/>
              <w:bottom w:val="single" w:color="auto" w:sz="4" w:space="0"/>
              <w:right w:val="single" w:color="auto" w:sz="4" w:space="0"/>
            </w:tcBorders>
            <w:shd w:val="clear" w:color="auto" w:fill="auto"/>
            <w:noWrap/>
            <w:vAlign w:val="center"/>
          </w:tcPr>
          <w:p w14:paraId="49A07FE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59" w:type="dxa"/>
            <w:tcBorders>
              <w:top w:val="nil"/>
              <w:left w:val="nil"/>
              <w:bottom w:val="single" w:color="auto" w:sz="4" w:space="0"/>
              <w:right w:val="single" w:color="auto" w:sz="4" w:space="0"/>
            </w:tcBorders>
            <w:shd w:val="clear" w:color="auto" w:fill="auto"/>
            <w:noWrap/>
            <w:vAlign w:val="center"/>
          </w:tcPr>
          <w:p w14:paraId="4842CC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232" w:type="dxa"/>
            <w:tcBorders>
              <w:top w:val="nil"/>
              <w:left w:val="nil"/>
              <w:bottom w:val="single" w:color="auto" w:sz="4" w:space="0"/>
              <w:right w:val="single" w:color="auto" w:sz="4" w:space="0"/>
            </w:tcBorders>
            <w:shd w:val="clear" w:color="auto" w:fill="auto"/>
            <w:noWrap/>
            <w:vAlign w:val="center"/>
          </w:tcPr>
          <w:p w14:paraId="0D1A54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00" w:type="dxa"/>
            <w:tcBorders>
              <w:top w:val="nil"/>
              <w:left w:val="nil"/>
              <w:bottom w:val="single" w:color="auto" w:sz="4" w:space="0"/>
              <w:right w:val="single" w:color="auto" w:sz="4" w:space="0"/>
            </w:tcBorders>
            <w:shd w:val="clear" w:color="auto" w:fill="auto"/>
            <w:noWrap/>
            <w:vAlign w:val="center"/>
          </w:tcPr>
          <w:p w14:paraId="5F3FEBF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27" w:type="dxa"/>
            <w:tcBorders>
              <w:top w:val="nil"/>
              <w:left w:val="nil"/>
              <w:bottom w:val="single" w:color="auto" w:sz="4" w:space="0"/>
              <w:right w:val="single" w:color="auto" w:sz="4" w:space="0"/>
            </w:tcBorders>
            <w:shd w:val="clear" w:color="auto" w:fill="auto"/>
            <w:noWrap/>
            <w:vAlign w:val="center"/>
          </w:tcPr>
          <w:p w14:paraId="099E29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54" w:type="dxa"/>
            <w:tcBorders>
              <w:top w:val="nil"/>
              <w:left w:val="nil"/>
              <w:bottom w:val="single" w:color="auto" w:sz="4" w:space="0"/>
              <w:right w:val="single" w:color="auto" w:sz="4" w:space="0"/>
            </w:tcBorders>
            <w:shd w:val="clear" w:color="auto" w:fill="auto"/>
            <w:vAlign w:val="center"/>
          </w:tcPr>
          <w:p w14:paraId="4BC267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528" w:type="dxa"/>
            <w:tcBorders>
              <w:top w:val="nil"/>
              <w:left w:val="nil"/>
              <w:bottom w:val="single" w:color="auto" w:sz="4" w:space="0"/>
              <w:right w:val="single" w:color="auto" w:sz="4" w:space="0"/>
            </w:tcBorders>
            <w:shd w:val="clear" w:color="auto" w:fill="auto"/>
            <w:vAlign w:val="center"/>
          </w:tcPr>
          <w:p w14:paraId="5C8C06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26" w:type="dxa"/>
            <w:tcBorders>
              <w:top w:val="nil"/>
              <w:left w:val="nil"/>
              <w:bottom w:val="single" w:color="auto" w:sz="4" w:space="0"/>
              <w:right w:val="single" w:color="auto" w:sz="4" w:space="0"/>
            </w:tcBorders>
            <w:shd w:val="clear" w:color="auto" w:fill="auto"/>
            <w:vAlign w:val="center"/>
          </w:tcPr>
          <w:p w14:paraId="4B50D2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B721613">
        <w:tblPrEx>
          <w:tblCellMar>
            <w:top w:w="0" w:type="dxa"/>
            <w:left w:w="108" w:type="dxa"/>
            <w:bottom w:w="0" w:type="dxa"/>
            <w:right w:w="108" w:type="dxa"/>
          </w:tblCellMar>
        </w:tblPrEx>
        <w:trPr>
          <w:trHeight w:val="28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BA4A6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78" w:type="dxa"/>
            <w:tcBorders>
              <w:top w:val="nil"/>
              <w:left w:val="nil"/>
              <w:bottom w:val="single" w:color="auto" w:sz="4" w:space="0"/>
              <w:right w:val="single" w:color="auto" w:sz="4" w:space="0"/>
            </w:tcBorders>
            <w:shd w:val="clear" w:color="auto" w:fill="auto"/>
            <w:noWrap/>
            <w:vAlign w:val="center"/>
          </w:tcPr>
          <w:p w14:paraId="054BE3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59" w:type="dxa"/>
            <w:tcBorders>
              <w:top w:val="nil"/>
              <w:left w:val="nil"/>
              <w:bottom w:val="single" w:color="auto" w:sz="4" w:space="0"/>
              <w:right w:val="single" w:color="auto" w:sz="4" w:space="0"/>
            </w:tcBorders>
            <w:shd w:val="clear" w:color="auto" w:fill="auto"/>
            <w:noWrap/>
            <w:vAlign w:val="center"/>
          </w:tcPr>
          <w:p w14:paraId="0434BA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32" w:type="dxa"/>
            <w:tcBorders>
              <w:top w:val="nil"/>
              <w:left w:val="nil"/>
              <w:bottom w:val="single" w:color="auto" w:sz="4" w:space="0"/>
              <w:right w:val="single" w:color="auto" w:sz="4" w:space="0"/>
            </w:tcBorders>
            <w:shd w:val="clear" w:color="auto" w:fill="auto"/>
            <w:noWrap/>
            <w:vAlign w:val="center"/>
          </w:tcPr>
          <w:p w14:paraId="0A3BDB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00" w:type="dxa"/>
            <w:tcBorders>
              <w:top w:val="nil"/>
              <w:left w:val="nil"/>
              <w:bottom w:val="single" w:color="auto" w:sz="4" w:space="0"/>
              <w:right w:val="single" w:color="auto" w:sz="4" w:space="0"/>
            </w:tcBorders>
            <w:shd w:val="clear" w:color="auto" w:fill="auto"/>
            <w:noWrap/>
            <w:vAlign w:val="center"/>
          </w:tcPr>
          <w:p w14:paraId="585CFE3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27" w:type="dxa"/>
            <w:tcBorders>
              <w:top w:val="nil"/>
              <w:left w:val="nil"/>
              <w:bottom w:val="single" w:color="auto" w:sz="4" w:space="0"/>
              <w:right w:val="single" w:color="auto" w:sz="4" w:space="0"/>
            </w:tcBorders>
            <w:shd w:val="clear" w:color="auto" w:fill="auto"/>
            <w:noWrap/>
            <w:vAlign w:val="center"/>
          </w:tcPr>
          <w:p w14:paraId="683CEB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54" w:type="dxa"/>
            <w:tcBorders>
              <w:top w:val="nil"/>
              <w:left w:val="nil"/>
              <w:bottom w:val="single" w:color="auto" w:sz="4" w:space="0"/>
              <w:right w:val="single" w:color="auto" w:sz="4" w:space="0"/>
            </w:tcBorders>
            <w:shd w:val="clear" w:color="auto" w:fill="auto"/>
            <w:noWrap/>
            <w:vAlign w:val="center"/>
          </w:tcPr>
          <w:p w14:paraId="28BEDC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28" w:type="dxa"/>
            <w:tcBorders>
              <w:top w:val="nil"/>
              <w:left w:val="nil"/>
              <w:bottom w:val="single" w:color="auto" w:sz="4" w:space="0"/>
              <w:right w:val="single" w:color="auto" w:sz="4" w:space="0"/>
            </w:tcBorders>
            <w:shd w:val="clear" w:color="auto" w:fill="auto"/>
            <w:noWrap/>
            <w:vAlign w:val="center"/>
          </w:tcPr>
          <w:p w14:paraId="4FE429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26" w:type="dxa"/>
            <w:tcBorders>
              <w:top w:val="nil"/>
              <w:left w:val="nil"/>
              <w:bottom w:val="single" w:color="auto" w:sz="4" w:space="0"/>
              <w:right w:val="single" w:color="auto" w:sz="4" w:space="0"/>
            </w:tcBorders>
            <w:shd w:val="clear" w:color="auto" w:fill="auto"/>
            <w:noWrap/>
            <w:vAlign w:val="center"/>
          </w:tcPr>
          <w:p w14:paraId="7C3524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11FE440">
        <w:tblPrEx>
          <w:tblCellMar>
            <w:top w:w="0" w:type="dxa"/>
            <w:left w:w="108" w:type="dxa"/>
            <w:bottom w:w="0" w:type="dxa"/>
            <w:right w:w="108" w:type="dxa"/>
          </w:tblCellMar>
        </w:tblPrEx>
        <w:trPr>
          <w:trHeight w:val="361"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1A30D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78" w:type="dxa"/>
            <w:tcBorders>
              <w:top w:val="nil"/>
              <w:left w:val="nil"/>
              <w:bottom w:val="single" w:color="auto" w:sz="4" w:space="0"/>
              <w:right w:val="single" w:color="auto" w:sz="4" w:space="0"/>
            </w:tcBorders>
            <w:shd w:val="clear" w:color="auto" w:fill="auto"/>
            <w:noWrap/>
            <w:vAlign w:val="center"/>
          </w:tcPr>
          <w:p w14:paraId="5173E7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59" w:type="dxa"/>
            <w:tcBorders>
              <w:top w:val="nil"/>
              <w:left w:val="nil"/>
              <w:bottom w:val="single" w:color="auto" w:sz="4" w:space="0"/>
              <w:right w:val="single" w:color="auto" w:sz="4" w:space="0"/>
            </w:tcBorders>
            <w:shd w:val="clear" w:color="auto" w:fill="auto"/>
            <w:noWrap/>
            <w:vAlign w:val="center"/>
          </w:tcPr>
          <w:p w14:paraId="341C965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618.20</w:t>
            </w: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1E7080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00" w:type="dxa"/>
            <w:tcBorders>
              <w:top w:val="nil"/>
              <w:left w:val="nil"/>
              <w:bottom w:val="single" w:color="auto" w:sz="4" w:space="0"/>
              <w:right w:val="single" w:color="auto" w:sz="4" w:space="0"/>
            </w:tcBorders>
            <w:shd w:val="clear" w:color="auto" w:fill="auto"/>
            <w:noWrap/>
            <w:vAlign w:val="center"/>
          </w:tcPr>
          <w:p w14:paraId="67348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27" w:type="dxa"/>
            <w:tcBorders>
              <w:top w:val="nil"/>
              <w:left w:val="nil"/>
              <w:bottom w:val="single" w:color="auto" w:sz="4" w:space="0"/>
              <w:right w:val="single" w:color="auto" w:sz="4" w:space="0"/>
            </w:tcBorders>
            <w:shd w:val="clear" w:color="auto" w:fill="auto"/>
            <w:noWrap/>
            <w:vAlign w:val="center"/>
          </w:tcPr>
          <w:p w14:paraId="66D0B68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15.87</w:t>
            </w: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1ED4C7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15.87</w:t>
            </w: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418F65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477B90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C2D1F7">
        <w:tblPrEx>
          <w:tblCellMar>
            <w:top w:w="0" w:type="dxa"/>
            <w:left w:w="108" w:type="dxa"/>
            <w:bottom w:w="0" w:type="dxa"/>
            <w:right w:w="108" w:type="dxa"/>
          </w:tblCellMar>
        </w:tblPrEx>
        <w:trPr>
          <w:trHeight w:val="293"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AEDB9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78" w:type="dxa"/>
            <w:tcBorders>
              <w:top w:val="nil"/>
              <w:left w:val="nil"/>
              <w:bottom w:val="single" w:color="auto" w:sz="4" w:space="0"/>
              <w:right w:val="single" w:color="auto" w:sz="4" w:space="0"/>
            </w:tcBorders>
            <w:shd w:val="clear" w:color="auto" w:fill="auto"/>
            <w:noWrap/>
            <w:vAlign w:val="center"/>
          </w:tcPr>
          <w:p w14:paraId="009517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59" w:type="dxa"/>
            <w:tcBorders>
              <w:top w:val="nil"/>
              <w:left w:val="nil"/>
              <w:bottom w:val="single" w:color="auto" w:sz="4" w:space="0"/>
              <w:right w:val="single" w:color="auto" w:sz="4" w:space="0"/>
            </w:tcBorders>
            <w:shd w:val="clear" w:color="auto" w:fill="auto"/>
            <w:noWrap/>
            <w:vAlign w:val="center"/>
          </w:tcPr>
          <w:p w14:paraId="1912517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26D721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00" w:type="dxa"/>
            <w:tcBorders>
              <w:top w:val="nil"/>
              <w:left w:val="nil"/>
              <w:bottom w:val="single" w:color="auto" w:sz="4" w:space="0"/>
              <w:right w:val="single" w:color="auto" w:sz="4" w:space="0"/>
            </w:tcBorders>
            <w:shd w:val="clear" w:color="auto" w:fill="auto"/>
            <w:noWrap/>
            <w:vAlign w:val="center"/>
          </w:tcPr>
          <w:p w14:paraId="4190E8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27" w:type="dxa"/>
            <w:tcBorders>
              <w:top w:val="nil"/>
              <w:left w:val="nil"/>
              <w:bottom w:val="single" w:color="auto" w:sz="4" w:space="0"/>
              <w:right w:val="single" w:color="auto" w:sz="4" w:space="0"/>
            </w:tcBorders>
            <w:shd w:val="clear" w:color="auto" w:fill="auto"/>
            <w:noWrap/>
            <w:vAlign w:val="center"/>
          </w:tcPr>
          <w:p w14:paraId="16B113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696156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57558C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530251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763D3A">
        <w:tblPrEx>
          <w:tblCellMar>
            <w:top w:w="0" w:type="dxa"/>
            <w:left w:w="108" w:type="dxa"/>
            <w:bottom w:w="0" w:type="dxa"/>
            <w:right w:w="108" w:type="dxa"/>
          </w:tblCellMar>
        </w:tblPrEx>
        <w:trPr>
          <w:trHeight w:val="27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15ADC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78" w:type="dxa"/>
            <w:tcBorders>
              <w:top w:val="nil"/>
              <w:left w:val="nil"/>
              <w:bottom w:val="single" w:color="auto" w:sz="4" w:space="0"/>
              <w:right w:val="single" w:color="auto" w:sz="4" w:space="0"/>
            </w:tcBorders>
            <w:shd w:val="clear" w:color="auto" w:fill="auto"/>
            <w:noWrap/>
            <w:vAlign w:val="center"/>
          </w:tcPr>
          <w:p w14:paraId="755B2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59" w:type="dxa"/>
            <w:tcBorders>
              <w:top w:val="nil"/>
              <w:left w:val="nil"/>
              <w:bottom w:val="single" w:color="auto" w:sz="4" w:space="0"/>
              <w:right w:val="single" w:color="auto" w:sz="4" w:space="0"/>
            </w:tcBorders>
            <w:shd w:val="clear" w:color="auto" w:fill="auto"/>
            <w:noWrap/>
            <w:vAlign w:val="center"/>
          </w:tcPr>
          <w:p w14:paraId="6C2262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3472FB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00" w:type="dxa"/>
            <w:tcBorders>
              <w:top w:val="nil"/>
              <w:left w:val="nil"/>
              <w:bottom w:val="single" w:color="auto" w:sz="4" w:space="0"/>
              <w:right w:val="single" w:color="auto" w:sz="4" w:space="0"/>
            </w:tcBorders>
            <w:shd w:val="clear" w:color="auto" w:fill="auto"/>
            <w:noWrap/>
            <w:vAlign w:val="center"/>
          </w:tcPr>
          <w:p w14:paraId="589463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27" w:type="dxa"/>
            <w:tcBorders>
              <w:top w:val="nil"/>
              <w:left w:val="nil"/>
              <w:bottom w:val="single" w:color="auto" w:sz="4" w:space="0"/>
              <w:right w:val="single" w:color="auto" w:sz="4" w:space="0"/>
            </w:tcBorders>
            <w:shd w:val="clear" w:color="auto" w:fill="auto"/>
            <w:noWrap/>
            <w:vAlign w:val="center"/>
          </w:tcPr>
          <w:p w14:paraId="65AF41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6B2C68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1A96E5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3FAFED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F30541">
        <w:tblPrEx>
          <w:tblCellMar>
            <w:top w:w="0" w:type="dxa"/>
            <w:left w:w="108" w:type="dxa"/>
            <w:bottom w:w="0" w:type="dxa"/>
            <w:right w:w="108" w:type="dxa"/>
          </w:tblCellMar>
        </w:tblPrEx>
        <w:trPr>
          <w:trHeight w:val="29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F0AB3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8" w:type="dxa"/>
            <w:tcBorders>
              <w:top w:val="nil"/>
              <w:left w:val="nil"/>
              <w:bottom w:val="single" w:color="auto" w:sz="4" w:space="0"/>
              <w:right w:val="single" w:color="auto" w:sz="4" w:space="0"/>
            </w:tcBorders>
            <w:shd w:val="clear" w:color="auto" w:fill="auto"/>
            <w:noWrap/>
            <w:vAlign w:val="center"/>
          </w:tcPr>
          <w:p w14:paraId="72BB02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59" w:type="dxa"/>
            <w:tcBorders>
              <w:top w:val="nil"/>
              <w:left w:val="nil"/>
              <w:bottom w:val="single" w:color="auto" w:sz="4" w:space="0"/>
              <w:right w:val="single" w:color="auto" w:sz="4" w:space="0"/>
            </w:tcBorders>
            <w:shd w:val="clear" w:color="auto" w:fill="auto"/>
            <w:noWrap/>
            <w:vAlign w:val="center"/>
          </w:tcPr>
          <w:p w14:paraId="4822A8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7459109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00" w:type="dxa"/>
            <w:tcBorders>
              <w:top w:val="nil"/>
              <w:left w:val="nil"/>
              <w:bottom w:val="single" w:color="auto" w:sz="4" w:space="0"/>
              <w:right w:val="single" w:color="auto" w:sz="4" w:space="0"/>
            </w:tcBorders>
            <w:shd w:val="clear" w:color="auto" w:fill="auto"/>
            <w:noWrap/>
            <w:vAlign w:val="center"/>
          </w:tcPr>
          <w:p w14:paraId="1A3FE2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27" w:type="dxa"/>
            <w:tcBorders>
              <w:top w:val="nil"/>
              <w:left w:val="nil"/>
              <w:bottom w:val="single" w:color="auto" w:sz="4" w:space="0"/>
              <w:right w:val="single" w:color="auto" w:sz="4" w:space="0"/>
            </w:tcBorders>
            <w:shd w:val="clear" w:color="auto" w:fill="auto"/>
            <w:noWrap/>
            <w:vAlign w:val="center"/>
          </w:tcPr>
          <w:p w14:paraId="71F0CD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562DED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1DE193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3D730A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CA417D">
        <w:tblPrEx>
          <w:tblCellMar>
            <w:top w:w="0" w:type="dxa"/>
            <w:left w:w="108" w:type="dxa"/>
            <w:bottom w:w="0" w:type="dxa"/>
            <w:right w:w="108" w:type="dxa"/>
          </w:tblCellMar>
        </w:tblPrEx>
        <w:trPr>
          <w:trHeight w:val="271"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90FB6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8" w:type="dxa"/>
            <w:tcBorders>
              <w:top w:val="nil"/>
              <w:left w:val="nil"/>
              <w:bottom w:val="single" w:color="auto" w:sz="4" w:space="0"/>
              <w:right w:val="single" w:color="auto" w:sz="4" w:space="0"/>
            </w:tcBorders>
            <w:shd w:val="clear" w:color="auto" w:fill="auto"/>
            <w:noWrap/>
            <w:vAlign w:val="center"/>
          </w:tcPr>
          <w:p w14:paraId="2CAC2C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59" w:type="dxa"/>
            <w:tcBorders>
              <w:top w:val="nil"/>
              <w:left w:val="nil"/>
              <w:bottom w:val="single" w:color="auto" w:sz="4" w:space="0"/>
              <w:right w:val="single" w:color="auto" w:sz="4" w:space="0"/>
            </w:tcBorders>
            <w:shd w:val="clear" w:color="auto" w:fill="auto"/>
            <w:noWrap/>
            <w:vAlign w:val="center"/>
          </w:tcPr>
          <w:p w14:paraId="006BF1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3954F8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00" w:type="dxa"/>
            <w:tcBorders>
              <w:top w:val="nil"/>
              <w:left w:val="nil"/>
              <w:bottom w:val="single" w:color="auto" w:sz="4" w:space="0"/>
              <w:right w:val="single" w:color="auto" w:sz="4" w:space="0"/>
            </w:tcBorders>
            <w:shd w:val="clear" w:color="auto" w:fill="auto"/>
            <w:noWrap/>
            <w:vAlign w:val="center"/>
          </w:tcPr>
          <w:p w14:paraId="4EE7A0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27" w:type="dxa"/>
            <w:tcBorders>
              <w:top w:val="nil"/>
              <w:left w:val="nil"/>
              <w:bottom w:val="single" w:color="auto" w:sz="4" w:space="0"/>
              <w:right w:val="single" w:color="auto" w:sz="4" w:space="0"/>
            </w:tcBorders>
            <w:shd w:val="clear" w:color="auto" w:fill="auto"/>
            <w:noWrap/>
            <w:vAlign w:val="center"/>
          </w:tcPr>
          <w:p w14:paraId="04DF32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0422A4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6EEA6C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6FE59D4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CF5B50">
        <w:tblPrEx>
          <w:tblCellMar>
            <w:top w:w="0" w:type="dxa"/>
            <w:left w:w="108" w:type="dxa"/>
            <w:bottom w:w="0" w:type="dxa"/>
            <w:right w:w="108" w:type="dxa"/>
          </w:tblCellMar>
        </w:tblPrEx>
        <w:trPr>
          <w:trHeight w:val="25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BC13F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8" w:type="dxa"/>
            <w:tcBorders>
              <w:top w:val="nil"/>
              <w:left w:val="nil"/>
              <w:bottom w:val="single" w:color="auto" w:sz="4" w:space="0"/>
              <w:right w:val="single" w:color="auto" w:sz="4" w:space="0"/>
            </w:tcBorders>
            <w:shd w:val="clear" w:color="auto" w:fill="auto"/>
            <w:noWrap/>
            <w:vAlign w:val="center"/>
          </w:tcPr>
          <w:p w14:paraId="72B7D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59" w:type="dxa"/>
            <w:tcBorders>
              <w:top w:val="nil"/>
              <w:left w:val="nil"/>
              <w:bottom w:val="single" w:color="auto" w:sz="4" w:space="0"/>
              <w:right w:val="single" w:color="auto" w:sz="4" w:space="0"/>
            </w:tcBorders>
            <w:shd w:val="clear" w:color="auto" w:fill="auto"/>
            <w:noWrap/>
            <w:vAlign w:val="center"/>
          </w:tcPr>
          <w:p w14:paraId="4A6903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70614A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00" w:type="dxa"/>
            <w:tcBorders>
              <w:top w:val="nil"/>
              <w:left w:val="nil"/>
              <w:bottom w:val="single" w:color="auto" w:sz="4" w:space="0"/>
              <w:right w:val="single" w:color="auto" w:sz="4" w:space="0"/>
            </w:tcBorders>
            <w:shd w:val="clear" w:color="auto" w:fill="auto"/>
            <w:noWrap/>
            <w:vAlign w:val="center"/>
          </w:tcPr>
          <w:p w14:paraId="59C614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27" w:type="dxa"/>
            <w:tcBorders>
              <w:top w:val="nil"/>
              <w:left w:val="nil"/>
              <w:bottom w:val="single" w:color="auto" w:sz="4" w:space="0"/>
              <w:right w:val="single" w:color="auto" w:sz="4" w:space="0"/>
            </w:tcBorders>
            <w:shd w:val="clear" w:color="auto" w:fill="auto"/>
            <w:noWrap/>
            <w:vAlign w:val="center"/>
          </w:tcPr>
          <w:p w14:paraId="17C934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5A58B6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7BAC0C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014F86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483CE3">
        <w:tblPrEx>
          <w:tblCellMar>
            <w:top w:w="0" w:type="dxa"/>
            <w:left w:w="108" w:type="dxa"/>
            <w:bottom w:w="0" w:type="dxa"/>
            <w:right w:w="108" w:type="dxa"/>
          </w:tblCellMar>
        </w:tblPrEx>
        <w:trPr>
          <w:trHeight w:val="28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3B661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8" w:type="dxa"/>
            <w:tcBorders>
              <w:top w:val="nil"/>
              <w:left w:val="nil"/>
              <w:bottom w:val="single" w:color="auto" w:sz="4" w:space="0"/>
              <w:right w:val="single" w:color="auto" w:sz="4" w:space="0"/>
            </w:tcBorders>
            <w:shd w:val="clear" w:color="auto" w:fill="auto"/>
            <w:noWrap/>
            <w:vAlign w:val="center"/>
          </w:tcPr>
          <w:p w14:paraId="712813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59" w:type="dxa"/>
            <w:tcBorders>
              <w:top w:val="nil"/>
              <w:left w:val="nil"/>
              <w:bottom w:val="single" w:color="auto" w:sz="4" w:space="0"/>
              <w:right w:val="single" w:color="auto" w:sz="4" w:space="0"/>
            </w:tcBorders>
            <w:shd w:val="clear" w:color="auto" w:fill="auto"/>
            <w:noWrap/>
            <w:vAlign w:val="center"/>
          </w:tcPr>
          <w:p w14:paraId="14E491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4AA77AAE">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七、文化旅游体育与传媒支出</w:t>
            </w:r>
          </w:p>
        </w:tc>
        <w:tc>
          <w:tcPr>
            <w:tcW w:w="500" w:type="dxa"/>
            <w:tcBorders>
              <w:top w:val="nil"/>
              <w:left w:val="nil"/>
              <w:bottom w:val="single" w:color="auto" w:sz="4" w:space="0"/>
              <w:right w:val="single" w:color="auto" w:sz="4" w:space="0"/>
            </w:tcBorders>
            <w:shd w:val="clear" w:color="auto" w:fill="auto"/>
            <w:noWrap/>
            <w:vAlign w:val="center"/>
          </w:tcPr>
          <w:p w14:paraId="025665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27" w:type="dxa"/>
            <w:tcBorders>
              <w:top w:val="nil"/>
              <w:left w:val="nil"/>
              <w:bottom w:val="single" w:color="auto" w:sz="4" w:space="0"/>
              <w:right w:val="single" w:color="auto" w:sz="4" w:space="0"/>
            </w:tcBorders>
            <w:shd w:val="clear" w:color="auto" w:fill="auto"/>
            <w:noWrap/>
            <w:vAlign w:val="center"/>
          </w:tcPr>
          <w:p w14:paraId="1C1BE7E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599.32</w:t>
            </w: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50F9780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599.32</w:t>
            </w: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433A1B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2A1EAE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8BAEF7">
        <w:tblPrEx>
          <w:tblCellMar>
            <w:top w:w="0" w:type="dxa"/>
            <w:left w:w="108" w:type="dxa"/>
            <w:bottom w:w="0" w:type="dxa"/>
            <w:right w:w="108" w:type="dxa"/>
          </w:tblCellMar>
        </w:tblPrEx>
        <w:trPr>
          <w:trHeight w:val="30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9AA93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8" w:type="dxa"/>
            <w:tcBorders>
              <w:top w:val="nil"/>
              <w:left w:val="nil"/>
              <w:bottom w:val="single" w:color="auto" w:sz="4" w:space="0"/>
              <w:right w:val="single" w:color="auto" w:sz="4" w:space="0"/>
            </w:tcBorders>
            <w:shd w:val="clear" w:color="auto" w:fill="auto"/>
            <w:noWrap/>
            <w:vAlign w:val="center"/>
          </w:tcPr>
          <w:p w14:paraId="7B90B3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59" w:type="dxa"/>
            <w:tcBorders>
              <w:top w:val="nil"/>
              <w:left w:val="nil"/>
              <w:bottom w:val="single" w:color="auto" w:sz="4" w:space="0"/>
              <w:right w:val="single" w:color="auto" w:sz="4" w:space="0"/>
            </w:tcBorders>
            <w:shd w:val="clear" w:color="auto" w:fill="auto"/>
            <w:noWrap/>
            <w:vAlign w:val="center"/>
          </w:tcPr>
          <w:p w14:paraId="245B76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4122F385">
            <w:pPr>
              <w:jc w:val="left"/>
              <w:rPr>
                <w:rFonts w:ascii="Times New Roman" w:hAnsi="Times New Roman" w:eastAsia="仿宋_GB2312" w:cs="Times New Roman"/>
                <w:kern w:val="0"/>
                <w:szCs w:val="21"/>
              </w:rPr>
            </w:pPr>
            <w:r>
              <w:rPr>
                <w:rFonts w:ascii="Times New Roman" w:hAnsi="Times New Roman" w:eastAsia="仿宋_GB2312" w:cs="Times New Roman"/>
                <w:color w:val="000000"/>
                <w:kern w:val="0"/>
                <w:szCs w:val="21"/>
              </w:rPr>
              <w:t>八、</w:t>
            </w:r>
            <w:r>
              <w:rPr>
                <w:rFonts w:hint="eastAsia" w:ascii="Times New Roman" w:hAnsi="Times New Roman" w:eastAsia="仿宋_GB2312" w:cs="Times New Roman"/>
                <w:color w:val="000000"/>
                <w:kern w:val="0"/>
                <w:szCs w:val="21"/>
              </w:rPr>
              <w:t>社会保障和就业支出</w:t>
            </w:r>
          </w:p>
        </w:tc>
        <w:tc>
          <w:tcPr>
            <w:tcW w:w="500" w:type="dxa"/>
            <w:tcBorders>
              <w:top w:val="nil"/>
              <w:left w:val="nil"/>
              <w:bottom w:val="single" w:color="auto" w:sz="4" w:space="0"/>
              <w:right w:val="single" w:color="auto" w:sz="4" w:space="0"/>
            </w:tcBorders>
            <w:shd w:val="clear" w:color="auto" w:fill="auto"/>
            <w:noWrap/>
            <w:vAlign w:val="center"/>
          </w:tcPr>
          <w:p w14:paraId="5E2584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27" w:type="dxa"/>
            <w:tcBorders>
              <w:top w:val="nil"/>
              <w:left w:val="nil"/>
              <w:bottom w:val="single" w:color="auto" w:sz="4" w:space="0"/>
              <w:right w:val="single" w:color="auto" w:sz="4" w:space="0"/>
            </w:tcBorders>
            <w:shd w:val="clear" w:color="auto" w:fill="auto"/>
            <w:noWrap/>
            <w:vAlign w:val="center"/>
          </w:tcPr>
          <w:p w14:paraId="2662905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1.21</w:t>
            </w: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2ADB258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1.21</w:t>
            </w: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7413BA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1910BC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2ED03C">
        <w:tblPrEx>
          <w:tblCellMar>
            <w:top w:w="0" w:type="dxa"/>
            <w:left w:w="108" w:type="dxa"/>
            <w:bottom w:w="0" w:type="dxa"/>
            <w:right w:w="108" w:type="dxa"/>
          </w:tblCellMar>
        </w:tblPrEx>
        <w:trPr>
          <w:trHeight w:val="32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B8F7DE9">
            <w:pPr>
              <w:widowControl/>
              <w:jc w:val="left"/>
              <w:rPr>
                <w:rFonts w:ascii="Times New Roman" w:hAnsi="Times New Roman" w:eastAsia="仿宋_GB2312" w:cs="Times New Roman"/>
                <w:kern w:val="0"/>
                <w:sz w:val="22"/>
              </w:rPr>
            </w:pPr>
          </w:p>
        </w:tc>
        <w:tc>
          <w:tcPr>
            <w:tcW w:w="478" w:type="dxa"/>
            <w:tcBorders>
              <w:top w:val="nil"/>
              <w:left w:val="nil"/>
              <w:bottom w:val="single" w:color="auto" w:sz="4" w:space="0"/>
              <w:right w:val="single" w:color="auto" w:sz="4" w:space="0"/>
            </w:tcBorders>
            <w:shd w:val="clear" w:color="auto" w:fill="auto"/>
            <w:noWrap/>
            <w:vAlign w:val="center"/>
          </w:tcPr>
          <w:p w14:paraId="703E5B1C">
            <w:pPr>
              <w:widowControl/>
              <w:jc w:val="center"/>
              <w:rPr>
                <w:rFonts w:ascii="Times New Roman" w:hAnsi="Times New Roman" w:eastAsia="仿宋_GB2312" w:cs="Times New Roman"/>
                <w:kern w:val="0"/>
                <w:sz w:val="22"/>
              </w:rPr>
            </w:pPr>
          </w:p>
        </w:tc>
        <w:tc>
          <w:tcPr>
            <w:tcW w:w="959" w:type="dxa"/>
            <w:tcBorders>
              <w:top w:val="nil"/>
              <w:left w:val="nil"/>
              <w:bottom w:val="single" w:color="auto" w:sz="4" w:space="0"/>
              <w:right w:val="single" w:color="auto" w:sz="4" w:space="0"/>
            </w:tcBorders>
            <w:shd w:val="clear" w:color="auto" w:fill="auto"/>
            <w:noWrap/>
            <w:vAlign w:val="center"/>
          </w:tcPr>
          <w:p w14:paraId="4CA09D90">
            <w:pPr>
              <w:widowControl/>
              <w:jc w:val="left"/>
              <w:rPr>
                <w:rFonts w:ascii="Times New Roman" w:hAnsi="Times New Roman" w:eastAsia="仿宋_GB2312" w:cs="Times New Roman"/>
                <w:kern w:val="0"/>
                <w:sz w:val="22"/>
              </w:rPr>
            </w:pPr>
          </w:p>
        </w:tc>
        <w:tc>
          <w:tcPr>
            <w:tcW w:w="3232" w:type="dxa"/>
            <w:tcBorders>
              <w:top w:val="nil"/>
              <w:left w:val="nil"/>
              <w:bottom w:val="single" w:color="auto" w:sz="4" w:space="0"/>
              <w:right w:val="single" w:color="auto" w:sz="4" w:space="0"/>
            </w:tcBorders>
            <w:shd w:val="clear" w:color="auto" w:fill="auto"/>
            <w:noWrap/>
            <w:vAlign w:val="center"/>
          </w:tcPr>
          <w:p w14:paraId="0B827844">
            <w:pPr>
              <w:jc w:val="left"/>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Cs w:val="21"/>
              </w:rPr>
              <w:t>九、卫生健康支出</w:t>
            </w:r>
          </w:p>
        </w:tc>
        <w:tc>
          <w:tcPr>
            <w:tcW w:w="500" w:type="dxa"/>
            <w:tcBorders>
              <w:top w:val="nil"/>
              <w:left w:val="nil"/>
              <w:bottom w:val="single" w:color="auto" w:sz="4" w:space="0"/>
              <w:right w:val="single" w:color="auto" w:sz="4" w:space="0"/>
            </w:tcBorders>
            <w:shd w:val="clear" w:color="auto" w:fill="auto"/>
            <w:noWrap/>
            <w:vAlign w:val="center"/>
          </w:tcPr>
          <w:p w14:paraId="62C25788">
            <w:pPr>
              <w:widowControl/>
              <w:jc w:val="center"/>
              <w:rPr>
                <w:rFonts w:ascii="Times New Roman" w:hAnsi="Times New Roman" w:eastAsia="仿宋_GB2312" w:cs="Times New Roman"/>
                <w:kern w:val="0"/>
                <w:sz w:val="22"/>
              </w:rPr>
            </w:pPr>
          </w:p>
        </w:tc>
        <w:tc>
          <w:tcPr>
            <w:tcW w:w="927" w:type="dxa"/>
            <w:tcBorders>
              <w:top w:val="nil"/>
              <w:left w:val="nil"/>
              <w:bottom w:val="single" w:color="auto" w:sz="4" w:space="0"/>
              <w:right w:val="single" w:color="auto" w:sz="4" w:space="0"/>
            </w:tcBorders>
            <w:shd w:val="clear" w:color="auto" w:fill="auto"/>
            <w:noWrap/>
            <w:vAlign w:val="center"/>
          </w:tcPr>
          <w:p w14:paraId="776FD68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0.61</w:t>
            </w:r>
          </w:p>
        </w:tc>
        <w:tc>
          <w:tcPr>
            <w:tcW w:w="1254" w:type="dxa"/>
            <w:tcBorders>
              <w:top w:val="nil"/>
              <w:left w:val="nil"/>
              <w:bottom w:val="single" w:color="auto" w:sz="4" w:space="0"/>
              <w:right w:val="single" w:color="auto" w:sz="4" w:space="0"/>
            </w:tcBorders>
            <w:shd w:val="clear" w:color="auto" w:fill="auto"/>
            <w:noWrap/>
            <w:vAlign w:val="center"/>
          </w:tcPr>
          <w:p w14:paraId="7F88818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0.61</w:t>
            </w:r>
          </w:p>
        </w:tc>
        <w:tc>
          <w:tcPr>
            <w:tcW w:w="1528" w:type="dxa"/>
            <w:tcBorders>
              <w:top w:val="nil"/>
              <w:left w:val="nil"/>
              <w:bottom w:val="single" w:color="auto" w:sz="4" w:space="0"/>
              <w:right w:val="single" w:color="auto" w:sz="4" w:space="0"/>
            </w:tcBorders>
            <w:shd w:val="clear" w:color="auto" w:fill="auto"/>
            <w:noWrap/>
            <w:vAlign w:val="center"/>
          </w:tcPr>
          <w:p w14:paraId="7E2893DB">
            <w:pPr>
              <w:widowControl/>
              <w:jc w:val="center"/>
              <w:rPr>
                <w:rFonts w:ascii="Times New Roman" w:hAnsi="Times New Roman" w:eastAsia="仿宋_GB2312" w:cs="Times New Roman"/>
                <w:kern w:val="0"/>
                <w:sz w:val="22"/>
              </w:rPr>
            </w:pPr>
          </w:p>
        </w:tc>
        <w:tc>
          <w:tcPr>
            <w:tcW w:w="1826" w:type="dxa"/>
            <w:tcBorders>
              <w:top w:val="nil"/>
              <w:left w:val="nil"/>
              <w:bottom w:val="single" w:color="auto" w:sz="4" w:space="0"/>
              <w:right w:val="single" w:color="auto" w:sz="4" w:space="0"/>
            </w:tcBorders>
            <w:shd w:val="clear" w:color="auto" w:fill="auto"/>
            <w:noWrap/>
            <w:vAlign w:val="center"/>
          </w:tcPr>
          <w:p w14:paraId="0F9B0BCA">
            <w:pPr>
              <w:widowControl/>
              <w:jc w:val="center"/>
              <w:rPr>
                <w:rFonts w:ascii="Times New Roman" w:hAnsi="Times New Roman" w:eastAsia="仿宋_GB2312" w:cs="Times New Roman"/>
                <w:kern w:val="0"/>
                <w:sz w:val="22"/>
              </w:rPr>
            </w:pPr>
          </w:p>
        </w:tc>
      </w:tr>
      <w:tr w14:paraId="002C6E06">
        <w:tblPrEx>
          <w:tblCellMar>
            <w:top w:w="0" w:type="dxa"/>
            <w:left w:w="108" w:type="dxa"/>
            <w:bottom w:w="0" w:type="dxa"/>
            <w:right w:w="108" w:type="dxa"/>
          </w:tblCellMar>
        </w:tblPrEx>
        <w:trPr>
          <w:trHeight w:val="265"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6D2B32F">
            <w:pPr>
              <w:widowControl/>
              <w:jc w:val="left"/>
              <w:rPr>
                <w:rFonts w:ascii="Times New Roman" w:hAnsi="Times New Roman" w:eastAsia="仿宋_GB2312" w:cs="Times New Roman"/>
                <w:kern w:val="0"/>
                <w:sz w:val="22"/>
              </w:rPr>
            </w:pPr>
          </w:p>
        </w:tc>
        <w:tc>
          <w:tcPr>
            <w:tcW w:w="478" w:type="dxa"/>
            <w:tcBorders>
              <w:top w:val="nil"/>
              <w:left w:val="nil"/>
              <w:bottom w:val="single" w:color="auto" w:sz="4" w:space="0"/>
              <w:right w:val="single" w:color="auto" w:sz="4" w:space="0"/>
            </w:tcBorders>
            <w:shd w:val="clear" w:color="auto" w:fill="auto"/>
            <w:noWrap/>
            <w:vAlign w:val="center"/>
          </w:tcPr>
          <w:p w14:paraId="14409E81">
            <w:pPr>
              <w:widowControl/>
              <w:jc w:val="center"/>
              <w:rPr>
                <w:rFonts w:ascii="Times New Roman" w:hAnsi="Times New Roman" w:eastAsia="仿宋_GB2312" w:cs="Times New Roman"/>
                <w:kern w:val="0"/>
                <w:sz w:val="22"/>
              </w:rPr>
            </w:pPr>
          </w:p>
        </w:tc>
        <w:tc>
          <w:tcPr>
            <w:tcW w:w="959" w:type="dxa"/>
            <w:tcBorders>
              <w:top w:val="nil"/>
              <w:left w:val="nil"/>
              <w:bottom w:val="single" w:color="auto" w:sz="4" w:space="0"/>
              <w:right w:val="single" w:color="auto" w:sz="4" w:space="0"/>
            </w:tcBorders>
            <w:shd w:val="clear" w:color="auto" w:fill="auto"/>
            <w:noWrap/>
            <w:vAlign w:val="center"/>
          </w:tcPr>
          <w:p w14:paraId="48F3D4EB">
            <w:pPr>
              <w:widowControl/>
              <w:jc w:val="left"/>
              <w:rPr>
                <w:rFonts w:ascii="Times New Roman" w:hAnsi="Times New Roman" w:eastAsia="仿宋_GB2312" w:cs="Times New Roman"/>
                <w:kern w:val="0"/>
                <w:sz w:val="22"/>
              </w:rPr>
            </w:pPr>
          </w:p>
        </w:tc>
        <w:tc>
          <w:tcPr>
            <w:tcW w:w="3232" w:type="dxa"/>
            <w:tcBorders>
              <w:top w:val="nil"/>
              <w:left w:val="nil"/>
              <w:bottom w:val="single" w:color="auto" w:sz="4" w:space="0"/>
              <w:right w:val="single" w:color="auto" w:sz="4" w:space="0"/>
            </w:tcBorders>
            <w:shd w:val="clear" w:color="auto" w:fill="auto"/>
            <w:noWrap/>
            <w:vAlign w:val="center"/>
          </w:tcPr>
          <w:p w14:paraId="0F2C80C6">
            <w:pPr>
              <w:jc w:val="left"/>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Cs w:val="21"/>
              </w:rPr>
              <w:t>十、住房保障支出</w:t>
            </w:r>
          </w:p>
        </w:tc>
        <w:tc>
          <w:tcPr>
            <w:tcW w:w="500" w:type="dxa"/>
            <w:tcBorders>
              <w:top w:val="nil"/>
              <w:left w:val="nil"/>
              <w:bottom w:val="single" w:color="auto" w:sz="4" w:space="0"/>
              <w:right w:val="single" w:color="auto" w:sz="4" w:space="0"/>
            </w:tcBorders>
            <w:shd w:val="clear" w:color="auto" w:fill="auto"/>
            <w:noWrap/>
            <w:vAlign w:val="center"/>
          </w:tcPr>
          <w:p w14:paraId="422EC77E">
            <w:pPr>
              <w:widowControl/>
              <w:jc w:val="center"/>
              <w:rPr>
                <w:rFonts w:ascii="Times New Roman" w:hAnsi="Times New Roman" w:eastAsia="仿宋_GB2312" w:cs="Times New Roman"/>
                <w:kern w:val="0"/>
                <w:sz w:val="22"/>
              </w:rPr>
            </w:pPr>
          </w:p>
        </w:tc>
        <w:tc>
          <w:tcPr>
            <w:tcW w:w="927" w:type="dxa"/>
            <w:tcBorders>
              <w:top w:val="nil"/>
              <w:left w:val="nil"/>
              <w:bottom w:val="single" w:color="auto" w:sz="4" w:space="0"/>
              <w:right w:val="single" w:color="auto" w:sz="4" w:space="0"/>
            </w:tcBorders>
            <w:shd w:val="clear" w:color="auto" w:fill="auto"/>
            <w:noWrap/>
            <w:vAlign w:val="center"/>
          </w:tcPr>
          <w:p w14:paraId="7135E8A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1.19</w:t>
            </w:r>
          </w:p>
        </w:tc>
        <w:tc>
          <w:tcPr>
            <w:tcW w:w="1254" w:type="dxa"/>
            <w:tcBorders>
              <w:top w:val="nil"/>
              <w:left w:val="nil"/>
              <w:bottom w:val="single" w:color="auto" w:sz="4" w:space="0"/>
              <w:right w:val="single" w:color="auto" w:sz="4" w:space="0"/>
            </w:tcBorders>
            <w:shd w:val="clear" w:color="auto" w:fill="auto"/>
            <w:noWrap/>
            <w:vAlign w:val="center"/>
          </w:tcPr>
          <w:p w14:paraId="6FAB34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1.19</w:t>
            </w:r>
          </w:p>
        </w:tc>
        <w:tc>
          <w:tcPr>
            <w:tcW w:w="1528" w:type="dxa"/>
            <w:tcBorders>
              <w:top w:val="nil"/>
              <w:left w:val="nil"/>
              <w:bottom w:val="single" w:color="auto" w:sz="4" w:space="0"/>
              <w:right w:val="single" w:color="auto" w:sz="4" w:space="0"/>
            </w:tcBorders>
            <w:shd w:val="clear" w:color="auto" w:fill="auto"/>
            <w:noWrap/>
            <w:vAlign w:val="center"/>
          </w:tcPr>
          <w:p w14:paraId="3B8D4C17">
            <w:pPr>
              <w:widowControl/>
              <w:jc w:val="center"/>
              <w:rPr>
                <w:rFonts w:ascii="Times New Roman" w:hAnsi="Times New Roman" w:eastAsia="仿宋_GB2312" w:cs="Times New Roman"/>
                <w:kern w:val="0"/>
                <w:sz w:val="22"/>
              </w:rPr>
            </w:pPr>
          </w:p>
        </w:tc>
        <w:tc>
          <w:tcPr>
            <w:tcW w:w="1826" w:type="dxa"/>
            <w:tcBorders>
              <w:top w:val="nil"/>
              <w:left w:val="nil"/>
              <w:bottom w:val="single" w:color="auto" w:sz="4" w:space="0"/>
              <w:right w:val="single" w:color="auto" w:sz="4" w:space="0"/>
            </w:tcBorders>
            <w:shd w:val="clear" w:color="auto" w:fill="auto"/>
            <w:noWrap/>
            <w:vAlign w:val="center"/>
          </w:tcPr>
          <w:p w14:paraId="43AEBEEA">
            <w:pPr>
              <w:widowControl/>
              <w:jc w:val="center"/>
              <w:rPr>
                <w:rFonts w:ascii="Times New Roman" w:hAnsi="Times New Roman" w:eastAsia="仿宋_GB2312" w:cs="Times New Roman"/>
                <w:kern w:val="0"/>
                <w:sz w:val="22"/>
              </w:rPr>
            </w:pPr>
          </w:p>
        </w:tc>
      </w:tr>
      <w:tr w14:paraId="30D22D1A">
        <w:tblPrEx>
          <w:tblCellMar>
            <w:top w:w="0" w:type="dxa"/>
            <w:left w:w="108" w:type="dxa"/>
            <w:bottom w:w="0" w:type="dxa"/>
            <w:right w:w="108" w:type="dxa"/>
          </w:tblCellMar>
        </w:tblPrEx>
        <w:trPr>
          <w:trHeight w:val="501"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60C6C4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78" w:type="dxa"/>
            <w:tcBorders>
              <w:top w:val="nil"/>
              <w:left w:val="nil"/>
              <w:bottom w:val="single" w:color="auto" w:sz="4" w:space="0"/>
              <w:right w:val="single" w:color="auto" w:sz="4" w:space="0"/>
            </w:tcBorders>
            <w:shd w:val="clear" w:color="auto" w:fill="auto"/>
            <w:noWrap/>
            <w:vAlign w:val="center"/>
          </w:tcPr>
          <w:p w14:paraId="65263D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59" w:type="dxa"/>
            <w:tcBorders>
              <w:top w:val="nil"/>
              <w:left w:val="nil"/>
              <w:bottom w:val="single" w:color="auto" w:sz="4" w:space="0"/>
              <w:right w:val="single" w:color="auto" w:sz="4" w:space="0"/>
            </w:tcBorders>
            <w:shd w:val="clear" w:color="auto" w:fill="auto"/>
            <w:noWrap/>
            <w:vAlign w:val="center"/>
          </w:tcPr>
          <w:p w14:paraId="31D5B4E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618.20</w:t>
            </w: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196AD7B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00" w:type="dxa"/>
            <w:tcBorders>
              <w:top w:val="nil"/>
              <w:left w:val="nil"/>
              <w:bottom w:val="single" w:color="auto" w:sz="4" w:space="0"/>
              <w:right w:val="single" w:color="auto" w:sz="4" w:space="0"/>
            </w:tcBorders>
            <w:shd w:val="clear" w:color="auto" w:fill="auto"/>
            <w:noWrap/>
            <w:vAlign w:val="center"/>
          </w:tcPr>
          <w:p w14:paraId="5ED0CF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27" w:type="dxa"/>
            <w:tcBorders>
              <w:top w:val="nil"/>
              <w:left w:val="nil"/>
              <w:bottom w:val="single" w:color="auto" w:sz="4" w:space="0"/>
              <w:right w:val="single" w:color="auto" w:sz="4" w:space="0"/>
            </w:tcBorders>
            <w:shd w:val="clear" w:color="auto" w:fill="auto"/>
            <w:noWrap/>
            <w:vAlign w:val="center"/>
          </w:tcPr>
          <w:p w14:paraId="249753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618.20</w:t>
            </w:r>
          </w:p>
        </w:tc>
        <w:tc>
          <w:tcPr>
            <w:tcW w:w="1254" w:type="dxa"/>
            <w:tcBorders>
              <w:top w:val="nil"/>
              <w:left w:val="nil"/>
              <w:bottom w:val="single" w:color="auto" w:sz="4" w:space="0"/>
              <w:right w:val="single" w:color="auto" w:sz="4" w:space="0"/>
            </w:tcBorders>
            <w:shd w:val="clear" w:color="auto" w:fill="auto"/>
            <w:noWrap/>
            <w:vAlign w:val="center"/>
          </w:tcPr>
          <w:p w14:paraId="696F154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618.20</w:t>
            </w: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62C26F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0F2609D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6288F1C">
        <w:tblPrEx>
          <w:tblCellMar>
            <w:top w:w="0" w:type="dxa"/>
            <w:left w:w="108" w:type="dxa"/>
            <w:bottom w:w="0" w:type="dxa"/>
            <w:right w:w="108" w:type="dxa"/>
          </w:tblCellMar>
        </w:tblPrEx>
        <w:trPr>
          <w:trHeight w:val="293"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3EDCA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78" w:type="dxa"/>
            <w:tcBorders>
              <w:top w:val="nil"/>
              <w:left w:val="nil"/>
              <w:bottom w:val="single" w:color="auto" w:sz="4" w:space="0"/>
              <w:right w:val="single" w:color="auto" w:sz="4" w:space="0"/>
            </w:tcBorders>
            <w:shd w:val="clear" w:color="auto" w:fill="auto"/>
            <w:noWrap/>
            <w:vAlign w:val="center"/>
          </w:tcPr>
          <w:p w14:paraId="61E7A4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59" w:type="dxa"/>
            <w:tcBorders>
              <w:top w:val="nil"/>
              <w:left w:val="nil"/>
              <w:bottom w:val="single" w:color="auto" w:sz="4" w:space="0"/>
              <w:right w:val="single" w:color="auto" w:sz="4" w:space="0"/>
            </w:tcBorders>
            <w:shd w:val="clear" w:color="auto" w:fill="auto"/>
            <w:noWrap/>
            <w:vAlign w:val="center"/>
          </w:tcPr>
          <w:p w14:paraId="729A4B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05CDA4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00" w:type="dxa"/>
            <w:tcBorders>
              <w:top w:val="nil"/>
              <w:left w:val="nil"/>
              <w:bottom w:val="single" w:color="auto" w:sz="4" w:space="0"/>
              <w:right w:val="single" w:color="auto" w:sz="4" w:space="0"/>
            </w:tcBorders>
            <w:shd w:val="clear" w:color="auto" w:fill="auto"/>
            <w:noWrap/>
            <w:vAlign w:val="center"/>
          </w:tcPr>
          <w:p w14:paraId="611039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27" w:type="dxa"/>
            <w:tcBorders>
              <w:top w:val="nil"/>
              <w:left w:val="nil"/>
              <w:bottom w:val="single" w:color="auto" w:sz="4" w:space="0"/>
              <w:right w:val="single" w:color="auto" w:sz="4" w:space="0"/>
            </w:tcBorders>
            <w:shd w:val="clear" w:color="auto" w:fill="auto"/>
            <w:noWrap/>
            <w:vAlign w:val="center"/>
          </w:tcPr>
          <w:p w14:paraId="2F3F1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705579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799C71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0D8729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64F0A5">
        <w:tblPrEx>
          <w:tblCellMar>
            <w:top w:w="0" w:type="dxa"/>
            <w:left w:w="108" w:type="dxa"/>
            <w:bottom w:w="0" w:type="dxa"/>
            <w:right w:w="108" w:type="dxa"/>
          </w:tblCellMar>
        </w:tblPrEx>
        <w:trPr>
          <w:trHeight w:val="244"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516FA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78" w:type="dxa"/>
            <w:tcBorders>
              <w:top w:val="nil"/>
              <w:left w:val="nil"/>
              <w:bottom w:val="single" w:color="auto" w:sz="4" w:space="0"/>
              <w:right w:val="single" w:color="auto" w:sz="4" w:space="0"/>
            </w:tcBorders>
            <w:shd w:val="clear" w:color="auto" w:fill="auto"/>
            <w:noWrap/>
            <w:vAlign w:val="center"/>
          </w:tcPr>
          <w:p w14:paraId="6A95DD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59" w:type="dxa"/>
            <w:tcBorders>
              <w:top w:val="nil"/>
              <w:left w:val="nil"/>
              <w:bottom w:val="single" w:color="auto" w:sz="4" w:space="0"/>
              <w:right w:val="single" w:color="auto" w:sz="4" w:space="0"/>
            </w:tcBorders>
            <w:shd w:val="clear" w:color="auto" w:fill="auto"/>
            <w:noWrap/>
            <w:vAlign w:val="center"/>
          </w:tcPr>
          <w:p w14:paraId="7B277F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6C351E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0B041B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27" w:type="dxa"/>
            <w:tcBorders>
              <w:top w:val="nil"/>
              <w:left w:val="nil"/>
              <w:bottom w:val="single" w:color="auto" w:sz="4" w:space="0"/>
              <w:right w:val="single" w:color="auto" w:sz="4" w:space="0"/>
            </w:tcBorders>
            <w:shd w:val="clear" w:color="auto" w:fill="auto"/>
            <w:noWrap/>
            <w:vAlign w:val="center"/>
          </w:tcPr>
          <w:p w14:paraId="2EA6E5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77075A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477CD9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2C4519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2F0629">
        <w:tblPrEx>
          <w:tblCellMar>
            <w:top w:w="0" w:type="dxa"/>
            <w:left w:w="108" w:type="dxa"/>
            <w:bottom w:w="0" w:type="dxa"/>
            <w:right w:w="108" w:type="dxa"/>
          </w:tblCellMar>
        </w:tblPrEx>
        <w:trPr>
          <w:trHeight w:val="26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FA823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78" w:type="dxa"/>
            <w:tcBorders>
              <w:top w:val="nil"/>
              <w:left w:val="nil"/>
              <w:bottom w:val="single" w:color="auto" w:sz="4" w:space="0"/>
              <w:right w:val="single" w:color="auto" w:sz="4" w:space="0"/>
            </w:tcBorders>
            <w:shd w:val="clear" w:color="auto" w:fill="auto"/>
            <w:noWrap/>
            <w:vAlign w:val="center"/>
          </w:tcPr>
          <w:p w14:paraId="7C7EAE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59" w:type="dxa"/>
            <w:tcBorders>
              <w:top w:val="nil"/>
              <w:left w:val="nil"/>
              <w:bottom w:val="single" w:color="auto" w:sz="4" w:space="0"/>
              <w:right w:val="single" w:color="auto" w:sz="4" w:space="0"/>
            </w:tcBorders>
            <w:shd w:val="clear" w:color="auto" w:fill="auto"/>
            <w:noWrap/>
            <w:vAlign w:val="center"/>
          </w:tcPr>
          <w:p w14:paraId="79B7F08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42AD39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4D98ED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27" w:type="dxa"/>
            <w:tcBorders>
              <w:top w:val="nil"/>
              <w:left w:val="nil"/>
              <w:bottom w:val="single" w:color="auto" w:sz="4" w:space="0"/>
              <w:right w:val="single" w:color="auto" w:sz="4" w:space="0"/>
            </w:tcBorders>
            <w:shd w:val="clear" w:color="auto" w:fill="auto"/>
            <w:noWrap/>
            <w:vAlign w:val="center"/>
          </w:tcPr>
          <w:p w14:paraId="56689B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47FDAE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19CB66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009F97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F0A4C2">
        <w:tblPrEx>
          <w:tblCellMar>
            <w:top w:w="0" w:type="dxa"/>
            <w:left w:w="108" w:type="dxa"/>
            <w:bottom w:w="0" w:type="dxa"/>
            <w:right w:w="108" w:type="dxa"/>
          </w:tblCellMar>
        </w:tblPrEx>
        <w:trPr>
          <w:trHeight w:val="21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2E3CD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78" w:type="dxa"/>
            <w:tcBorders>
              <w:top w:val="nil"/>
              <w:left w:val="nil"/>
              <w:bottom w:val="single" w:color="auto" w:sz="4" w:space="0"/>
              <w:right w:val="single" w:color="auto" w:sz="4" w:space="0"/>
            </w:tcBorders>
            <w:shd w:val="clear" w:color="auto" w:fill="auto"/>
            <w:noWrap/>
            <w:vAlign w:val="center"/>
          </w:tcPr>
          <w:p w14:paraId="6144AD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59" w:type="dxa"/>
            <w:tcBorders>
              <w:top w:val="nil"/>
              <w:left w:val="nil"/>
              <w:bottom w:val="single" w:color="auto" w:sz="4" w:space="0"/>
              <w:right w:val="single" w:color="auto" w:sz="4" w:space="0"/>
            </w:tcBorders>
            <w:shd w:val="clear" w:color="auto" w:fill="auto"/>
            <w:noWrap/>
            <w:vAlign w:val="center"/>
          </w:tcPr>
          <w:p w14:paraId="267319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auto" w:fill="auto"/>
            <w:noWrap/>
            <w:vAlign w:val="center"/>
          </w:tcPr>
          <w:p w14:paraId="382ECC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641174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27" w:type="dxa"/>
            <w:tcBorders>
              <w:top w:val="nil"/>
              <w:left w:val="nil"/>
              <w:bottom w:val="single" w:color="auto" w:sz="4" w:space="0"/>
              <w:right w:val="single" w:color="auto" w:sz="4" w:space="0"/>
            </w:tcBorders>
            <w:shd w:val="clear" w:color="auto" w:fill="auto"/>
            <w:noWrap/>
            <w:vAlign w:val="center"/>
          </w:tcPr>
          <w:p w14:paraId="09F6F9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54" w:type="dxa"/>
            <w:tcBorders>
              <w:top w:val="nil"/>
              <w:left w:val="nil"/>
              <w:bottom w:val="single" w:color="auto" w:sz="4" w:space="0"/>
              <w:right w:val="single" w:color="auto" w:sz="4" w:space="0"/>
            </w:tcBorders>
            <w:shd w:val="clear" w:color="auto" w:fill="auto"/>
            <w:noWrap/>
            <w:vAlign w:val="center"/>
          </w:tcPr>
          <w:p w14:paraId="54CEEA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17CC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23D049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7C917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36C0A02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78" w:type="dxa"/>
            <w:tcBorders>
              <w:top w:val="nil"/>
              <w:left w:val="nil"/>
              <w:bottom w:val="single" w:color="auto" w:sz="4" w:space="0"/>
              <w:right w:val="single" w:color="auto" w:sz="4" w:space="0"/>
            </w:tcBorders>
            <w:shd w:val="clear" w:color="000000" w:fill="FFFFFF"/>
            <w:noWrap/>
            <w:vAlign w:val="center"/>
          </w:tcPr>
          <w:p w14:paraId="58E447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59" w:type="dxa"/>
            <w:tcBorders>
              <w:top w:val="nil"/>
              <w:left w:val="nil"/>
              <w:bottom w:val="single" w:color="auto" w:sz="4" w:space="0"/>
              <w:right w:val="single" w:color="auto" w:sz="4" w:space="0"/>
            </w:tcBorders>
            <w:shd w:val="clear" w:color="auto" w:fill="auto"/>
            <w:noWrap/>
            <w:vAlign w:val="center"/>
          </w:tcPr>
          <w:p w14:paraId="2868DBF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618.20</w:t>
            </w:r>
            <w:r>
              <w:rPr>
                <w:rFonts w:ascii="Times New Roman" w:hAnsi="Times New Roman" w:eastAsia="仿宋_GB2312" w:cs="Times New Roman"/>
                <w:kern w:val="0"/>
                <w:sz w:val="22"/>
              </w:rPr>
              <w:t>　</w:t>
            </w:r>
          </w:p>
        </w:tc>
        <w:tc>
          <w:tcPr>
            <w:tcW w:w="3232" w:type="dxa"/>
            <w:tcBorders>
              <w:top w:val="nil"/>
              <w:left w:val="nil"/>
              <w:bottom w:val="single" w:color="auto" w:sz="4" w:space="0"/>
              <w:right w:val="single" w:color="auto" w:sz="4" w:space="0"/>
            </w:tcBorders>
            <w:shd w:val="clear" w:color="000000" w:fill="FFFFFF"/>
            <w:noWrap/>
            <w:vAlign w:val="center"/>
          </w:tcPr>
          <w:p w14:paraId="0810218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00" w:type="dxa"/>
            <w:tcBorders>
              <w:top w:val="nil"/>
              <w:left w:val="nil"/>
              <w:bottom w:val="single" w:color="auto" w:sz="4" w:space="0"/>
              <w:right w:val="single" w:color="auto" w:sz="4" w:space="0"/>
            </w:tcBorders>
            <w:shd w:val="clear" w:color="000000" w:fill="FFFFFF"/>
            <w:noWrap/>
            <w:vAlign w:val="center"/>
          </w:tcPr>
          <w:p w14:paraId="272BBE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27" w:type="dxa"/>
            <w:tcBorders>
              <w:top w:val="nil"/>
              <w:left w:val="nil"/>
              <w:bottom w:val="single" w:color="auto" w:sz="4" w:space="0"/>
              <w:right w:val="single" w:color="auto" w:sz="4" w:space="0"/>
            </w:tcBorders>
            <w:shd w:val="clear" w:color="000000" w:fill="FFFFFF"/>
            <w:noWrap/>
            <w:vAlign w:val="center"/>
          </w:tcPr>
          <w:p w14:paraId="1116CCDC">
            <w:pPr>
              <w:widowControl/>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618.20</w:t>
            </w:r>
          </w:p>
        </w:tc>
        <w:tc>
          <w:tcPr>
            <w:tcW w:w="1254" w:type="dxa"/>
            <w:tcBorders>
              <w:top w:val="nil"/>
              <w:left w:val="nil"/>
              <w:bottom w:val="single" w:color="auto" w:sz="4" w:space="0"/>
              <w:right w:val="single" w:color="auto" w:sz="4" w:space="0"/>
            </w:tcBorders>
            <w:shd w:val="clear" w:color="000000" w:fill="FFFFFF"/>
            <w:noWrap/>
            <w:vAlign w:val="center"/>
          </w:tcPr>
          <w:p w14:paraId="5EF3943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618.20</w:t>
            </w:r>
            <w:r>
              <w:rPr>
                <w:rFonts w:ascii="Times New Roman" w:hAnsi="Times New Roman" w:eastAsia="仿宋_GB2312" w:cs="Times New Roman"/>
                <w:kern w:val="0"/>
                <w:sz w:val="22"/>
              </w:rPr>
              <w:t>　</w:t>
            </w:r>
          </w:p>
        </w:tc>
        <w:tc>
          <w:tcPr>
            <w:tcW w:w="1528" w:type="dxa"/>
            <w:tcBorders>
              <w:top w:val="nil"/>
              <w:left w:val="nil"/>
              <w:bottom w:val="single" w:color="auto" w:sz="4" w:space="0"/>
              <w:right w:val="single" w:color="auto" w:sz="4" w:space="0"/>
            </w:tcBorders>
            <w:shd w:val="clear" w:color="auto" w:fill="auto"/>
            <w:noWrap/>
            <w:vAlign w:val="center"/>
          </w:tcPr>
          <w:p w14:paraId="6DC3FA7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826" w:type="dxa"/>
            <w:tcBorders>
              <w:top w:val="nil"/>
              <w:left w:val="nil"/>
              <w:bottom w:val="single" w:color="auto" w:sz="4" w:space="0"/>
              <w:right w:val="single" w:color="auto" w:sz="4" w:space="0"/>
            </w:tcBorders>
            <w:shd w:val="clear" w:color="auto" w:fill="auto"/>
            <w:noWrap/>
            <w:vAlign w:val="center"/>
          </w:tcPr>
          <w:p w14:paraId="363E8E8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8ADB57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73607EE">
      <w:pPr>
        <w:widowControl/>
        <w:jc w:val="center"/>
        <w:rPr>
          <w:rFonts w:ascii="Times New Roman" w:hAnsi="Times New Roman" w:eastAsia="方正小标宋_GBK" w:cs="Times New Roman"/>
          <w:kern w:val="0"/>
          <w:sz w:val="36"/>
          <w:szCs w:val="36"/>
        </w:rPr>
      </w:pPr>
    </w:p>
    <w:p w14:paraId="73F1E48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7BD9442">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B7F029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7C2E95A">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540EA7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67A06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4D2A8C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22EEAA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B3A33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F7F0BE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13A87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61F1D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D28CC0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833AA7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1C0F1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694B1D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78EFDE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7E07A2E">
            <w:pPr>
              <w:widowControl/>
              <w:jc w:val="left"/>
              <w:rPr>
                <w:rFonts w:ascii="Times New Roman" w:hAnsi="Times New Roman" w:eastAsia="仿宋_GB2312" w:cs="Times New Roman"/>
                <w:kern w:val="0"/>
                <w:szCs w:val="21"/>
              </w:rPr>
            </w:pPr>
          </w:p>
        </w:tc>
      </w:tr>
      <w:tr w14:paraId="5DEE22D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152278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0DD87D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CB0326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E04503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70F21DC">
            <w:pPr>
              <w:widowControl/>
              <w:jc w:val="left"/>
              <w:rPr>
                <w:rFonts w:ascii="Times New Roman" w:hAnsi="Times New Roman" w:eastAsia="仿宋_GB2312" w:cs="Times New Roman"/>
                <w:kern w:val="0"/>
                <w:szCs w:val="21"/>
              </w:rPr>
            </w:pPr>
          </w:p>
        </w:tc>
      </w:tr>
      <w:tr w14:paraId="7E0A8D4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8196A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BEC9A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D5AC1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60E973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04330A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A7A2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4EA541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618.20</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79B66A3">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571.40</w:t>
            </w:r>
          </w:p>
        </w:tc>
        <w:tc>
          <w:tcPr>
            <w:tcW w:w="3000" w:type="dxa"/>
            <w:tcBorders>
              <w:top w:val="nil"/>
              <w:left w:val="nil"/>
              <w:bottom w:val="single" w:color="auto" w:sz="4" w:space="0"/>
              <w:right w:val="single" w:color="auto" w:sz="8" w:space="0"/>
            </w:tcBorders>
            <w:shd w:val="clear" w:color="auto" w:fill="auto"/>
            <w:vAlign w:val="center"/>
          </w:tcPr>
          <w:p w14:paraId="1DEAC69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46.80</w:t>
            </w:r>
            <w:r>
              <w:rPr>
                <w:rFonts w:ascii="Times New Roman" w:hAnsi="Times New Roman" w:eastAsia="仿宋_GB2312" w:cs="Times New Roman"/>
                <w:kern w:val="0"/>
                <w:szCs w:val="21"/>
              </w:rPr>
              <w:t>　</w:t>
            </w:r>
          </w:p>
        </w:tc>
      </w:tr>
      <w:tr w14:paraId="46251E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A0493CB">
            <w:pPr>
              <w:jc w:val="center"/>
              <w:rPr>
                <w:rFonts w:ascii="Times New Roman" w:hAnsi="Times New Roman" w:eastAsia="仿宋_GB2312" w:cs="Times New Roman"/>
              </w:rPr>
            </w:pPr>
            <w:r>
              <w:rPr>
                <w:rFonts w:hint="eastAsia" w:ascii="Times New Roman" w:hAnsi="Times New Roman" w:eastAsia="仿宋_GB2312" w:cs="Times New Roman"/>
              </w:rPr>
              <w:t>2019999</w:t>
            </w:r>
          </w:p>
        </w:tc>
        <w:tc>
          <w:tcPr>
            <w:tcW w:w="3527" w:type="dxa"/>
            <w:tcBorders>
              <w:top w:val="nil"/>
              <w:left w:val="nil"/>
              <w:bottom w:val="single" w:color="auto" w:sz="4" w:space="0"/>
              <w:right w:val="single" w:color="auto" w:sz="4" w:space="0"/>
            </w:tcBorders>
            <w:shd w:val="clear" w:color="000000" w:fill="FFFFFF"/>
            <w:vAlign w:val="center"/>
          </w:tcPr>
          <w:p w14:paraId="00B37336">
            <w:pPr>
              <w:rPr>
                <w:rFonts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6A180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15.87</w:t>
            </w:r>
          </w:p>
        </w:tc>
        <w:tc>
          <w:tcPr>
            <w:tcW w:w="3492" w:type="dxa"/>
            <w:tcBorders>
              <w:top w:val="nil"/>
              <w:left w:val="nil"/>
              <w:bottom w:val="single" w:color="auto" w:sz="4" w:space="0"/>
              <w:right w:val="single" w:color="auto" w:sz="4" w:space="0"/>
            </w:tcBorders>
            <w:shd w:val="clear" w:color="auto" w:fill="auto"/>
            <w:vAlign w:val="center"/>
          </w:tcPr>
          <w:p w14:paraId="1E8F694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15.87</w:t>
            </w:r>
          </w:p>
        </w:tc>
        <w:tc>
          <w:tcPr>
            <w:tcW w:w="3000" w:type="dxa"/>
            <w:tcBorders>
              <w:top w:val="nil"/>
              <w:left w:val="nil"/>
              <w:bottom w:val="single" w:color="auto" w:sz="4" w:space="0"/>
              <w:right w:val="single" w:color="auto" w:sz="8" w:space="0"/>
            </w:tcBorders>
            <w:shd w:val="clear" w:color="auto" w:fill="auto"/>
            <w:vAlign w:val="center"/>
          </w:tcPr>
          <w:p w14:paraId="0DC885D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C2C2DF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DA1439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2070601</w:t>
            </w:r>
          </w:p>
        </w:tc>
        <w:tc>
          <w:tcPr>
            <w:tcW w:w="3527" w:type="dxa"/>
            <w:tcBorders>
              <w:top w:val="nil"/>
              <w:left w:val="nil"/>
              <w:bottom w:val="single" w:color="auto" w:sz="4" w:space="0"/>
              <w:right w:val="single" w:color="auto" w:sz="4" w:space="0"/>
            </w:tcBorders>
            <w:shd w:val="clear" w:color="000000" w:fill="FFFFFF"/>
            <w:vAlign w:val="center"/>
          </w:tcPr>
          <w:p w14:paraId="3A4782E0">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14:paraId="0EE4A1E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405.60</w:t>
            </w:r>
          </w:p>
        </w:tc>
        <w:tc>
          <w:tcPr>
            <w:tcW w:w="3492" w:type="dxa"/>
            <w:tcBorders>
              <w:top w:val="nil"/>
              <w:left w:val="nil"/>
              <w:bottom w:val="single" w:color="auto" w:sz="4" w:space="0"/>
              <w:right w:val="single" w:color="auto" w:sz="4" w:space="0"/>
            </w:tcBorders>
            <w:shd w:val="clear" w:color="auto" w:fill="auto"/>
            <w:vAlign w:val="center"/>
          </w:tcPr>
          <w:p w14:paraId="561388E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405.60</w:t>
            </w:r>
          </w:p>
        </w:tc>
        <w:tc>
          <w:tcPr>
            <w:tcW w:w="3000" w:type="dxa"/>
            <w:tcBorders>
              <w:top w:val="nil"/>
              <w:left w:val="nil"/>
              <w:bottom w:val="single" w:color="auto" w:sz="4" w:space="0"/>
              <w:right w:val="single" w:color="auto" w:sz="8" w:space="0"/>
            </w:tcBorders>
            <w:shd w:val="clear" w:color="auto" w:fill="auto"/>
            <w:vAlign w:val="center"/>
          </w:tcPr>
          <w:p w14:paraId="0EAAEC5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D907B4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0191D1F">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2070899</w:t>
            </w:r>
          </w:p>
        </w:tc>
        <w:tc>
          <w:tcPr>
            <w:tcW w:w="3527" w:type="dxa"/>
            <w:tcBorders>
              <w:top w:val="nil"/>
              <w:left w:val="nil"/>
              <w:bottom w:val="single" w:color="auto" w:sz="4" w:space="0"/>
              <w:right w:val="single" w:color="auto" w:sz="4" w:space="0"/>
            </w:tcBorders>
            <w:shd w:val="clear" w:color="000000" w:fill="FFFFFF"/>
            <w:vAlign w:val="center"/>
          </w:tcPr>
          <w:p w14:paraId="319D8F65">
            <w:pPr>
              <w:rPr>
                <w:rFonts w:ascii="Times New Roman" w:hAnsi="Times New Roman" w:eastAsia="仿宋_GB2312" w:cs="Times New Roman"/>
                <w:sz w:val="24"/>
                <w:szCs w:val="24"/>
              </w:rPr>
            </w:pPr>
            <w:r>
              <w:rPr>
                <w:rFonts w:hint="eastAsia" w:ascii="Times New Roman" w:hAnsi="Times New Roman" w:eastAsia="仿宋_GB2312" w:cs="Times New Roman"/>
              </w:rPr>
              <w:t>其他广播电视其他</w:t>
            </w:r>
          </w:p>
        </w:tc>
        <w:tc>
          <w:tcPr>
            <w:tcW w:w="3000" w:type="dxa"/>
            <w:tcBorders>
              <w:top w:val="nil"/>
              <w:left w:val="nil"/>
              <w:bottom w:val="single" w:color="auto" w:sz="4" w:space="0"/>
              <w:right w:val="single" w:color="auto" w:sz="4" w:space="0"/>
            </w:tcBorders>
            <w:shd w:val="clear" w:color="auto" w:fill="auto"/>
            <w:vAlign w:val="center"/>
          </w:tcPr>
          <w:p w14:paraId="0F17ED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162.52</w:t>
            </w:r>
          </w:p>
        </w:tc>
        <w:tc>
          <w:tcPr>
            <w:tcW w:w="3492" w:type="dxa"/>
            <w:tcBorders>
              <w:top w:val="nil"/>
              <w:left w:val="nil"/>
              <w:bottom w:val="single" w:color="auto" w:sz="4" w:space="0"/>
              <w:right w:val="single" w:color="auto" w:sz="4" w:space="0"/>
            </w:tcBorders>
            <w:shd w:val="clear" w:color="auto" w:fill="auto"/>
            <w:vAlign w:val="center"/>
          </w:tcPr>
          <w:p w14:paraId="37D32B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146.92</w:t>
            </w:r>
          </w:p>
        </w:tc>
        <w:tc>
          <w:tcPr>
            <w:tcW w:w="3000" w:type="dxa"/>
            <w:tcBorders>
              <w:top w:val="nil"/>
              <w:left w:val="nil"/>
              <w:bottom w:val="single" w:color="auto" w:sz="4" w:space="0"/>
              <w:right w:val="single" w:color="auto" w:sz="8" w:space="0"/>
            </w:tcBorders>
            <w:shd w:val="clear" w:color="auto" w:fill="auto"/>
            <w:vAlign w:val="center"/>
          </w:tcPr>
          <w:p w14:paraId="7F450B8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15.60</w:t>
            </w:r>
          </w:p>
        </w:tc>
      </w:tr>
      <w:tr w14:paraId="183E9B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422ACDC">
            <w:pPr>
              <w:jc w:val="center"/>
              <w:rPr>
                <w:rFonts w:ascii="Times New Roman" w:hAnsi="Times New Roman" w:eastAsia="仿宋_GB2312" w:cs="Times New Roman"/>
              </w:rPr>
            </w:pPr>
            <w:r>
              <w:rPr>
                <w:rFonts w:hint="eastAsia" w:ascii="Times New Roman" w:hAnsi="Times New Roman" w:eastAsia="仿宋_GB2312" w:cs="Times New Roman"/>
              </w:rPr>
              <w:t>2079999</w:t>
            </w:r>
          </w:p>
        </w:tc>
        <w:tc>
          <w:tcPr>
            <w:tcW w:w="3527" w:type="dxa"/>
            <w:tcBorders>
              <w:top w:val="nil"/>
              <w:left w:val="nil"/>
              <w:bottom w:val="single" w:color="auto" w:sz="4" w:space="0"/>
              <w:right w:val="single" w:color="auto" w:sz="4" w:space="0"/>
            </w:tcBorders>
            <w:shd w:val="clear" w:color="000000" w:fill="FFFFFF"/>
            <w:vAlign w:val="center"/>
          </w:tcPr>
          <w:p w14:paraId="1DDF007C">
            <w:pPr>
              <w:rPr>
                <w:rFonts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0BE9475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31.20</w:t>
            </w:r>
          </w:p>
        </w:tc>
        <w:tc>
          <w:tcPr>
            <w:tcW w:w="3492" w:type="dxa"/>
            <w:tcBorders>
              <w:top w:val="nil"/>
              <w:left w:val="nil"/>
              <w:bottom w:val="single" w:color="auto" w:sz="4" w:space="0"/>
              <w:right w:val="single" w:color="auto" w:sz="4" w:space="0"/>
            </w:tcBorders>
            <w:shd w:val="clear" w:color="auto" w:fill="auto"/>
            <w:vAlign w:val="center"/>
          </w:tcPr>
          <w:p w14:paraId="371024B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8456C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31.20</w:t>
            </w:r>
          </w:p>
        </w:tc>
      </w:tr>
      <w:tr w14:paraId="0836AB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7F1F1BC">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000000" w:fill="FFFFFF"/>
            <w:vAlign w:val="center"/>
          </w:tcPr>
          <w:p w14:paraId="181FE501">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机关事业单位基本医疗保险缴费支出</w:t>
            </w:r>
          </w:p>
        </w:tc>
        <w:tc>
          <w:tcPr>
            <w:tcW w:w="3000" w:type="dxa"/>
            <w:tcBorders>
              <w:top w:val="nil"/>
              <w:left w:val="nil"/>
              <w:bottom w:val="single" w:color="auto" w:sz="4" w:space="0"/>
              <w:right w:val="single" w:color="auto" w:sz="4" w:space="0"/>
            </w:tcBorders>
            <w:shd w:val="clear" w:color="auto" w:fill="auto"/>
            <w:vAlign w:val="center"/>
          </w:tcPr>
          <w:p w14:paraId="1B529C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1.21</w:t>
            </w:r>
          </w:p>
        </w:tc>
        <w:tc>
          <w:tcPr>
            <w:tcW w:w="3492" w:type="dxa"/>
            <w:tcBorders>
              <w:top w:val="nil"/>
              <w:left w:val="nil"/>
              <w:bottom w:val="single" w:color="auto" w:sz="4" w:space="0"/>
              <w:right w:val="single" w:color="auto" w:sz="4" w:space="0"/>
            </w:tcBorders>
            <w:shd w:val="clear" w:color="auto" w:fill="auto"/>
            <w:vAlign w:val="center"/>
          </w:tcPr>
          <w:p w14:paraId="4A8131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1.21</w:t>
            </w:r>
          </w:p>
        </w:tc>
        <w:tc>
          <w:tcPr>
            <w:tcW w:w="3000" w:type="dxa"/>
            <w:tcBorders>
              <w:top w:val="nil"/>
              <w:left w:val="nil"/>
              <w:bottom w:val="single" w:color="auto" w:sz="4" w:space="0"/>
              <w:right w:val="single" w:color="auto" w:sz="8" w:space="0"/>
            </w:tcBorders>
            <w:shd w:val="clear" w:color="auto" w:fill="auto"/>
            <w:vAlign w:val="center"/>
          </w:tcPr>
          <w:p w14:paraId="52BB234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6B075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8EFF8DB">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2101102</w:t>
            </w:r>
          </w:p>
        </w:tc>
        <w:tc>
          <w:tcPr>
            <w:tcW w:w="3527" w:type="dxa"/>
            <w:tcBorders>
              <w:top w:val="nil"/>
              <w:left w:val="nil"/>
              <w:bottom w:val="single" w:color="auto" w:sz="4" w:space="0"/>
              <w:right w:val="single" w:color="auto" w:sz="4" w:space="0"/>
            </w:tcBorders>
            <w:shd w:val="clear" w:color="000000" w:fill="FFFFFF"/>
            <w:vAlign w:val="center"/>
          </w:tcPr>
          <w:p w14:paraId="439E9B4D">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3000" w:type="dxa"/>
            <w:tcBorders>
              <w:top w:val="nil"/>
              <w:left w:val="nil"/>
              <w:bottom w:val="single" w:color="auto" w:sz="4" w:space="0"/>
              <w:right w:val="single" w:color="auto" w:sz="4" w:space="0"/>
            </w:tcBorders>
            <w:shd w:val="clear" w:color="auto" w:fill="auto"/>
            <w:vAlign w:val="center"/>
          </w:tcPr>
          <w:p w14:paraId="72A9F9DB">
            <w:pPr>
              <w:widowControl/>
              <w:ind w:firstLine="210" w:firstLineChars="100"/>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0.61</w:t>
            </w:r>
          </w:p>
        </w:tc>
        <w:tc>
          <w:tcPr>
            <w:tcW w:w="3492" w:type="dxa"/>
            <w:tcBorders>
              <w:top w:val="nil"/>
              <w:left w:val="nil"/>
              <w:bottom w:val="single" w:color="auto" w:sz="4" w:space="0"/>
              <w:right w:val="single" w:color="auto" w:sz="4" w:space="0"/>
            </w:tcBorders>
            <w:shd w:val="clear" w:color="auto" w:fill="auto"/>
            <w:vAlign w:val="center"/>
          </w:tcPr>
          <w:p w14:paraId="1E9665A8">
            <w:pPr>
              <w:widowControl/>
              <w:ind w:firstLine="210" w:firstLineChars="100"/>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0.61</w:t>
            </w:r>
          </w:p>
        </w:tc>
        <w:tc>
          <w:tcPr>
            <w:tcW w:w="3000" w:type="dxa"/>
            <w:tcBorders>
              <w:top w:val="nil"/>
              <w:left w:val="nil"/>
              <w:bottom w:val="single" w:color="auto" w:sz="4" w:space="0"/>
              <w:right w:val="single" w:color="auto" w:sz="8" w:space="0"/>
            </w:tcBorders>
            <w:shd w:val="clear" w:color="auto" w:fill="auto"/>
            <w:vAlign w:val="center"/>
          </w:tcPr>
          <w:p w14:paraId="16C2B140">
            <w:pPr>
              <w:widowControl/>
              <w:jc w:val="left"/>
              <w:rPr>
                <w:rFonts w:ascii="Times New Roman" w:hAnsi="Times New Roman" w:eastAsia="仿宋_GB2312" w:cs="Times New Roman"/>
                <w:kern w:val="0"/>
                <w:szCs w:val="21"/>
              </w:rPr>
            </w:pPr>
          </w:p>
        </w:tc>
      </w:tr>
      <w:tr w14:paraId="4CDE9C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992F791">
            <w:pPr>
              <w:jc w:val="center"/>
              <w:rPr>
                <w:rFonts w:ascii="Times New Roman" w:hAnsi="Times New Roman" w:eastAsia="仿宋_GB2312" w:cs="Times New Roman"/>
                <w:szCs w:val="21"/>
              </w:rPr>
            </w:pPr>
            <w:r>
              <w:rPr>
                <w:rFonts w:hint="eastAsia" w:ascii="Times New Roman" w:hAnsi="Times New Roman" w:eastAsia="仿宋_GB2312" w:cs="Times New Roman"/>
                <w:szCs w:val="21"/>
              </w:rPr>
              <w:t>2210201</w:t>
            </w:r>
          </w:p>
        </w:tc>
        <w:tc>
          <w:tcPr>
            <w:tcW w:w="3527" w:type="dxa"/>
            <w:tcBorders>
              <w:top w:val="nil"/>
              <w:left w:val="nil"/>
              <w:bottom w:val="single" w:color="auto" w:sz="8" w:space="0"/>
              <w:right w:val="single" w:color="auto" w:sz="4" w:space="0"/>
            </w:tcBorders>
            <w:shd w:val="clear" w:color="000000" w:fill="FFFFFF"/>
            <w:vAlign w:val="center"/>
          </w:tcPr>
          <w:p w14:paraId="71D009CE">
            <w:pPr>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3000" w:type="dxa"/>
            <w:tcBorders>
              <w:top w:val="nil"/>
              <w:left w:val="nil"/>
              <w:bottom w:val="single" w:color="auto" w:sz="8" w:space="0"/>
              <w:right w:val="single" w:color="auto" w:sz="4" w:space="0"/>
            </w:tcBorders>
            <w:shd w:val="clear" w:color="auto" w:fill="auto"/>
            <w:vAlign w:val="center"/>
          </w:tcPr>
          <w:p w14:paraId="16E775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1.19</w:t>
            </w:r>
          </w:p>
        </w:tc>
        <w:tc>
          <w:tcPr>
            <w:tcW w:w="3492" w:type="dxa"/>
            <w:tcBorders>
              <w:top w:val="nil"/>
              <w:left w:val="nil"/>
              <w:bottom w:val="single" w:color="auto" w:sz="8" w:space="0"/>
              <w:right w:val="single" w:color="auto" w:sz="4" w:space="0"/>
            </w:tcBorders>
            <w:shd w:val="clear" w:color="auto" w:fill="auto"/>
            <w:vAlign w:val="center"/>
          </w:tcPr>
          <w:p w14:paraId="20F4C9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1.19</w:t>
            </w:r>
          </w:p>
        </w:tc>
        <w:tc>
          <w:tcPr>
            <w:tcW w:w="3000" w:type="dxa"/>
            <w:tcBorders>
              <w:top w:val="nil"/>
              <w:left w:val="nil"/>
              <w:bottom w:val="single" w:color="auto" w:sz="8" w:space="0"/>
              <w:right w:val="single" w:color="auto" w:sz="8" w:space="0"/>
            </w:tcBorders>
            <w:shd w:val="clear" w:color="auto" w:fill="auto"/>
            <w:vAlign w:val="center"/>
          </w:tcPr>
          <w:p w14:paraId="0180F1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BBF4B1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57B390B">
      <w:pPr>
        <w:widowControl/>
        <w:jc w:val="left"/>
        <w:rPr>
          <w:rFonts w:ascii="Times New Roman" w:hAnsi="Times New Roman" w:eastAsia="仿宋_GB2312" w:cs="Times New Roman"/>
          <w:bCs/>
          <w:kern w:val="0"/>
          <w:szCs w:val="21"/>
        </w:rPr>
      </w:pPr>
    </w:p>
    <w:p w14:paraId="607C229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4BFEAF3">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674270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BC815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305D6FA">
        <w:tblPrEx>
          <w:tblCellMar>
            <w:top w:w="0" w:type="dxa"/>
            <w:left w:w="108" w:type="dxa"/>
            <w:bottom w:w="0" w:type="dxa"/>
            <w:right w:w="108" w:type="dxa"/>
          </w:tblCellMar>
        </w:tblPrEx>
        <w:trPr>
          <w:trHeight w:val="549"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DF0531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E9C35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CF992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9A2629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B76761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B0AC4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C41D7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C27983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6B7D6F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BB66E7A">
        <w:tblPrEx>
          <w:tblCellMar>
            <w:top w:w="0" w:type="dxa"/>
            <w:left w:w="108" w:type="dxa"/>
            <w:bottom w:w="0" w:type="dxa"/>
            <w:right w:w="108" w:type="dxa"/>
          </w:tblCellMar>
        </w:tblPrEx>
        <w:trPr>
          <w:trHeight w:val="31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5FD8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D6BA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E69820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498.43</w:t>
            </w:r>
          </w:p>
        </w:tc>
        <w:tc>
          <w:tcPr>
            <w:tcW w:w="1116" w:type="dxa"/>
            <w:tcBorders>
              <w:top w:val="nil"/>
              <w:left w:val="nil"/>
              <w:bottom w:val="single" w:color="auto" w:sz="4" w:space="0"/>
              <w:right w:val="single" w:color="auto" w:sz="4" w:space="0"/>
            </w:tcBorders>
            <w:shd w:val="clear" w:color="auto" w:fill="auto"/>
            <w:noWrap/>
            <w:vAlign w:val="center"/>
          </w:tcPr>
          <w:p w14:paraId="31FBC9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85EB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F25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52.05</w:t>
            </w:r>
          </w:p>
        </w:tc>
        <w:tc>
          <w:tcPr>
            <w:tcW w:w="1217" w:type="dxa"/>
            <w:tcBorders>
              <w:top w:val="nil"/>
              <w:left w:val="nil"/>
              <w:bottom w:val="single" w:color="auto" w:sz="4" w:space="0"/>
              <w:right w:val="single" w:color="auto" w:sz="4" w:space="0"/>
            </w:tcBorders>
            <w:shd w:val="clear" w:color="auto" w:fill="auto"/>
            <w:noWrap/>
            <w:vAlign w:val="center"/>
          </w:tcPr>
          <w:p w14:paraId="629B98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B5AEA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16FE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9AF9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DC54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1D2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B70F8B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159.88</w:t>
            </w:r>
          </w:p>
        </w:tc>
        <w:tc>
          <w:tcPr>
            <w:tcW w:w="1116" w:type="dxa"/>
            <w:tcBorders>
              <w:top w:val="nil"/>
              <w:left w:val="nil"/>
              <w:bottom w:val="single" w:color="auto" w:sz="4" w:space="0"/>
              <w:right w:val="single" w:color="auto" w:sz="4" w:space="0"/>
            </w:tcBorders>
            <w:shd w:val="clear" w:color="auto" w:fill="auto"/>
            <w:noWrap/>
            <w:vAlign w:val="center"/>
          </w:tcPr>
          <w:p w14:paraId="6B5BB6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5BCC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704B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2.80</w:t>
            </w:r>
          </w:p>
        </w:tc>
        <w:tc>
          <w:tcPr>
            <w:tcW w:w="1217" w:type="dxa"/>
            <w:tcBorders>
              <w:top w:val="nil"/>
              <w:left w:val="nil"/>
              <w:bottom w:val="single" w:color="auto" w:sz="4" w:space="0"/>
              <w:right w:val="single" w:color="auto" w:sz="4" w:space="0"/>
            </w:tcBorders>
            <w:shd w:val="clear" w:color="auto" w:fill="auto"/>
            <w:noWrap/>
            <w:vAlign w:val="center"/>
          </w:tcPr>
          <w:p w14:paraId="04F7F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25CD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5FF4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0B49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C103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BE32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AA8796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103.09</w:t>
            </w:r>
          </w:p>
        </w:tc>
        <w:tc>
          <w:tcPr>
            <w:tcW w:w="1116" w:type="dxa"/>
            <w:tcBorders>
              <w:top w:val="nil"/>
              <w:left w:val="nil"/>
              <w:bottom w:val="single" w:color="auto" w:sz="4" w:space="0"/>
              <w:right w:val="single" w:color="auto" w:sz="4" w:space="0"/>
            </w:tcBorders>
            <w:shd w:val="clear" w:color="auto" w:fill="auto"/>
            <w:noWrap/>
            <w:vAlign w:val="center"/>
          </w:tcPr>
          <w:p w14:paraId="42497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D35D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64C50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EFF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E1C1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8E6F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4CE2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7E4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73864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FA977E0">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87.72</w:t>
            </w:r>
          </w:p>
        </w:tc>
        <w:tc>
          <w:tcPr>
            <w:tcW w:w="1116" w:type="dxa"/>
            <w:tcBorders>
              <w:top w:val="nil"/>
              <w:left w:val="nil"/>
              <w:bottom w:val="single" w:color="auto" w:sz="4" w:space="0"/>
              <w:right w:val="single" w:color="auto" w:sz="4" w:space="0"/>
            </w:tcBorders>
            <w:shd w:val="clear" w:color="auto" w:fill="auto"/>
            <w:noWrap/>
            <w:vAlign w:val="center"/>
          </w:tcPr>
          <w:p w14:paraId="33AA1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42D2A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5E5B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607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8889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94D0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26AB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896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0287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E7A8938">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5.41</w:t>
            </w:r>
          </w:p>
        </w:tc>
        <w:tc>
          <w:tcPr>
            <w:tcW w:w="1116" w:type="dxa"/>
            <w:tcBorders>
              <w:top w:val="nil"/>
              <w:left w:val="nil"/>
              <w:bottom w:val="single" w:color="auto" w:sz="4" w:space="0"/>
              <w:right w:val="single" w:color="auto" w:sz="4" w:space="0"/>
            </w:tcBorders>
            <w:shd w:val="clear" w:color="auto" w:fill="auto"/>
            <w:noWrap/>
            <w:vAlign w:val="center"/>
          </w:tcPr>
          <w:p w14:paraId="11D4E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EF58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2312D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C2F9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34D9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D9A9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0491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EEA3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4E97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8C17363">
            <w:pPr>
              <w:widowControl/>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C46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3C013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6D30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0.32</w:t>
            </w:r>
          </w:p>
        </w:tc>
        <w:tc>
          <w:tcPr>
            <w:tcW w:w="1217" w:type="dxa"/>
            <w:tcBorders>
              <w:top w:val="nil"/>
              <w:left w:val="nil"/>
              <w:bottom w:val="single" w:color="auto" w:sz="4" w:space="0"/>
              <w:right w:val="single" w:color="auto" w:sz="4" w:space="0"/>
            </w:tcBorders>
            <w:shd w:val="clear" w:color="auto" w:fill="auto"/>
            <w:noWrap/>
            <w:vAlign w:val="center"/>
          </w:tcPr>
          <w:p w14:paraId="38CFD5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16A7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743B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A058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25F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4978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BD60A6C">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56.32</w:t>
            </w:r>
          </w:p>
        </w:tc>
        <w:tc>
          <w:tcPr>
            <w:tcW w:w="1116" w:type="dxa"/>
            <w:tcBorders>
              <w:top w:val="nil"/>
              <w:left w:val="nil"/>
              <w:bottom w:val="single" w:color="auto" w:sz="4" w:space="0"/>
              <w:right w:val="single" w:color="auto" w:sz="4" w:space="0"/>
            </w:tcBorders>
            <w:shd w:val="clear" w:color="auto" w:fill="auto"/>
            <w:noWrap/>
            <w:vAlign w:val="center"/>
          </w:tcPr>
          <w:p w14:paraId="4CF98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9668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579E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0.80</w:t>
            </w:r>
          </w:p>
        </w:tc>
        <w:tc>
          <w:tcPr>
            <w:tcW w:w="1217" w:type="dxa"/>
            <w:tcBorders>
              <w:top w:val="nil"/>
              <w:left w:val="nil"/>
              <w:bottom w:val="single" w:color="auto" w:sz="4" w:space="0"/>
              <w:right w:val="single" w:color="auto" w:sz="4" w:space="0"/>
            </w:tcBorders>
            <w:shd w:val="clear" w:color="auto" w:fill="auto"/>
            <w:noWrap/>
            <w:vAlign w:val="center"/>
          </w:tcPr>
          <w:p w14:paraId="578F0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DB2F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51C1B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9737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D3AA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9812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0D08C19">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10.44</w:t>
            </w:r>
          </w:p>
        </w:tc>
        <w:tc>
          <w:tcPr>
            <w:tcW w:w="1116" w:type="dxa"/>
            <w:tcBorders>
              <w:top w:val="nil"/>
              <w:left w:val="nil"/>
              <w:bottom w:val="single" w:color="auto" w:sz="4" w:space="0"/>
              <w:right w:val="single" w:color="auto" w:sz="4" w:space="0"/>
            </w:tcBorders>
            <w:shd w:val="clear" w:color="auto" w:fill="auto"/>
            <w:noWrap/>
            <w:vAlign w:val="center"/>
          </w:tcPr>
          <w:p w14:paraId="68126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8AC3B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E07D7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0.48</w:t>
            </w:r>
          </w:p>
        </w:tc>
        <w:tc>
          <w:tcPr>
            <w:tcW w:w="1217" w:type="dxa"/>
            <w:tcBorders>
              <w:top w:val="nil"/>
              <w:left w:val="nil"/>
              <w:bottom w:val="single" w:color="auto" w:sz="4" w:space="0"/>
              <w:right w:val="single" w:color="auto" w:sz="4" w:space="0"/>
            </w:tcBorders>
            <w:shd w:val="clear" w:color="auto" w:fill="auto"/>
            <w:noWrap/>
            <w:vAlign w:val="center"/>
          </w:tcPr>
          <w:p w14:paraId="08D991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061A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9BFB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4F90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767F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FD8C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858236A">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22.80</w:t>
            </w:r>
          </w:p>
        </w:tc>
        <w:tc>
          <w:tcPr>
            <w:tcW w:w="1116" w:type="dxa"/>
            <w:tcBorders>
              <w:top w:val="nil"/>
              <w:left w:val="nil"/>
              <w:bottom w:val="single" w:color="auto" w:sz="4" w:space="0"/>
              <w:right w:val="single" w:color="auto" w:sz="4" w:space="0"/>
            </w:tcBorders>
            <w:shd w:val="clear" w:color="auto" w:fill="auto"/>
            <w:noWrap/>
            <w:vAlign w:val="center"/>
          </w:tcPr>
          <w:p w14:paraId="084F02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5776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92CF8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383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08B6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57540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D46A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D52A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2C1B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484BAEA">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E584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3E0B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2C0A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340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76FD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3F27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1D54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821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DC81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CF9178A">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0.21</w:t>
            </w:r>
          </w:p>
        </w:tc>
        <w:tc>
          <w:tcPr>
            <w:tcW w:w="1116" w:type="dxa"/>
            <w:tcBorders>
              <w:top w:val="nil"/>
              <w:left w:val="nil"/>
              <w:bottom w:val="single" w:color="auto" w:sz="4" w:space="0"/>
              <w:right w:val="single" w:color="auto" w:sz="4" w:space="0"/>
            </w:tcBorders>
            <w:shd w:val="clear" w:color="auto" w:fill="auto"/>
            <w:noWrap/>
            <w:vAlign w:val="center"/>
          </w:tcPr>
          <w:p w14:paraId="3AD55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AAEF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BFD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3.20</w:t>
            </w:r>
          </w:p>
        </w:tc>
        <w:tc>
          <w:tcPr>
            <w:tcW w:w="1217" w:type="dxa"/>
            <w:tcBorders>
              <w:top w:val="nil"/>
              <w:left w:val="nil"/>
              <w:bottom w:val="single" w:color="auto" w:sz="4" w:space="0"/>
              <w:right w:val="single" w:color="auto" w:sz="4" w:space="0"/>
            </w:tcBorders>
            <w:shd w:val="clear" w:color="auto" w:fill="auto"/>
            <w:noWrap/>
            <w:vAlign w:val="center"/>
          </w:tcPr>
          <w:p w14:paraId="41596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223D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B60F9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6EAA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E4AC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B35A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6E01383">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52.56</w:t>
            </w:r>
          </w:p>
        </w:tc>
        <w:tc>
          <w:tcPr>
            <w:tcW w:w="1116" w:type="dxa"/>
            <w:tcBorders>
              <w:top w:val="nil"/>
              <w:left w:val="nil"/>
              <w:bottom w:val="single" w:color="auto" w:sz="4" w:space="0"/>
              <w:right w:val="single" w:color="auto" w:sz="4" w:space="0"/>
            </w:tcBorders>
            <w:shd w:val="clear" w:color="auto" w:fill="auto"/>
            <w:noWrap/>
            <w:vAlign w:val="center"/>
          </w:tcPr>
          <w:p w14:paraId="575BC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F23AD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62F0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BD41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48DB3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7661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AC21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E83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4721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BF03C50">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3153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9C48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E2B3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10.07</w:t>
            </w:r>
          </w:p>
        </w:tc>
        <w:tc>
          <w:tcPr>
            <w:tcW w:w="1217" w:type="dxa"/>
            <w:tcBorders>
              <w:top w:val="nil"/>
              <w:left w:val="nil"/>
              <w:bottom w:val="single" w:color="auto" w:sz="4" w:space="0"/>
              <w:right w:val="single" w:color="auto" w:sz="4" w:space="0"/>
            </w:tcBorders>
            <w:shd w:val="clear" w:color="auto" w:fill="auto"/>
            <w:noWrap/>
            <w:vAlign w:val="center"/>
          </w:tcPr>
          <w:p w14:paraId="6AC9D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F97E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84DB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C7B0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971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784FB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B6116D3">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8097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6600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AD4F0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949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B4E4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D2AB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9AD5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EF1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EAE8F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D0CFB7A">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20.92</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CFEA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8563B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CF45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111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7771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B9E9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870D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0DA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132E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23D3C18">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B09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CF9E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B2D8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0.48</w:t>
            </w:r>
          </w:p>
        </w:tc>
        <w:tc>
          <w:tcPr>
            <w:tcW w:w="1217" w:type="dxa"/>
            <w:tcBorders>
              <w:top w:val="nil"/>
              <w:left w:val="nil"/>
              <w:bottom w:val="single" w:color="auto" w:sz="4" w:space="0"/>
              <w:right w:val="single" w:color="auto" w:sz="4" w:space="0"/>
            </w:tcBorders>
            <w:shd w:val="clear" w:color="auto" w:fill="auto"/>
            <w:noWrap/>
            <w:vAlign w:val="center"/>
          </w:tcPr>
          <w:p w14:paraId="4BDBA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8F95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6625D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6944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45A2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D97E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32F3EF5">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1.31</w:t>
            </w:r>
          </w:p>
        </w:tc>
        <w:tc>
          <w:tcPr>
            <w:tcW w:w="1116" w:type="dxa"/>
            <w:tcBorders>
              <w:top w:val="nil"/>
              <w:left w:val="nil"/>
              <w:bottom w:val="single" w:color="auto" w:sz="4" w:space="0"/>
              <w:right w:val="single" w:color="auto" w:sz="4" w:space="0"/>
            </w:tcBorders>
            <w:shd w:val="clear" w:color="auto" w:fill="auto"/>
            <w:noWrap/>
            <w:vAlign w:val="center"/>
          </w:tcPr>
          <w:p w14:paraId="065C0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82236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604D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CC0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03A6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AD11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48D4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81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DC905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E3AE406">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33C7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7BF24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A3D83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C8E1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55D50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23FD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16B46D">
        <w:tblPrEx>
          <w:tblCellMar>
            <w:top w:w="0" w:type="dxa"/>
            <w:left w:w="108" w:type="dxa"/>
            <w:bottom w:w="0" w:type="dxa"/>
            <w:right w:w="108" w:type="dxa"/>
          </w:tblCellMar>
        </w:tblPrEx>
        <w:trPr>
          <w:trHeight w:val="22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8B1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AD49E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14A633F3">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21B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F9F5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5261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D10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32E37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29B0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48E5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B9E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37D0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7898A93">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9EBE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EA6F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E907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8FBF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E127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F20A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C677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1AE6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BB18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86E33E4">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611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7C0D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EE2A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8.00</w:t>
            </w:r>
          </w:p>
        </w:tc>
        <w:tc>
          <w:tcPr>
            <w:tcW w:w="1217" w:type="dxa"/>
            <w:tcBorders>
              <w:top w:val="nil"/>
              <w:left w:val="nil"/>
              <w:bottom w:val="single" w:color="auto" w:sz="4" w:space="0"/>
              <w:right w:val="single" w:color="auto" w:sz="4" w:space="0"/>
            </w:tcBorders>
            <w:shd w:val="clear" w:color="auto" w:fill="auto"/>
            <w:noWrap/>
            <w:vAlign w:val="center"/>
          </w:tcPr>
          <w:p w14:paraId="174A66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314F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7B6B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A2C5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39B1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CAB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85CE740">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F034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D3266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AE75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0BF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F8C2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DEBA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D369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372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A6C0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2A03AB3">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5E5A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45690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201E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13.66</w:t>
            </w:r>
          </w:p>
        </w:tc>
        <w:tc>
          <w:tcPr>
            <w:tcW w:w="1217" w:type="dxa"/>
            <w:tcBorders>
              <w:top w:val="nil"/>
              <w:left w:val="nil"/>
              <w:bottom w:val="single" w:color="auto" w:sz="4" w:space="0"/>
              <w:right w:val="single" w:color="auto" w:sz="4" w:space="0"/>
            </w:tcBorders>
            <w:shd w:val="clear" w:color="auto" w:fill="auto"/>
            <w:noWrap/>
            <w:vAlign w:val="center"/>
          </w:tcPr>
          <w:p w14:paraId="23E30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6751C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D34E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0071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D1E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149AC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438EBAD">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D9C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F938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7311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5.36</w:t>
            </w:r>
          </w:p>
        </w:tc>
        <w:tc>
          <w:tcPr>
            <w:tcW w:w="1217" w:type="dxa"/>
            <w:tcBorders>
              <w:top w:val="nil"/>
              <w:left w:val="nil"/>
              <w:bottom w:val="single" w:color="auto" w:sz="4" w:space="0"/>
              <w:right w:val="single" w:color="auto" w:sz="4" w:space="0"/>
            </w:tcBorders>
            <w:shd w:val="clear" w:color="auto" w:fill="auto"/>
            <w:noWrap/>
            <w:vAlign w:val="center"/>
          </w:tcPr>
          <w:p w14:paraId="5B3975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83C2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AF2D0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902D88C">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00F0F27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F6E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B0D09D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27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FCF9C11">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27242E3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32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E49E09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DE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FEEB86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7EE14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F163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DF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BFB5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9E4BAFB">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CC9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CE85F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B11F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3.10</w:t>
            </w:r>
          </w:p>
        </w:tc>
        <w:tc>
          <w:tcPr>
            <w:tcW w:w="1217" w:type="dxa"/>
            <w:tcBorders>
              <w:top w:val="nil"/>
              <w:left w:val="nil"/>
              <w:bottom w:val="single" w:color="auto" w:sz="4" w:space="0"/>
              <w:right w:val="single" w:color="auto" w:sz="4" w:space="0"/>
            </w:tcBorders>
            <w:shd w:val="clear" w:color="auto" w:fill="auto"/>
            <w:noWrap/>
            <w:vAlign w:val="center"/>
          </w:tcPr>
          <w:p w14:paraId="010210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EF0D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618B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F5FE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8DA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3F7B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B486E12">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6A20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75B3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5EED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1014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6958E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BEA5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C45D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89E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CC41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50B50D6">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19.61</w:t>
            </w:r>
          </w:p>
        </w:tc>
        <w:tc>
          <w:tcPr>
            <w:tcW w:w="1116" w:type="dxa"/>
            <w:tcBorders>
              <w:top w:val="nil"/>
              <w:left w:val="nil"/>
              <w:bottom w:val="single" w:color="auto" w:sz="4" w:space="0"/>
              <w:right w:val="single" w:color="auto" w:sz="4" w:space="0"/>
            </w:tcBorders>
            <w:shd w:val="clear" w:color="auto" w:fill="auto"/>
            <w:noWrap/>
            <w:vAlign w:val="center"/>
          </w:tcPr>
          <w:p w14:paraId="1C849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AE70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C5EE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CB6B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488B96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D336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2690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8AEE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A92F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0265E23">
            <w:pPr>
              <w:widowControl/>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BDB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7A7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A802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0.77</w:t>
            </w:r>
          </w:p>
        </w:tc>
        <w:tc>
          <w:tcPr>
            <w:tcW w:w="1217" w:type="dxa"/>
            <w:tcBorders>
              <w:top w:val="nil"/>
              <w:left w:val="nil"/>
              <w:bottom w:val="single" w:color="auto" w:sz="4" w:space="0"/>
              <w:right w:val="single" w:color="auto" w:sz="4" w:space="0"/>
            </w:tcBorders>
            <w:shd w:val="clear" w:color="auto" w:fill="auto"/>
            <w:noWrap/>
            <w:vAlign w:val="center"/>
          </w:tcPr>
          <w:p w14:paraId="41FF7E4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8CD0B6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1653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DBE384">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C22BBF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E0DCBE9">
            <w:pPr>
              <w:widowControl/>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519.35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C8D43B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99F12D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52.05</w:t>
            </w:r>
          </w:p>
        </w:tc>
      </w:tr>
    </w:tbl>
    <w:p w14:paraId="71443DB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36829B3">
      <w:pPr>
        <w:widowControl/>
        <w:spacing w:line="400" w:lineRule="exact"/>
        <w:jc w:val="center"/>
        <w:textAlignment w:val="center"/>
        <w:rPr>
          <w:rFonts w:ascii="Times New Roman" w:hAnsi="Times New Roman" w:eastAsia="仿宋_GB2312" w:cs="Times New Roman"/>
          <w:color w:val="000000"/>
          <w:kern w:val="0"/>
          <w:sz w:val="32"/>
          <w:szCs w:val="32"/>
        </w:rPr>
      </w:pPr>
    </w:p>
    <w:p w14:paraId="77236DD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BF82CC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19F1A4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737F97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9C9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E9C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E90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E03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AFD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02316C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896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3E9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FCF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78FB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238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A32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11D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E7E53">
            <w:pPr>
              <w:widowControl/>
              <w:jc w:val="center"/>
              <w:rPr>
                <w:rFonts w:ascii="Times New Roman" w:hAnsi="Times New Roman" w:eastAsia="仿宋_GB2312" w:cs="Times New Roman"/>
                <w:color w:val="000000"/>
                <w:sz w:val="24"/>
                <w:szCs w:val="24"/>
              </w:rPr>
            </w:pPr>
          </w:p>
        </w:tc>
      </w:tr>
      <w:tr w14:paraId="43CE6A7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D53B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F1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A202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C58D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2A8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073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156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580D6">
            <w:pPr>
              <w:jc w:val="center"/>
              <w:rPr>
                <w:rFonts w:ascii="Times New Roman" w:hAnsi="Times New Roman" w:eastAsia="仿宋_GB2312" w:cs="Times New Roman"/>
                <w:color w:val="000000"/>
                <w:sz w:val="24"/>
                <w:szCs w:val="24"/>
              </w:rPr>
            </w:pPr>
          </w:p>
        </w:tc>
      </w:tr>
      <w:tr w14:paraId="132EB20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D7B7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CB39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008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595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AB02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287F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7E72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9B0F1">
            <w:pPr>
              <w:jc w:val="center"/>
              <w:rPr>
                <w:rFonts w:ascii="Times New Roman" w:hAnsi="Times New Roman" w:eastAsia="仿宋_GB2312" w:cs="Times New Roman"/>
                <w:color w:val="000000"/>
                <w:sz w:val="24"/>
                <w:szCs w:val="24"/>
              </w:rPr>
            </w:pPr>
          </w:p>
        </w:tc>
      </w:tr>
      <w:tr w14:paraId="17A4027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B9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34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7C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80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6F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89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3B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74E30B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1D9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ED2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2AB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07D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ED9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2FB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965E">
            <w:pPr>
              <w:jc w:val="center"/>
              <w:rPr>
                <w:rFonts w:ascii="Times New Roman" w:hAnsi="Times New Roman" w:eastAsia="仿宋_GB2312" w:cs="Times New Roman"/>
                <w:color w:val="000000"/>
                <w:sz w:val="24"/>
                <w:szCs w:val="24"/>
              </w:rPr>
            </w:pPr>
          </w:p>
        </w:tc>
      </w:tr>
      <w:tr w14:paraId="7604173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AAA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2D2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2AD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A2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1D2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7B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19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54F6">
            <w:pPr>
              <w:rPr>
                <w:rFonts w:ascii="Times New Roman" w:hAnsi="Times New Roman" w:eastAsia="仿宋_GB2312" w:cs="Times New Roman"/>
                <w:color w:val="000000"/>
                <w:sz w:val="24"/>
                <w:szCs w:val="24"/>
              </w:rPr>
            </w:pPr>
          </w:p>
        </w:tc>
      </w:tr>
      <w:tr w14:paraId="14FDE45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084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A3C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DF4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B1C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8F4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F48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5D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8D95">
            <w:pPr>
              <w:rPr>
                <w:rFonts w:ascii="Times New Roman" w:hAnsi="Times New Roman" w:eastAsia="仿宋_GB2312" w:cs="Times New Roman"/>
                <w:color w:val="000000"/>
                <w:sz w:val="24"/>
                <w:szCs w:val="24"/>
              </w:rPr>
            </w:pPr>
          </w:p>
        </w:tc>
      </w:tr>
      <w:tr w14:paraId="78C9523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DD0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F8F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775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14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7DE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7F8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4FE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CCE9">
            <w:pPr>
              <w:rPr>
                <w:rFonts w:ascii="Times New Roman" w:hAnsi="Times New Roman" w:eastAsia="仿宋_GB2312" w:cs="Times New Roman"/>
                <w:color w:val="000000"/>
                <w:sz w:val="24"/>
                <w:szCs w:val="24"/>
              </w:rPr>
            </w:pPr>
          </w:p>
        </w:tc>
      </w:tr>
      <w:tr w14:paraId="4889DB3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9D8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44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567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EF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99F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4BB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89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ADBF">
            <w:pPr>
              <w:rPr>
                <w:rFonts w:ascii="Times New Roman" w:hAnsi="Times New Roman" w:eastAsia="仿宋_GB2312" w:cs="Times New Roman"/>
                <w:color w:val="000000"/>
                <w:sz w:val="24"/>
                <w:szCs w:val="24"/>
              </w:rPr>
            </w:pPr>
          </w:p>
        </w:tc>
      </w:tr>
      <w:tr w14:paraId="6DD96D6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59E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A5E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92C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F1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15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783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88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4D29">
            <w:pPr>
              <w:rPr>
                <w:rFonts w:ascii="Times New Roman" w:hAnsi="Times New Roman" w:eastAsia="仿宋_GB2312" w:cs="Times New Roman"/>
                <w:color w:val="000000"/>
                <w:sz w:val="24"/>
                <w:szCs w:val="24"/>
              </w:rPr>
            </w:pPr>
          </w:p>
        </w:tc>
      </w:tr>
      <w:tr w14:paraId="7DADFD6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AD7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6C6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B91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D9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587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50D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04D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8F1F">
            <w:pPr>
              <w:rPr>
                <w:rFonts w:ascii="Times New Roman" w:hAnsi="Times New Roman" w:eastAsia="仿宋_GB2312" w:cs="Times New Roman"/>
                <w:color w:val="000000"/>
                <w:sz w:val="24"/>
                <w:szCs w:val="24"/>
              </w:rPr>
            </w:pPr>
          </w:p>
        </w:tc>
      </w:tr>
    </w:tbl>
    <w:p w14:paraId="5F58F69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D7450CE">
      <w:pPr>
        <w:widowControl/>
        <w:jc w:val="left"/>
        <w:textAlignment w:val="center"/>
        <w:rPr>
          <w:rFonts w:ascii="Times New Roman" w:hAnsi="Times New Roman" w:eastAsia="仿宋_GB2312" w:cs="Times New Roman"/>
          <w:color w:val="000000"/>
          <w:kern w:val="0"/>
          <w:sz w:val="24"/>
          <w:szCs w:val="24"/>
        </w:rPr>
      </w:pPr>
    </w:p>
    <w:p w14:paraId="417E4941">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6D712C8">
      <w:pPr>
        <w:widowControl/>
        <w:jc w:val="center"/>
        <w:rPr>
          <w:rFonts w:ascii="Times New Roman" w:hAnsi="Times New Roman" w:eastAsia="方正小标宋_GBK" w:cs="Times New Roman"/>
          <w:color w:val="000000"/>
          <w:kern w:val="0"/>
          <w:sz w:val="36"/>
          <w:szCs w:val="36"/>
        </w:rPr>
      </w:pPr>
    </w:p>
    <w:p w14:paraId="3E5D7AA0">
      <w:pPr>
        <w:widowControl/>
        <w:spacing w:line="400" w:lineRule="exact"/>
        <w:textAlignment w:val="center"/>
        <w:rPr>
          <w:rFonts w:ascii="Times New Roman" w:hAnsi="Times New Roman" w:eastAsia="黑体" w:cs="Times New Roman"/>
          <w:color w:val="000000"/>
          <w:kern w:val="0"/>
          <w:sz w:val="36"/>
          <w:szCs w:val="36"/>
        </w:rPr>
      </w:pPr>
    </w:p>
    <w:p w14:paraId="4FFF902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D1443D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0C067F1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A070BE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678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A1F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8D7E85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258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E87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179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C95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152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C465832">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0B8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D1BD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AE87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C947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3A83">
            <w:pPr>
              <w:jc w:val="center"/>
              <w:rPr>
                <w:rFonts w:ascii="Times New Roman" w:hAnsi="Times New Roman" w:eastAsia="仿宋_GB2312" w:cs="Times New Roman"/>
                <w:color w:val="000000"/>
                <w:sz w:val="24"/>
                <w:szCs w:val="24"/>
              </w:rPr>
            </w:pPr>
          </w:p>
        </w:tc>
      </w:tr>
      <w:tr w14:paraId="2D4AC9A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250D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5699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A87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E2E5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48EAA">
            <w:pPr>
              <w:jc w:val="center"/>
              <w:rPr>
                <w:rFonts w:ascii="Times New Roman" w:hAnsi="Times New Roman" w:eastAsia="仿宋_GB2312" w:cs="Times New Roman"/>
                <w:color w:val="000000"/>
                <w:sz w:val="24"/>
                <w:szCs w:val="24"/>
              </w:rPr>
            </w:pPr>
          </w:p>
        </w:tc>
      </w:tr>
      <w:tr w14:paraId="1C4045D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2BC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873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96E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3C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04F4FB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701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73E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0035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0843">
            <w:pPr>
              <w:jc w:val="center"/>
              <w:rPr>
                <w:rFonts w:ascii="Times New Roman" w:hAnsi="Times New Roman" w:eastAsia="仿宋_GB2312" w:cs="Times New Roman"/>
                <w:color w:val="000000"/>
                <w:sz w:val="24"/>
                <w:szCs w:val="24"/>
              </w:rPr>
            </w:pPr>
          </w:p>
        </w:tc>
      </w:tr>
      <w:tr w14:paraId="4587D1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8F62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1D4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4BB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5C6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FA78">
            <w:pPr>
              <w:rPr>
                <w:rFonts w:ascii="Times New Roman" w:hAnsi="Times New Roman" w:eastAsia="仿宋_GB2312" w:cs="Times New Roman"/>
                <w:color w:val="000000"/>
                <w:sz w:val="24"/>
                <w:szCs w:val="24"/>
              </w:rPr>
            </w:pPr>
          </w:p>
        </w:tc>
      </w:tr>
      <w:tr w14:paraId="755E1C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6B1E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8E9A">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86E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48B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F1AE">
            <w:pPr>
              <w:rPr>
                <w:rFonts w:ascii="Times New Roman" w:hAnsi="Times New Roman" w:eastAsia="仿宋_GB2312" w:cs="Times New Roman"/>
                <w:color w:val="000000"/>
                <w:sz w:val="24"/>
                <w:szCs w:val="24"/>
              </w:rPr>
            </w:pPr>
          </w:p>
        </w:tc>
      </w:tr>
      <w:tr w14:paraId="3078431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164A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FB3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5D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D92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51463">
            <w:pPr>
              <w:rPr>
                <w:rFonts w:ascii="Times New Roman" w:hAnsi="Times New Roman" w:eastAsia="宋体" w:cs="Times New Roman"/>
                <w:color w:val="000000"/>
                <w:sz w:val="24"/>
                <w:szCs w:val="24"/>
              </w:rPr>
            </w:pPr>
          </w:p>
        </w:tc>
      </w:tr>
      <w:tr w14:paraId="1793BBF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B5C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D519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D2B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12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41CB">
            <w:pPr>
              <w:rPr>
                <w:rFonts w:ascii="Times New Roman" w:hAnsi="Times New Roman" w:eastAsia="宋体" w:cs="Times New Roman"/>
                <w:color w:val="000000"/>
                <w:sz w:val="24"/>
                <w:szCs w:val="24"/>
              </w:rPr>
            </w:pPr>
          </w:p>
        </w:tc>
      </w:tr>
      <w:tr w14:paraId="7BC0540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18F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B3E5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E2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050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133C">
            <w:pPr>
              <w:rPr>
                <w:rFonts w:ascii="Times New Roman" w:hAnsi="Times New Roman" w:eastAsia="宋体" w:cs="Times New Roman"/>
                <w:color w:val="000000"/>
                <w:sz w:val="24"/>
                <w:szCs w:val="24"/>
              </w:rPr>
            </w:pPr>
          </w:p>
        </w:tc>
      </w:tr>
      <w:tr w14:paraId="767DF1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A02A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FD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AB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32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FD84">
            <w:pPr>
              <w:rPr>
                <w:rFonts w:ascii="Times New Roman" w:hAnsi="Times New Roman" w:eastAsia="宋体" w:cs="Times New Roman"/>
                <w:color w:val="000000"/>
                <w:sz w:val="24"/>
                <w:szCs w:val="24"/>
              </w:rPr>
            </w:pPr>
          </w:p>
        </w:tc>
      </w:tr>
    </w:tbl>
    <w:p w14:paraId="52B5626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CC98320">
      <w:pPr>
        <w:widowControl/>
        <w:jc w:val="left"/>
        <w:textAlignment w:val="center"/>
        <w:rPr>
          <w:rFonts w:ascii="Times New Roman" w:hAnsi="Times New Roman" w:eastAsia="宋体" w:cs="Times New Roman"/>
          <w:color w:val="000000"/>
          <w:kern w:val="0"/>
          <w:sz w:val="24"/>
          <w:szCs w:val="24"/>
        </w:rPr>
      </w:pPr>
    </w:p>
    <w:p w14:paraId="533378C5">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AF6AC5A">
      <w:pPr>
        <w:widowControl/>
        <w:jc w:val="center"/>
        <w:rPr>
          <w:rFonts w:ascii="Times New Roman" w:hAnsi="Times New Roman" w:eastAsia="方正小标宋_GBK" w:cs="Times New Roman"/>
          <w:color w:val="000000"/>
          <w:kern w:val="0"/>
          <w:sz w:val="36"/>
          <w:szCs w:val="36"/>
        </w:rPr>
      </w:pPr>
    </w:p>
    <w:p w14:paraId="40CB9DAF">
      <w:pPr>
        <w:pStyle w:val="9"/>
        <w:spacing w:line="400" w:lineRule="exact"/>
        <w:rPr>
          <w:rFonts w:ascii="Times New Roman" w:hAnsi="Times New Roman" w:eastAsia="华文中宋" w:cs="Times New Roman"/>
          <w:color w:val="000000"/>
          <w:kern w:val="0"/>
          <w:sz w:val="32"/>
          <w:szCs w:val="32"/>
        </w:rPr>
      </w:pPr>
    </w:p>
    <w:p w14:paraId="0E006D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C6A1BA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441367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1A896D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A76F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616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9A1EF6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D84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134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793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848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3C1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B7A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6F6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1BD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692C5D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4647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1EBD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25B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21B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6D9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FB66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032F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72CE7">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80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4F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BE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6EFC">
            <w:pPr>
              <w:jc w:val="center"/>
              <w:rPr>
                <w:rFonts w:ascii="Times New Roman" w:hAnsi="Times New Roman" w:eastAsia="仿宋_GB2312" w:cs="Times New Roman"/>
                <w:color w:val="000000"/>
                <w:sz w:val="22"/>
              </w:rPr>
            </w:pPr>
          </w:p>
        </w:tc>
      </w:tr>
      <w:tr w14:paraId="4295D16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885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681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42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2E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C2C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23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9E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EF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AF8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CB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102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2F8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2A2300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94CA1">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33C4">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D7F5">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633D">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AEBC">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2.56</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DB97">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4CEA0">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7C00">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BA66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C115">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5338">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1598">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r>
    </w:tbl>
    <w:p w14:paraId="3B0F61D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241F7A9">
      <w:pPr>
        <w:autoSpaceDE w:val="0"/>
        <w:autoSpaceDN w:val="0"/>
        <w:adjustRightInd w:val="0"/>
        <w:ind w:left="315" w:leftChars="150"/>
        <w:jc w:val="left"/>
        <w:rPr>
          <w:rFonts w:ascii="Times New Roman" w:hAnsi="Times New Roman" w:eastAsia="宋体" w:cs="Times New Roman"/>
          <w:kern w:val="0"/>
          <w:sz w:val="24"/>
          <w:szCs w:val="24"/>
        </w:rPr>
      </w:pPr>
    </w:p>
    <w:p w14:paraId="2C22CFF7">
      <w:pPr>
        <w:autoSpaceDE w:val="0"/>
        <w:autoSpaceDN w:val="0"/>
        <w:adjustRightInd w:val="0"/>
        <w:ind w:left="315" w:leftChars="150"/>
        <w:jc w:val="left"/>
        <w:rPr>
          <w:rFonts w:ascii="Times New Roman" w:hAnsi="Times New Roman" w:eastAsia="宋体" w:cs="Times New Roman"/>
          <w:kern w:val="0"/>
          <w:sz w:val="24"/>
          <w:szCs w:val="24"/>
        </w:rPr>
      </w:pPr>
    </w:p>
    <w:p w14:paraId="65E8CF7E">
      <w:pPr>
        <w:autoSpaceDE w:val="0"/>
        <w:autoSpaceDN w:val="0"/>
        <w:adjustRightInd w:val="0"/>
        <w:ind w:left="315" w:leftChars="150"/>
        <w:jc w:val="left"/>
        <w:rPr>
          <w:rFonts w:ascii="Times New Roman" w:hAnsi="Times New Roman" w:eastAsia="宋体" w:cs="Times New Roman"/>
          <w:kern w:val="0"/>
          <w:sz w:val="24"/>
          <w:szCs w:val="24"/>
        </w:rPr>
      </w:pPr>
    </w:p>
    <w:p w14:paraId="07AF404E">
      <w:pPr>
        <w:autoSpaceDE w:val="0"/>
        <w:autoSpaceDN w:val="0"/>
        <w:adjustRightInd w:val="0"/>
        <w:ind w:left="315" w:leftChars="150"/>
        <w:jc w:val="left"/>
        <w:rPr>
          <w:rFonts w:ascii="Times New Roman" w:hAnsi="Times New Roman" w:eastAsia="宋体" w:cs="Times New Roman"/>
          <w:kern w:val="0"/>
          <w:sz w:val="24"/>
          <w:szCs w:val="24"/>
        </w:rPr>
      </w:pPr>
    </w:p>
    <w:p w14:paraId="4D9756C2">
      <w:pPr>
        <w:autoSpaceDE w:val="0"/>
        <w:autoSpaceDN w:val="0"/>
        <w:adjustRightInd w:val="0"/>
        <w:ind w:left="315" w:leftChars="150"/>
        <w:jc w:val="left"/>
        <w:rPr>
          <w:rFonts w:ascii="Times New Roman" w:hAnsi="Times New Roman" w:eastAsia="宋体" w:cs="Times New Roman"/>
          <w:kern w:val="0"/>
          <w:sz w:val="24"/>
          <w:szCs w:val="24"/>
        </w:rPr>
      </w:pPr>
    </w:p>
    <w:p w14:paraId="767B1D3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A685D75">
      <w:pPr>
        <w:pStyle w:val="15"/>
        <w:rPr>
          <w:rFonts w:ascii="Times New Roman" w:hAnsi="Times New Roman" w:cs="Times New Roman"/>
          <w:sz w:val="72"/>
          <w:szCs w:val="72"/>
        </w:rPr>
      </w:pPr>
    </w:p>
    <w:p w14:paraId="64159451">
      <w:pPr>
        <w:pStyle w:val="15"/>
        <w:rPr>
          <w:rFonts w:ascii="Times New Roman" w:hAnsi="Times New Roman" w:cs="Times New Roman"/>
          <w:sz w:val="72"/>
          <w:szCs w:val="72"/>
        </w:rPr>
      </w:pPr>
    </w:p>
    <w:p w14:paraId="71DBFF8B">
      <w:pPr>
        <w:pStyle w:val="15"/>
        <w:rPr>
          <w:rFonts w:ascii="Times New Roman" w:hAnsi="Times New Roman" w:cs="Times New Roman"/>
          <w:sz w:val="72"/>
          <w:szCs w:val="72"/>
        </w:rPr>
      </w:pPr>
    </w:p>
    <w:p w14:paraId="2DCF64A3">
      <w:pPr>
        <w:pStyle w:val="15"/>
        <w:jc w:val="center"/>
        <w:rPr>
          <w:rFonts w:ascii="Times New Roman" w:hAnsi="Times New Roman" w:cs="Times New Roman"/>
          <w:sz w:val="72"/>
          <w:szCs w:val="72"/>
        </w:rPr>
      </w:pPr>
    </w:p>
    <w:p w14:paraId="7FD7752E">
      <w:pPr>
        <w:pStyle w:val="15"/>
        <w:jc w:val="center"/>
        <w:rPr>
          <w:rFonts w:ascii="Times New Roman" w:hAnsi="Times New Roman" w:eastAsia="方正小标宋_GBK" w:cs="Times New Roman"/>
          <w:sz w:val="72"/>
          <w:szCs w:val="72"/>
        </w:rPr>
      </w:pPr>
    </w:p>
    <w:p w14:paraId="4029135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F440DD">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B1C4E3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0AE1DB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7DDAA0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650.64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71.39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9.89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人员与</w:t>
      </w:r>
      <w:r>
        <w:rPr>
          <w:rFonts w:hint="eastAsia" w:ascii="仿宋" w:hAnsi="仿宋" w:eastAsia="仿宋" w:cs="仿宋"/>
          <w:color w:val="auto"/>
          <w:sz w:val="32"/>
          <w:szCs w:val="32"/>
        </w:rPr>
        <w:t>专项资金减少</w:t>
      </w:r>
      <w:r>
        <w:rPr>
          <w:rFonts w:hint="eastAsia" w:ascii="Times New Roman" w:hAnsi="Times New Roman" w:eastAsia="仿宋_GB2312" w:cs="Times New Roman"/>
          <w:sz w:val="32"/>
          <w:szCs w:val="32"/>
        </w:rPr>
        <w:t>。</w:t>
      </w:r>
    </w:p>
    <w:p w14:paraId="4885B8F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w:t>
      </w:r>
    </w:p>
    <w:p w14:paraId="6BB1F99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FE8D47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650.64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618.20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95.01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32.44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4.99</w:t>
      </w:r>
      <w:r>
        <w:rPr>
          <w:rFonts w:ascii="Times New Roman" w:hAnsi="Times New Roman" w:eastAsia="仿宋_GB2312" w:cs="Times New Roman"/>
          <w:sz w:val="32"/>
          <w:szCs w:val="32"/>
        </w:rPr>
        <w:t>%。</w:t>
      </w:r>
    </w:p>
    <w:p w14:paraId="76266C4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4EDE21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650.64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582.86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89.58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67.78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10.42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51C7ED0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41C5D9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618.20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75.35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人员与</w:t>
      </w:r>
      <w:r>
        <w:rPr>
          <w:rFonts w:hint="eastAsia" w:ascii="仿宋" w:hAnsi="仿宋" w:eastAsia="仿宋" w:cs="仿宋"/>
          <w:color w:val="auto"/>
          <w:sz w:val="32"/>
          <w:szCs w:val="32"/>
        </w:rPr>
        <w:t>专项项目资金减少</w:t>
      </w:r>
      <w:r>
        <w:rPr>
          <w:rFonts w:hint="eastAsia" w:ascii="Times New Roman" w:hAnsi="Times New Roman" w:eastAsia="仿宋_GB2312" w:cs="Times New Roman"/>
          <w:sz w:val="32"/>
          <w:szCs w:val="32"/>
        </w:rPr>
        <w:t>。</w:t>
      </w:r>
    </w:p>
    <w:p w14:paraId="744A9E3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2EF279E">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9D9CD6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618.20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75.35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人员与</w:t>
      </w:r>
      <w:r>
        <w:rPr>
          <w:rFonts w:hint="eastAsia" w:ascii="仿宋" w:hAnsi="仿宋" w:eastAsia="仿宋" w:cs="仿宋"/>
          <w:color w:val="auto"/>
          <w:sz w:val="32"/>
          <w:szCs w:val="32"/>
        </w:rPr>
        <w:t>专项项目资金减少</w:t>
      </w:r>
      <w:r>
        <w:rPr>
          <w:rFonts w:hint="eastAsia" w:ascii="Times New Roman" w:hAnsi="Times New Roman" w:eastAsia="仿宋_GB2312" w:cs="Times New Roman"/>
          <w:sz w:val="32"/>
          <w:szCs w:val="32"/>
        </w:rPr>
        <w:t>。</w:t>
      </w:r>
    </w:p>
    <w:p w14:paraId="4B0706D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A4A8A4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w:t>
      </w:r>
      <w:r>
        <w:rPr>
          <w:rFonts w:ascii="Times New Roman" w:hAnsi="Times New Roman" w:eastAsia="仿宋_GB2312" w:cs="Times New Roman"/>
          <w:color w:val="auto"/>
          <w:sz w:val="32"/>
          <w:szCs w:val="32"/>
        </w:rPr>
        <w:t>度财政拨款支出</w:t>
      </w:r>
      <w:r>
        <w:rPr>
          <w:rFonts w:hint="eastAsia" w:ascii="Times New Roman" w:hAnsi="Times New Roman" w:eastAsia="仿宋_GB2312" w:cs="Times New Roman"/>
          <w:color w:val="auto"/>
          <w:sz w:val="32"/>
          <w:szCs w:val="32"/>
        </w:rPr>
        <w:t>618.20</w:t>
      </w:r>
      <w:r>
        <w:rPr>
          <w:rFonts w:ascii="Times New Roman" w:hAnsi="Times New Roman" w:eastAsia="仿宋_GB2312" w:cs="Times New Roman"/>
          <w:color w:val="auto"/>
          <w:sz w:val="32"/>
          <w:szCs w:val="32"/>
        </w:rPr>
        <w:t>万元，主要用于以下方面：一般公共服务（类）支出</w:t>
      </w:r>
      <w:r>
        <w:rPr>
          <w:rFonts w:hint="eastAsia" w:ascii="Times New Roman" w:hAnsi="Times New Roman" w:eastAsia="仿宋_GB2312" w:cs="Times New Roman"/>
          <w:color w:val="auto"/>
          <w:sz w:val="32"/>
          <w:szCs w:val="32"/>
        </w:rPr>
        <w:t>15.87</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2.57</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文化旅游体育与传媒</w:t>
      </w:r>
      <w:r>
        <w:rPr>
          <w:rFonts w:ascii="Times New Roman" w:hAnsi="Times New Roman" w:eastAsia="仿宋_GB2312" w:cs="Times New Roman"/>
          <w:color w:val="auto"/>
          <w:sz w:val="32"/>
          <w:szCs w:val="32"/>
        </w:rPr>
        <w:t>（类）支出</w:t>
      </w:r>
      <w:r>
        <w:rPr>
          <w:rFonts w:hint="eastAsia" w:ascii="Times New Roman" w:hAnsi="Times New Roman" w:eastAsia="仿宋_GB2312" w:cs="Times New Roman"/>
          <w:color w:val="auto"/>
          <w:sz w:val="32"/>
          <w:szCs w:val="32"/>
        </w:rPr>
        <w:t>599.32</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96.95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；社会保障和就业</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支出1.21</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0.20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；卫生健康</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支出0.61</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0.10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；住房保障</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支出1.19</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rPr>
        <w:t>0.19</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2F89D24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548AB1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auto"/>
          <w:sz w:val="32"/>
          <w:szCs w:val="32"/>
        </w:rPr>
        <w:t>399.89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618.20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154.59</w:t>
      </w:r>
      <w:r>
        <w:rPr>
          <w:rFonts w:ascii="Times New Roman" w:hAnsi="Times New Roman" w:eastAsia="仿宋_GB2312" w:cs="Times New Roman"/>
          <w:sz w:val="32"/>
          <w:szCs w:val="32"/>
        </w:rPr>
        <w:t>%，其中：</w:t>
      </w:r>
    </w:p>
    <w:p w14:paraId="7FAE2F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1C5D3B31">
      <w:pPr>
        <w:pStyle w:val="15"/>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15.87</w:t>
      </w:r>
      <w:r>
        <w:rPr>
          <w:rFonts w:ascii="Times New Roman" w:hAnsi="Times New Roman" w:eastAsia="仿宋_GB2312" w:cs="Times New Roman"/>
          <w:sz w:val="32"/>
          <w:szCs w:val="32"/>
        </w:rPr>
        <w:t>万元，</w:t>
      </w:r>
      <w:r>
        <w:rPr>
          <w:rFonts w:hint="eastAsia" w:ascii="仿宋" w:hAnsi="仿宋" w:eastAsia="仿宋" w:cs="仿宋"/>
          <w:color w:val="auto"/>
          <w:sz w:val="32"/>
          <w:szCs w:val="32"/>
          <w:shd w:val="clear" w:color="auto" w:fill="FFFFFF"/>
        </w:rPr>
        <w:t>无法计算完成比例</w:t>
      </w:r>
      <w:r>
        <w:rPr>
          <w:rFonts w:ascii="Times New Roman" w:hAnsi="Times New Roman" w:eastAsia="仿宋_GB2312" w:cs="Times New Roman"/>
          <w:sz w:val="32"/>
          <w:szCs w:val="32"/>
        </w:rPr>
        <w:t>，决算数大于年初预算数的</w:t>
      </w:r>
      <w:r>
        <w:rPr>
          <w:rFonts w:hint="eastAsia" w:ascii="仿宋" w:hAnsi="仿宋" w:eastAsia="仿宋" w:cs="仿宋"/>
          <w:color w:val="auto"/>
          <w:sz w:val="32"/>
          <w:szCs w:val="32"/>
        </w:rPr>
        <w:t>因财政下拨款项与年初预算口径不一致。</w:t>
      </w:r>
    </w:p>
    <w:p w14:paraId="72576A5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新闻出版电影</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C63C07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399.89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405.60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color w:val="auto"/>
          <w:sz w:val="32"/>
          <w:szCs w:val="32"/>
        </w:rPr>
        <w:t>101.43</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sz w:val="32"/>
          <w:szCs w:val="32"/>
        </w:rPr>
        <w:t>工资调标增加及相关保险缴费增加。</w:t>
      </w:r>
    </w:p>
    <w:p w14:paraId="060246C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广播电视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其他广播电视支出</w:t>
      </w:r>
      <w:r>
        <w:rPr>
          <w:rFonts w:ascii="Times New Roman" w:hAnsi="Times New Roman" w:eastAsia="仿宋_GB2312" w:cs="Times New Roman"/>
          <w:sz w:val="32"/>
          <w:szCs w:val="32"/>
        </w:rPr>
        <w:t>（项）。</w:t>
      </w:r>
    </w:p>
    <w:p w14:paraId="20C44B1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162.53</w:t>
      </w:r>
      <w:r>
        <w:rPr>
          <w:rFonts w:ascii="Times New Roman" w:hAnsi="Times New Roman" w:eastAsia="仿宋_GB2312" w:cs="Times New Roman"/>
          <w:sz w:val="32"/>
          <w:szCs w:val="32"/>
        </w:rPr>
        <w:t>万元，</w:t>
      </w:r>
      <w:r>
        <w:rPr>
          <w:rFonts w:hint="eastAsia" w:ascii="仿宋" w:hAnsi="仿宋" w:eastAsia="仿宋" w:cs="仿宋"/>
          <w:color w:val="auto"/>
          <w:sz w:val="32"/>
          <w:szCs w:val="32"/>
          <w:shd w:val="clear" w:color="auto" w:fill="FFFFFF"/>
        </w:rPr>
        <w:t>无法计算完成比例</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auto"/>
          <w:sz w:val="32"/>
          <w:szCs w:val="32"/>
        </w:rPr>
        <w:t>主要原因是：</w:t>
      </w:r>
      <w:r>
        <w:rPr>
          <w:rFonts w:hint="eastAsia" w:ascii="仿宋" w:hAnsi="仿宋" w:eastAsia="仿宋" w:cs="仿宋"/>
          <w:color w:val="auto"/>
          <w:sz w:val="32"/>
          <w:szCs w:val="32"/>
        </w:rPr>
        <w:t>争取上级专项项目资金及分流安置人员经费等，因财政下拨款项与年初预算口径不一致。</w:t>
      </w:r>
    </w:p>
    <w:p w14:paraId="0C39282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w:t>
      </w:r>
      <w:r>
        <w:rPr>
          <w:rFonts w:hint="eastAsia" w:ascii="Times New Roman" w:hAnsi="Times New Roman" w:eastAsia="仿宋_GB2312" w:cs="Times New Roman"/>
          <w:sz w:val="32"/>
          <w:szCs w:val="32"/>
          <w:lang w:eastAsia="zh-CN"/>
        </w:rPr>
        <w:t>传媒</w:t>
      </w:r>
      <w:r>
        <w:rPr>
          <w:rFonts w:ascii="Times New Roman" w:hAnsi="Times New Roman" w:eastAsia="仿宋_GB2312" w:cs="Times New Roman"/>
          <w:sz w:val="32"/>
          <w:szCs w:val="32"/>
        </w:rPr>
        <w:t>（项）。</w:t>
      </w:r>
    </w:p>
    <w:p w14:paraId="64D4938D">
      <w:pPr>
        <w:pStyle w:val="15"/>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31.20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无法计算比例</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auto"/>
          <w:sz w:val="32"/>
          <w:szCs w:val="32"/>
        </w:rPr>
        <w:t>主要原因是：</w:t>
      </w:r>
      <w:r>
        <w:rPr>
          <w:rFonts w:hint="eastAsia" w:ascii="仿宋" w:hAnsi="仿宋" w:eastAsia="仿宋" w:cs="仿宋"/>
          <w:color w:val="auto"/>
          <w:sz w:val="32"/>
          <w:szCs w:val="32"/>
        </w:rPr>
        <w:t>争取上级专项项目资金，因财政下拨款项与年初预算口径不一致。</w:t>
      </w:r>
    </w:p>
    <w:p w14:paraId="22736E0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255E0330">
      <w:pPr>
        <w:pStyle w:val="15"/>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1.21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无法计算比例</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rPr>
        <w:t>因财政下拨款项与年初预算口径不一致。</w:t>
      </w:r>
    </w:p>
    <w:p w14:paraId="0CA27D5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0A0655C9">
      <w:pPr>
        <w:pStyle w:val="15"/>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无法计算比例</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rPr>
        <w:t>因财政下拨款项与年初预算口径不一致。</w:t>
      </w:r>
    </w:p>
    <w:p w14:paraId="150F6FB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7DE3B9D">
      <w:pPr>
        <w:pStyle w:val="15"/>
        <w:overflowPunct w:val="0"/>
        <w:autoSpaceDE/>
        <w:autoSpaceDN/>
        <w:spacing w:line="600" w:lineRule="exact"/>
        <w:ind w:firstLine="640" w:firstLineChars="200"/>
        <w:jc w:val="both"/>
        <w:rPr>
          <w:rFonts w:hint="eastAsia" w:ascii="仿宋" w:hAnsi="仿宋" w:eastAsia="仿宋" w:cs="仿宋"/>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1.19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无法计算比例</w:t>
      </w:r>
      <w:r>
        <w:rPr>
          <w:rFonts w:ascii="Times New Roman" w:hAnsi="Times New Roman" w:eastAsia="仿宋_GB2312" w:cs="Times New Roman"/>
          <w:sz w:val="32"/>
          <w:szCs w:val="32"/>
        </w:rPr>
        <w:t>，决算数大于年初预算数的主要原因是</w:t>
      </w:r>
      <w:r>
        <w:rPr>
          <w:rFonts w:ascii="Times New Roman" w:hAnsi="Times New Roman" w:eastAsia="仿宋_GB2312" w:cs="Times New Roman"/>
          <w:color w:val="auto"/>
          <w:sz w:val="32"/>
          <w:szCs w:val="32"/>
        </w:rPr>
        <w:t>：</w:t>
      </w:r>
      <w:r>
        <w:rPr>
          <w:rFonts w:hint="eastAsia" w:ascii="仿宋" w:hAnsi="仿宋" w:eastAsia="仿宋" w:cs="仿宋"/>
          <w:color w:val="auto"/>
          <w:sz w:val="32"/>
          <w:szCs w:val="32"/>
        </w:rPr>
        <w:t>因财政下拨款项与年初预算口径不一致。</w:t>
      </w:r>
    </w:p>
    <w:p w14:paraId="6D22A7B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按照支出功能分类，文化旅游体育与传媒支出（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新闻出版电影</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行政运行</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广播电视</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其他广播电视支出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其他文化旅游体育与传媒支出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其他文化旅游体育与</w:t>
      </w:r>
      <w:r>
        <w:rPr>
          <w:rFonts w:hint="eastAsia" w:ascii="Times New Roman" w:hAnsi="Times New Roman" w:eastAsia="仿宋_GB2312" w:cs="Times New Roman"/>
          <w:color w:val="auto"/>
          <w:sz w:val="32"/>
          <w:szCs w:val="32"/>
          <w:lang w:eastAsia="zh-CN"/>
        </w:rPr>
        <w:t>传媒</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rPr>
        <w:t>方面的支出规模占财政拨款支出总额的比重较高，主要是：文化旅游体育与传媒支出（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新闻出版电影</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行政运行</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405.60</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65.61</w:t>
      </w:r>
      <w:r>
        <w:rPr>
          <w:rFonts w:hint="eastAsia" w:ascii="Times New Roman" w:hAnsi="Times New Roman" w:eastAsia="仿宋_GB2312" w:cs="Times New Roman"/>
          <w:color w:val="auto"/>
          <w:sz w:val="32"/>
          <w:szCs w:val="32"/>
        </w:rPr>
        <w:t>%，主要用于工资及相关保险缴费等方面</w:t>
      </w:r>
      <w:r>
        <w:rPr>
          <w:rFonts w:ascii="Times New Roman" w:hAnsi="Times New Roman" w:eastAsia="仿宋_GB2312" w:cs="Times New Roman"/>
          <w:color w:val="auto"/>
          <w:sz w:val="32"/>
          <w:szCs w:val="32"/>
        </w:rPr>
        <w:t>。</w:t>
      </w:r>
    </w:p>
    <w:p w14:paraId="7309AFF8">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广播电视</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其他广播电视支出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rPr>
        <w:t>，2025年度决算数为162.53万元，占财政拨款支出总额的</w:t>
      </w:r>
      <w:r>
        <w:rPr>
          <w:rFonts w:hint="eastAsia" w:ascii="Times New Roman" w:hAnsi="Times New Roman" w:eastAsia="仿宋_GB2312" w:cs="Times New Roman"/>
          <w:color w:val="auto"/>
          <w:sz w:val="32"/>
          <w:szCs w:val="32"/>
          <w:lang w:val="en-US" w:eastAsia="zh-CN"/>
        </w:rPr>
        <w:t>26.29</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无线覆盖</w:t>
      </w:r>
      <w:r>
        <w:rPr>
          <w:rFonts w:hint="eastAsia" w:ascii="Times New Roman" w:hAnsi="Times New Roman" w:eastAsia="仿宋_GB2312" w:cs="Times New Roman"/>
          <w:color w:val="auto"/>
          <w:sz w:val="32"/>
          <w:szCs w:val="32"/>
        </w:rPr>
        <w:t>项目建设、</w:t>
      </w:r>
      <w:r>
        <w:rPr>
          <w:rFonts w:hint="eastAsia" w:ascii="Times New Roman" w:hAnsi="Times New Roman" w:eastAsia="仿宋_GB2312" w:cs="Times New Roman"/>
          <w:color w:val="auto"/>
          <w:sz w:val="32"/>
          <w:szCs w:val="32"/>
          <w:lang w:eastAsia="zh-CN"/>
        </w:rPr>
        <w:t>及</w:t>
      </w:r>
      <w:r>
        <w:rPr>
          <w:rFonts w:hint="eastAsia" w:ascii="仿宋" w:hAnsi="仿宋" w:eastAsia="仿宋" w:cs="仿宋"/>
          <w:color w:val="auto"/>
          <w:sz w:val="32"/>
          <w:szCs w:val="32"/>
        </w:rPr>
        <w:t>分流安置人员经费</w:t>
      </w:r>
      <w:r>
        <w:rPr>
          <w:rFonts w:hint="eastAsia" w:ascii="Times New Roman" w:hAnsi="Times New Roman" w:eastAsia="仿宋_GB2312" w:cs="Times New Roman"/>
          <w:color w:val="auto"/>
          <w:sz w:val="32"/>
          <w:szCs w:val="32"/>
        </w:rPr>
        <w:t>等方面</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其他文化旅游体育与传媒支出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其他文化旅游体育与</w:t>
      </w:r>
      <w:r>
        <w:rPr>
          <w:rFonts w:hint="eastAsia" w:ascii="Times New Roman" w:hAnsi="Times New Roman" w:eastAsia="仿宋_GB2312" w:cs="Times New Roman"/>
          <w:color w:val="auto"/>
          <w:sz w:val="32"/>
          <w:szCs w:val="32"/>
          <w:lang w:eastAsia="zh-CN"/>
        </w:rPr>
        <w:t>传媒</w:t>
      </w:r>
      <w:r>
        <w:rPr>
          <w:rFonts w:ascii="Times New Roman" w:hAnsi="Times New Roman" w:eastAsia="仿宋_GB2312" w:cs="Times New Roman"/>
          <w:color w:val="auto"/>
          <w:sz w:val="32"/>
          <w:szCs w:val="32"/>
        </w:rPr>
        <w:t>（项）</w:t>
      </w:r>
      <w:r>
        <w:rPr>
          <w:rFonts w:hint="eastAsia" w:ascii="Times New Roman" w:hAnsi="Times New Roman" w:eastAsia="楷体_GB2312" w:cs="Times New Roman"/>
          <w:b/>
          <w:bCs/>
          <w:i/>
          <w:color w:val="auto"/>
          <w:sz w:val="32"/>
          <w:szCs w:val="32"/>
          <w:lang w:eastAsia="zh-CN"/>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31.20</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5.05</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无线覆盖</w:t>
      </w:r>
      <w:r>
        <w:rPr>
          <w:rFonts w:hint="eastAsia" w:ascii="Times New Roman" w:hAnsi="Times New Roman" w:eastAsia="仿宋_GB2312" w:cs="Times New Roman"/>
          <w:color w:val="auto"/>
          <w:sz w:val="32"/>
          <w:szCs w:val="32"/>
        </w:rPr>
        <w:t>项目建设方面</w:t>
      </w:r>
      <w:r>
        <w:rPr>
          <w:rFonts w:hint="eastAsia" w:ascii="Times New Roman" w:hAnsi="Times New Roman" w:eastAsia="仿宋_GB2312" w:cs="Times New Roman"/>
          <w:color w:val="auto"/>
          <w:sz w:val="32"/>
          <w:szCs w:val="32"/>
          <w:lang w:eastAsia="zh-CN"/>
        </w:rPr>
        <w:t>支出。</w:t>
      </w:r>
    </w:p>
    <w:p w14:paraId="734CA4B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DED9E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571.40</w:t>
      </w:r>
      <w:r>
        <w:rPr>
          <w:rFonts w:ascii="Times New Roman" w:hAnsi="Times New Roman" w:eastAsia="仿宋_GB2312" w:cs="Times New Roman"/>
          <w:sz w:val="32"/>
          <w:szCs w:val="32"/>
        </w:rPr>
        <w:t>万元，其中：</w:t>
      </w:r>
    </w:p>
    <w:p w14:paraId="13C35F7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519.35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90.89</w:t>
      </w:r>
      <w:r>
        <w:rPr>
          <w:rFonts w:ascii="Times New Roman" w:hAnsi="Times New Roman" w:eastAsia="仿宋_GB2312" w:cs="Times New Roman"/>
          <w:sz w:val="32"/>
          <w:szCs w:val="32"/>
        </w:rPr>
        <w:t>%,主要包括基本工资、津贴补贴、奖金、伙食补助</w:t>
      </w:r>
      <w:r>
        <w:rPr>
          <w:rFonts w:hint="eastAsia" w:ascii="Times New Roman" w:hAnsi="Times New Roman" w:eastAsia="仿宋_GB2312" w:cs="Times New Roman"/>
          <w:sz w:val="32"/>
          <w:szCs w:val="32"/>
        </w:rPr>
        <w:t>、机关事业单位基本养老保险缴费、职业年金、职工基本医疗保险缴费、其他社会保障缴费、住房公积金、退休费、其他对个人和家庭的补助等费用</w:t>
      </w:r>
      <w:r>
        <w:rPr>
          <w:rFonts w:ascii="Times New Roman" w:hAnsi="Times New Roman" w:eastAsia="仿宋_GB2312" w:cs="Times New Roman"/>
          <w:sz w:val="32"/>
          <w:szCs w:val="32"/>
        </w:rPr>
        <w:t>。</w:t>
      </w:r>
    </w:p>
    <w:p w14:paraId="3FCC085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52.05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9.11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邮电费、差旅费、维修（护）</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、培训费、劳务费、工会经费、福利费、公务用车运行维护费、其他商品和服务支出等费用</w:t>
      </w:r>
      <w:r>
        <w:rPr>
          <w:rFonts w:ascii="Times New Roman" w:hAnsi="Times New Roman" w:eastAsia="仿宋_GB2312" w:cs="Times New Roman"/>
          <w:sz w:val="32"/>
          <w:szCs w:val="32"/>
        </w:rPr>
        <w:t>。</w:t>
      </w:r>
    </w:p>
    <w:p w14:paraId="4E821446">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EA955A0">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FD48F4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3.01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0.18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6.36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rPr>
        <w:t>严格按照年初预算数执行</w:t>
      </w:r>
      <w:r>
        <w:rPr>
          <w:rFonts w:ascii="Times New Roman" w:hAnsi="Times New Roman" w:eastAsia="仿宋_GB2312" w:cs="Times New Roman"/>
          <w:sz w:val="32"/>
          <w:szCs w:val="32"/>
        </w:rPr>
        <w:t>。决算数大于上年数的主要原因是</w:t>
      </w:r>
      <w:r>
        <w:rPr>
          <w:rFonts w:hint="eastAsia" w:ascii="仿宋" w:hAnsi="仿宋" w:eastAsia="仿宋" w:cs="仿宋"/>
          <w:color w:val="auto"/>
          <w:sz w:val="32"/>
          <w:szCs w:val="32"/>
        </w:rPr>
        <w:t>车辆老化维修费用增加</w:t>
      </w:r>
      <w:r>
        <w:rPr>
          <w:rFonts w:ascii="Times New Roman" w:hAnsi="Times New Roman" w:eastAsia="仿宋_GB2312" w:cs="Times New Roman"/>
          <w:sz w:val="32"/>
          <w:szCs w:val="32"/>
        </w:rPr>
        <w:t>。</w:t>
      </w:r>
    </w:p>
    <w:p w14:paraId="6780BBB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84C494C">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2025年度未发生</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rPr>
        <w:t>用。2025年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hint="eastAsia" w:ascii="Times New Roman" w:hAnsi="Times New Roman" w:eastAsia="仿宋_GB2312" w:cs="Times New Roman"/>
          <w:sz w:val="32"/>
          <w:szCs w:val="32"/>
        </w:rPr>
        <w:t>2025年度未发生</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rPr>
        <w:t>用。</w:t>
      </w:r>
    </w:p>
    <w:p w14:paraId="7E2143A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2.56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117.58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0.31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11.48</w:t>
      </w:r>
      <w:r>
        <w:rPr>
          <w:rFonts w:ascii="Times New Roman" w:hAnsi="Times New Roman" w:eastAsia="仿宋_GB2312" w:cs="Times New Roman"/>
          <w:sz w:val="32"/>
          <w:szCs w:val="32"/>
        </w:rPr>
        <w:t>%。其中：</w:t>
      </w:r>
    </w:p>
    <w:p w14:paraId="6C49983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持平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2025年度未发生</w:t>
      </w:r>
      <w:r>
        <w:rPr>
          <w:rFonts w:ascii="Times New Roman" w:hAnsi="Times New Roman" w:eastAsia="仿宋_GB2312" w:cs="Times New Roman"/>
          <w:sz w:val="32"/>
          <w:szCs w:val="32"/>
        </w:rPr>
        <w:t>公务用车购置费</w:t>
      </w:r>
      <w:r>
        <w:rPr>
          <w:rFonts w:hint="eastAsia" w:ascii="Times New Roman" w:hAnsi="Times New Roman" w:eastAsia="仿宋_GB2312" w:cs="Times New Roman"/>
          <w:sz w:val="32"/>
          <w:szCs w:val="32"/>
        </w:rPr>
        <w:t>用</w:t>
      </w:r>
      <w:r>
        <w:rPr>
          <w:rFonts w:ascii="Times New Roman" w:hAnsi="Times New Roman" w:eastAsia="仿宋_GB2312" w:cs="Times New Roman"/>
          <w:sz w:val="32"/>
          <w:szCs w:val="32"/>
        </w:rPr>
        <w:t>。</w:t>
      </w:r>
    </w:p>
    <w:p w14:paraId="19CD0F9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2.56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3.01</w:t>
      </w:r>
      <w:r>
        <w:rPr>
          <w:rFonts w:ascii="Times New Roman" w:hAnsi="Times New Roman" w:eastAsia="仿宋_GB2312" w:cs="Times New Roman"/>
          <w:sz w:val="32"/>
          <w:szCs w:val="32"/>
        </w:rPr>
        <w:t>万元，</w:t>
      </w:r>
    </w:p>
    <w:p w14:paraId="40AEE6C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rPr>
        <w:t>公务用车日常运行的油料、保险、维修维护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117.58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0.31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11.48</w:t>
      </w:r>
      <w:r>
        <w:rPr>
          <w:rFonts w:ascii="Times New Roman" w:hAnsi="Times New Roman" w:eastAsia="仿宋_GB2312" w:cs="Times New Roman"/>
          <w:sz w:val="32"/>
          <w:szCs w:val="32"/>
        </w:rPr>
        <w:t>%。决算数大于预算数的主要原因是</w:t>
      </w:r>
      <w:r>
        <w:rPr>
          <w:rFonts w:hint="eastAsia" w:ascii="仿宋" w:hAnsi="仿宋" w:eastAsia="仿宋" w:cs="仿宋"/>
          <w:color w:val="auto"/>
          <w:sz w:val="32"/>
          <w:szCs w:val="32"/>
        </w:rPr>
        <w:t>车辆老化维修费用增加</w:t>
      </w:r>
      <w:r>
        <w:rPr>
          <w:rFonts w:ascii="Times New Roman" w:hAnsi="Times New Roman" w:eastAsia="仿宋_GB2312" w:cs="Times New Roman"/>
          <w:sz w:val="32"/>
          <w:szCs w:val="32"/>
        </w:rPr>
        <w:t>。决算数大于上年数的主要原因是</w:t>
      </w:r>
      <w:r>
        <w:rPr>
          <w:rFonts w:hint="eastAsia" w:ascii="仿宋" w:hAnsi="仿宋" w:eastAsia="仿宋" w:cs="仿宋"/>
          <w:color w:val="auto"/>
          <w:sz w:val="32"/>
          <w:szCs w:val="32"/>
        </w:rPr>
        <w:t>车辆老化维修费用增加</w:t>
      </w:r>
      <w:r>
        <w:rPr>
          <w:rFonts w:ascii="Times New Roman" w:hAnsi="Times New Roman" w:eastAsia="仿宋_GB2312" w:cs="Times New Roman"/>
          <w:sz w:val="32"/>
          <w:szCs w:val="32"/>
        </w:rPr>
        <w:t>。</w:t>
      </w:r>
    </w:p>
    <w:p w14:paraId="208D2952">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val="en-US"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14:paraId="4B01AB5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0.13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厉行节约，压减支出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厉行节约，压减支出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rPr>
        <w:t>，2025年度未</w:t>
      </w:r>
      <w:r>
        <w:rPr>
          <w:rFonts w:ascii="Times New Roman" w:hAnsi="Times New Roman" w:eastAsia="仿宋_GB2312" w:cs="Times New Roman"/>
          <w:sz w:val="32"/>
          <w:szCs w:val="32"/>
        </w:rPr>
        <w:t>发生公务接待</w:t>
      </w:r>
      <w:r>
        <w:rPr>
          <w:rFonts w:hint="eastAsia" w:ascii="Times New Roman" w:hAnsi="Times New Roman" w:eastAsia="仿宋_GB2312" w:cs="Times New Roman"/>
          <w:sz w:val="32"/>
          <w:szCs w:val="32"/>
        </w:rPr>
        <w:t>费用</w:t>
      </w:r>
      <w:r>
        <w:rPr>
          <w:rFonts w:ascii="Times New Roman" w:hAnsi="Times New Roman" w:eastAsia="仿宋_GB2312" w:cs="Times New Roman"/>
          <w:sz w:val="32"/>
          <w:szCs w:val="32"/>
        </w:rPr>
        <w:t>支出。</w:t>
      </w:r>
    </w:p>
    <w:p w14:paraId="0AE640B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3A9F8CB">
      <w:pPr>
        <w:pStyle w:val="10"/>
        <w:spacing w:line="520" w:lineRule="atLeast"/>
        <w:ind w:firstLine="627"/>
        <w:rPr>
          <w:rFonts w:ascii="仿宋" w:hAnsi="仿宋" w:eastAsia="仿宋" w:cs="仿宋"/>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仿宋" w:hAnsi="仿宋" w:eastAsia="仿宋" w:cs="仿宋"/>
          <w:sz w:val="32"/>
          <w:szCs w:val="32"/>
        </w:rPr>
        <w:t>本单位无政府性基金收支。</w:t>
      </w:r>
    </w:p>
    <w:p w14:paraId="2AA29CC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C5C8B27">
      <w:pPr>
        <w:pStyle w:val="15"/>
        <w:overflowPunct w:val="0"/>
        <w:autoSpaceDE/>
        <w:autoSpaceDN/>
        <w:spacing w:line="600" w:lineRule="exact"/>
        <w:ind w:firstLine="640" w:firstLineChars="200"/>
        <w:jc w:val="both"/>
        <w:rPr>
          <w:rFonts w:ascii="仿宋" w:hAnsi="仿宋" w:eastAsia="仿宋" w:cs="仿宋"/>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仿宋" w:hAnsi="仿宋" w:eastAsia="仿宋" w:cs="仿宋"/>
          <w:sz w:val="32"/>
          <w:szCs w:val="32"/>
        </w:rPr>
        <w:t>我单位为事业单位，故没有机关运行经费。</w:t>
      </w:r>
    </w:p>
    <w:p w14:paraId="491AFF9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17517C7">
      <w:pPr>
        <w:pStyle w:val="15"/>
        <w:overflowPunct w:val="0"/>
        <w:autoSpaceDE/>
        <w:autoSpaceDN/>
        <w:spacing w:line="600" w:lineRule="exact"/>
        <w:ind w:firstLine="640" w:firstLineChars="200"/>
        <w:jc w:val="both"/>
        <w:rPr>
          <w:rFonts w:ascii="仿宋" w:hAnsi="仿宋" w:eastAsia="仿宋" w:cs="仿宋"/>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仿宋" w:hAnsi="仿宋" w:eastAsia="仿宋" w:cs="仿宋"/>
          <w:sz w:val="32"/>
          <w:szCs w:val="32"/>
        </w:rPr>
        <w:t>用于召开0场会议，人数0人，内容为无；开支培训费0.48万元，</w:t>
      </w:r>
      <w:r>
        <w:rPr>
          <w:rFonts w:hint="eastAsia" w:ascii="仿宋" w:hAnsi="仿宋" w:eastAsia="仿宋" w:cs="仿宋"/>
          <w:color w:val="auto"/>
          <w:sz w:val="32"/>
          <w:szCs w:val="32"/>
        </w:rPr>
        <w:t>用于开展</w:t>
      </w:r>
      <w:r>
        <w:rPr>
          <w:rFonts w:hint="eastAsia" w:ascii="仿宋" w:hAnsi="仿宋" w:eastAsia="仿宋" w:cs="仿宋"/>
          <w:color w:val="FF0000"/>
          <w:sz w:val="32"/>
          <w:szCs w:val="32"/>
        </w:rPr>
        <w:t>2</w:t>
      </w:r>
      <w:r>
        <w:rPr>
          <w:rFonts w:hint="eastAsia" w:ascii="仿宋" w:hAnsi="仿宋" w:eastAsia="仿宋" w:cs="仿宋"/>
          <w:color w:val="auto"/>
          <w:sz w:val="32"/>
          <w:szCs w:val="32"/>
        </w:rPr>
        <w:t>次培训，人数</w:t>
      </w:r>
      <w:r>
        <w:rPr>
          <w:rFonts w:hint="eastAsia" w:ascii="仿宋" w:hAnsi="仿宋" w:eastAsia="仿宋" w:cs="仿宋"/>
          <w:color w:val="FF0000"/>
          <w:sz w:val="32"/>
          <w:szCs w:val="32"/>
        </w:rPr>
        <w:t>5</w:t>
      </w:r>
      <w:r>
        <w:rPr>
          <w:rFonts w:hint="eastAsia" w:ascii="仿宋" w:hAnsi="仿宋" w:eastAsia="仿宋" w:cs="仿宋"/>
          <w:color w:val="auto"/>
          <w:sz w:val="32"/>
          <w:szCs w:val="32"/>
        </w:rPr>
        <w:t>人，内容为参加专业技术培训</w:t>
      </w:r>
      <w:r>
        <w:rPr>
          <w:rFonts w:hint="eastAsia" w:ascii="仿宋" w:hAnsi="仿宋" w:eastAsia="仿宋" w:cs="仿宋"/>
          <w:sz w:val="32"/>
          <w:szCs w:val="32"/>
        </w:rPr>
        <w:t>；未举办节庆、晚会、论坛、赛事等活动，开支0万元。</w:t>
      </w:r>
    </w:p>
    <w:p w14:paraId="2A82A27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329FF5F">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14:paraId="78444B9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2F04F69">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辆，其他用车主要</w:t>
      </w:r>
      <w:r>
        <w:rPr>
          <w:rFonts w:hint="eastAsia" w:ascii="仿宋" w:hAnsi="仿宋" w:eastAsia="仿宋" w:cs="仿宋"/>
          <w:color w:val="auto"/>
          <w:sz w:val="32"/>
          <w:szCs w:val="32"/>
        </w:rPr>
        <w:t>是公务用</w:t>
      </w:r>
      <w:r>
        <w:rPr>
          <w:rFonts w:hint="eastAsia" w:ascii="仿宋" w:hAnsi="仿宋" w:eastAsia="仿宋" w:cs="仿宋"/>
          <w:color w:val="auto"/>
          <w:sz w:val="32"/>
          <w:szCs w:val="32"/>
          <w:lang w:eastAsia="zh-CN"/>
        </w:rPr>
        <w:t>车</w:t>
      </w:r>
      <w:r>
        <w:rPr>
          <w:rFonts w:hint="eastAsia" w:ascii="仿宋" w:hAnsi="仿宋" w:eastAsia="仿宋" w:cs="仿宋"/>
          <w:color w:val="auto"/>
          <w:sz w:val="32"/>
          <w:szCs w:val="32"/>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台（套）。</w:t>
      </w:r>
    </w:p>
    <w:p w14:paraId="4C5D5711">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D7E5EC4">
      <w:pPr>
        <w:snapToGrid w:val="0"/>
        <w:spacing w:line="52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rPr>
        <w:t>650.64</w:t>
      </w:r>
      <w:r>
        <w:rPr>
          <w:rFonts w:ascii="Times New Roman" w:hAnsi="Times New Roman" w:eastAsia="仿宋_GB2312" w:cs="Times New Roman"/>
          <w:kern w:val="0"/>
          <w:sz w:val="32"/>
          <w:szCs w:val="32"/>
        </w:rPr>
        <w:t>万元。其中，一般公共预算</w:t>
      </w:r>
      <w:r>
        <w:rPr>
          <w:rFonts w:hint="eastAsia" w:ascii="Times New Roman" w:hAnsi="Times New Roman" w:eastAsia="仿宋_GB2312" w:cs="Times New Roman"/>
          <w:kern w:val="0"/>
          <w:sz w:val="32"/>
          <w:szCs w:val="32"/>
        </w:rPr>
        <w:t>618.20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p>
    <w:p w14:paraId="27741C2B">
      <w:pPr>
        <w:snapToGrid w:val="0"/>
        <w:spacing w:line="520" w:lineRule="exact"/>
        <w:ind w:left="420" w:leftChars="200"/>
        <w:rPr>
          <w:rFonts w:ascii="Times New Roman Regular" w:hAnsi="Times New Roman Regular" w:eastAsia="仿宋_GB2312" w:cs="Times New Roman Regular"/>
          <w:sz w:val="32"/>
          <w:szCs w:val="32"/>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rPr>
        <w:t>二</w:t>
      </w: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p>
    <w:p w14:paraId="5E3CECFA">
      <w:pPr>
        <w:snapToGrid w:val="0"/>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448.34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650.64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145.12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w:t>
      </w:r>
      <w:r>
        <w:rPr>
          <w:rFonts w:hint="eastAsia" w:ascii="Times New Roman" w:hAnsi="Times New Roman" w:eastAsia="仿宋_GB2312" w:cs="Times New Roman"/>
          <w:kern w:val="0"/>
          <w:sz w:val="32"/>
          <w:szCs w:val="32"/>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良好</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按规定转播中央广播电视</w:t>
      </w:r>
      <w:r>
        <w:rPr>
          <w:rFonts w:hint="eastAsia" w:ascii="Times New Roman" w:hAnsi="Times New Roman" w:eastAsia="仿宋_GB2312" w:cs="Times New Roman"/>
          <w:sz w:val="32"/>
          <w:szCs w:val="32"/>
          <w:lang w:eastAsia="zh-CN"/>
        </w:rPr>
        <w:t>节目</w:t>
      </w:r>
      <w:bookmarkStart w:id="3" w:name="_GoBack"/>
      <w:bookmarkEnd w:id="3"/>
      <w:r>
        <w:rPr>
          <w:rFonts w:hint="eastAsia" w:ascii="Times New Roman" w:hAnsi="Times New Roman" w:eastAsia="仿宋_GB2312" w:cs="Times New Roman"/>
          <w:sz w:val="32"/>
          <w:szCs w:val="32"/>
        </w:rPr>
        <w:t>，基本做到“满功率、满调制度、满时间”播出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完成年初既定目标，完成全年安全优质播出</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单位制定的相关细化管理制度不够</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对于制度的执行力度不够</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严格按照项目的绩效目标执行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加强对绩效评价工作的培训与指导</w:t>
      </w:r>
      <w:r>
        <w:rPr>
          <w:rFonts w:ascii="Times New Roman" w:hAnsi="Times New Roman" w:eastAsia="仿宋_GB2312" w:cs="Times New Roman"/>
          <w:sz w:val="32"/>
          <w:szCs w:val="32"/>
        </w:rPr>
        <w:t>。</w:t>
      </w:r>
    </w:p>
    <w:p w14:paraId="18BBB6F9">
      <w:pPr>
        <w:snapToGrid w:val="0"/>
        <w:spacing w:line="5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无线覆盖</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日常维护</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rPr>
        <w:t>46.80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rPr>
        <w:t>无线覆盖资金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46.80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46.80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rPr>
        <w:t>良好</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单位制定的相关细化管理制度不够</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对于制度的执行力度不够</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严格按照项目的绩效目标执行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加强对绩效评价工作的培训与指导</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日常维护项目全年预算数20.98万元，执行数20.98万元，完成预算100%，</w:t>
      </w:r>
      <w:r>
        <w:rPr>
          <w:rFonts w:ascii="Times New Roman Regular" w:hAnsi="Times New Roman Regular" w:eastAsia="仿宋_GB2312" w:cs="Times New Roman Regular"/>
          <w:sz w:val="32"/>
          <w:szCs w:val="32"/>
        </w:rPr>
        <w:t>本年度本单位项目绩效自评总得分为98分，绩效评价等级为优。全年项目资金使用合规、支出结构合理，项目实施流程规范、管理制度落实到位，年度核心绩效目标基本圆满完成，各项工作任务落地见效，有效支撑部门年度重点工作推进。整体绩效水平良好，无资金违规使用、无重大绩效缺陷、无重大管理漏洞。仅在资金精细化管理、台账资料细化、动态监管及成本指标管控方面存在细微短板，整体项目实施及资金管理成效符合年度预期要求。</w:t>
      </w:r>
    </w:p>
    <w:p w14:paraId="3BAC7CDF">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三是事前绩效评估开展情况。</w:t>
      </w:r>
    </w:p>
    <w:p w14:paraId="2F9C3B7C">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p>
    <w:p w14:paraId="15318A43">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楷体_GB2312" w:cs="Times New Roman"/>
          <w:color w:val="auto"/>
          <w:kern w:val="2"/>
          <w:sz w:val="32"/>
          <w:szCs w:val="32"/>
        </w:rPr>
        <w:t>2025</w:t>
      </w:r>
      <w:r>
        <w:rPr>
          <w:rFonts w:ascii="Times New Roman" w:hAnsi="Times New Roman" w:eastAsia="仿宋_GB2312" w:cs="Times New Roman"/>
          <w:color w:val="auto"/>
          <w:sz w:val="32"/>
          <w:szCs w:val="32"/>
        </w:rPr>
        <w:t>年度绩效自评结果</w:t>
      </w:r>
      <w:r>
        <w:rPr>
          <w:rFonts w:hint="eastAsia" w:ascii="Times New Roman" w:hAnsi="Times New Roman" w:eastAsia="仿宋_GB2312" w:cs="Times New Roman"/>
          <w:color w:val="auto"/>
          <w:sz w:val="32"/>
          <w:szCs w:val="32"/>
        </w:rPr>
        <w:t>良好</w:t>
      </w:r>
      <w:r>
        <w:rPr>
          <w:rFonts w:ascii="Times New Roman" w:hAnsi="Times New Roman" w:eastAsia="仿宋_GB2312" w:cs="Times New Roman"/>
          <w:color w:val="auto"/>
          <w:sz w:val="32"/>
          <w:szCs w:val="32"/>
        </w:rPr>
        <w:t>、部门评价结果、财政评价结果</w:t>
      </w:r>
      <w:r>
        <w:rPr>
          <w:rFonts w:hint="eastAsia" w:ascii="Times New Roman" w:hAnsi="Times New Roman" w:eastAsia="仿宋_GB2312" w:cs="Times New Roman"/>
          <w:color w:val="auto"/>
          <w:sz w:val="32"/>
          <w:szCs w:val="32"/>
        </w:rPr>
        <w:t>均为良好。</w:t>
      </w:r>
      <w:r>
        <w:rPr>
          <w:rFonts w:ascii="Times New Roman" w:hAnsi="Times New Roman" w:eastAsia="仿宋_GB2312" w:cs="Times New Roman"/>
          <w:color w:val="auto"/>
          <w:sz w:val="32"/>
          <w:szCs w:val="32"/>
        </w:rPr>
        <w:t>财政评价结果对本部门2025年度预算安排，支出结构调整，资金管理，制度建设等方面结果运用进行简要说明。</w:t>
      </w:r>
    </w:p>
    <w:p w14:paraId="77352EBB">
      <w:pPr>
        <w:pStyle w:val="15"/>
        <w:jc w:val="center"/>
        <w:rPr>
          <w:rFonts w:ascii="Times New Roman" w:hAnsi="Times New Roman" w:cs="Times New Roman"/>
          <w:sz w:val="72"/>
          <w:szCs w:val="72"/>
        </w:rPr>
      </w:pPr>
    </w:p>
    <w:p w14:paraId="2750AF10">
      <w:pPr>
        <w:pStyle w:val="15"/>
        <w:jc w:val="center"/>
        <w:rPr>
          <w:rFonts w:ascii="Times New Roman" w:hAnsi="Times New Roman" w:cs="Times New Roman"/>
          <w:sz w:val="72"/>
          <w:szCs w:val="72"/>
        </w:rPr>
      </w:pPr>
    </w:p>
    <w:p w14:paraId="389815B0">
      <w:pPr>
        <w:pStyle w:val="15"/>
        <w:jc w:val="center"/>
        <w:rPr>
          <w:rFonts w:ascii="Times New Roman" w:hAnsi="Times New Roman" w:cs="Times New Roman"/>
          <w:sz w:val="72"/>
          <w:szCs w:val="72"/>
        </w:rPr>
      </w:pPr>
    </w:p>
    <w:p w14:paraId="626AEB47">
      <w:pPr>
        <w:pStyle w:val="15"/>
        <w:jc w:val="center"/>
        <w:rPr>
          <w:rFonts w:ascii="Times New Roman" w:hAnsi="Times New Roman" w:cs="Times New Roman"/>
          <w:sz w:val="72"/>
          <w:szCs w:val="72"/>
        </w:rPr>
      </w:pPr>
    </w:p>
    <w:p w14:paraId="7381E135">
      <w:pPr>
        <w:pStyle w:val="15"/>
        <w:jc w:val="both"/>
        <w:rPr>
          <w:rFonts w:ascii="Times New Roman" w:hAnsi="Times New Roman" w:cs="Times New Roman"/>
          <w:sz w:val="72"/>
          <w:szCs w:val="72"/>
        </w:rPr>
      </w:pPr>
    </w:p>
    <w:p w14:paraId="1AB61E6D">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12274EF">
      <w:pPr>
        <w:widowControl/>
        <w:jc w:val="left"/>
        <w:rPr>
          <w:rFonts w:ascii="Times New Roman" w:hAnsi="Times New Roman" w:cs="Times New Roman"/>
          <w:color w:val="000000"/>
          <w:kern w:val="0"/>
          <w:sz w:val="32"/>
          <w:szCs w:val="32"/>
        </w:rPr>
      </w:pPr>
    </w:p>
    <w:p w14:paraId="478D2853">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1581F3FD">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49D020A6">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2B57C29F">
      <w:pPr>
        <w:pStyle w:val="15"/>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76F37182">
      <w:pPr>
        <w:pStyle w:val="15"/>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684B0ABD">
      <w:pPr>
        <w:pStyle w:val="15"/>
        <w:spacing w:line="360" w:lineRule="auto"/>
        <w:jc w:val="center"/>
        <w:rPr>
          <w:rFonts w:hint="eastAsia" w:ascii="Times New Roman" w:hAnsi="Times New Roman" w:eastAsia="方正小标宋_GBK" w:cs="Times New Roman"/>
          <w:sz w:val="52"/>
          <w:szCs w:val="52"/>
        </w:rPr>
      </w:pPr>
    </w:p>
    <w:p w14:paraId="280DB717">
      <w:pPr>
        <w:pStyle w:val="15"/>
        <w:spacing w:line="360" w:lineRule="auto"/>
        <w:jc w:val="center"/>
        <w:rPr>
          <w:rFonts w:hint="eastAsia" w:ascii="Times New Roman" w:hAnsi="Times New Roman" w:eastAsia="方正小标宋_GBK" w:cs="Times New Roman"/>
          <w:sz w:val="52"/>
          <w:szCs w:val="52"/>
        </w:rPr>
      </w:pPr>
    </w:p>
    <w:p w14:paraId="3302478C">
      <w:pPr>
        <w:pStyle w:val="15"/>
        <w:spacing w:line="360" w:lineRule="auto"/>
        <w:jc w:val="center"/>
        <w:rPr>
          <w:rFonts w:hint="eastAsia" w:ascii="Times New Roman" w:hAnsi="Times New Roman" w:eastAsia="方正小标宋_GBK" w:cs="Times New Roman"/>
          <w:sz w:val="52"/>
          <w:szCs w:val="52"/>
        </w:rPr>
      </w:pPr>
    </w:p>
    <w:p w14:paraId="32C159C9">
      <w:pPr>
        <w:pStyle w:val="15"/>
        <w:spacing w:line="360" w:lineRule="auto"/>
        <w:jc w:val="center"/>
        <w:rPr>
          <w:rFonts w:hint="eastAsia" w:ascii="Times New Roman" w:hAnsi="Times New Roman" w:eastAsia="方正小标宋_GBK" w:cs="Times New Roman"/>
          <w:sz w:val="52"/>
          <w:szCs w:val="52"/>
        </w:rPr>
      </w:pPr>
    </w:p>
    <w:p w14:paraId="5153944D">
      <w:pPr>
        <w:pStyle w:val="15"/>
        <w:spacing w:line="360" w:lineRule="auto"/>
        <w:jc w:val="center"/>
        <w:rPr>
          <w:rFonts w:hint="eastAsia" w:ascii="Times New Roman" w:hAnsi="Times New Roman" w:eastAsia="方正小标宋_GBK" w:cs="Times New Roman"/>
          <w:sz w:val="52"/>
          <w:szCs w:val="52"/>
        </w:rPr>
      </w:pPr>
    </w:p>
    <w:p w14:paraId="7DDFB5D6">
      <w:pPr>
        <w:pStyle w:val="15"/>
        <w:spacing w:line="360" w:lineRule="auto"/>
        <w:jc w:val="center"/>
        <w:rPr>
          <w:rFonts w:hint="eastAsia" w:ascii="Times New Roman" w:hAnsi="Times New Roman" w:eastAsia="方正小标宋_GBK" w:cs="Times New Roman"/>
          <w:sz w:val="52"/>
          <w:szCs w:val="52"/>
        </w:rPr>
      </w:pPr>
    </w:p>
    <w:p w14:paraId="6E13A1C3">
      <w:pPr>
        <w:pStyle w:val="15"/>
        <w:spacing w:line="360" w:lineRule="auto"/>
        <w:jc w:val="center"/>
        <w:rPr>
          <w:rFonts w:hint="eastAsia" w:ascii="Times New Roman" w:hAnsi="Times New Roman" w:eastAsia="方正小标宋_GBK" w:cs="Times New Roman"/>
          <w:sz w:val="52"/>
          <w:szCs w:val="52"/>
        </w:rPr>
      </w:pPr>
    </w:p>
    <w:p w14:paraId="3CE451A4">
      <w:pPr>
        <w:pStyle w:val="15"/>
        <w:spacing w:line="360" w:lineRule="auto"/>
        <w:jc w:val="center"/>
        <w:rPr>
          <w:rFonts w:hint="eastAsia" w:ascii="Times New Roman" w:hAnsi="Times New Roman" w:eastAsia="方正小标宋_GBK" w:cs="Times New Roman"/>
          <w:sz w:val="52"/>
          <w:szCs w:val="52"/>
        </w:rPr>
      </w:pPr>
    </w:p>
    <w:p w14:paraId="04CCBF42">
      <w:pPr>
        <w:pStyle w:val="15"/>
        <w:spacing w:line="360" w:lineRule="auto"/>
        <w:jc w:val="center"/>
        <w:rPr>
          <w:rFonts w:hint="eastAsia" w:ascii="Times New Roman" w:hAnsi="Times New Roman" w:eastAsia="方正小标宋_GBK" w:cs="Times New Roman"/>
          <w:sz w:val="52"/>
          <w:szCs w:val="52"/>
        </w:rPr>
      </w:pPr>
    </w:p>
    <w:p w14:paraId="281E3B8F">
      <w:pPr>
        <w:pStyle w:val="15"/>
        <w:spacing w:line="360" w:lineRule="auto"/>
        <w:jc w:val="center"/>
        <w:rPr>
          <w:rFonts w:ascii="Times New Roman" w:hAnsi="Times New Roman" w:eastAsia="方正小标宋_GBK" w:cs="Times New Roman"/>
          <w:sz w:val="52"/>
          <w:szCs w:val="52"/>
        </w:rPr>
      </w:pPr>
    </w:p>
    <w:p w14:paraId="3B4E1C0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42EEAEF">
      <w:pPr>
        <w:pStyle w:val="15"/>
        <w:spacing w:line="600" w:lineRule="exact"/>
        <w:jc w:val="center"/>
        <w:rPr>
          <w:rFonts w:ascii="方正黑体_GBK" w:hAnsi="方正黑体_GBK" w:eastAsia="方正黑体_GBK" w:cs="方正黑体_GBK"/>
          <w:b/>
          <w:bCs/>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年度部门整体支出绩效自评报告</w:t>
      </w:r>
    </w:p>
    <w:p w14:paraId="33279A81">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7D18B99F">
      <w:pPr>
        <w:pStyle w:val="10"/>
        <w:widowControl/>
        <w:shd w:val="clear" w:color="auto" w:fill="FFFFFF"/>
        <w:snapToGrid w:val="0"/>
        <w:spacing w:line="520" w:lineRule="exact"/>
        <w:rPr>
          <w:rFonts w:ascii="仿宋" w:hAnsi="仿宋" w:eastAsia="仿宋" w:cs="仿宋"/>
          <w:sz w:val="32"/>
          <w:szCs w:val="32"/>
        </w:rPr>
      </w:pPr>
      <w:r>
        <w:rPr>
          <w:rFonts w:hint="eastAsia" w:ascii="仿宋" w:hAnsi="仿宋" w:eastAsia="仿宋" w:cs="仿宋"/>
          <w:sz w:val="32"/>
          <w:szCs w:val="32"/>
        </w:rPr>
        <w:t>（一）部门基本情况。</w:t>
      </w:r>
    </w:p>
    <w:p w14:paraId="3D466892">
      <w:pPr>
        <w:pStyle w:val="10"/>
        <w:widowControl/>
        <w:shd w:val="clear" w:color="auto" w:fill="FFFFFF"/>
        <w:snapToGrid w:val="0"/>
        <w:spacing w:line="520" w:lineRule="exact"/>
        <w:ind w:firstLine="320" w:firstLineChars="100"/>
        <w:rPr>
          <w:rFonts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color w:val="000000"/>
          <w:sz w:val="32"/>
          <w:szCs w:val="32"/>
          <w:shd w:val="clear" w:color="auto" w:fill="FFFFFF"/>
        </w:rPr>
        <w:t>机构设置情况</w:t>
      </w:r>
    </w:p>
    <w:p w14:paraId="4CDCE4C9">
      <w:pPr>
        <w:widowControl/>
        <w:spacing w:line="360" w:lineRule="auto"/>
        <w:ind w:firstLine="640" w:firstLineChars="200"/>
        <w:rPr>
          <w:rFonts w:ascii="仿宋" w:hAnsi="仿宋" w:eastAsia="仿宋" w:cs="仿宋"/>
          <w:b/>
          <w:bCs/>
          <w:color w:val="000000"/>
          <w:sz w:val="32"/>
          <w:szCs w:val="32"/>
          <w:shd w:val="clear" w:color="auto" w:fill="FFFFFF"/>
        </w:rPr>
      </w:pPr>
      <w:r>
        <w:rPr>
          <w:rFonts w:hint="eastAsia" w:ascii="仿宋" w:hAnsi="仿宋" w:eastAsia="仿宋" w:cs="仿宋"/>
          <w:sz w:val="32"/>
          <w:szCs w:val="32"/>
        </w:rPr>
        <w:t>怀化市大中坡电视转播台作为二级部门预算单位，内设</w:t>
      </w:r>
      <w:r>
        <w:rPr>
          <w:rFonts w:hint="eastAsia" w:ascii="仿宋" w:hAnsi="仿宋" w:eastAsia="仿宋" w:cs="仿宋"/>
          <w:bCs/>
          <w:kern w:val="0"/>
          <w:sz w:val="32"/>
          <w:szCs w:val="32"/>
        </w:rPr>
        <w:t>机</w:t>
      </w:r>
      <w:r>
        <w:rPr>
          <w:rFonts w:hint="eastAsia" w:ascii="仿宋" w:hAnsi="仿宋" w:eastAsia="仿宋" w:cs="仿宋"/>
          <w:sz w:val="32"/>
          <w:szCs w:val="32"/>
        </w:rPr>
        <w:t>构为:办公室（含财务）、技术部、播出部。2025年年末实有在职人数26人，其中财政编制29人，聘用人员1人，劳务派遣2人。退休16人。</w:t>
      </w:r>
    </w:p>
    <w:p w14:paraId="04ADA2F4">
      <w:pPr>
        <w:pStyle w:val="10"/>
        <w:widowControl/>
        <w:shd w:val="clear" w:color="auto" w:fill="FFFFFF"/>
        <w:snapToGrid w:val="0"/>
        <w:spacing w:line="360" w:lineRule="auto"/>
        <w:ind w:firstLine="320" w:firstLineChars="1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2.主要职能职责</w:t>
      </w:r>
    </w:p>
    <w:p w14:paraId="1E266949">
      <w:pPr>
        <w:pStyle w:val="10"/>
        <w:widowControl/>
        <w:shd w:val="clear" w:color="auto" w:fill="FFFFFF"/>
        <w:snapToGrid w:val="0"/>
        <w:spacing w:line="360" w:lineRule="auto"/>
        <w:ind w:firstLine="640" w:firstLineChars="200"/>
        <w:rPr>
          <w:rFonts w:ascii="仿宋" w:hAnsi="仿宋" w:eastAsia="仿宋" w:cs="仿宋"/>
          <w:bCs/>
          <w:kern w:val="0"/>
          <w:sz w:val="32"/>
          <w:szCs w:val="32"/>
        </w:rPr>
      </w:pPr>
      <w:r>
        <w:rPr>
          <w:rFonts w:hint="eastAsia" w:ascii="仿宋" w:hAnsi="仿宋" w:eastAsia="仿宋" w:cs="仿宋"/>
          <w:bCs/>
          <w:kern w:val="0"/>
          <w:sz w:val="32"/>
          <w:szCs w:val="32"/>
        </w:rPr>
        <w:t>怀化市大中坡电视转播台是市广播电视台下设的副处级全额拨款事业单位,主要职责:</w:t>
      </w:r>
    </w:p>
    <w:p w14:paraId="65978885">
      <w:pPr>
        <w:pStyle w:val="10"/>
        <w:widowControl/>
        <w:shd w:val="clear" w:color="auto" w:fill="FFFFFF"/>
        <w:snapToGrid w:val="0"/>
        <w:spacing w:line="360" w:lineRule="auto"/>
        <w:ind w:firstLine="640" w:firstLineChars="200"/>
        <w:rPr>
          <w:rFonts w:ascii="仿宋" w:hAnsi="仿宋" w:eastAsia="仿宋" w:cs="仿宋"/>
          <w:bCs/>
          <w:kern w:val="0"/>
          <w:sz w:val="32"/>
          <w:szCs w:val="32"/>
        </w:rPr>
      </w:pPr>
      <w:r>
        <w:rPr>
          <w:rFonts w:hint="eastAsia" w:ascii="仿宋" w:hAnsi="仿宋" w:eastAsia="仿宋" w:cs="仿宋"/>
          <w:bCs/>
          <w:kern w:val="0"/>
          <w:sz w:val="32"/>
          <w:szCs w:val="32"/>
        </w:rPr>
        <w:t>（1）贯彻执行党和政府关于广播电视工作的路线、方针、政策与国家法律、法规，确保正确的舆论导向，当好党委、政府和人民的喉舌。</w:t>
      </w:r>
    </w:p>
    <w:p w14:paraId="6FD66576">
      <w:pPr>
        <w:pStyle w:val="10"/>
        <w:widowControl/>
        <w:shd w:val="clear" w:color="auto" w:fill="FFFFFF"/>
        <w:snapToGrid w:val="0"/>
        <w:spacing w:line="360" w:lineRule="auto"/>
        <w:ind w:firstLine="640" w:firstLineChars="200"/>
        <w:rPr>
          <w:rFonts w:ascii="仿宋" w:hAnsi="仿宋" w:eastAsia="仿宋" w:cs="仿宋"/>
          <w:bCs/>
          <w:kern w:val="0"/>
          <w:sz w:val="32"/>
          <w:szCs w:val="32"/>
        </w:rPr>
      </w:pPr>
      <w:r>
        <w:rPr>
          <w:rFonts w:hint="eastAsia" w:ascii="仿宋" w:hAnsi="仿宋" w:eastAsia="仿宋" w:cs="仿宋"/>
          <w:bCs/>
          <w:kern w:val="0"/>
          <w:sz w:val="32"/>
          <w:szCs w:val="32"/>
        </w:rPr>
        <w:t>（2）作为湖南省高山台站，承担中央、省、市数字电视、调频广播节目的转播发射和微波信号传输任务，覆盖怀化城区及中方、麻阳、洪江、辰溪等周边地区，有效半径达到65公里，解决怀化城区及周边的近300万没有安装有线电视的群众看好电视、收听广播，丰富广大群众精神文化生活。</w:t>
      </w:r>
    </w:p>
    <w:p w14:paraId="334CB200">
      <w:pPr>
        <w:pStyle w:val="10"/>
        <w:widowControl/>
        <w:shd w:val="clear" w:color="auto" w:fill="FFFFFF"/>
        <w:snapToGrid w:val="0"/>
        <w:spacing w:line="360" w:lineRule="auto"/>
        <w:ind w:firstLine="640" w:firstLineChars="200"/>
        <w:rPr>
          <w:rFonts w:ascii="仿宋" w:hAnsi="仿宋" w:eastAsia="仿宋" w:cs="仿宋"/>
          <w:bCs/>
          <w:kern w:val="0"/>
          <w:sz w:val="32"/>
          <w:szCs w:val="32"/>
        </w:rPr>
      </w:pPr>
      <w:r>
        <w:rPr>
          <w:rFonts w:hint="eastAsia" w:ascii="仿宋" w:hAnsi="仿宋" w:eastAsia="仿宋" w:cs="仿宋"/>
          <w:bCs/>
          <w:kern w:val="0"/>
          <w:sz w:val="32"/>
          <w:szCs w:val="32"/>
        </w:rPr>
        <w:t>（3）承担应急广播系统传输任务。</w:t>
      </w:r>
    </w:p>
    <w:p w14:paraId="7002DDEA">
      <w:pPr>
        <w:pStyle w:val="10"/>
        <w:widowControl/>
        <w:shd w:val="clear" w:color="auto" w:fill="FFFFFF"/>
        <w:snapToGrid w:val="0"/>
        <w:spacing w:line="360" w:lineRule="auto"/>
        <w:ind w:firstLine="640" w:firstLineChars="200"/>
        <w:rPr>
          <w:rFonts w:ascii="仿宋" w:hAnsi="仿宋" w:eastAsia="仿宋" w:cs="仿宋"/>
          <w:sz w:val="32"/>
          <w:szCs w:val="32"/>
        </w:rPr>
      </w:pPr>
      <w:r>
        <w:rPr>
          <w:rFonts w:hint="eastAsia" w:ascii="仿宋" w:hAnsi="仿宋" w:eastAsia="仿宋" w:cs="仿宋"/>
          <w:bCs/>
          <w:kern w:val="0"/>
          <w:sz w:val="32"/>
          <w:szCs w:val="32"/>
        </w:rPr>
        <w:t>（4）完成市委、市政府和主管部门交办的其他工作。</w:t>
      </w:r>
    </w:p>
    <w:p w14:paraId="666B7380">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（二）部门整体支出规模、使用方向和主要内容、涉及范围等。</w:t>
      </w:r>
    </w:p>
    <w:p w14:paraId="1EC8D632">
      <w:pPr>
        <w:pStyle w:val="15"/>
        <w:ind w:firstLine="640" w:firstLineChars="200"/>
        <w:rPr>
          <w:rFonts w:ascii="仿宋" w:hAnsi="仿宋" w:eastAsia="仿宋" w:cs="仿宋"/>
          <w:color w:val="auto"/>
          <w:sz w:val="32"/>
          <w:szCs w:val="32"/>
        </w:rPr>
      </w:pPr>
      <w:r>
        <w:rPr>
          <w:rFonts w:hint="eastAsia" w:ascii="仿宋" w:hAnsi="仿宋" w:eastAsia="仿宋" w:cs="仿宋"/>
          <w:color w:val="auto"/>
          <w:sz w:val="32"/>
          <w:szCs w:val="32"/>
          <w:shd w:val="clear" w:color="auto" w:fill="FFFFFF"/>
        </w:rPr>
        <w:t>2025年</w:t>
      </w:r>
      <w:r>
        <w:rPr>
          <w:rFonts w:hint="eastAsia" w:ascii="仿宋" w:hAnsi="仿宋" w:eastAsia="仿宋" w:cs="仿宋"/>
          <w:color w:val="auto"/>
          <w:sz w:val="32"/>
          <w:szCs w:val="32"/>
        </w:rPr>
        <w:t>整体支出</w:t>
      </w:r>
      <w:r>
        <w:rPr>
          <w:rFonts w:hint="eastAsia" w:ascii="仿宋" w:hAnsi="仿宋" w:eastAsia="仿宋" w:cs="仿宋"/>
          <w:color w:val="auto"/>
          <w:sz w:val="32"/>
          <w:szCs w:val="32"/>
          <w:shd w:val="clear" w:color="auto" w:fill="FFFFFF"/>
        </w:rPr>
        <w:t>650.64万元，</w:t>
      </w:r>
      <w:r>
        <w:rPr>
          <w:rFonts w:hint="eastAsia" w:ascii="仿宋" w:hAnsi="仿宋" w:eastAsia="仿宋" w:cs="仿宋"/>
          <w:sz w:val="32"/>
          <w:szCs w:val="32"/>
        </w:rPr>
        <w:t>其中：基本支出</w:t>
      </w:r>
      <w:r>
        <w:rPr>
          <w:rFonts w:hint="eastAsia" w:ascii="仿宋" w:hAnsi="仿宋" w:eastAsia="仿宋" w:cs="仿宋"/>
          <w:color w:val="auto"/>
          <w:sz w:val="32"/>
          <w:szCs w:val="32"/>
        </w:rPr>
        <w:t>582.86</w:t>
      </w:r>
      <w:r>
        <w:rPr>
          <w:rFonts w:hint="eastAsia" w:ascii="仿宋" w:hAnsi="仿宋" w:eastAsia="仿宋" w:cs="仿宋"/>
          <w:sz w:val="32"/>
          <w:szCs w:val="32"/>
        </w:rPr>
        <w:t>万元，</w:t>
      </w:r>
      <w:r>
        <w:rPr>
          <w:rFonts w:hint="eastAsia" w:ascii="仿宋" w:hAnsi="仿宋" w:eastAsia="仿宋" w:cs="仿宋"/>
          <w:color w:val="auto"/>
          <w:sz w:val="32"/>
          <w:szCs w:val="32"/>
        </w:rPr>
        <w:t>占89.58%</w:t>
      </w:r>
      <w:r>
        <w:rPr>
          <w:rFonts w:hint="eastAsia" w:ascii="仿宋" w:hAnsi="仿宋" w:eastAsia="仿宋" w:cs="仿宋"/>
          <w:sz w:val="32"/>
          <w:szCs w:val="32"/>
        </w:rPr>
        <w:t>；项目支出</w:t>
      </w:r>
      <w:r>
        <w:rPr>
          <w:rFonts w:hint="eastAsia" w:ascii="仿宋" w:hAnsi="仿宋" w:eastAsia="仿宋" w:cs="仿宋"/>
          <w:color w:val="auto"/>
          <w:sz w:val="32"/>
          <w:szCs w:val="32"/>
        </w:rPr>
        <w:t>67.78万元，占10.42%</w:t>
      </w:r>
      <w:r>
        <w:rPr>
          <w:rFonts w:hint="eastAsia" w:ascii="仿宋" w:hAnsi="仿宋" w:eastAsia="仿宋" w:cs="仿宋"/>
          <w:sz w:val="32"/>
          <w:szCs w:val="32"/>
        </w:rPr>
        <w:t>；上缴上级支出0万元，占0%；经营支出0万元，占0%。</w:t>
      </w:r>
    </w:p>
    <w:p w14:paraId="7F020AA5">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6BA5D50F">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（一）基本支出</w:t>
      </w:r>
    </w:p>
    <w:p w14:paraId="332EE16F">
      <w:pPr>
        <w:pStyle w:val="15"/>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介绍基本支出的主要用途、范围以及资金的管理情况，尤其是“三公”经费的使用和管理情况。</w:t>
      </w:r>
    </w:p>
    <w:p w14:paraId="76943B8A">
      <w:pPr>
        <w:pStyle w:val="15"/>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2025年度财政拨款基本支出582.86万元，其中：人员经费519.35万元，占基本支出的89.10%,主要包括基本工资、津贴补贴、奖金、伙食补助费、机关事业单位基本养老保险缴费、职工基本医疗保险缴费、其他社会保障缴费、住房公积金、其他工资福利支出、离休费、抚恤金、生活补助、奖励金、其他对个人和家庭的补助等；公用经费63.51万元，占基本支出的10.90%，主要包括办公费、印刷费、咨询费、水费、电费、差旅费、工会经费、其他商品和服务支出、办公设备购置等。</w:t>
      </w:r>
    </w:p>
    <w:p w14:paraId="0A687756">
      <w:pPr>
        <w:pStyle w:val="10"/>
        <w:widowControl/>
        <w:shd w:val="clear" w:color="auto" w:fill="FFFFFF"/>
        <w:snapToGrid w:val="0"/>
        <w:spacing w:line="360" w:lineRule="auto"/>
        <w:ind w:firstLine="320" w:firstLineChars="100"/>
        <w:rPr>
          <w:rFonts w:ascii="仿宋" w:hAnsi="仿宋" w:eastAsia="仿宋" w:cs="仿宋"/>
          <w:sz w:val="32"/>
          <w:szCs w:val="32"/>
        </w:rPr>
      </w:pPr>
      <w:r>
        <w:rPr>
          <w:rFonts w:hint="eastAsia" w:ascii="仿宋" w:hAnsi="仿宋" w:eastAsia="仿宋" w:cs="仿宋"/>
          <w:sz w:val="32"/>
          <w:szCs w:val="32"/>
        </w:rPr>
        <w:t>2025年度“三公”经费财政拨款支出3.01万元，其中：因公出国（境）支出0.00万元，公务用车购置及运行维护费支出3.01万元，公务接待费支出0万元,未发生公务接待费。我单位日常工作中，根据中央八项规定</w:t>
      </w:r>
      <w:r>
        <w:rPr>
          <w:rFonts w:hint="eastAsia" w:ascii="仿宋" w:hAnsi="仿宋" w:eastAsia="仿宋" w:cs="仿宋"/>
          <w:sz w:val="32"/>
          <w:szCs w:val="32"/>
          <w:lang w:eastAsia="zh-CN"/>
        </w:rPr>
        <w:t>精神</w:t>
      </w:r>
      <w:r>
        <w:rPr>
          <w:rFonts w:hint="eastAsia" w:ascii="仿宋" w:hAnsi="仿宋" w:eastAsia="仿宋" w:cs="仿宋"/>
          <w:sz w:val="32"/>
          <w:szCs w:val="32"/>
        </w:rPr>
        <w:t>及《党政机关厉行节约反对浪费条例》的要求，厉行节约，压减“三公”经费支出。</w:t>
      </w:r>
    </w:p>
    <w:p w14:paraId="4940757D">
      <w:pPr>
        <w:pStyle w:val="10"/>
        <w:widowControl/>
        <w:shd w:val="clear" w:color="auto" w:fill="FFFFFF"/>
        <w:snapToGrid w:val="0"/>
        <w:spacing w:line="360" w:lineRule="auto"/>
        <w:ind w:firstLine="320" w:firstLineChars="100"/>
        <w:rPr>
          <w:rFonts w:ascii="仿宋" w:hAnsi="仿宋" w:eastAsia="仿宋" w:cs="仿宋"/>
          <w:sz w:val="32"/>
          <w:szCs w:val="32"/>
        </w:rPr>
      </w:pPr>
      <w:r>
        <w:rPr>
          <w:rFonts w:hint="eastAsia" w:ascii="仿宋" w:hAnsi="仿宋" w:eastAsia="仿宋" w:cs="仿宋"/>
          <w:sz w:val="32"/>
          <w:szCs w:val="32"/>
        </w:rPr>
        <w:t xml:space="preserve">“三公”经费管理 情况    </w:t>
      </w:r>
    </w:p>
    <w:p w14:paraId="2BCF92D6">
      <w:pPr>
        <w:pStyle w:val="10"/>
        <w:widowControl/>
        <w:shd w:val="clear" w:color="auto" w:fill="FFFFFF"/>
        <w:snapToGrid w:val="0"/>
        <w:spacing w:line="360" w:lineRule="auto"/>
        <w:ind w:firstLine="320" w:firstLineChars="10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（1）严格预算编制，强化预算节约:将“三公”经费预算编制细化到具体项目，从严控制预算支出，杜绝无预算和超预算开支，增强预算约束力。</w:t>
      </w:r>
    </w:p>
    <w:p w14:paraId="0F9DF733">
      <w:pPr>
        <w:pStyle w:val="10"/>
        <w:widowControl/>
        <w:shd w:val="clear" w:color="auto" w:fill="FFFFFF"/>
        <w:snapToGrid w:val="0"/>
        <w:spacing w:line="360" w:lineRule="auto"/>
        <w:ind w:firstLine="320" w:firstLineChars="10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（2）控制支出标准，严格执行制度:对公务用车、公务接待等支出严格控制，按规定标准额度报销，杜绝超支。</w:t>
      </w:r>
    </w:p>
    <w:p w14:paraId="54119E83">
      <w:pPr>
        <w:pStyle w:val="10"/>
        <w:widowControl/>
        <w:shd w:val="clear" w:color="auto" w:fill="FFFFFF"/>
        <w:snapToGrid w:val="0"/>
        <w:spacing w:line="360" w:lineRule="auto"/>
        <w:ind w:firstLine="320" w:firstLineChars="100"/>
        <w:rPr>
          <w:rFonts w:ascii="仿宋" w:hAnsi="仿宋" w:eastAsia="仿宋" w:cs="仿宋"/>
          <w:sz w:val="32"/>
          <w:szCs w:val="32"/>
        </w:rPr>
      </w:pPr>
      <w:r>
        <w:rPr>
          <w:rFonts w:hint="eastAsia" w:ascii="仿宋" w:hAnsi="仿宋" w:eastAsia="仿宋" w:cs="仿宋"/>
          <w:sz w:val="32"/>
          <w:szCs w:val="32"/>
          <w:shd w:val="clear" w:color="auto" w:fill="FFFFFF"/>
        </w:rPr>
        <w:t>（3）规范财务制度，加强日常管理:公务费用支出一律履行报批手续。对接待支出，填写公务接单审批单并控制接待标准及参陪人数。</w:t>
      </w:r>
    </w:p>
    <w:p w14:paraId="70C53B8D">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（二）项目支出</w:t>
      </w:r>
    </w:p>
    <w:p w14:paraId="72CDD5BC">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1、项目资金（包括财政资金、自筹资金等）安排落实、总投入等情况分析。</w:t>
      </w:r>
    </w:p>
    <w:p w14:paraId="7B7EC4ED">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2025总投入项目资金67.78万元，实际执行67.78万元。</w:t>
      </w:r>
    </w:p>
    <w:p w14:paraId="51B4B0DB">
      <w:pPr>
        <w:pStyle w:val="10"/>
        <w:widowControl/>
        <w:shd w:val="clear" w:color="auto" w:fill="FFFFFF"/>
        <w:snapToGrid w:val="0"/>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2、项目资金（主要指财政资金）实际使用情况分析。</w:t>
      </w:r>
    </w:p>
    <w:p w14:paraId="747917D2">
      <w:pPr>
        <w:pStyle w:val="10"/>
        <w:widowControl/>
        <w:shd w:val="clear" w:color="auto" w:fill="FFFFFF"/>
        <w:snapToGrid w:val="0"/>
        <w:spacing w:line="360" w:lineRule="auto"/>
        <w:ind w:firstLine="640" w:firstLineChars="20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2025年项目支出67.78万元，主要用于购买设备零件，发射机附属设施维修维护，支付电费，保障供电正常及安全播出。</w:t>
      </w:r>
    </w:p>
    <w:p w14:paraId="20D18756">
      <w:pPr>
        <w:pStyle w:val="10"/>
        <w:widowControl/>
        <w:numPr>
          <w:ilvl w:val="0"/>
          <w:numId w:val="2"/>
        </w:numPr>
        <w:shd w:val="clear" w:color="auto" w:fill="FFFFFF"/>
        <w:snapToGrid w:val="0"/>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项目资金管理情况分析，主要包括管理制度、办法的制订及执行情况。</w:t>
      </w:r>
    </w:p>
    <w:p w14:paraId="262430CD">
      <w:pPr>
        <w:pStyle w:val="10"/>
        <w:widowControl/>
        <w:shd w:val="clear" w:color="auto" w:fill="FFFFFF"/>
        <w:snapToGrid w:val="0"/>
        <w:spacing w:line="360" w:lineRule="auto"/>
        <w:ind w:left="420" w:leftChars="200" w:firstLine="640" w:firstLineChars="200"/>
        <w:rPr>
          <w:rFonts w:ascii="仿宋" w:hAnsi="仿宋" w:eastAsia="仿宋" w:cs="仿宋"/>
          <w:sz w:val="32"/>
          <w:szCs w:val="32"/>
        </w:rPr>
      </w:pPr>
      <w:r>
        <w:rPr>
          <w:rFonts w:hint="eastAsia" w:ascii="仿宋" w:hAnsi="仿宋" w:eastAsia="仿宋" w:cs="仿宋"/>
          <w:color w:val="000000"/>
          <w:kern w:val="0"/>
          <w:sz w:val="32"/>
          <w:szCs w:val="32"/>
          <w:shd w:val="clear" w:color="auto" w:fill="FFFFFF"/>
        </w:rPr>
        <w:t>资金管理制度及执行情况按照《怀化市本级专项资金管理办法实施细则》、《怀化市大中坡电视转播台财务管理制度》等相关会计制度执行报账程序，实行专款专用。从整体评价来看，我台建立了基本能全面覆盖的管理制度，并通过管理制度进行了明确的权责划分，建立健全了预算编制、执行、分析、调整、决算编报、绩效评价等内部管理制度。</w:t>
      </w:r>
    </w:p>
    <w:p w14:paraId="58EEB554">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49FAF1B0">
      <w:pPr>
        <w:pStyle w:val="10"/>
        <w:widowControl/>
        <w:shd w:val="clear" w:color="auto" w:fill="FFFFFF"/>
        <w:snapToGrid w:val="0"/>
        <w:spacing w:line="360" w:lineRule="auto"/>
        <w:ind w:firstLine="640" w:firstLineChars="200"/>
        <w:rPr>
          <w:rFonts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所有项目均由我台组织实施与管理，实施过程按照怀化市财政局相关制度及我台管理制度执行。我台严格执行市财政局下发的市本级部门预算，项目经费由我台进行统一管理，根据实际工作需要开支，做到专款专用。支出严格按照相关法规进行会计核算，付款申请及审批程序合法。</w:t>
      </w:r>
    </w:p>
    <w:p w14:paraId="0B670107">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四、资产管理情况</w:t>
      </w:r>
    </w:p>
    <w:p w14:paraId="2F9BA0A3">
      <w:pPr>
        <w:widowControl/>
        <w:shd w:val="clear" w:color="auto" w:fill="FFFFFF"/>
        <w:spacing w:line="360" w:lineRule="auto"/>
        <w:ind w:firstLine="641"/>
        <w:rPr>
          <w:rFonts w:ascii="仿宋" w:hAnsi="仿宋" w:eastAsia="仿宋" w:cs="仿宋"/>
          <w:sz w:val="32"/>
          <w:szCs w:val="32"/>
        </w:rPr>
      </w:pPr>
      <w:r>
        <w:rPr>
          <w:rFonts w:hint="eastAsia" w:ascii="仿宋" w:hAnsi="仿宋" w:eastAsia="仿宋" w:cs="仿宋"/>
          <w:color w:val="000000"/>
          <w:kern w:val="0"/>
          <w:sz w:val="32"/>
          <w:szCs w:val="32"/>
        </w:rPr>
        <w:t>为了搞好单位资产的配置、管理、处置等特制定了《资产管理制度》，我单位固定资产由办公室统一登记和管理。购置办公用品和设备，需经上级资产相关管理部门审批后，经由单位领导同意后方可采购。办公室定期清点公物，按年度列出清单。做到账账相符、账证相符、账实相符。</w:t>
      </w:r>
    </w:p>
    <w:p w14:paraId="56196FD5">
      <w:pPr>
        <w:numPr>
          <w:ilvl w:val="0"/>
          <w:numId w:val="3"/>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政府性基金预算支出情况</w:t>
      </w:r>
    </w:p>
    <w:p w14:paraId="5075DB8A">
      <w:pPr>
        <w:snapToGrid w:val="0"/>
        <w:spacing w:line="520" w:lineRule="exact"/>
        <w:ind w:firstLine="640" w:firstLineChars="200"/>
        <w:rPr>
          <w:rFonts w:ascii="方正黑体_GBK" w:hAnsi="方正黑体_GBK" w:eastAsia="方正黑体_GBK" w:cs="方正黑体_GBK"/>
          <w:b/>
          <w:bCs/>
          <w:sz w:val="32"/>
          <w:szCs w:val="32"/>
        </w:rPr>
      </w:pPr>
      <w:r>
        <w:rPr>
          <w:rFonts w:hint="eastAsia" w:ascii="仿宋" w:hAnsi="仿宋" w:eastAsia="仿宋" w:cs="仿宋"/>
          <w:sz w:val="32"/>
          <w:szCs w:val="32"/>
        </w:rPr>
        <w:t>我单位2025年度</w:t>
      </w:r>
      <w:r>
        <w:rPr>
          <w:rFonts w:hint="eastAsia" w:ascii="仿宋" w:hAnsi="仿宋" w:eastAsia="仿宋" w:cs="仿宋"/>
          <w:color w:val="000000" w:themeColor="text1"/>
          <w:spacing w:val="11"/>
          <w:sz w:val="32"/>
          <w:szCs w:val="32"/>
          <w14:textFill>
            <w14:solidFill>
              <w14:schemeClr w14:val="tx1"/>
            </w14:solidFill>
          </w14:textFill>
        </w:rPr>
        <w:t>无政府性基金预算支出。</w:t>
      </w:r>
    </w:p>
    <w:p w14:paraId="6B4FE932">
      <w:pPr>
        <w:numPr>
          <w:ilvl w:val="0"/>
          <w:numId w:val="3"/>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国有资本经营预算支出情况</w:t>
      </w:r>
    </w:p>
    <w:p w14:paraId="1D03059B">
      <w:pPr>
        <w:snapToGrid w:val="0"/>
        <w:spacing w:line="520" w:lineRule="exact"/>
        <w:ind w:firstLine="640" w:firstLineChars="200"/>
        <w:rPr>
          <w:rFonts w:ascii="方正黑体_GBK" w:hAnsi="方正黑体_GBK" w:eastAsia="方正黑体_GBK" w:cs="方正黑体_GBK"/>
          <w:sz w:val="32"/>
          <w:szCs w:val="32"/>
        </w:rPr>
      </w:pPr>
      <w:r>
        <w:rPr>
          <w:rFonts w:hint="eastAsia" w:ascii="仿宋" w:hAnsi="仿宋" w:eastAsia="仿宋" w:cs="仿宋"/>
          <w:sz w:val="32"/>
          <w:szCs w:val="32"/>
        </w:rPr>
        <w:t>我单位2025年度</w:t>
      </w:r>
      <w:r>
        <w:rPr>
          <w:rFonts w:hint="eastAsia" w:ascii="仿宋" w:hAnsi="仿宋" w:eastAsia="仿宋" w:cs="仿宋"/>
          <w:color w:val="000000" w:themeColor="text1"/>
          <w:spacing w:val="11"/>
          <w:sz w:val="32"/>
          <w:szCs w:val="32"/>
          <w14:textFill>
            <w14:solidFill>
              <w14:schemeClr w14:val="tx1"/>
            </w14:solidFill>
          </w14:textFill>
        </w:rPr>
        <w:t>无国有资本经营预算支出。</w:t>
      </w:r>
    </w:p>
    <w:p w14:paraId="27BB6653">
      <w:pPr>
        <w:numPr>
          <w:ilvl w:val="0"/>
          <w:numId w:val="3"/>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社会保险基金预算支出情况</w:t>
      </w:r>
    </w:p>
    <w:p w14:paraId="2FBE48E3">
      <w:pPr>
        <w:snapToGrid w:val="0"/>
        <w:spacing w:line="520" w:lineRule="exact"/>
        <w:ind w:firstLine="640" w:firstLineChars="200"/>
        <w:rPr>
          <w:rFonts w:ascii="方正黑体_GBK" w:hAnsi="方正黑体_GBK" w:eastAsia="方正黑体_GBK" w:cs="方正黑体_GBK"/>
          <w:b/>
          <w:bCs/>
          <w:sz w:val="32"/>
          <w:szCs w:val="32"/>
        </w:rPr>
      </w:pPr>
      <w:r>
        <w:rPr>
          <w:rFonts w:hint="eastAsia" w:ascii="仿宋" w:hAnsi="仿宋" w:eastAsia="仿宋" w:cs="仿宋"/>
          <w:sz w:val="32"/>
          <w:szCs w:val="32"/>
        </w:rPr>
        <w:t>我单位2025年度</w:t>
      </w:r>
      <w:r>
        <w:rPr>
          <w:rFonts w:hint="eastAsia" w:ascii="仿宋" w:hAnsi="仿宋" w:eastAsia="仿宋" w:cs="仿宋"/>
          <w:color w:val="000000" w:themeColor="text1"/>
          <w:spacing w:val="11"/>
          <w:sz w:val="32"/>
          <w:szCs w:val="32"/>
          <w14:textFill>
            <w14:solidFill>
              <w14:schemeClr w14:val="tx1"/>
            </w14:solidFill>
          </w14:textFill>
        </w:rPr>
        <w:t>无社会保险基金预算支出。</w:t>
      </w:r>
    </w:p>
    <w:p w14:paraId="773E2C32">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八、部门整体支出绩效情况</w:t>
      </w:r>
    </w:p>
    <w:p w14:paraId="008B0A36">
      <w:pPr>
        <w:pStyle w:val="10"/>
        <w:widowControl/>
        <w:shd w:val="clear" w:color="auto" w:fill="FFFFFF"/>
        <w:snapToGrid w:val="0"/>
        <w:spacing w:line="360" w:lineRule="auto"/>
        <w:ind w:firstLine="320" w:firstLineChars="100"/>
        <w:rPr>
          <w:rFonts w:ascii="楷体" w:hAnsi="楷体" w:eastAsia="楷体" w:cs="楷体"/>
          <w:b/>
          <w:bCs/>
          <w:color w:val="000000"/>
          <w:sz w:val="32"/>
          <w:szCs w:val="32"/>
          <w:shd w:val="clear" w:color="auto" w:fill="FFFFFF"/>
        </w:rPr>
      </w:pPr>
      <w:r>
        <w:rPr>
          <w:rFonts w:hint="eastAsia" w:ascii="仿宋" w:hAnsi="仿宋" w:eastAsia="仿宋" w:cs="仿宋"/>
          <w:color w:val="000000"/>
          <w:sz w:val="32"/>
          <w:szCs w:val="32"/>
          <w:shd w:val="clear" w:color="auto" w:fill="FFFFFF"/>
        </w:rPr>
        <w:t>（一）综合评价结论。反映自评得分及评价等级。</w:t>
      </w:r>
    </w:p>
    <w:p w14:paraId="00524512">
      <w:pPr>
        <w:pStyle w:val="10"/>
        <w:widowControl/>
        <w:shd w:val="clear" w:color="auto" w:fill="FFFFFF"/>
        <w:snapToGrid w:val="0"/>
        <w:spacing w:line="360" w:lineRule="auto"/>
        <w:ind w:firstLine="560" w:firstLineChars="200"/>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2025年部门整体支出绩效综合评价为98分，评价等级为优。</w:t>
      </w:r>
    </w:p>
    <w:p w14:paraId="01ACE31A">
      <w:pPr>
        <w:pStyle w:val="10"/>
        <w:widowControl/>
        <w:shd w:val="clear" w:color="auto" w:fill="FFFFFF"/>
        <w:snapToGrid w:val="0"/>
        <w:spacing w:line="520" w:lineRule="exact"/>
        <w:ind w:firstLine="320" w:firstLineChars="100"/>
        <w:rPr>
          <w:rFonts w:ascii="仿宋" w:hAnsi="仿宋" w:eastAsia="仿宋" w:cs="仿宋"/>
          <w:color w:val="000000"/>
          <w:sz w:val="28"/>
          <w:szCs w:val="28"/>
          <w:shd w:val="clear" w:color="auto" w:fill="FFFFFF"/>
        </w:rPr>
      </w:pPr>
      <w:r>
        <w:rPr>
          <w:rFonts w:hint="eastAsia" w:ascii="仿宋" w:hAnsi="仿宋" w:eastAsia="仿宋" w:cs="仿宋"/>
          <w:color w:val="000000"/>
          <w:sz w:val="32"/>
          <w:szCs w:val="32"/>
          <w:shd w:val="clear" w:color="auto" w:fill="FFFFFF"/>
        </w:rPr>
        <w:t>（二）评价指标分析（或综合评价情况）。</w:t>
      </w:r>
    </w:p>
    <w:p w14:paraId="39BE2753">
      <w:pPr>
        <w:widowControl/>
        <w:spacing w:line="360" w:lineRule="auto"/>
        <w:ind w:firstLine="646"/>
        <w:jc w:val="left"/>
        <w:rPr>
          <w:rFonts w:ascii="仿宋" w:hAnsi="仿宋" w:eastAsia="仿宋" w:cs="仿宋"/>
          <w:spacing w:val="-2"/>
          <w:sz w:val="32"/>
          <w:szCs w:val="32"/>
        </w:rPr>
      </w:pPr>
      <w:r>
        <w:rPr>
          <w:rFonts w:hint="eastAsia" w:ascii="仿宋" w:hAnsi="仿宋" w:eastAsia="仿宋" w:cs="仿宋"/>
          <w:color w:val="000000"/>
          <w:sz w:val="32"/>
          <w:szCs w:val="32"/>
        </w:rPr>
        <w:t>按照怀化市预算绩效管理工作的总体要求，结合我单位实际，2025年设定的管理目标主要是支出规范、专款专用，</w:t>
      </w:r>
      <w:r>
        <w:rPr>
          <w:rFonts w:hint="eastAsia" w:ascii="仿宋" w:hAnsi="仿宋" w:eastAsia="仿宋" w:cs="仿宋"/>
          <w:color w:val="000000"/>
          <w:sz w:val="32"/>
          <w:szCs w:val="32"/>
          <w:shd w:val="clear" w:color="auto" w:fill="FFFFFF"/>
        </w:rPr>
        <w:t>社会公众</w:t>
      </w:r>
      <w:r>
        <w:rPr>
          <w:rFonts w:hint="eastAsia" w:ascii="仿宋" w:hAnsi="仿宋" w:eastAsia="仿宋" w:cs="仿宋"/>
          <w:sz w:val="32"/>
          <w:szCs w:val="32"/>
        </w:rPr>
        <w:t>满意。</w:t>
      </w:r>
      <w:r>
        <w:rPr>
          <w:rFonts w:hint="eastAsia" w:ascii="仿宋" w:hAnsi="仿宋" w:eastAsia="仿宋" w:cs="仿宋"/>
          <w:color w:val="000000"/>
          <w:sz w:val="32"/>
          <w:szCs w:val="32"/>
        </w:rPr>
        <w:t>我单位2025年整体支出650.64万元，全部实现了整体支出绩效管理目标。</w:t>
      </w:r>
    </w:p>
    <w:p w14:paraId="517B7DF8">
      <w:pPr>
        <w:pStyle w:val="10"/>
        <w:widowControl/>
        <w:shd w:val="clear" w:color="auto" w:fill="FFFFFF"/>
        <w:snapToGrid w:val="0"/>
        <w:spacing w:line="360" w:lineRule="auto"/>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1、整体绩效完成率100%自评得分10分。</w:t>
      </w:r>
    </w:p>
    <w:p w14:paraId="1676E857">
      <w:pPr>
        <w:pStyle w:val="10"/>
        <w:widowControl/>
        <w:shd w:val="clear" w:color="auto" w:fill="FFFFFF"/>
        <w:snapToGrid w:val="0"/>
        <w:spacing w:line="360" w:lineRule="auto"/>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产出指标:满功率度指标，考核发射机播出功率，自评得分10分;发射机及附属设备完好率指标，满时间度指标，考核广播电视节目播放时长，自评得分10分；维护费支出率，考核项目实施过程中对成本的控制情况，自评得分10分</w:t>
      </w:r>
    </w:p>
    <w:p w14:paraId="53B0A8A5">
      <w:pPr>
        <w:pStyle w:val="10"/>
        <w:widowControl/>
        <w:shd w:val="clear" w:color="auto" w:fill="FFFFFF"/>
        <w:snapToGrid w:val="0"/>
        <w:spacing w:line="360" w:lineRule="auto"/>
        <w:ind w:firstLine="320" w:firstLineChars="1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效益指标:资金到位率指标，考核资金使用效益情况，自评得分10分;社会效益情况指标，考核项目实施对社会效益的影响情况，自评得分5分;生态效益情况指标，考核项目实施对生态环境所带来的直接或间接影响，自评得分4分;可持续影响情况指标，考核项目对可持续发展所带来的直接或间接影响情况，自评得分9分。</w:t>
      </w:r>
    </w:p>
    <w:p w14:paraId="2B630F76">
      <w:pPr>
        <w:pStyle w:val="10"/>
        <w:widowControl/>
        <w:shd w:val="clear" w:color="auto" w:fill="FFFFFF"/>
        <w:snapToGrid w:val="0"/>
        <w:spacing w:line="360" w:lineRule="auto"/>
        <w:ind w:firstLine="320" w:firstLineChars="1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4、满意度指标：社会公众满意度指标，考核服务对象满意度，自评得分10分。</w:t>
      </w:r>
    </w:p>
    <w:p w14:paraId="5F49B40B">
      <w:pPr>
        <w:pStyle w:val="10"/>
        <w:widowControl/>
        <w:shd w:val="clear" w:color="auto" w:fill="FFFFFF"/>
        <w:snapToGrid w:val="0"/>
        <w:spacing w:line="360" w:lineRule="auto"/>
        <w:ind w:firstLine="320" w:firstLineChars="1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5、成本指标：经济成本指标，考核成本控制率自评得分10分;社会成本指标，考核社会成本节约率，自评得分5分;生态成本指标，考核生态环境成本节约，自评得分5分</w:t>
      </w:r>
    </w:p>
    <w:p w14:paraId="2A38D5AC">
      <w:pPr>
        <w:pStyle w:val="10"/>
        <w:widowControl/>
        <w:shd w:val="clear" w:color="auto" w:fill="FFFFFF"/>
        <w:snapToGrid w:val="0"/>
        <w:spacing w:line="360" w:lineRule="auto"/>
        <w:ind w:firstLine="342" w:firstLineChars="100"/>
        <w:rPr>
          <w:rFonts w:ascii="仿宋" w:hAnsi="仿宋" w:eastAsia="仿宋" w:cs="仿宋"/>
          <w:color w:val="000000"/>
          <w:sz w:val="32"/>
          <w:szCs w:val="32"/>
          <w:shd w:val="clear" w:color="auto" w:fill="FFFFFF"/>
        </w:rPr>
      </w:pPr>
      <w:r>
        <w:rPr>
          <w:rFonts w:hint="eastAsia" w:ascii="仿宋" w:hAnsi="仿宋" w:eastAsia="仿宋" w:cs="仿宋"/>
          <w:color w:val="000000"/>
          <w:spacing w:val="11"/>
          <w:kern w:val="0"/>
          <w:sz w:val="32"/>
          <w:szCs w:val="32"/>
          <w:shd w:val="clear" w:color="auto" w:fill="FFFFFF"/>
        </w:rPr>
        <w:t>综上所述，我单位通过一系列的操作和策略，实现了社会效益、经济效益和可持续效益的多重提升，效果明显。</w:t>
      </w:r>
    </w:p>
    <w:p w14:paraId="7830DD4A">
      <w:pPr>
        <w:pStyle w:val="10"/>
        <w:widowControl/>
        <w:numPr>
          <w:ilvl w:val="0"/>
          <w:numId w:val="4"/>
        </w:numPr>
        <w:shd w:val="clear" w:color="auto" w:fill="FFFFFF"/>
        <w:snapToGrid w:val="0"/>
        <w:spacing w:line="520" w:lineRule="exact"/>
        <w:ind w:firstLine="320" w:firstLineChars="1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取得效益。</w:t>
      </w:r>
    </w:p>
    <w:p w14:paraId="07E8549E">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2025年，怀化市大中坡电视转播台在市委、市政府及市广播电视台的正确领导下，深入贯彻落实党的二十大及二十届二中、三中、四中全会精神，紧紧围绕“安全播出、技术升级、服务民生”三大核心任务，全体干部职工凝心聚力、攻坚克难，圆满完成了年度各项工作目标，现将本年度工作总结汇报如下：</w:t>
      </w:r>
    </w:p>
    <w:p w14:paraId="45E0AE45">
      <w:pPr>
        <w:spacing w:beforeLines="50" w:line="396" w:lineRule="auto"/>
        <w:ind w:left="14" w:leftChars="7" w:right="11" w:firstLine="664" w:firstLineChars="200"/>
        <w:rPr>
          <w:rFonts w:ascii="仿宋" w:hAnsi="仿宋" w:eastAsia="仿宋" w:cs="仿宋"/>
          <w:spacing w:val="6"/>
          <w:sz w:val="32"/>
          <w:szCs w:val="32"/>
        </w:rPr>
      </w:pPr>
      <w:r>
        <w:rPr>
          <w:rFonts w:hint="eastAsia" w:ascii="仿宋" w:hAnsi="仿宋" w:eastAsia="仿宋" w:cs="仿宋"/>
          <w:spacing w:val="6"/>
          <w:sz w:val="32"/>
          <w:szCs w:val="32"/>
        </w:rPr>
        <w:t>1.</w:t>
      </w:r>
      <w:r>
        <w:rPr>
          <w:rFonts w:ascii="仿宋" w:hAnsi="仿宋" w:eastAsia="仿宋" w:cs="仿宋"/>
          <w:spacing w:val="6"/>
          <w:sz w:val="32"/>
          <w:szCs w:val="32"/>
        </w:rPr>
        <w:t xml:space="preserve">安全播出保障：筑牢意识形态安全防线 </w:t>
      </w:r>
    </w:p>
    <w:p w14:paraId="45EDCC27">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w:t>
      </w:r>
      <w:r>
        <w:rPr>
          <w:rFonts w:hint="eastAsia" w:ascii="仿宋" w:hAnsi="仿宋" w:eastAsia="仿宋" w:cs="仿宋"/>
          <w:spacing w:val="6"/>
          <w:sz w:val="32"/>
          <w:szCs w:val="32"/>
        </w:rPr>
        <w:t>1</w:t>
      </w:r>
      <w:r>
        <w:rPr>
          <w:rFonts w:ascii="仿宋" w:hAnsi="仿宋" w:eastAsia="仿宋" w:cs="仿宋"/>
          <w:spacing w:val="6"/>
          <w:sz w:val="32"/>
          <w:szCs w:val="32"/>
        </w:rPr>
        <w:t xml:space="preserve">）强化制度建设，压实安全责任 </w:t>
      </w:r>
    </w:p>
    <w:p w14:paraId="77421250">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全年严格执行《广播电视安全播出管理规定》，修订完善《安全播出应急预案》《设备巡查维护制度》等规章制度，建立“台长负总责、分管领导具体抓、部门负责人直接管、值班人员岗位负责”的四级责任体系，将责任落实到岗、到人，实现安全播出责任全覆盖。 </w:t>
      </w:r>
    </w:p>
    <w:p w14:paraId="521789A5">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w:t>
      </w:r>
      <w:r>
        <w:rPr>
          <w:rFonts w:hint="eastAsia" w:ascii="仿宋" w:hAnsi="仿宋" w:eastAsia="仿宋" w:cs="仿宋"/>
          <w:spacing w:val="6"/>
          <w:sz w:val="32"/>
          <w:szCs w:val="32"/>
        </w:rPr>
        <w:t>2</w:t>
      </w:r>
      <w:r>
        <w:rPr>
          <w:rFonts w:ascii="仿宋" w:hAnsi="仿宋" w:eastAsia="仿宋" w:cs="仿宋"/>
          <w:spacing w:val="6"/>
          <w:sz w:val="32"/>
          <w:szCs w:val="32"/>
        </w:rPr>
        <w:t xml:space="preserve">）深化隐患排查，提升应急能力 </w:t>
      </w:r>
    </w:p>
    <w:p w14:paraId="423F71AD">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播出是根本，维护是保证。我们紧紧围绕“不间断、高质量、既经济、又安全”的方针展开机房值班、维护工作，做到两手抓、两手硬。全面自查，排除隐患，对供配电系统、信号源系统、天馈系统、传输监测系统进行更换和备份。在抗战80周年广播电视安全播出保障前期，发现本台“20CH与 31CH 的备用卫星天线老化故障”问题，立即组织人员对播出技术系统的供电、信号源、主备设备、天馈系统等进行逐项检查核实整改工作。并联系设备厂家，筹措一万多元资金购买了“华达C波段2.4米玻璃钢卫星天线”，并安装调试到位，实现卫星信号主、备互为备份，设备运行正常。在重大安全播出时段，精心安排好日程，提前与公安、电力、中坡山国家森林管理处、中国广电怀化公司等衔接好关系，确保安保到位、电力通畅、信号清晰。责任单位先后亲临现场排查隐患，有效地促进了各项工作的开展与落实。 </w:t>
      </w:r>
    </w:p>
    <w:p w14:paraId="5162BD3A">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组织开展信源、停电、火灾、反恐防暴等突发事故应急演练3次，参演人员做到了值班值守人员全覆盖，演练场景覆盖信号中断、设备故障、消防安保、动力切换等类型突发情况，应急响应时间明显缩短，处置能力显著提升。 </w:t>
      </w:r>
    </w:p>
    <w:p w14:paraId="3D1478F5">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w:t>
      </w:r>
      <w:r>
        <w:rPr>
          <w:rFonts w:hint="eastAsia" w:ascii="仿宋" w:hAnsi="仿宋" w:eastAsia="仿宋" w:cs="仿宋"/>
          <w:spacing w:val="6"/>
          <w:sz w:val="32"/>
          <w:szCs w:val="32"/>
        </w:rPr>
        <w:t>3</w:t>
      </w:r>
      <w:r>
        <w:rPr>
          <w:rFonts w:ascii="仿宋" w:hAnsi="仿宋" w:eastAsia="仿宋" w:cs="仿宋"/>
          <w:spacing w:val="6"/>
          <w:sz w:val="32"/>
          <w:szCs w:val="32"/>
        </w:rPr>
        <w:t xml:space="preserve">）优化运维管理，确保播出质量 </w:t>
      </w:r>
    </w:p>
    <w:p w14:paraId="467C2EAB">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严格执行24小时值班值守制度，全年累计安全播出电视节目6570小时、广播节目6935小时。完成发射机、天馈线系统等核心设备维护保养12次,全年进行了4次季检和8次月检，发现隐患及时排除，真正让设备故障消除在萌芽状态。通过优化运维管理，设备运行稳定率、发射功率达标，覆盖区域电视信号、广播信号覆盖率得到提升。一年来，广播电视节目信号播出、传输、接收设备在技术人员精心呵护下，圆满完成了全国两会、中国人民抗日战争暨世界反法西斯战争胜利80周年、国庆及党的二十届四中全会等重大节日时段的广播电视安全播出任务，做到了全年安全播出零事故、零失误。</w:t>
      </w:r>
    </w:p>
    <w:p w14:paraId="68D2145D">
      <w:pPr>
        <w:spacing w:beforeLines="50" w:line="396" w:lineRule="auto"/>
        <w:ind w:left="770" w:right="11"/>
        <w:rPr>
          <w:rFonts w:ascii="仿宋" w:hAnsi="仿宋" w:eastAsia="仿宋" w:cs="仿宋"/>
          <w:spacing w:val="6"/>
          <w:sz w:val="32"/>
          <w:szCs w:val="32"/>
        </w:rPr>
      </w:pPr>
      <w:r>
        <w:rPr>
          <w:rFonts w:hint="eastAsia" w:ascii="仿宋" w:hAnsi="仿宋" w:eastAsia="仿宋" w:cs="仿宋"/>
          <w:spacing w:val="6"/>
          <w:sz w:val="32"/>
          <w:szCs w:val="32"/>
        </w:rPr>
        <w:t>2.</w:t>
      </w:r>
      <w:r>
        <w:rPr>
          <w:rFonts w:ascii="仿宋" w:hAnsi="仿宋" w:eastAsia="仿宋" w:cs="仿宋"/>
          <w:spacing w:val="6"/>
          <w:sz w:val="32"/>
          <w:szCs w:val="32"/>
        </w:rPr>
        <w:t>技术升级改造：推动数字化转型发展</w:t>
      </w:r>
    </w:p>
    <w:p w14:paraId="410AC70E">
      <w:pPr>
        <w:spacing w:beforeLines="50" w:line="396" w:lineRule="auto"/>
        <w:ind w:right="11" w:firstLine="332" w:firstLineChars="100"/>
        <w:rPr>
          <w:rFonts w:ascii="仿宋" w:hAnsi="仿宋" w:eastAsia="仿宋" w:cs="仿宋"/>
          <w:spacing w:val="6"/>
          <w:sz w:val="32"/>
          <w:szCs w:val="32"/>
        </w:rPr>
      </w:pPr>
      <w:r>
        <w:rPr>
          <w:rFonts w:ascii="仿宋" w:hAnsi="仿宋" w:eastAsia="仿宋" w:cs="仿宋"/>
          <w:spacing w:val="6"/>
          <w:sz w:val="32"/>
          <w:szCs w:val="32"/>
        </w:rPr>
        <w:t xml:space="preserve"> （</w:t>
      </w:r>
      <w:r>
        <w:rPr>
          <w:rFonts w:hint="eastAsia" w:ascii="仿宋" w:hAnsi="仿宋" w:eastAsia="仿宋" w:cs="仿宋"/>
          <w:spacing w:val="6"/>
          <w:sz w:val="32"/>
          <w:szCs w:val="32"/>
        </w:rPr>
        <w:t>1</w:t>
      </w:r>
      <w:r>
        <w:rPr>
          <w:rFonts w:ascii="仿宋" w:hAnsi="仿宋" w:eastAsia="仿宋" w:cs="仿宋"/>
          <w:spacing w:val="6"/>
          <w:sz w:val="32"/>
          <w:szCs w:val="32"/>
        </w:rPr>
        <w:t xml:space="preserve">）推进数字化改造工程 </w:t>
      </w:r>
    </w:p>
    <w:p w14:paraId="17F481E0">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去年对机房进行了信源IP化升级改造，运行一年来服务器故障点明显减少，信源质量稳定提升，关键节点监控监测更全面，画面清晰度和音质效果显著提升。由于我台可用于运行维护的经费捉襟见肘，无形之中制约了数字设备设施的更新升级，为此我台多次向市广播电台汇报，在市台的关心支持下，争取省广电局拟将本台设备设施升级改造纳入2026年计划，主要用于发射基地配电改造和机房发射机备份购置，不断完善和推进发射基地数字化改造。 </w:t>
      </w:r>
    </w:p>
    <w:p w14:paraId="4DBB269C">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w:t>
      </w:r>
      <w:r>
        <w:rPr>
          <w:rFonts w:hint="eastAsia" w:ascii="仿宋" w:hAnsi="仿宋" w:eastAsia="仿宋" w:cs="仿宋"/>
          <w:spacing w:val="6"/>
          <w:sz w:val="32"/>
          <w:szCs w:val="32"/>
        </w:rPr>
        <w:t>2</w:t>
      </w:r>
      <w:r>
        <w:rPr>
          <w:rFonts w:ascii="仿宋" w:hAnsi="仿宋" w:eastAsia="仿宋" w:cs="仿宋"/>
          <w:spacing w:val="6"/>
          <w:sz w:val="32"/>
          <w:szCs w:val="32"/>
        </w:rPr>
        <w:t xml:space="preserve">）完善基础设施建设 </w:t>
      </w:r>
    </w:p>
    <w:p w14:paraId="794FF077">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升级安防监控系统，在中坡山顶发射基地机房、配电室、铁塔区域和台区范围布设18个高清摄像头；同时在发射基地围墙上安装铁丝刺网，防止不法分子非法翻越；对基地进出大铁门进行改造升级，消除了大铁门频繁故障，实现台站全域24小时无死角监控，安防能力全面加强。 </w:t>
      </w:r>
    </w:p>
    <w:p w14:paraId="56608303">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完成发射基地冷热水循环系统升级改造，恢复太阳能热水器使用，既保障了基地值班值守人员正常生活条件，又降低了电量能耗。 </w:t>
      </w:r>
    </w:p>
    <w:p w14:paraId="11867CFE">
      <w:pPr>
        <w:spacing w:beforeLines="50" w:line="396" w:lineRule="auto"/>
        <w:ind w:left="770" w:right="11"/>
        <w:rPr>
          <w:rFonts w:ascii="仿宋" w:hAnsi="仿宋" w:eastAsia="仿宋" w:cs="仿宋"/>
          <w:spacing w:val="6"/>
          <w:sz w:val="32"/>
          <w:szCs w:val="32"/>
        </w:rPr>
      </w:pPr>
      <w:r>
        <w:rPr>
          <w:rFonts w:hint="eastAsia" w:ascii="仿宋" w:hAnsi="仿宋" w:eastAsia="仿宋" w:cs="仿宋"/>
          <w:spacing w:val="6"/>
          <w:sz w:val="32"/>
          <w:szCs w:val="32"/>
        </w:rPr>
        <w:t>3.</w:t>
      </w:r>
      <w:r>
        <w:rPr>
          <w:rFonts w:ascii="仿宋" w:hAnsi="仿宋" w:eastAsia="仿宋" w:cs="仿宋"/>
          <w:spacing w:val="6"/>
          <w:sz w:val="32"/>
          <w:szCs w:val="32"/>
        </w:rPr>
        <w:t>公共服务提升：践行为民服务宗旨</w:t>
      </w:r>
    </w:p>
    <w:p w14:paraId="2AE0CF80">
      <w:pPr>
        <w:spacing w:beforeLines="50" w:line="396" w:lineRule="auto"/>
        <w:ind w:right="11" w:firstLine="332" w:firstLineChars="100"/>
        <w:rPr>
          <w:rFonts w:ascii="仿宋" w:hAnsi="仿宋" w:eastAsia="仿宋" w:cs="仿宋"/>
          <w:spacing w:val="6"/>
          <w:sz w:val="32"/>
          <w:szCs w:val="32"/>
        </w:rPr>
      </w:pPr>
      <w:r>
        <w:rPr>
          <w:rFonts w:ascii="仿宋" w:hAnsi="仿宋" w:eastAsia="仿宋" w:cs="仿宋"/>
          <w:spacing w:val="6"/>
          <w:sz w:val="32"/>
          <w:szCs w:val="32"/>
        </w:rPr>
        <w:t xml:space="preserve"> （</w:t>
      </w:r>
      <w:r>
        <w:rPr>
          <w:rFonts w:hint="eastAsia" w:ascii="仿宋" w:hAnsi="仿宋" w:eastAsia="仿宋" w:cs="仿宋"/>
          <w:spacing w:val="6"/>
          <w:sz w:val="32"/>
          <w:szCs w:val="32"/>
        </w:rPr>
        <w:t>1</w:t>
      </w:r>
      <w:r>
        <w:rPr>
          <w:rFonts w:ascii="仿宋" w:hAnsi="仿宋" w:eastAsia="仿宋" w:cs="仿宋"/>
          <w:spacing w:val="6"/>
          <w:sz w:val="32"/>
          <w:szCs w:val="32"/>
        </w:rPr>
        <w:t xml:space="preserve">）提升服务覆盖区域信号质量 </w:t>
      </w:r>
    </w:p>
    <w:p w14:paraId="53410059">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先后4次组织技术人员深入中方、鹤城、芷江等广播电视覆盖区域，对我台发射的广播电视信号进行收测，收测组采取“场外定点收测+移动收测”方式，重点对中央和省级广播电视节目播出信号强度、信噪比等参数以及数字音频广播覆盖情况进行收测，对有干扰的信号源进行会商找出最佳解决方法，通过收测，全面掌握了我台广播电视节目无线信号覆盖的准确数据，让广播电视信号清晰地传送到千家万户，不断提升了广播电视公共服务水平。</w:t>
      </w:r>
      <w:r>
        <w:rPr>
          <w:rFonts w:ascii="Arial Unicode MS" w:hAnsi="Arial Unicode MS" w:eastAsia="Arial Unicode MS" w:cs="Arial Unicode MS"/>
          <w:spacing w:val="6"/>
          <w:sz w:val="32"/>
          <w:szCs w:val="32"/>
        </w:rPr>
        <w:t> </w:t>
      </w:r>
    </w:p>
    <w:p w14:paraId="68F2E06F">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w:t>
      </w:r>
      <w:r>
        <w:rPr>
          <w:rFonts w:hint="eastAsia" w:ascii="仿宋" w:hAnsi="仿宋" w:eastAsia="仿宋" w:cs="仿宋"/>
          <w:spacing w:val="6"/>
          <w:sz w:val="32"/>
          <w:szCs w:val="32"/>
        </w:rPr>
        <w:t>2</w:t>
      </w:r>
      <w:r>
        <w:rPr>
          <w:rFonts w:ascii="仿宋" w:hAnsi="仿宋" w:eastAsia="仿宋" w:cs="仿宋"/>
          <w:spacing w:val="6"/>
          <w:sz w:val="32"/>
          <w:szCs w:val="32"/>
        </w:rPr>
        <w:t xml:space="preserve">）搞好乡村振兴驻村帮扶 </w:t>
      </w:r>
    </w:p>
    <w:p w14:paraId="05DD0A63">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今年上半年，根据市驻村办的安排，本台单独组队进驻靖州县渠阳镇东宝村进行乡村振兴驻村帮扶及党组织软弱涣散支部整顿工作，5月份选派了一名有农村工作经验、年富力强的党员崔凯同志担任驻村第一书记。该同志驻村后立即投入紧张的工作中，先后与县、乡镇进行了有效衔接，全覆盖进行了入户走访，认真制定了驻村帮扶工作计划，了解村情民意，详细制定了党组织软弱涣散整顿目标，确保实现党组织班子凝聚力、战斗力，先锋模范作用发挥，联系服务群众能力和群众满意度等“五个提升”。同时台领导先后4次到东宝村走访调研，就该村在软弱涣散支部整顿、产业发展、基层治理及群众生产生活等方面展开了深入探讨。要求驻村队员对帮扶上报的基础设施建设、开展特色产业等重点工作事项进行认真跟踪和落实，积极争取政策支持，为精准助力乡村振兴、推动东宝村工作迈上新台阶出谋划策。驻村队员的工作态度和工作热情深受群众和村支两委的好评。 四、加强队伍建设与管理夯实人才保障基础 （一）强化政治理论学习 </w:t>
      </w:r>
    </w:p>
    <w:p w14:paraId="445708CE">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深入开展学习贯彻习近平新时代中国特色社会主义思想主题教育，深入贯彻中央八项规定精神学习教育，组织集中学习11次、专题研讨3次，干部职工撰写心得体会70余篇。开展赴辰溪椅子山烈士陵园红色教育基地参观、组织技术骨干到县乡用户家进行入户调查走访，开展信号收测，及时解决用户在收听收视过程中出现的各种问题等活动，提高了全体党员宗旨意识，筑牢意识形态思想防线，干部职工政治素养和理论水平显著提升。 （二）提升专业技能水平 </w:t>
      </w:r>
    </w:p>
    <w:p w14:paraId="368CE2C2">
      <w:pPr>
        <w:spacing w:beforeLines="50" w:line="396" w:lineRule="auto"/>
        <w:ind w:left="14" w:leftChars="7" w:right="11" w:firstLine="664" w:firstLineChars="200"/>
        <w:rPr>
          <w:rFonts w:ascii="仿宋" w:hAnsi="仿宋" w:eastAsia="仿宋" w:cs="仿宋"/>
          <w:spacing w:val="6"/>
          <w:sz w:val="32"/>
          <w:szCs w:val="32"/>
        </w:rPr>
      </w:pPr>
      <w:r>
        <w:rPr>
          <w:rFonts w:ascii="仿宋" w:hAnsi="仿宋" w:eastAsia="仿宋" w:cs="仿宋"/>
          <w:spacing w:val="6"/>
          <w:sz w:val="32"/>
          <w:szCs w:val="32"/>
        </w:rPr>
        <w:t xml:space="preserve">组织技术骨干参加省广电局举办的广播电视安全传输保障业务培训1次；开展内部技能比武、岗位练兵活动2次；技术部、播出部班组经常针对性地开展突发事故操作演练和技术骨干传帮带现学现用；聘请设备厂家现场教学讲解设备性能；鼓励职工考取专业技术资格证书，专业技术人员占比提升。通过采取走出去、请进来的学习培训方式，有效提高了职工的业务技能素质。 （三）加强党风廉政建设 </w:t>
      </w:r>
    </w:p>
    <w:p w14:paraId="35C5E0C3">
      <w:pPr>
        <w:spacing w:beforeLines="50" w:line="396" w:lineRule="auto"/>
        <w:ind w:left="14" w:leftChars="7" w:right="11" w:firstLine="664" w:firstLineChars="200"/>
        <w:rPr>
          <w:rFonts w:ascii="仿宋" w:hAnsi="仿宋" w:eastAsia="仿宋" w:cs="仿宋"/>
          <w:color w:val="000000"/>
          <w:sz w:val="32"/>
          <w:szCs w:val="32"/>
          <w:shd w:val="clear" w:color="auto" w:fill="FFFFFF"/>
        </w:rPr>
      </w:pPr>
      <w:r>
        <w:rPr>
          <w:rFonts w:ascii="仿宋" w:hAnsi="仿宋" w:eastAsia="仿宋" w:cs="仿宋"/>
          <w:spacing w:val="6"/>
          <w:sz w:val="32"/>
          <w:szCs w:val="32"/>
        </w:rPr>
        <w:t>组织学习中央八项规定精神和党风廉政建设相关法规制度，组织观看警示教育片，签订廉洁自律承诺书；强化纪律意识，对全体干部职工进行毛发检测筛查，维护公职人员队伍纯洁；常态化开展廉政谈话提醒，引导党员知敬畏、存戒惧、守底线。完善内部管理制度，规范财务报销、物资采购等流程，全年无违纪违法案件发生，营造了风清气正的工作环境。</w:t>
      </w:r>
    </w:p>
    <w:p w14:paraId="34B3C11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7FFFA4EE">
      <w:pPr>
        <w:pStyle w:val="16"/>
        <w:spacing w:line="360" w:lineRule="auto"/>
        <w:ind w:firstLine="640"/>
        <w:rPr>
          <w:rFonts w:ascii="仿宋" w:hAnsi="仿宋" w:eastAsia="仿宋" w:cs="仿宋"/>
          <w:color w:val="000000"/>
          <w:sz w:val="32"/>
          <w:szCs w:val="32"/>
          <w:shd w:val="clear" w:color="auto" w:fill="FFFFFF"/>
        </w:rPr>
      </w:pPr>
      <w:r>
        <w:rPr>
          <w:rFonts w:hint="eastAsia" w:ascii="仿宋" w:hAnsi="仿宋" w:eastAsia="仿宋" w:cs="仿宋"/>
          <w:sz w:val="32"/>
          <w:szCs w:val="32"/>
        </w:rPr>
        <w:t>质量指标中发射机及附属设备年度完成值为98%，原因分析在于资金总量不足，基础设施维修维护资金缺口较大，附属设备维修困难。</w:t>
      </w:r>
    </w:p>
    <w:p w14:paraId="1E59ADBA">
      <w:pPr>
        <w:numPr>
          <w:ilvl w:val="0"/>
          <w:numId w:val="5"/>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下一步改进措施</w:t>
      </w:r>
    </w:p>
    <w:p w14:paraId="662040B1">
      <w:pPr>
        <w:pStyle w:val="16"/>
        <w:spacing w:line="360" w:lineRule="auto"/>
        <w:ind w:firstLine="640"/>
        <w:rPr>
          <w:rFonts w:ascii="方正黑体_GBK" w:hAnsi="方正黑体_GBK" w:eastAsia="方正黑体_GBK" w:cs="方正黑体_GBK"/>
          <w:b/>
          <w:bCs/>
          <w:sz w:val="32"/>
          <w:szCs w:val="32"/>
        </w:rPr>
      </w:pPr>
      <w:r>
        <w:rPr>
          <w:rFonts w:hint="eastAsia" w:ascii="仿宋" w:hAnsi="仿宋" w:eastAsia="仿宋" w:cs="仿宋"/>
          <w:sz w:val="32"/>
          <w:szCs w:val="32"/>
        </w:rPr>
        <w:t>针对基础设施维修维护资金缺口较大的问题，改进措施是在合理利用现有资金的基础上，积极争取项目资金，强化资金管理，进一步完善台区基础设施及附属设备的维修维护工作，提升广播电视传输服务能力，保障安全播出任务。</w:t>
      </w:r>
    </w:p>
    <w:p w14:paraId="25A15D51">
      <w:pPr>
        <w:numPr>
          <w:ilvl w:val="0"/>
          <w:numId w:val="5"/>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绩效自评结果拟应用和公开情况</w:t>
      </w:r>
    </w:p>
    <w:p w14:paraId="645F776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2025年度我单位整体支出达到预期绩效目标。</w:t>
      </w:r>
    </w:p>
    <w:p w14:paraId="51529BE7">
      <w:pPr>
        <w:spacing w:line="560" w:lineRule="exact"/>
        <w:ind w:firstLine="640" w:firstLineChars="200"/>
        <w:rPr>
          <w:rFonts w:ascii="方正黑体_GBK" w:hAnsi="方正黑体_GBK" w:eastAsia="方正黑体_GBK" w:cs="方正黑体_GBK"/>
          <w:b/>
          <w:bCs/>
          <w:sz w:val="32"/>
          <w:szCs w:val="32"/>
        </w:rPr>
      </w:pPr>
      <w:r>
        <w:rPr>
          <w:rFonts w:hint="eastAsia" w:ascii="仿宋" w:hAnsi="仿宋" w:eastAsia="仿宋" w:cs="仿宋"/>
          <w:b/>
          <w:sz w:val="32"/>
          <w:szCs w:val="32"/>
        </w:rPr>
        <w:t>建议：</w:t>
      </w:r>
      <w:r>
        <w:rPr>
          <w:rFonts w:hint="eastAsia" w:ascii="仿宋" w:hAnsi="仿宋" w:eastAsia="仿宋" w:cs="仿宋"/>
          <w:bCs/>
          <w:sz w:val="32"/>
          <w:szCs w:val="32"/>
        </w:rPr>
        <w:t>绩效自评结果作为我单位改进管理，安排以后年度预算的重要参考依据，把绩效自评结果依法予以公开。</w:t>
      </w:r>
    </w:p>
    <w:p w14:paraId="717AE17E">
      <w:pPr>
        <w:numPr>
          <w:ilvl w:val="0"/>
          <w:numId w:val="5"/>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其他需要说明的情况</w:t>
      </w:r>
    </w:p>
    <w:p w14:paraId="4FAA2673">
      <w:pPr>
        <w:snapToGrid w:val="0"/>
        <w:spacing w:line="520" w:lineRule="exact"/>
        <w:ind w:firstLine="320" w:firstLineChars="100"/>
        <w:rPr>
          <w:rFonts w:ascii="仿宋" w:hAnsi="仿宋" w:eastAsia="仿宋" w:cs="仿宋"/>
          <w:sz w:val="32"/>
          <w:szCs w:val="32"/>
        </w:rPr>
      </w:pPr>
      <w:r>
        <w:rPr>
          <w:rFonts w:hint="eastAsia" w:ascii="仿宋" w:hAnsi="仿宋" w:eastAsia="仿宋" w:cs="仿宋"/>
          <w:sz w:val="32"/>
          <w:szCs w:val="32"/>
        </w:rPr>
        <w:t>无</w:t>
      </w:r>
    </w:p>
    <w:p w14:paraId="64B240C7">
      <w:pPr>
        <w:pStyle w:val="15"/>
        <w:jc w:val="center"/>
        <w:rPr>
          <w:rFonts w:ascii="Times New Roman" w:hAnsi="Times New Roman" w:cs="Times New Roman"/>
          <w:sz w:val="72"/>
          <w:szCs w:val="72"/>
        </w:rPr>
      </w:pPr>
    </w:p>
    <w:p w14:paraId="0E84956C">
      <w:pPr>
        <w:pStyle w:val="15"/>
        <w:jc w:val="center"/>
        <w:rPr>
          <w:rFonts w:ascii="Times New Roman" w:hAnsi="Times New Roman" w:cs="Times New Roman"/>
          <w:sz w:val="72"/>
          <w:szCs w:val="72"/>
        </w:rPr>
      </w:pPr>
    </w:p>
    <w:p w14:paraId="20A06DC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Arial Unicode MS">
    <w:altName w:val="Times New Roman"/>
    <w:panose1 w:val="020B0604020202020204"/>
    <w:charset w:val="86"/>
    <w:family w:val="swiss"/>
    <w:pitch w:val="default"/>
    <w:sig w:usb0="00000000" w:usb1="00000000" w:usb2="0000003F" w:usb3="00000000" w:csb0="603F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FA52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705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CDD1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30CE6F">
                          <w:pPr>
                            <w:pStyle w:val="7"/>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130CE6F">
                    <w:pPr>
                      <w:pStyle w:val="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E6F4F"/>
    <w:multiLevelType w:val="singleLevel"/>
    <w:tmpl w:val="80CE6F4F"/>
    <w:lvl w:ilvl="0" w:tentative="0">
      <w:start w:val="10"/>
      <w:numFmt w:val="chineseCounting"/>
      <w:suff w:val="nothing"/>
      <w:lvlText w:val="%1、"/>
      <w:lvlJc w:val="left"/>
      <w:rPr>
        <w:rFonts w:hint="eastAsia"/>
      </w:rPr>
    </w:lvl>
  </w:abstractNum>
  <w:abstractNum w:abstractNumId="1">
    <w:nsid w:val="B8BEEA68"/>
    <w:multiLevelType w:val="singleLevel"/>
    <w:tmpl w:val="B8BEEA68"/>
    <w:lvl w:ilvl="0" w:tentative="0">
      <w:start w:val="7"/>
      <w:numFmt w:val="chineseCounting"/>
      <w:suff w:val="nothing"/>
      <w:lvlText w:val="%1、"/>
      <w:lvlJc w:val="left"/>
      <w:rPr>
        <w:rFonts w:hint="eastAsia"/>
      </w:rPr>
    </w:lvl>
  </w:abstractNum>
  <w:abstractNum w:abstractNumId="2">
    <w:nsid w:val="D2060716"/>
    <w:multiLevelType w:val="singleLevel"/>
    <w:tmpl w:val="D2060716"/>
    <w:lvl w:ilvl="0" w:tentative="0">
      <w:start w:val="5"/>
      <w:numFmt w:val="chineseCounting"/>
      <w:suff w:val="nothing"/>
      <w:lvlText w:val="%1、"/>
      <w:lvlJc w:val="left"/>
      <w:rPr>
        <w:rFonts w:hint="eastAsia"/>
      </w:rPr>
    </w:lvl>
  </w:abstractNum>
  <w:abstractNum w:abstractNumId="3">
    <w:nsid w:val="31D7531A"/>
    <w:multiLevelType w:val="singleLevel"/>
    <w:tmpl w:val="31D7531A"/>
    <w:lvl w:ilvl="0" w:tentative="0">
      <w:start w:val="3"/>
      <w:numFmt w:val="chineseCounting"/>
      <w:suff w:val="nothing"/>
      <w:lvlText w:val="（%1）"/>
      <w:lvlJc w:val="left"/>
      <w:rPr>
        <w:rFonts w:hint="eastAsia"/>
      </w:rPr>
    </w:lvl>
  </w:abstractNum>
  <w:abstractNum w:abstractNumId="4">
    <w:nsid w:val="70F15044"/>
    <w:multiLevelType w:val="singleLevel"/>
    <w:tmpl w:val="70F15044"/>
    <w:lvl w:ilvl="0" w:tentative="0">
      <w:start w:val="3"/>
      <w:numFmt w:val="decimal"/>
      <w:suff w:val="nothing"/>
      <w:lvlText w:val="%1、"/>
      <w:lvlJc w:val="left"/>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79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51BE"/>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273B"/>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C5041"/>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007B90"/>
    <w:rsid w:val="0D5835A8"/>
    <w:rsid w:val="120F6FED"/>
    <w:rsid w:val="158067B8"/>
    <w:rsid w:val="1D97DEFF"/>
    <w:rsid w:val="1DFF72E5"/>
    <w:rsid w:val="1E951B80"/>
    <w:rsid w:val="1EFC6F07"/>
    <w:rsid w:val="2B9D2A26"/>
    <w:rsid w:val="2FDF85B8"/>
    <w:rsid w:val="2FFFEE04"/>
    <w:rsid w:val="323E0DF7"/>
    <w:rsid w:val="34DF85B0"/>
    <w:rsid w:val="3B8F36BC"/>
    <w:rsid w:val="3F566811"/>
    <w:rsid w:val="491FF225"/>
    <w:rsid w:val="498B6E84"/>
    <w:rsid w:val="4FFD214C"/>
    <w:rsid w:val="5777D4F5"/>
    <w:rsid w:val="58461A49"/>
    <w:rsid w:val="59DD8326"/>
    <w:rsid w:val="5DEF592A"/>
    <w:rsid w:val="5FC6BB1E"/>
    <w:rsid w:val="5FF720F1"/>
    <w:rsid w:val="67DF644E"/>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BBB9256"/>
    <w:rsid w:val="C3B4DA5A"/>
    <w:rsid w:val="CBFF70E0"/>
    <w:rsid w:val="CFF50B82"/>
    <w:rsid w:val="CFFFAD89"/>
    <w:rsid w:val="DFFE359E"/>
    <w:rsid w:val="DFFE4FFD"/>
    <w:rsid w:val="EEABED75"/>
    <w:rsid w:val="EEFBCA77"/>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Times New Roman"/>
      <w:b/>
      <w:bCs/>
      <w:kern w:val="44"/>
      <w:sz w:val="36"/>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unhideWhenUsed/>
    <w:qFormat/>
    <w:uiPriority w:val="99"/>
    <w:pPr>
      <w:spacing w:after="100" w:afterAutospacing="1"/>
    </w:pPr>
    <w:rPr>
      <w:rFonts w:ascii="Arial" w:hAnsi="Arial"/>
      <w:sz w:val="24"/>
      <w:szCs w:val="24"/>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rPr>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22</Words>
  <Characters>25</Characters>
  <Lines>119</Lines>
  <Paragraphs>33</Paragraphs>
  <TotalTime>4</TotalTime>
  <ScaleCrop>false</ScaleCrop>
  <LinksUpToDate>false</LinksUpToDate>
  <CharactersWithSpaces>27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A梦</cp:lastModifiedBy>
  <cp:lastPrinted>2024-08-10T18:20:00Z</cp:lastPrinted>
  <dcterms:modified xsi:type="dcterms:W3CDTF">2026-10-12T17:16:17Z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5F33A18DEF46430497C829212790666A_13</vt:lpwstr>
  </property>
  <property fmtid="{D5CDD505-2E9C-101B-9397-08002B2CF9AE}" pid="4" name="KSOTemplateDocerSaveRecord">
    <vt:lpwstr>eyJoZGlkIjoiNTgxMWQwZTU2ODlmMmVjNmNiODVhYTg4OGI2ODcwZmUiLCJ1c2VySWQiOiI2NDgxOTU2MjIifQ==</vt:lpwstr>
  </property>
</Properties>
</file>