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C700A">
      <w:pPr>
        <w:pStyle w:val="15"/>
        <w:jc w:val="both"/>
        <w:rPr>
          <w:rFonts w:hAnsi="黑体"/>
          <w:sz w:val="36"/>
          <w:szCs w:val="36"/>
        </w:rPr>
      </w:pPr>
      <w:r>
        <w:rPr>
          <w:rFonts w:hint="eastAsia" w:hAnsi="黑体"/>
          <w:sz w:val="36"/>
          <w:szCs w:val="36"/>
        </w:rPr>
        <w:t>附件1</w:t>
      </w:r>
    </w:p>
    <w:p w14:paraId="64890F48">
      <w:pPr>
        <w:pStyle w:val="15"/>
        <w:jc w:val="center"/>
        <w:rPr>
          <w:rFonts w:ascii="Times New Roman" w:hAnsi="Times New Roman" w:cs="Times New Roman"/>
          <w:sz w:val="56"/>
          <w:szCs w:val="56"/>
        </w:rPr>
      </w:pPr>
    </w:p>
    <w:p w14:paraId="334C68AA">
      <w:pPr>
        <w:pStyle w:val="15"/>
        <w:jc w:val="center"/>
        <w:rPr>
          <w:rFonts w:ascii="Times New Roman" w:hAnsi="Times New Roman" w:cs="Times New Roman"/>
          <w:sz w:val="84"/>
          <w:szCs w:val="84"/>
        </w:rPr>
      </w:pPr>
    </w:p>
    <w:p w14:paraId="061F7818">
      <w:pPr>
        <w:pStyle w:val="15"/>
        <w:jc w:val="center"/>
        <w:rPr>
          <w:rFonts w:ascii="Times New Roman" w:hAnsi="Times New Roman" w:cs="Times New Roman"/>
          <w:sz w:val="84"/>
          <w:szCs w:val="84"/>
        </w:rPr>
      </w:pPr>
    </w:p>
    <w:p w14:paraId="78B27CF3">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06536A6E">
      <w:pPr>
        <w:pStyle w:val="15"/>
        <w:jc w:val="center"/>
        <w:rPr>
          <w:rFonts w:hint="eastAsia" w:ascii="Times New Roman" w:hAnsi="Times New Roman" w:eastAsia="方正小标宋简体" w:cs="Times New Roman"/>
          <w:sz w:val="72"/>
          <w:szCs w:val="72"/>
          <w:lang w:eastAsia="zh-CN"/>
        </w:rPr>
      </w:pPr>
      <w:r>
        <w:rPr>
          <w:rFonts w:hint="eastAsia" w:ascii="Times New Roman" w:hAnsi="Times New Roman" w:eastAsia="方正小标宋简体" w:cs="Times New Roman"/>
          <w:sz w:val="72"/>
          <w:szCs w:val="72"/>
          <w:lang w:eastAsia="zh-CN"/>
        </w:rPr>
        <w:t>怀化市大中坡电视转播台</w:t>
      </w:r>
    </w:p>
    <w:p w14:paraId="4575FC5A">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3172D62D">
      <w:pPr>
        <w:pStyle w:val="15"/>
        <w:jc w:val="center"/>
        <w:rPr>
          <w:rFonts w:ascii="Times New Roman" w:hAnsi="Times New Roman" w:eastAsia="方正小标宋_GBK" w:cs="Times New Roman"/>
          <w:sz w:val="56"/>
          <w:szCs w:val="56"/>
        </w:rPr>
      </w:pPr>
    </w:p>
    <w:p w14:paraId="2D23E9CF">
      <w:pPr>
        <w:pStyle w:val="15"/>
        <w:jc w:val="center"/>
        <w:rPr>
          <w:rFonts w:ascii="Times New Roman" w:hAnsi="Times New Roman" w:cs="Times New Roman"/>
          <w:sz w:val="56"/>
          <w:szCs w:val="56"/>
        </w:rPr>
      </w:pPr>
    </w:p>
    <w:p w14:paraId="144647A5">
      <w:pPr>
        <w:pStyle w:val="15"/>
        <w:rPr>
          <w:rFonts w:ascii="Times New Roman" w:hAnsi="Times New Roman" w:cs="Times New Roman"/>
          <w:sz w:val="56"/>
          <w:szCs w:val="56"/>
        </w:rPr>
      </w:pPr>
    </w:p>
    <w:p w14:paraId="24005EBE">
      <w:pPr>
        <w:pStyle w:val="15"/>
        <w:jc w:val="center"/>
        <w:rPr>
          <w:rFonts w:ascii="Times New Roman" w:hAnsi="Times New Roman" w:cs="Times New Roman"/>
          <w:sz w:val="32"/>
          <w:szCs w:val="32"/>
        </w:rPr>
      </w:pPr>
    </w:p>
    <w:p w14:paraId="78CF651A">
      <w:pPr>
        <w:pStyle w:val="15"/>
        <w:jc w:val="center"/>
        <w:rPr>
          <w:rFonts w:ascii="Times New Roman" w:hAnsi="Times New Roman" w:cs="Times New Roman"/>
          <w:sz w:val="32"/>
          <w:szCs w:val="32"/>
        </w:rPr>
      </w:pPr>
    </w:p>
    <w:p w14:paraId="0C486723">
      <w:pPr>
        <w:pStyle w:val="15"/>
        <w:jc w:val="center"/>
        <w:rPr>
          <w:rFonts w:ascii="Times New Roman" w:hAnsi="Times New Roman" w:cs="Times New Roman"/>
          <w:sz w:val="32"/>
          <w:szCs w:val="32"/>
        </w:rPr>
      </w:pPr>
    </w:p>
    <w:p w14:paraId="7DE40DB8">
      <w:pPr>
        <w:pStyle w:val="15"/>
        <w:jc w:val="center"/>
        <w:rPr>
          <w:rFonts w:ascii="Times New Roman" w:hAnsi="Times New Roman" w:cs="Times New Roman"/>
          <w:sz w:val="32"/>
          <w:szCs w:val="32"/>
        </w:rPr>
      </w:pPr>
    </w:p>
    <w:p w14:paraId="5A7B81C6">
      <w:pPr>
        <w:pStyle w:val="15"/>
        <w:jc w:val="center"/>
        <w:rPr>
          <w:rFonts w:ascii="Times New Roman" w:hAnsi="Times New Roman" w:cs="Times New Roman"/>
          <w:sz w:val="32"/>
          <w:szCs w:val="32"/>
        </w:rPr>
      </w:pPr>
    </w:p>
    <w:p w14:paraId="1C9C3EB4">
      <w:pPr>
        <w:pStyle w:val="15"/>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26426E14">
      <w:pPr>
        <w:pStyle w:val="15"/>
        <w:spacing w:line="600" w:lineRule="exact"/>
        <w:jc w:val="both"/>
        <w:rPr>
          <w:rFonts w:ascii="Times New Roman" w:hAnsi="Times New Roman" w:cs="Times New Roman"/>
          <w:b/>
          <w:sz w:val="36"/>
          <w:szCs w:val="28"/>
        </w:rPr>
      </w:pPr>
    </w:p>
    <w:p w14:paraId="269846D1">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46800D27">
      <w:pPr>
        <w:pStyle w:val="15"/>
        <w:spacing w:line="600" w:lineRule="exact"/>
        <w:jc w:val="center"/>
        <w:rPr>
          <w:rFonts w:ascii="Times New Roman" w:hAnsi="Times New Roman" w:cs="Times New Roman"/>
          <w:b/>
          <w:sz w:val="36"/>
          <w:szCs w:val="28"/>
        </w:rPr>
      </w:pPr>
    </w:p>
    <w:p w14:paraId="7277E417">
      <w:pPr>
        <w:pStyle w:val="15"/>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怀化市大中坡电视转播台</w:t>
      </w:r>
      <w:r>
        <w:rPr>
          <w:rFonts w:ascii="Times New Roman" w:hAnsi="Times New Roman" w:cs="Times New Roman"/>
          <w:bCs/>
          <w:sz w:val="32"/>
          <w:szCs w:val="32"/>
        </w:rPr>
        <w:t>部门概况</w:t>
      </w:r>
    </w:p>
    <w:p w14:paraId="65058A6E">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4506B2CE">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2DC36291">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7AF40E4D">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375A839B">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5359E916">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73330937">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619C3DAC">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26ED2C8D">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3B80AEED">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6150F3C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50ECB85E">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4F6CBDD5">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3B62DE80">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3C3F4796">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54DA9B6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5887DBE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0EDA31A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6325E4EC">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43E3073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1FA1AC2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2481DB7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7E9D50B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九、国有资本经营预算财政拨款收入支出决算情况说明</w:t>
      </w:r>
    </w:p>
    <w:p w14:paraId="125BD7F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十</w:t>
      </w:r>
      <w:r>
        <w:rPr>
          <w:rFonts w:ascii="Times New Roman" w:hAnsi="Times New Roman" w:eastAsia="仿宋_GB2312" w:cs="Times New Roman"/>
          <w:color w:val="000000"/>
          <w:kern w:val="0"/>
          <w:sz w:val="32"/>
          <w:szCs w:val="32"/>
        </w:rPr>
        <w:t>、关于机关运行经费支出说明</w:t>
      </w:r>
    </w:p>
    <w:p w14:paraId="321A99F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一</w:t>
      </w:r>
      <w:r>
        <w:rPr>
          <w:rFonts w:ascii="Times New Roman" w:hAnsi="Times New Roman" w:eastAsia="仿宋_GB2312" w:cs="Times New Roman"/>
          <w:color w:val="000000"/>
          <w:kern w:val="0"/>
          <w:sz w:val="32"/>
          <w:szCs w:val="32"/>
        </w:rPr>
        <w:t>、一般性支出情况说明</w:t>
      </w:r>
    </w:p>
    <w:p w14:paraId="158F9A6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二</w:t>
      </w:r>
      <w:r>
        <w:rPr>
          <w:rFonts w:ascii="Times New Roman" w:hAnsi="Times New Roman" w:eastAsia="仿宋_GB2312" w:cs="Times New Roman"/>
          <w:color w:val="000000"/>
          <w:kern w:val="0"/>
          <w:sz w:val="32"/>
          <w:szCs w:val="32"/>
        </w:rPr>
        <w:t>、关于政府采购支出说明</w:t>
      </w:r>
    </w:p>
    <w:p w14:paraId="15ABD721">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三</w:t>
      </w:r>
      <w:r>
        <w:rPr>
          <w:rFonts w:ascii="Times New Roman" w:hAnsi="Times New Roman" w:eastAsia="仿宋_GB2312" w:cs="Times New Roman"/>
          <w:sz w:val="32"/>
          <w:szCs w:val="32"/>
        </w:rPr>
        <w:t>、关于国有资产占用情况说明</w:t>
      </w:r>
    </w:p>
    <w:p w14:paraId="5FCB9933">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四</w:t>
      </w:r>
      <w:r>
        <w:rPr>
          <w:rFonts w:ascii="Times New Roman" w:hAnsi="Times New Roman" w:eastAsia="仿宋_GB2312" w:cs="Times New Roman"/>
          <w:sz w:val="32"/>
          <w:szCs w:val="32"/>
        </w:rPr>
        <w:t>、关于2024年度预算绩效管理情况的说明</w:t>
      </w:r>
    </w:p>
    <w:p w14:paraId="0EE70BB6">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2CE2F2A1">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4ED582FC">
      <w:pPr>
        <w:pStyle w:val="15"/>
        <w:spacing w:line="600" w:lineRule="exact"/>
        <w:rPr>
          <w:rFonts w:ascii="Times New Roman" w:hAnsi="Times New Roman" w:cs="Times New Roman"/>
          <w:bCs/>
          <w:sz w:val="28"/>
          <w:szCs w:val="28"/>
        </w:rPr>
      </w:pPr>
    </w:p>
    <w:p w14:paraId="6D384A48">
      <w:pPr>
        <w:jc w:val="center"/>
        <w:rPr>
          <w:rFonts w:ascii="Times New Roman" w:hAnsi="Times New Roman" w:cs="Times New Roman"/>
          <w:sz w:val="72"/>
          <w:szCs w:val="72"/>
        </w:rPr>
      </w:pPr>
    </w:p>
    <w:p w14:paraId="1165C762">
      <w:pPr>
        <w:jc w:val="center"/>
        <w:rPr>
          <w:rFonts w:ascii="Times New Roman" w:hAnsi="Times New Roman" w:cs="Times New Roman"/>
          <w:sz w:val="72"/>
          <w:szCs w:val="72"/>
        </w:rPr>
      </w:pPr>
    </w:p>
    <w:p w14:paraId="2E71EE43">
      <w:pPr>
        <w:jc w:val="center"/>
        <w:rPr>
          <w:rFonts w:ascii="Times New Roman" w:hAnsi="Times New Roman" w:cs="Times New Roman"/>
          <w:sz w:val="72"/>
          <w:szCs w:val="72"/>
        </w:rPr>
      </w:pPr>
    </w:p>
    <w:p w14:paraId="2D585275">
      <w:pPr>
        <w:pStyle w:val="8"/>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684A75DF">
      <w:pPr>
        <w:rPr>
          <w:rFonts w:ascii="Times New Roman" w:hAnsi="Times New Roman" w:eastAsia="方正小标宋_GBK" w:cs="Times New Roman"/>
          <w:sz w:val="72"/>
          <w:szCs w:val="72"/>
        </w:rPr>
      </w:pPr>
    </w:p>
    <w:p w14:paraId="2D41078C">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5A551DE2">
      <w:pPr>
        <w:pStyle w:val="15"/>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怀化市大中坡电视转播台</w:t>
      </w:r>
      <w:r>
        <w:rPr>
          <w:rFonts w:ascii="Times New Roman" w:hAnsi="Times New Roman" w:eastAsia="方正小标宋_GBK" w:cs="Times New Roman"/>
          <w:sz w:val="52"/>
          <w:szCs w:val="52"/>
        </w:rPr>
        <w:t>部门概况</w:t>
      </w:r>
    </w:p>
    <w:p w14:paraId="3B62DB20">
      <w:pPr>
        <w:pStyle w:val="4"/>
        <w:ind w:left="0" w:leftChars="0" w:firstLine="0" w:firstLineChars="0"/>
        <w:rPr>
          <w:rFonts w:ascii="Times New Roman" w:hAnsi="Times New Roman" w:cs="Times New Roman"/>
        </w:rPr>
      </w:pPr>
    </w:p>
    <w:p w14:paraId="7507A9FE">
      <w:pPr>
        <w:pStyle w:val="16"/>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254F835E">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怀化市大中坡电视转播台属于怀化市广播电视台下属二级机构,副处级全额拨款事业单位,负责广播电视转播等职责。</w:t>
      </w:r>
    </w:p>
    <w:p w14:paraId="2FBA7EAD">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7B56D61F">
      <w:pPr>
        <w:widowControl/>
        <w:spacing w:line="600" w:lineRule="exact"/>
        <w:ind w:firstLine="640" w:firstLineChars="200"/>
        <w:rPr>
          <w:rFonts w:hint="eastAsia" w:ascii="仿宋" w:hAnsi="仿宋" w:eastAsia="仿宋" w:cs="仿宋"/>
          <w:sz w:val="32"/>
          <w:szCs w:val="32"/>
        </w:rPr>
      </w:pPr>
      <w:r>
        <w:rPr>
          <w:rFonts w:hint="eastAsia" w:ascii="仿宋" w:hAnsi="仿宋" w:eastAsia="仿宋" w:cs="仿宋"/>
          <w:bCs/>
          <w:kern w:val="0"/>
          <w:sz w:val="32"/>
          <w:szCs w:val="32"/>
        </w:rPr>
        <w:t>（一）内设机构设置。</w:t>
      </w:r>
      <w:r>
        <w:rPr>
          <w:rFonts w:hint="eastAsia" w:ascii="仿宋" w:hAnsi="仿宋" w:eastAsia="仿宋" w:cs="仿宋"/>
          <w:sz w:val="32"/>
          <w:szCs w:val="32"/>
        </w:rPr>
        <w:t>怀化市大中坡电视转播台作为二级部门预算单位，内设机构为:办公室（含财务）、技术部、播出部。</w:t>
      </w:r>
    </w:p>
    <w:p w14:paraId="53F12FAB">
      <w:pPr>
        <w:jc w:val="center"/>
        <w:rPr>
          <w:rFonts w:hint="eastAsia" w:ascii="仿宋" w:hAnsi="仿宋" w:eastAsia="仿宋" w:cs="仿宋"/>
          <w:sz w:val="32"/>
          <w:szCs w:val="32"/>
          <w:lang w:eastAsia="zh-CN"/>
        </w:rPr>
      </w:pPr>
      <w:r>
        <w:rPr>
          <w:rFonts w:hint="eastAsia" w:ascii="仿宋" w:hAnsi="仿宋" w:eastAsia="仿宋" w:cs="仿宋"/>
          <w:bCs/>
          <w:kern w:val="0"/>
          <w:sz w:val="32"/>
          <w:szCs w:val="32"/>
          <w:lang w:val="en-US" w:eastAsia="zh-CN"/>
        </w:rPr>
        <w:t xml:space="preserve">   </w:t>
      </w:r>
      <w:r>
        <w:rPr>
          <w:rFonts w:hint="eastAsia" w:ascii="仿宋" w:hAnsi="仿宋" w:eastAsia="仿宋" w:cs="仿宋"/>
          <w:bCs/>
          <w:kern w:val="0"/>
          <w:sz w:val="32"/>
          <w:szCs w:val="32"/>
        </w:rPr>
        <w:t>（二）决算单位构成。</w:t>
      </w:r>
      <w:r>
        <w:rPr>
          <w:rFonts w:hint="eastAsia" w:ascii="仿宋" w:hAnsi="仿宋" w:eastAsia="仿宋" w:cs="仿宋"/>
          <w:sz w:val="32"/>
          <w:szCs w:val="32"/>
        </w:rPr>
        <w:t>怀化市大中坡电视转播台</w:t>
      </w:r>
      <w:r>
        <w:rPr>
          <w:rFonts w:hint="eastAsia" w:ascii="仿宋" w:hAnsi="仿宋" w:eastAsia="仿宋" w:cs="仿宋"/>
          <w:bCs/>
          <w:kern w:val="0"/>
          <w:sz w:val="32"/>
          <w:szCs w:val="32"/>
        </w:rPr>
        <w:t>2024年部门决算公开单位构成包括：</w:t>
      </w:r>
      <w:r>
        <w:rPr>
          <w:rFonts w:hint="eastAsia" w:ascii="仿宋" w:hAnsi="仿宋" w:eastAsia="仿宋" w:cs="仿宋"/>
          <w:sz w:val="32"/>
          <w:szCs w:val="32"/>
        </w:rPr>
        <w:t>怀化市大中坡电视转播台</w:t>
      </w:r>
      <w:r>
        <w:rPr>
          <w:rFonts w:hint="eastAsia" w:ascii="仿宋" w:hAnsi="仿宋" w:eastAsia="仿宋" w:cs="仿宋"/>
          <w:bCs/>
          <w:kern w:val="0"/>
          <w:sz w:val="32"/>
          <w:szCs w:val="32"/>
        </w:rPr>
        <w:t>单位本级</w:t>
      </w:r>
      <w:r>
        <w:rPr>
          <w:rFonts w:hint="eastAsia" w:ascii="仿宋" w:hAnsi="仿宋" w:eastAsia="仿宋" w:cs="仿宋"/>
          <w:bCs/>
          <w:kern w:val="0"/>
          <w:sz w:val="32"/>
          <w:szCs w:val="32"/>
          <w:lang w:eastAsia="zh-CN"/>
        </w:rPr>
        <w:t>。</w:t>
      </w:r>
    </w:p>
    <w:p w14:paraId="5B638DD5">
      <w:pPr>
        <w:jc w:val="center"/>
        <w:rPr>
          <w:rFonts w:hint="eastAsia" w:ascii="仿宋" w:hAnsi="仿宋" w:eastAsia="仿宋" w:cs="仿宋"/>
          <w:sz w:val="32"/>
          <w:szCs w:val="32"/>
        </w:rPr>
      </w:pPr>
    </w:p>
    <w:p w14:paraId="5FCEFE44">
      <w:pPr>
        <w:jc w:val="center"/>
        <w:rPr>
          <w:rFonts w:ascii="Times New Roman" w:hAnsi="Times New Roman" w:eastAsia="黑体" w:cs="Times New Roman"/>
          <w:sz w:val="28"/>
          <w:szCs w:val="28"/>
        </w:rPr>
      </w:pPr>
    </w:p>
    <w:p w14:paraId="399AEAA6">
      <w:pPr>
        <w:jc w:val="center"/>
        <w:rPr>
          <w:rFonts w:ascii="Times New Roman" w:hAnsi="Times New Roman" w:eastAsia="黑体" w:cs="Times New Roman"/>
          <w:sz w:val="28"/>
          <w:szCs w:val="28"/>
        </w:rPr>
      </w:pPr>
    </w:p>
    <w:p w14:paraId="488E3DFB">
      <w:pPr>
        <w:jc w:val="center"/>
        <w:rPr>
          <w:rFonts w:ascii="Times New Roman" w:hAnsi="Times New Roman" w:eastAsia="黑体" w:cs="Times New Roman"/>
          <w:sz w:val="28"/>
          <w:szCs w:val="28"/>
        </w:rPr>
      </w:pPr>
    </w:p>
    <w:p w14:paraId="336E87B9">
      <w:pPr>
        <w:pStyle w:val="8"/>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422CFEF0">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580B2682">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1C309E61">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1D0EC28B">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仿宋_GB2312" w:hAnsi="仿宋" w:eastAsia="仿宋_GB2312"/>
          <w:sz w:val="20"/>
          <w:szCs w:val="20"/>
        </w:rPr>
        <w:t>怀化市大中坡电视转播台</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0"/>
        <w:tblW w:w="14896" w:type="dxa"/>
        <w:jc w:val="center"/>
        <w:tblLayout w:type="autofit"/>
        <w:tblCellMar>
          <w:top w:w="0" w:type="dxa"/>
          <w:left w:w="108" w:type="dxa"/>
          <w:bottom w:w="0" w:type="dxa"/>
          <w:right w:w="108" w:type="dxa"/>
        </w:tblCellMar>
      </w:tblPr>
      <w:tblGrid>
        <w:gridCol w:w="5880"/>
        <w:gridCol w:w="867"/>
        <w:gridCol w:w="1291"/>
        <w:gridCol w:w="4698"/>
        <w:gridCol w:w="867"/>
        <w:gridCol w:w="1293"/>
      </w:tblGrid>
      <w:tr w14:paraId="42AEA7DE">
        <w:tblPrEx>
          <w:tblCellMar>
            <w:top w:w="0" w:type="dxa"/>
            <w:left w:w="108" w:type="dxa"/>
            <w:bottom w:w="0" w:type="dxa"/>
            <w:right w:w="108" w:type="dxa"/>
          </w:tblCellMar>
        </w:tblPrEx>
        <w:trPr>
          <w:trHeight w:val="428"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F728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9DE7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466B39C9">
        <w:tblPrEx>
          <w:tblCellMar>
            <w:top w:w="0" w:type="dxa"/>
            <w:left w:w="108" w:type="dxa"/>
            <w:bottom w:w="0" w:type="dxa"/>
            <w:right w:w="108" w:type="dxa"/>
          </w:tblCellMar>
        </w:tblPrEx>
        <w:trPr>
          <w:trHeight w:val="40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788A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4ECA0">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931F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11A5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151FC">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B103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0FCE822B">
        <w:tblPrEx>
          <w:tblCellMar>
            <w:top w:w="0" w:type="dxa"/>
            <w:left w:w="108" w:type="dxa"/>
            <w:bottom w:w="0" w:type="dxa"/>
            <w:right w:w="108" w:type="dxa"/>
          </w:tblCellMar>
        </w:tblPrEx>
        <w:trPr>
          <w:trHeight w:val="38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C3C7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ABAE7">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0406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D446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C9D1A">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A267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7EFDFD8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18DE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5FBB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934A2">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693.55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8BDE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CBFF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A5EA3">
            <w:pPr>
              <w:widowControl/>
              <w:jc w:val="right"/>
              <w:rPr>
                <w:rFonts w:ascii="Times New Roman" w:hAnsi="Times New Roman" w:eastAsia="仿宋_GB2312" w:cs="Times New Roman"/>
                <w:color w:val="00000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r>
      <w:tr w14:paraId="02C68F9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EA48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FE24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2E1B8">
            <w:pPr>
              <w:widowControl/>
              <w:jc w:val="right"/>
              <w:rPr>
                <w:rFonts w:ascii="Times New Roman" w:hAnsi="Times New Roman" w:eastAsia="仿宋_GB2312" w:cs="Times New Roman"/>
                <w:color w:val="00000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8065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E9D8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83197">
            <w:pPr>
              <w:widowControl/>
              <w:jc w:val="right"/>
              <w:rPr>
                <w:rFonts w:ascii="Times New Roman" w:hAnsi="Times New Roman" w:eastAsia="仿宋_GB2312" w:cs="Times New Roman"/>
                <w:color w:val="00000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r>
      <w:tr w14:paraId="3217FE8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04D4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5829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9722A">
            <w:pPr>
              <w:widowControl/>
              <w:jc w:val="right"/>
              <w:rPr>
                <w:rFonts w:ascii="Times New Roman" w:hAnsi="Times New Roman" w:eastAsia="仿宋_GB2312" w:cs="Times New Roman"/>
                <w:color w:val="00000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0EC4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CB67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10C27">
            <w:pPr>
              <w:widowControl/>
              <w:jc w:val="right"/>
              <w:rPr>
                <w:rFonts w:ascii="Times New Roman" w:hAnsi="Times New Roman" w:eastAsia="仿宋_GB2312" w:cs="Times New Roman"/>
                <w:color w:val="00000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r>
      <w:tr w14:paraId="072DB50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37B1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8862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DA1E7">
            <w:pPr>
              <w:widowControl/>
              <w:jc w:val="right"/>
              <w:rPr>
                <w:rFonts w:ascii="Times New Roman" w:hAnsi="Times New Roman" w:eastAsia="仿宋_GB2312" w:cs="Times New Roman"/>
                <w:color w:val="00000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0E78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ABBB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7BC2F">
            <w:pPr>
              <w:widowControl/>
              <w:jc w:val="right"/>
              <w:rPr>
                <w:rFonts w:ascii="Times New Roman" w:hAnsi="Times New Roman" w:eastAsia="仿宋_GB2312" w:cs="Times New Roman"/>
                <w:color w:val="00000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r>
      <w:tr w14:paraId="4E911FA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9184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C5F6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6A007">
            <w:pPr>
              <w:widowControl/>
              <w:jc w:val="right"/>
              <w:rPr>
                <w:rFonts w:ascii="Times New Roman" w:hAnsi="Times New Roman" w:eastAsia="仿宋_GB2312" w:cs="Times New Roman"/>
                <w:color w:val="00000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F129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58B9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3A2F">
            <w:pPr>
              <w:widowControl/>
              <w:jc w:val="right"/>
              <w:rPr>
                <w:rFonts w:ascii="Times New Roman" w:hAnsi="Times New Roman" w:eastAsia="仿宋_GB2312" w:cs="Times New Roman"/>
                <w:color w:val="00000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r>
      <w:tr w14:paraId="514E309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DD63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CC06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FFD97">
            <w:pPr>
              <w:widowControl/>
              <w:jc w:val="right"/>
              <w:rPr>
                <w:rFonts w:ascii="Times New Roman" w:hAnsi="Times New Roman" w:eastAsia="仿宋_GB2312" w:cs="Times New Roman"/>
                <w:color w:val="00000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07DE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F79E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B8670">
            <w:pPr>
              <w:widowControl/>
              <w:jc w:val="right"/>
              <w:rPr>
                <w:rFonts w:ascii="Times New Roman" w:hAnsi="Times New Roman" w:eastAsia="仿宋_GB2312" w:cs="Times New Roman"/>
                <w:color w:val="00000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r>
      <w:tr w14:paraId="25E62610">
        <w:tblPrEx>
          <w:tblCellMar>
            <w:top w:w="0" w:type="dxa"/>
            <w:left w:w="108" w:type="dxa"/>
            <w:bottom w:w="0" w:type="dxa"/>
            <w:right w:w="108" w:type="dxa"/>
          </w:tblCellMar>
        </w:tblPrEx>
        <w:trPr>
          <w:trHeight w:val="336"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CD3B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B91C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7D6F">
            <w:pPr>
              <w:widowControl/>
              <w:jc w:val="right"/>
              <w:rPr>
                <w:rFonts w:ascii="Times New Roman" w:hAnsi="Times New Roman" w:eastAsia="仿宋_GB2312" w:cs="Times New Roman"/>
                <w:color w:val="00000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B08F6">
            <w:pPr>
              <w:widowControl/>
              <w:jc w:val="left"/>
              <w:textAlignment w:val="cente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kern w:val="0"/>
                <w:sz w:val="24"/>
                <w:szCs w:val="24"/>
                <w:lang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C4D0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19A6A">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719.03</w:t>
            </w:r>
          </w:p>
        </w:tc>
      </w:tr>
      <w:tr w14:paraId="598C20E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E0A4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44DB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557D6">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28.48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91328">
            <w:pPr>
              <w:jc w:val="left"/>
              <w:rPr>
                <w:rFonts w:hint="eastAsia" w:ascii="Times New Roman" w:hAnsi="Times New Roman" w:eastAsia="仿宋_GB2312" w:cs="Times New Roman"/>
                <w:color w:val="000000"/>
                <w:sz w:val="22"/>
                <w:lang w:eastAsia="zh-CN"/>
              </w:rPr>
            </w:pPr>
            <w:r>
              <w:rPr>
                <w:rFonts w:hint="eastAsia" w:ascii="Times New Roman" w:hAnsi="Times New Roman" w:eastAsia="仿宋_GB2312" w:cs="Times New Roman"/>
                <w:color w:val="000000"/>
                <w:sz w:val="22"/>
                <w:lang w:eastAsia="zh-CN"/>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312D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B6FE5">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3.00</w:t>
            </w:r>
          </w:p>
        </w:tc>
      </w:tr>
      <w:tr w14:paraId="6AA7101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13A7A">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1F95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B296E">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960A5">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7F4C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6E179">
            <w:pPr>
              <w:rPr>
                <w:rFonts w:ascii="Times New Roman" w:hAnsi="Times New Roman" w:eastAsia="仿宋_GB2312" w:cs="Times New Roman"/>
                <w:b/>
                <w:color w:val="000000"/>
                <w:sz w:val="22"/>
              </w:rPr>
            </w:pPr>
          </w:p>
        </w:tc>
      </w:tr>
      <w:tr w14:paraId="02BE45E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5FFD">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0A55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E3553">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722.03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07C4">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4423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1671F">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722.03</w:t>
            </w:r>
          </w:p>
        </w:tc>
      </w:tr>
      <w:tr w14:paraId="59DCE6A7">
        <w:tblPrEx>
          <w:tblCellMar>
            <w:top w:w="0" w:type="dxa"/>
            <w:left w:w="108" w:type="dxa"/>
            <w:bottom w:w="0" w:type="dxa"/>
            <w:right w:w="108" w:type="dxa"/>
          </w:tblCellMar>
        </w:tblPrEx>
        <w:trPr>
          <w:trHeight w:val="46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67E7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00BC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A639D">
            <w:pPr>
              <w:jc w:val="right"/>
              <w:rPr>
                <w:rFonts w:ascii="Times New Roman" w:hAnsi="Times New Roman" w:eastAsia="仿宋_GB2312" w:cs="Times New Roman"/>
                <w:color w:val="000000"/>
                <w:sz w:val="22"/>
              </w:rPr>
            </w:pPr>
            <w:r>
              <w:rPr>
                <w:rFonts w:ascii="Times New Roman" w:hAnsi="Times New Roman" w:eastAsia="仿宋_GB2312" w:cs="Times New Roman"/>
                <w:b w:val="0"/>
                <w:bCs w:val="0"/>
                <w:kern w:val="0"/>
                <w:sz w:val="22"/>
              </w:rPr>
              <w:t>　</w:t>
            </w:r>
            <w:r>
              <w:rPr>
                <w:rFonts w:hint="eastAsia" w:ascii="Times New Roman" w:hAnsi="Times New Roman" w:eastAsia="仿宋_GB2312" w:cs="Times New Roman"/>
                <w:b w:val="0"/>
                <w:bCs w:val="0"/>
                <w:kern w:val="0"/>
                <w:sz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571E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9F55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CF109">
            <w:pPr>
              <w:jc w:val="right"/>
              <w:rPr>
                <w:rFonts w:ascii="Times New Roman" w:hAnsi="Times New Roman" w:eastAsia="仿宋_GB2312" w:cs="Times New Roman"/>
                <w:color w:val="000000"/>
                <w:sz w:val="22"/>
              </w:rPr>
            </w:pPr>
            <w:r>
              <w:rPr>
                <w:rFonts w:ascii="Times New Roman" w:hAnsi="Times New Roman" w:eastAsia="仿宋_GB2312" w:cs="Times New Roman"/>
                <w:b w:val="0"/>
                <w:bCs w:val="0"/>
                <w:kern w:val="0"/>
                <w:sz w:val="22"/>
              </w:rPr>
              <w:t>　</w:t>
            </w:r>
            <w:r>
              <w:rPr>
                <w:rFonts w:hint="eastAsia" w:ascii="Times New Roman" w:hAnsi="Times New Roman" w:eastAsia="仿宋_GB2312" w:cs="Times New Roman"/>
                <w:b w:val="0"/>
                <w:bCs w:val="0"/>
                <w:kern w:val="0"/>
                <w:sz w:val="22"/>
                <w:lang w:val="en-US" w:eastAsia="zh-CN"/>
              </w:rPr>
              <w:t>0.00</w:t>
            </w:r>
          </w:p>
        </w:tc>
      </w:tr>
      <w:tr w14:paraId="6A21735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CAF6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3E14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3BB9F">
            <w:pPr>
              <w:widowControl/>
              <w:jc w:val="right"/>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45707">
            <w:pPr>
              <w:widowControl/>
              <w:jc w:val="right"/>
              <w:rPr>
                <w:rFonts w:hint="default" w:ascii="Times New Roman" w:hAnsi="Times New Roman" w:eastAsia="仿宋_GB2312" w:cs="Times New Roman"/>
                <w:b w:val="0"/>
                <w:bCs w:val="0"/>
                <w:kern w:val="0"/>
                <w:sz w:val="22"/>
                <w:szCs w:val="22"/>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CAD4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2AC1E">
            <w:pPr>
              <w:jc w:val="right"/>
              <w:rPr>
                <w:rFonts w:ascii="Times New Roman" w:hAnsi="Times New Roman" w:eastAsia="仿宋_GB2312" w:cs="Times New Roman"/>
                <w:color w:val="000000"/>
                <w:sz w:val="22"/>
              </w:rPr>
            </w:pPr>
          </w:p>
        </w:tc>
      </w:tr>
      <w:tr w14:paraId="5E8288D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62BC4">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74B7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3A598">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722.03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FD5CD">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80E8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2DE6">
            <w:pPr>
              <w:jc w:val="right"/>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722.03</w:t>
            </w:r>
          </w:p>
        </w:tc>
      </w:tr>
    </w:tbl>
    <w:p w14:paraId="668B292A">
      <w:pPr>
        <w:widowControl/>
        <w:jc w:val="left"/>
        <w:textAlignment w:val="center"/>
        <w:rPr>
          <w:rFonts w:ascii="Times New Roman" w:hAnsi="Times New Roman" w:eastAsia="宋体" w:cs="Times New Roman"/>
          <w:color w:val="000000"/>
          <w:kern w:val="0"/>
          <w:sz w:val="24"/>
          <w:szCs w:val="24"/>
          <w:lang w:bidi="ar"/>
        </w:rPr>
      </w:pPr>
    </w:p>
    <w:p w14:paraId="2C2DE3B4">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37F61EF9">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2EB67464">
      <w:pPr>
        <w:widowControl/>
        <w:spacing w:line="400" w:lineRule="exact"/>
        <w:jc w:val="center"/>
        <w:textAlignment w:val="center"/>
        <w:rPr>
          <w:rFonts w:ascii="Times New Roman" w:hAnsi="Times New Roman" w:eastAsia="黑体" w:cs="Times New Roman"/>
          <w:color w:val="000000"/>
          <w:kern w:val="0"/>
          <w:sz w:val="32"/>
          <w:szCs w:val="32"/>
          <w:lang w:bidi="ar"/>
        </w:rPr>
      </w:pPr>
    </w:p>
    <w:p w14:paraId="37C1CC4B">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151A109A">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030036BA">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仿宋_GB2312" w:hAnsi="仿宋" w:eastAsia="仿宋_GB2312"/>
          <w:sz w:val="20"/>
          <w:szCs w:val="20"/>
        </w:rPr>
        <w:t>怀化市大中坡电视转播台</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0"/>
        <w:tblW w:w="14666" w:type="dxa"/>
        <w:jc w:val="center"/>
        <w:tblLayout w:type="fixed"/>
        <w:tblCellMar>
          <w:top w:w="0" w:type="dxa"/>
          <w:left w:w="0" w:type="dxa"/>
          <w:bottom w:w="0" w:type="dxa"/>
          <w:right w:w="0" w:type="dxa"/>
        </w:tblCellMar>
      </w:tblPr>
      <w:tblGrid>
        <w:gridCol w:w="1217"/>
        <w:gridCol w:w="3150"/>
        <w:gridCol w:w="696"/>
        <w:gridCol w:w="1268"/>
        <w:gridCol w:w="1775"/>
        <w:gridCol w:w="1640"/>
        <w:gridCol w:w="1640"/>
        <w:gridCol w:w="1897"/>
        <w:gridCol w:w="1383"/>
      </w:tblGrid>
      <w:tr w14:paraId="436D86CF">
        <w:tblPrEx>
          <w:tblCellMar>
            <w:top w:w="0" w:type="dxa"/>
            <w:left w:w="0" w:type="dxa"/>
            <w:bottom w:w="0" w:type="dxa"/>
            <w:right w:w="0" w:type="dxa"/>
          </w:tblCellMar>
        </w:tblPrEx>
        <w:trPr>
          <w:trHeight w:val="450" w:hRule="atLeast"/>
          <w:jc w:val="center"/>
        </w:trPr>
        <w:tc>
          <w:tcPr>
            <w:tcW w:w="4367"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607EB0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69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521667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26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6C7CE0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77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315168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0DC650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379A2B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60C80B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1880CA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5D54FD2B">
        <w:tblPrEx>
          <w:tblCellMar>
            <w:top w:w="0" w:type="dxa"/>
            <w:left w:w="0" w:type="dxa"/>
            <w:bottom w:w="0" w:type="dxa"/>
            <w:right w:w="0" w:type="dxa"/>
          </w:tblCellMar>
        </w:tblPrEx>
        <w:trPr>
          <w:trHeight w:val="334" w:hRule="exact"/>
          <w:jc w:val="center"/>
        </w:trPr>
        <w:tc>
          <w:tcPr>
            <w:tcW w:w="121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64D9FE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315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3C50EC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696" w:type="dxa"/>
            <w:vMerge w:val="continue"/>
            <w:tcBorders>
              <w:top w:val="single" w:color="auto" w:sz="4" w:space="0"/>
              <w:left w:val="single" w:color="auto" w:sz="4" w:space="0"/>
              <w:bottom w:val="single" w:color="auto" w:sz="4" w:space="0"/>
              <w:right w:val="single" w:color="auto" w:sz="4" w:space="0"/>
            </w:tcBorders>
            <w:vAlign w:val="center"/>
          </w:tcPr>
          <w:p w14:paraId="408F5903">
            <w:pPr>
              <w:rPr>
                <w:rFonts w:ascii="Times New Roman" w:hAnsi="Times New Roman" w:eastAsia="仿宋_GB2312" w:cs="Times New Roman"/>
                <w:sz w:val="24"/>
                <w:szCs w:val="24"/>
              </w:rPr>
            </w:pPr>
          </w:p>
        </w:tc>
        <w:tc>
          <w:tcPr>
            <w:tcW w:w="1268" w:type="dxa"/>
            <w:vMerge w:val="continue"/>
            <w:tcBorders>
              <w:top w:val="single" w:color="auto" w:sz="4" w:space="0"/>
              <w:left w:val="single" w:color="auto" w:sz="4" w:space="0"/>
              <w:bottom w:val="single" w:color="auto" w:sz="4" w:space="0"/>
              <w:right w:val="single" w:color="auto" w:sz="4" w:space="0"/>
            </w:tcBorders>
            <w:vAlign w:val="center"/>
          </w:tcPr>
          <w:p w14:paraId="32E3FB2C">
            <w:pPr>
              <w:rPr>
                <w:rFonts w:ascii="Times New Roman" w:hAnsi="Times New Roman" w:eastAsia="仿宋_GB2312" w:cs="Times New Roman"/>
                <w:sz w:val="24"/>
                <w:szCs w:val="24"/>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1B0D8954">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059F9C9">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2B57ABF">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4501B8DD">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4EF397B1">
            <w:pPr>
              <w:rPr>
                <w:rFonts w:ascii="Times New Roman" w:hAnsi="Times New Roman" w:eastAsia="仿宋_GB2312" w:cs="Times New Roman"/>
                <w:sz w:val="24"/>
                <w:szCs w:val="24"/>
              </w:rPr>
            </w:pPr>
          </w:p>
        </w:tc>
      </w:tr>
      <w:tr w14:paraId="38673D13">
        <w:tblPrEx>
          <w:tblCellMar>
            <w:top w:w="0" w:type="dxa"/>
            <w:left w:w="0" w:type="dxa"/>
            <w:bottom w:w="0" w:type="dxa"/>
            <w:right w:w="0" w:type="dxa"/>
          </w:tblCellMar>
        </w:tblPrEx>
        <w:trPr>
          <w:trHeight w:val="435" w:hRule="atLeast"/>
          <w:jc w:val="center"/>
        </w:trPr>
        <w:tc>
          <w:tcPr>
            <w:tcW w:w="1217" w:type="dxa"/>
            <w:vMerge w:val="continue"/>
            <w:tcBorders>
              <w:top w:val="single" w:color="auto" w:sz="4" w:space="0"/>
              <w:left w:val="single" w:color="auto" w:sz="4" w:space="0"/>
              <w:bottom w:val="single" w:color="auto" w:sz="4" w:space="0"/>
              <w:right w:val="single" w:color="auto" w:sz="4" w:space="0"/>
            </w:tcBorders>
            <w:vAlign w:val="center"/>
          </w:tcPr>
          <w:p w14:paraId="295390EA">
            <w:pPr>
              <w:rPr>
                <w:rFonts w:ascii="Times New Roman" w:hAnsi="Times New Roman" w:eastAsia="仿宋_GB2312" w:cs="Times New Roman"/>
                <w:sz w:val="24"/>
                <w:szCs w:val="24"/>
              </w:rPr>
            </w:pPr>
          </w:p>
        </w:tc>
        <w:tc>
          <w:tcPr>
            <w:tcW w:w="3150" w:type="dxa"/>
            <w:vMerge w:val="continue"/>
            <w:tcBorders>
              <w:top w:val="nil"/>
              <w:left w:val="single" w:color="auto" w:sz="4" w:space="0"/>
              <w:bottom w:val="single" w:color="auto" w:sz="4" w:space="0"/>
              <w:right w:val="single" w:color="auto" w:sz="4" w:space="0"/>
            </w:tcBorders>
            <w:vAlign w:val="center"/>
          </w:tcPr>
          <w:p w14:paraId="26929263">
            <w:pPr>
              <w:rPr>
                <w:rFonts w:ascii="Times New Roman" w:hAnsi="Times New Roman" w:eastAsia="仿宋_GB2312" w:cs="Times New Roman"/>
                <w:sz w:val="24"/>
                <w:szCs w:val="24"/>
              </w:rPr>
            </w:pPr>
          </w:p>
        </w:tc>
        <w:tc>
          <w:tcPr>
            <w:tcW w:w="696" w:type="dxa"/>
            <w:vMerge w:val="continue"/>
            <w:tcBorders>
              <w:top w:val="single" w:color="auto" w:sz="4" w:space="0"/>
              <w:left w:val="single" w:color="auto" w:sz="4" w:space="0"/>
              <w:bottom w:val="single" w:color="auto" w:sz="4" w:space="0"/>
              <w:right w:val="single" w:color="auto" w:sz="4" w:space="0"/>
            </w:tcBorders>
            <w:vAlign w:val="center"/>
          </w:tcPr>
          <w:p w14:paraId="6F2CC17C">
            <w:pPr>
              <w:rPr>
                <w:rFonts w:ascii="Times New Roman" w:hAnsi="Times New Roman" w:eastAsia="仿宋_GB2312" w:cs="Times New Roman"/>
                <w:sz w:val="24"/>
                <w:szCs w:val="24"/>
              </w:rPr>
            </w:pPr>
          </w:p>
        </w:tc>
        <w:tc>
          <w:tcPr>
            <w:tcW w:w="1268" w:type="dxa"/>
            <w:vMerge w:val="continue"/>
            <w:tcBorders>
              <w:top w:val="single" w:color="auto" w:sz="4" w:space="0"/>
              <w:left w:val="single" w:color="auto" w:sz="4" w:space="0"/>
              <w:bottom w:val="single" w:color="auto" w:sz="4" w:space="0"/>
              <w:right w:val="single" w:color="auto" w:sz="4" w:space="0"/>
            </w:tcBorders>
            <w:vAlign w:val="center"/>
          </w:tcPr>
          <w:p w14:paraId="0353C63E">
            <w:pPr>
              <w:rPr>
                <w:rFonts w:ascii="Times New Roman" w:hAnsi="Times New Roman" w:eastAsia="仿宋_GB2312" w:cs="Times New Roman"/>
                <w:sz w:val="24"/>
                <w:szCs w:val="24"/>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267EB99D">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2EACBC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681C44E">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6FCBF994">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544C9965">
            <w:pPr>
              <w:rPr>
                <w:rFonts w:ascii="Times New Roman" w:hAnsi="Times New Roman" w:eastAsia="仿宋_GB2312" w:cs="Times New Roman"/>
                <w:sz w:val="24"/>
                <w:szCs w:val="24"/>
              </w:rPr>
            </w:pPr>
          </w:p>
        </w:tc>
      </w:tr>
      <w:tr w14:paraId="6622D4C6">
        <w:tblPrEx>
          <w:tblCellMar>
            <w:top w:w="0" w:type="dxa"/>
            <w:left w:w="0" w:type="dxa"/>
            <w:bottom w:w="0" w:type="dxa"/>
            <w:right w:w="0" w:type="dxa"/>
          </w:tblCellMar>
        </w:tblPrEx>
        <w:trPr>
          <w:trHeight w:val="450" w:hRule="atLeast"/>
          <w:jc w:val="center"/>
        </w:trPr>
        <w:tc>
          <w:tcPr>
            <w:tcW w:w="436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73FCDC">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69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A6C56D4">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26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594949A">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77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9610A5">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1D7C91">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5883C04">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66BF39">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FFAE35D">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4A3508FC">
        <w:tblPrEx>
          <w:tblCellMar>
            <w:top w:w="0" w:type="dxa"/>
            <w:left w:w="0" w:type="dxa"/>
            <w:bottom w:w="0" w:type="dxa"/>
            <w:right w:w="0" w:type="dxa"/>
          </w:tblCellMar>
        </w:tblPrEx>
        <w:trPr>
          <w:trHeight w:val="450" w:hRule="atLeast"/>
          <w:jc w:val="center"/>
        </w:trPr>
        <w:tc>
          <w:tcPr>
            <w:tcW w:w="436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1F4F6F">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6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BBB9A9">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722.03</w:t>
            </w:r>
            <w:r>
              <w:rPr>
                <w:rFonts w:ascii="Times New Roman" w:hAnsi="Times New Roman" w:eastAsia="仿宋_GB2312" w:cs="Times New Roman"/>
              </w:rPr>
              <w:t>　</w:t>
            </w:r>
          </w:p>
        </w:tc>
        <w:tc>
          <w:tcPr>
            <w:tcW w:w="12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D76646">
            <w:pPr>
              <w:tabs>
                <w:tab w:val="center" w:pos="805"/>
                <w:tab w:val="right" w:pos="1940"/>
              </w:tabs>
              <w:jc w:val="both"/>
              <w:rPr>
                <w:rFonts w:ascii="Times New Roman" w:hAnsi="Times New Roman" w:eastAsia="仿宋_GB2312" w:cs="Times New Roman"/>
                <w:sz w:val="24"/>
                <w:szCs w:val="24"/>
              </w:rPr>
            </w:pPr>
            <w:r>
              <w:rPr>
                <w:rFonts w:hint="eastAsia" w:ascii="Times New Roman" w:hAnsi="Times New Roman" w:eastAsia="仿宋_GB2312" w:cs="Times New Roman"/>
                <w:lang w:eastAsia="zh-CN"/>
              </w:rPr>
              <w:tab/>
            </w:r>
            <w:r>
              <w:rPr>
                <w:rFonts w:hint="eastAsia" w:ascii="Times New Roman" w:hAnsi="Times New Roman" w:eastAsia="仿宋_GB2312" w:cs="Times New Roman"/>
                <w:lang w:val="en-US" w:eastAsia="zh-CN"/>
              </w:rPr>
              <w:t>693.55</w:t>
            </w:r>
            <w:r>
              <w:rPr>
                <w:rFonts w:hint="eastAsia" w:ascii="Times New Roman" w:hAnsi="Times New Roman" w:eastAsia="仿宋_GB2312" w:cs="Times New Roman"/>
                <w:lang w:eastAsia="zh-CN"/>
              </w:rPr>
              <w:tab/>
            </w:r>
            <w:r>
              <w:rPr>
                <w:rFonts w:ascii="Times New Roman" w:hAnsi="Times New Roman" w:eastAsia="仿宋_GB2312" w:cs="Times New Roman"/>
              </w:rPr>
              <w:t>　</w:t>
            </w:r>
          </w:p>
        </w:tc>
        <w:tc>
          <w:tcPr>
            <w:tcW w:w="17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AE11B6">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1EF25A">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4EB3D1">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458A7E">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ED62F6">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28.48</w:t>
            </w:r>
            <w:r>
              <w:rPr>
                <w:rFonts w:ascii="Times New Roman" w:hAnsi="Times New Roman" w:eastAsia="仿宋_GB2312" w:cs="Times New Roman"/>
              </w:rPr>
              <w:t>　</w:t>
            </w:r>
          </w:p>
        </w:tc>
      </w:tr>
      <w:tr w14:paraId="317C443C">
        <w:tblPrEx>
          <w:tblCellMar>
            <w:top w:w="0" w:type="dxa"/>
            <w:left w:w="0" w:type="dxa"/>
            <w:bottom w:w="0" w:type="dxa"/>
            <w:right w:w="0" w:type="dxa"/>
          </w:tblCellMar>
        </w:tblPrEx>
        <w:trPr>
          <w:trHeight w:val="450" w:hRule="atLeast"/>
          <w:jc w:val="center"/>
        </w:trPr>
        <w:tc>
          <w:tcPr>
            <w:tcW w:w="12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D9E0F5">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207</w:t>
            </w:r>
          </w:p>
        </w:tc>
        <w:tc>
          <w:tcPr>
            <w:tcW w:w="3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A09CE0">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文化旅游体育与传媒支出</w:t>
            </w:r>
          </w:p>
        </w:tc>
        <w:tc>
          <w:tcPr>
            <w:tcW w:w="6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1B61DC">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719.03</w:t>
            </w:r>
            <w:r>
              <w:rPr>
                <w:rFonts w:ascii="Times New Roman" w:hAnsi="Times New Roman" w:eastAsia="仿宋_GB2312" w:cs="Times New Roman"/>
              </w:rPr>
              <w:t>　</w:t>
            </w:r>
          </w:p>
        </w:tc>
        <w:tc>
          <w:tcPr>
            <w:tcW w:w="12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7CA3C9">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690.55</w:t>
            </w:r>
          </w:p>
        </w:tc>
        <w:tc>
          <w:tcPr>
            <w:tcW w:w="17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8C8276">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56307A">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D493B9">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501551">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82B756">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28.48</w:t>
            </w:r>
            <w:r>
              <w:rPr>
                <w:rFonts w:ascii="Times New Roman" w:hAnsi="Times New Roman" w:eastAsia="仿宋_GB2312" w:cs="Times New Roman"/>
              </w:rPr>
              <w:t>　</w:t>
            </w:r>
          </w:p>
        </w:tc>
      </w:tr>
      <w:tr w14:paraId="43634B8A">
        <w:tblPrEx>
          <w:tblCellMar>
            <w:top w:w="0" w:type="dxa"/>
            <w:left w:w="0" w:type="dxa"/>
            <w:bottom w:w="0" w:type="dxa"/>
            <w:right w:w="0" w:type="dxa"/>
          </w:tblCellMar>
        </w:tblPrEx>
        <w:trPr>
          <w:trHeight w:val="450" w:hRule="atLeast"/>
          <w:jc w:val="center"/>
        </w:trPr>
        <w:tc>
          <w:tcPr>
            <w:tcW w:w="12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C201AD">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20706</w:t>
            </w:r>
          </w:p>
        </w:tc>
        <w:tc>
          <w:tcPr>
            <w:tcW w:w="3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6B5382">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新闻出版电影</w:t>
            </w:r>
          </w:p>
        </w:tc>
        <w:tc>
          <w:tcPr>
            <w:tcW w:w="6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5FD005">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394.04</w:t>
            </w:r>
            <w:r>
              <w:rPr>
                <w:rFonts w:ascii="Times New Roman" w:hAnsi="Times New Roman" w:eastAsia="仿宋_GB2312" w:cs="Times New Roman"/>
              </w:rPr>
              <w:t>　</w:t>
            </w:r>
          </w:p>
        </w:tc>
        <w:tc>
          <w:tcPr>
            <w:tcW w:w="12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253E15">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394.04</w:t>
            </w:r>
            <w:r>
              <w:rPr>
                <w:rFonts w:ascii="Times New Roman" w:hAnsi="Times New Roman" w:eastAsia="仿宋_GB2312" w:cs="Times New Roman"/>
              </w:rPr>
              <w:t>　</w:t>
            </w:r>
          </w:p>
        </w:tc>
        <w:tc>
          <w:tcPr>
            <w:tcW w:w="17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B5E6BB">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20BA0D">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77F398">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C21575">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AC628B">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r>
      <w:tr w14:paraId="45DA6AD3">
        <w:tblPrEx>
          <w:tblCellMar>
            <w:top w:w="0" w:type="dxa"/>
            <w:left w:w="0" w:type="dxa"/>
            <w:bottom w:w="0" w:type="dxa"/>
            <w:right w:w="0" w:type="dxa"/>
          </w:tblCellMar>
        </w:tblPrEx>
        <w:trPr>
          <w:trHeight w:val="435" w:hRule="atLeast"/>
          <w:jc w:val="center"/>
        </w:trPr>
        <w:tc>
          <w:tcPr>
            <w:tcW w:w="12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451329">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2070601</w:t>
            </w:r>
          </w:p>
        </w:tc>
        <w:tc>
          <w:tcPr>
            <w:tcW w:w="3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C6EB89">
            <w:pPr>
              <w:rPr>
                <w:rFonts w:ascii="Times New Roman" w:hAnsi="Times New Roman" w:eastAsia="仿宋_GB2312" w:cs="Times New Roman"/>
                <w:sz w:val="24"/>
                <w:szCs w:val="24"/>
              </w:rPr>
            </w:pPr>
            <w:r>
              <w:rPr>
                <w:rFonts w:hint="eastAsia"/>
              </w:rPr>
              <w:t>行政运行</w:t>
            </w:r>
          </w:p>
        </w:tc>
        <w:tc>
          <w:tcPr>
            <w:tcW w:w="6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D2F4EA">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394.04</w:t>
            </w:r>
            <w:r>
              <w:rPr>
                <w:rFonts w:ascii="Times New Roman" w:hAnsi="Times New Roman" w:eastAsia="仿宋_GB2312" w:cs="Times New Roman"/>
              </w:rPr>
              <w:t>　</w:t>
            </w:r>
          </w:p>
        </w:tc>
        <w:tc>
          <w:tcPr>
            <w:tcW w:w="12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1D99E5">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394.04</w:t>
            </w:r>
            <w:r>
              <w:rPr>
                <w:rFonts w:ascii="Times New Roman" w:hAnsi="Times New Roman" w:eastAsia="仿宋_GB2312" w:cs="Times New Roman"/>
              </w:rPr>
              <w:t>　</w:t>
            </w:r>
          </w:p>
        </w:tc>
        <w:tc>
          <w:tcPr>
            <w:tcW w:w="17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7365A2">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C18E41">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1872F7">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7EDBFB">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29CF65">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r>
      <w:tr w14:paraId="6F1D5933">
        <w:tblPrEx>
          <w:tblCellMar>
            <w:top w:w="0" w:type="dxa"/>
            <w:left w:w="0" w:type="dxa"/>
            <w:bottom w:w="0" w:type="dxa"/>
            <w:right w:w="0" w:type="dxa"/>
          </w:tblCellMar>
        </w:tblPrEx>
        <w:trPr>
          <w:trHeight w:val="450" w:hRule="atLeast"/>
          <w:jc w:val="center"/>
        </w:trPr>
        <w:tc>
          <w:tcPr>
            <w:tcW w:w="12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0C5551">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20708</w:t>
            </w:r>
          </w:p>
        </w:tc>
        <w:tc>
          <w:tcPr>
            <w:tcW w:w="3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5B26C2">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广播电视</w:t>
            </w:r>
          </w:p>
        </w:tc>
        <w:tc>
          <w:tcPr>
            <w:tcW w:w="6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3A6FD7">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253.78</w:t>
            </w:r>
            <w:r>
              <w:rPr>
                <w:rFonts w:ascii="Times New Roman" w:hAnsi="Times New Roman" w:eastAsia="仿宋_GB2312" w:cs="Times New Roman"/>
              </w:rPr>
              <w:t>　</w:t>
            </w:r>
          </w:p>
        </w:tc>
        <w:tc>
          <w:tcPr>
            <w:tcW w:w="12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4AAAA6">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225.30</w:t>
            </w:r>
            <w:r>
              <w:rPr>
                <w:rFonts w:ascii="Times New Roman" w:hAnsi="Times New Roman" w:eastAsia="仿宋_GB2312" w:cs="Times New Roman"/>
              </w:rPr>
              <w:t>　</w:t>
            </w:r>
          </w:p>
        </w:tc>
        <w:tc>
          <w:tcPr>
            <w:tcW w:w="17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9C7DAC">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FA47A2">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867777">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FE31CA">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2596DA">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28.48</w:t>
            </w:r>
          </w:p>
        </w:tc>
      </w:tr>
      <w:tr w14:paraId="0F8AB626">
        <w:tblPrEx>
          <w:tblCellMar>
            <w:top w:w="0" w:type="dxa"/>
            <w:left w:w="0" w:type="dxa"/>
            <w:bottom w:w="0" w:type="dxa"/>
            <w:right w:w="0" w:type="dxa"/>
          </w:tblCellMar>
        </w:tblPrEx>
        <w:trPr>
          <w:trHeight w:val="353" w:hRule="atLeast"/>
          <w:jc w:val="center"/>
        </w:trPr>
        <w:tc>
          <w:tcPr>
            <w:tcW w:w="12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A566F3">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2070899</w:t>
            </w:r>
          </w:p>
        </w:tc>
        <w:tc>
          <w:tcPr>
            <w:tcW w:w="3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E5F77F">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 xml:space="preserve">  其他广播电视支出</w:t>
            </w:r>
          </w:p>
        </w:tc>
        <w:tc>
          <w:tcPr>
            <w:tcW w:w="6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250264">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253.78</w:t>
            </w:r>
            <w:r>
              <w:rPr>
                <w:rFonts w:ascii="Times New Roman" w:hAnsi="Times New Roman" w:eastAsia="仿宋_GB2312" w:cs="Times New Roman"/>
              </w:rPr>
              <w:t>　</w:t>
            </w:r>
          </w:p>
        </w:tc>
        <w:tc>
          <w:tcPr>
            <w:tcW w:w="12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4FA040">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225.30</w:t>
            </w:r>
            <w:r>
              <w:rPr>
                <w:rFonts w:ascii="Times New Roman" w:hAnsi="Times New Roman" w:eastAsia="仿宋_GB2312" w:cs="Times New Roman"/>
              </w:rPr>
              <w:t>　</w:t>
            </w:r>
          </w:p>
        </w:tc>
        <w:tc>
          <w:tcPr>
            <w:tcW w:w="17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17FD2A">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33A97A">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99B3CD">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97022B">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3B6298">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28.48</w:t>
            </w:r>
          </w:p>
        </w:tc>
      </w:tr>
      <w:tr w14:paraId="1EDA5F3A">
        <w:tblPrEx>
          <w:tblCellMar>
            <w:top w:w="0" w:type="dxa"/>
            <w:left w:w="0" w:type="dxa"/>
            <w:bottom w:w="0" w:type="dxa"/>
            <w:right w:w="0" w:type="dxa"/>
          </w:tblCellMar>
        </w:tblPrEx>
        <w:trPr>
          <w:trHeight w:val="429" w:hRule="atLeast"/>
          <w:jc w:val="center"/>
        </w:trPr>
        <w:tc>
          <w:tcPr>
            <w:tcW w:w="12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7E849A">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20799</w:t>
            </w:r>
          </w:p>
        </w:tc>
        <w:tc>
          <w:tcPr>
            <w:tcW w:w="315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8E4249">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其他文化旅游体育与传媒支出</w:t>
            </w:r>
          </w:p>
        </w:tc>
        <w:tc>
          <w:tcPr>
            <w:tcW w:w="6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AFFD84">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71.20</w:t>
            </w:r>
            <w:r>
              <w:rPr>
                <w:rFonts w:ascii="Times New Roman" w:hAnsi="Times New Roman" w:eastAsia="仿宋_GB2312" w:cs="Times New Roman"/>
              </w:rPr>
              <w:t>　</w:t>
            </w:r>
          </w:p>
        </w:tc>
        <w:tc>
          <w:tcPr>
            <w:tcW w:w="12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0D550E">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71.20</w:t>
            </w:r>
          </w:p>
        </w:tc>
        <w:tc>
          <w:tcPr>
            <w:tcW w:w="17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8CCAA5">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D0C4D9">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21DAD1">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0D3132">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1108C1">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0.00</w:t>
            </w:r>
          </w:p>
        </w:tc>
      </w:tr>
      <w:tr w14:paraId="72995B7F">
        <w:tblPrEx>
          <w:tblCellMar>
            <w:top w:w="0" w:type="dxa"/>
            <w:left w:w="0" w:type="dxa"/>
            <w:bottom w:w="0" w:type="dxa"/>
            <w:right w:w="0" w:type="dxa"/>
          </w:tblCellMar>
        </w:tblPrEx>
        <w:trPr>
          <w:trHeight w:val="450" w:hRule="atLeast"/>
          <w:jc w:val="center"/>
        </w:trPr>
        <w:tc>
          <w:tcPr>
            <w:tcW w:w="12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794132F">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2079999</w:t>
            </w:r>
          </w:p>
        </w:tc>
        <w:tc>
          <w:tcPr>
            <w:tcW w:w="315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37704A">
            <w:pPr>
              <w:rPr>
                <w:rFonts w:ascii="Times New Roman" w:hAnsi="Times New Roman" w:eastAsia="仿宋_GB2312" w:cs="Times New Roman"/>
              </w:rPr>
            </w:pPr>
            <w:r>
              <w:rPr>
                <w:rFonts w:hint="eastAsia" w:ascii="Times New Roman" w:hAnsi="Times New Roman" w:eastAsia="仿宋_GB2312" w:cs="Times New Roman"/>
              </w:rPr>
              <w:t>其他文化旅游体育与传媒支出</w:t>
            </w:r>
          </w:p>
        </w:tc>
        <w:tc>
          <w:tcPr>
            <w:tcW w:w="6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A1F46B">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71.20</w:t>
            </w:r>
          </w:p>
        </w:tc>
        <w:tc>
          <w:tcPr>
            <w:tcW w:w="12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9AF1AC">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71.20</w:t>
            </w:r>
          </w:p>
        </w:tc>
        <w:tc>
          <w:tcPr>
            <w:tcW w:w="17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E5DC92">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C71DF4">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F4A3E2">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B88FDC">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3A2E2D">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0.00</w:t>
            </w:r>
          </w:p>
        </w:tc>
      </w:tr>
      <w:tr w14:paraId="002F2B5D">
        <w:tblPrEx>
          <w:tblCellMar>
            <w:top w:w="0" w:type="dxa"/>
            <w:left w:w="0" w:type="dxa"/>
            <w:bottom w:w="0" w:type="dxa"/>
            <w:right w:w="0" w:type="dxa"/>
          </w:tblCellMar>
        </w:tblPrEx>
        <w:trPr>
          <w:trHeight w:val="469" w:hRule="atLeast"/>
          <w:jc w:val="center"/>
        </w:trPr>
        <w:tc>
          <w:tcPr>
            <w:tcW w:w="12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1859F5">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212</w:t>
            </w:r>
          </w:p>
        </w:tc>
        <w:tc>
          <w:tcPr>
            <w:tcW w:w="315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9B7AB2">
            <w:pPr>
              <w:rPr>
                <w:rFonts w:ascii="Times New Roman" w:hAnsi="Times New Roman" w:eastAsia="仿宋_GB2312" w:cs="Times New Roman"/>
              </w:rPr>
            </w:pPr>
            <w:r>
              <w:rPr>
                <w:rFonts w:hint="eastAsia" w:ascii="Times New Roman" w:hAnsi="Times New Roman" w:eastAsia="仿宋_GB2312" w:cs="Times New Roman"/>
              </w:rPr>
              <w:t>城乡社区支出</w:t>
            </w:r>
          </w:p>
        </w:tc>
        <w:tc>
          <w:tcPr>
            <w:tcW w:w="6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DDEB6D2">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3.00</w:t>
            </w:r>
          </w:p>
        </w:tc>
        <w:tc>
          <w:tcPr>
            <w:tcW w:w="12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6245FEE">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3.00</w:t>
            </w:r>
          </w:p>
        </w:tc>
        <w:tc>
          <w:tcPr>
            <w:tcW w:w="17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91EE350">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9E33E1">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FC8496">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8799C5">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D21DBB">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0.00</w:t>
            </w:r>
          </w:p>
        </w:tc>
      </w:tr>
      <w:tr w14:paraId="5D8E51B7">
        <w:tblPrEx>
          <w:tblCellMar>
            <w:top w:w="0" w:type="dxa"/>
            <w:left w:w="0" w:type="dxa"/>
            <w:bottom w:w="0" w:type="dxa"/>
            <w:right w:w="0" w:type="dxa"/>
          </w:tblCellMar>
        </w:tblPrEx>
        <w:trPr>
          <w:trHeight w:val="450" w:hRule="atLeast"/>
          <w:jc w:val="center"/>
        </w:trPr>
        <w:tc>
          <w:tcPr>
            <w:tcW w:w="12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B03C27">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21299</w:t>
            </w:r>
          </w:p>
        </w:tc>
        <w:tc>
          <w:tcPr>
            <w:tcW w:w="315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22E367">
            <w:pPr>
              <w:rPr>
                <w:rFonts w:hint="eastAsia" w:ascii="Times New Roman" w:hAnsi="Times New Roman" w:eastAsia="仿宋_GB2312" w:cs="Times New Roman"/>
              </w:rPr>
            </w:pPr>
            <w:r>
              <w:rPr>
                <w:rFonts w:hint="eastAsia" w:ascii="Times New Roman" w:hAnsi="Times New Roman" w:eastAsia="仿宋_GB2312" w:cs="Times New Roman"/>
              </w:rPr>
              <w:t>其他城乡社区支出</w:t>
            </w:r>
          </w:p>
        </w:tc>
        <w:tc>
          <w:tcPr>
            <w:tcW w:w="6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E9E04D">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3.00</w:t>
            </w:r>
          </w:p>
        </w:tc>
        <w:tc>
          <w:tcPr>
            <w:tcW w:w="12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F46B12">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3.00</w:t>
            </w:r>
          </w:p>
        </w:tc>
        <w:tc>
          <w:tcPr>
            <w:tcW w:w="17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D3BB18">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648BC2C">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CBBAC5">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3D3FEB">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28E2C5">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0.00</w:t>
            </w:r>
          </w:p>
        </w:tc>
      </w:tr>
      <w:tr w14:paraId="0847FAAF">
        <w:tblPrEx>
          <w:tblCellMar>
            <w:top w:w="0" w:type="dxa"/>
            <w:left w:w="0" w:type="dxa"/>
            <w:bottom w:w="0" w:type="dxa"/>
            <w:right w:w="0" w:type="dxa"/>
          </w:tblCellMar>
        </w:tblPrEx>
        <w:trPr>
          <w:trHeight w:val="424" w:hRule="atLeast"/>
          <w:jc w:val="center"/>
        </w:trPr>
        <w:tc>
          <w:tcPr>
            <w:tcW w:w="12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E551C7">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2129999</w:t>
            </w:r>
          </w:p>
        </w:tc>
        <w:tc>
          <w:tcPr>
            <w:tcW w:w="3150"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E7C0A5">
            <w:pPr>
              <w:rPr>
                <w:rFonts w:hint="eastAsia" w:ascii="Times New Roman" w:hAnsi="Times New Roman" w:eastAsia="仿宋_GB2312" w:cs="Times New Roman"/>
              </w:rPr>
            </w:pPr>
            <w:r>
              <w:rPr>
                <w:rFonts w:hint="eastAsia" w:ascii="Times New Roman" w:hAnsi="Times New Roman" w:eastAsia="仿宋_GB2312" w:cs="Times New Roman"/>
              </w:rPr>
              <w:t>其他城乡社区支出</w:t>
            </w:r>
          </w:p>
        </w:tc>
        <w:tc>
          <w:tcPr>
            <w:tcW w:w="69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50D812">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3.00</w:t>
            </w:r>
          </w:p>
        </w:tc>
        <w:tc>
          <w:tcPr>
            <w:tcW w:w="1268"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53EBE7">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3.00</w:t>
            </w:r>
          </w:p>
        </w:tc>
        <w:tc>
          <w:tcPr>
            <w:tcW w:w="177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AA762C">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0.00</w:t>
            </w: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1BBC4C">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0.00</w:t>
            </w: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8101B8">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0.00</w:t>
            </w:r>
          </w:p>
        </w:tc>
        <w:tc>
          <w:tcPr>
            <w:tcW w:w="189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A2564F">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0.00</w:t>
            </w:r>
          </w:p>
        </w:tc>
        <w:tc>
          <w:tcPr>
            <w:tcW w:w="1383"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7AAAF3">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0.00</w:t>
            </w:r>
          </w:p>
        </w:tc>
      </w:tr>
    </w:tbl>
    <w:p w14:paraId="1CE3A372">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6DF163F5">
      <w:pPr>
        <w:widowControl/>
        <w:jc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51C0673A">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1554F914">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仿宋_GB2312" w:hAnsi="仿宋" w:eastAsia="仿宋_GB2312"/>
          <w:sz w:val="20"/>
          <w:szCs w:val="20"/>
        </w:rPr>
        <w:t>怀化市大中坡电视转播台</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0"/>
        <w:tblW w:w="4717" w:type="pct"/>
        <w:jc w:val="center"/>
        <w:tblLayout w:type="fixed"/>
        <w:tblCellMar>
          <w:top w:w="0" w:type="dxa"/>
          <w:left w:w="108" w:type="dxa"/>
          <w:bottom w:w="0" w:type="dxa"/>
          <w:right w:w="108" w:type="dxa"/>
        </w:tblCellMar>
      </w:tblPr>
      <w:tblGrid>
        <w:gridCol w:w="1649"/>
        <w:gridCol w:w="3300"/>
        <w:gridCol w:w="1013"/>
        <w:gridCol w:w="1286"/>
        <w:gridCol w:w="1286"/>
        <w:gridCol w:w="1365"/>
        <w:gridCol w:w="1728"/>
        <w:gridCol w:w="1790"/>
      </w:tblGrid>
      <w:tr w14:paraId="6905C1ED">
        <w:tblPrEx>
          <w:tblCellMar>
            <w:top w:w="0" w:type="dxa"/>
            <w:left w:w="108" w:type="dxa"/>
            <w:bottom w:w="0" w:type="dxa"/>
            <w:right w:w="108" w:type="dxa"/>
          </w:tblCellMar>
        </w:tblPrEx>
        <w:trPr>
          <w:trHeight w:val="595" w:hRule="atLeast"/>
          <w:jc w:val="center"/>
        </w:trPr>
        <w:tc>
          <w:tcPr>
            <w:tcW w:w="1844"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416861E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37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0BB5F2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7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3774DB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7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6B095B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50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406B50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64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E437CA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66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AE3B7B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049CA49A">
        <w:tblPrEx>
          <w:tblCellMar>
            <w:top w:w="0" w:type="dxa"/>
            <w:left w:w="108" w:type="dxa"/>
            <w:bottom w:w="0" w:type="dxa"/>
            <w:right w:w="108" w:type="dxa"/>
          </w:tblCellMar>
        </w:tblPrEx>
        <w:trPr>
          <w:trHeight w:val="312" w:hRule="exact"/>
          <w:jc w:val="center"/>
        </w:trPr>
        <w:tc>
          <w:tcPr>
            <w:tcW w:w="61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6196B9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229" w:type="pct"/>
            <w:vMerge w:val="restart"/>
            <w:tcBorders>
              <w:top w:val="nil"/>
              <w:left w:val="single" w:color="auto" w:sz="4" w:space="0"/>
              <w:bottom w:val="single" w:color="auto" w:sz="4" w:space="0"/>
              <w:right w:val="single" w:color="auto" w:sz="4" w:space="0"/>
            </w:tcBorders>
            <w:shd w:val="clear" w:color="000000" w:fill="FFFFFF"/>
            <w:vAlign w:val="center"/>
          </w:tcPr>
          <w:p w14:paraId="5938F80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377" w:type="pct"/>
            <w:vMerge w:val="continue"/>
            <w:tcBorders>
              <w:top w:val="single" w:color="auto" w:sz="4" w:space="0"/>
              <w:left w:val="single" w:color="auto" w:sz="4" w:space="0"/>
              <w:bottom w:val="single" w:color="auto" w:sz="4" w:space="0"/>
              <w:right w:val="single" w:color="auto" w:sz="4" w:space="0"/>
            </w:tcBorders>
            <w:vAlign w:val="center"/>
          </w:tcPr>
          <w:p w14:paraId="23DE9012">
            <w:pPr>
              <w:widowControl/>
              <w:jc w:val="left"/>
              <w:rPr>
                <w:rFonts w:ascii="Times New Roman" w:hAnsi="Times New Roman" w:eastAsia="仿宋_GB2312" w:cs="Times New Roman"/>
                <w:b/>
                <w:bCs/>
                <w:kern w:val="0"/>
                <w:sz w:val="24"/>
                <w:szCs w:val="24"/>
              </w:rPr>
            </w:pPr>
          </w:p>
        </w:tc>
        <w:tc>
          <w:tcPr>
            <w:tcW w:w="479" w:type="pct"/>
            <w:vMerge w:val="continue"/>
            <w:tcBorders>
              <w:top w:val="single" w:color="auto" w:sz="4" w:space="0"/>
              <w:left w:val="single" w:color="auto" w:sz="4" w:space="0"/>
              <w:bottom w:val="single" w:color="auto" w:sz="4" w:space="0"/>
              <w:right w:val="single" w:color="auto" w:sz="4" w:space="0"/>
            </w:tcBorders>
            <w:vAlign w:val="center"/>
          </w:tcPr>
          <w:p w14:paraId="4A4563A3">
            <w:pPr>
              <w:widowControl/>
              <w:jc w:val="left"/>
              <w:rPr>
                <w:rFonts w:ascii="Times New Roman" w:hAnsi="Times New Roman" w:eastAsia="仿宋_GB2312" w:cs="Times New Roman"/>
                <w:b/>
                <w:bCs/>
                <w:kern w:val="0"/>
                <w:sz w:val="24"/>
                <w:szCs w:val="24"/>
              </w:rPr>
            </w:pPr>
          </w:p>
        </w:tc>
        <w:tc>
          <w:tcPr>
            <w:tcW w:w="479" w:type="pct"/>
            <w:vMerge w:val="continue"/>
            <w:tcBorders>
              <w:top w:val="single" w:color="auto" w:sz="4" w:space="0"/>
              <w:left w:val="single" w:color="auto" w:sz="4" w:space="0"/>
              <w:bottom w:val="single" w:color="auto" w:sz="4" w:space="0"/>
              <w:right w:val="single" w:color="auto" w:sz="4" w:space="0"/>
            </w:tcBorders>
            <w:vAlign w:val="center"/>
          </w:tcPr>
          <w:p w14:paraId="0B7A85D1">
            <w:pPr>
              <w:widowControl/>
              <w:jc w:val="left"/>
              <w:rPr>
                <w:rFonts w:ascii="Times New Roman" w:hAnsi="Times New Roman" w:eastAsia="仿宋_GB2312" w:cs="Times New Roman"/>
                <w:b/>
                <w:bCs/>
                <w:kern w:val="0"/>
                <w:sz w:val="24"/>
                <w:szCs w:val="24"/>
              </w:rPr>
            </w:pPr>
          </w:p>
        </w:tc>
        <w:tc>
          <w:tcPr>
            <w:tcW w:w="508" w:type="pct"/>
            <w:vMerge w:val="continue"/>
            <w:tcBorders>
              <w:top w:val="single" w:color="auto" w:sz="4" w:space="0"/>
              <w:left w:val="single" w:color="auto" w:sz="4" w:space="0"/>
              <w:bottom w:val="single" w:color="auto" w:sz="4" w:space="0"/>
              <w:right w:val="single" w:color="auto" w:sz="4" w:space="0"/>
            </w:tcBorders>
            <w:vAlign w:val="center"/>
          </w:tcPr>
          <w:p w14:paraId="2A0BCDDF">
            <w:pPr>
              <w:widowControl/>
              <w:jc w:val="left"/>
              <w:rPr>
                <w:rFonts w:ascii="Times New Roman" w:hAnsi="Times New Roman" w:eastAsia="仿宋_GB2312" w:cs="Times New Roman"/>
                <w:b/>
                <w:bCs/>
                <w:kern w:val="0"/>
                <w:sz w:val="24"/>
                <w:szCs w:val="24"/>
              </w:rPr>
            </w:pPr>
          </w:p>
        </w:tc>
        <w:tc>
          <w:tcPr>
            <w:tcW w:w="643" w:type="pct"/>
            <w:vMerge w:val="continue"/>
            <w:tcBorders>
              <w:top w:val="single" w:color="auto" w:sz="4" w:space="0"/>
              <w:left w:val="single" w:color="auto" w:sz="4" w:space="0"/>
              <w:bottom w:val="single" w:color="auto" w:sz="4" w:space="0"/>
              <w:right w:val="single" w:color="auto" w:sz="4" w:space="0"/>
            </w:tcBorders>
            <w:vAlign w:val="center"/>
          </w:tcPr>
          <w:p w14:paraId="4123E479">
            <w:pPr>
              <w:widowControl/>
              <w:jc w:val="left"/>
              <w:rPr>
                <w:rFonts w:ascii="Times New Roman" w:hAnsi="Times New Roman" w:eastAsia="仿宋_GB2312" w:cs="Times New Roman"/>
                <w:b/>
                <w:bCs/>
                <w:kern w:val="0"/>
                <w:sz w:val="24"/>
                <w:szCs w:val="24"/>
              </w:rPr>
            </w:pPr>
          </w:p>
        </w:tc>
        <w:tc>
          <w:tcPr>
            <w:tcW w:w="667" w:type="pct"/>
            <w:vMerge w:val="continue"/>
            <w:tcBorders>
              <w:top w:val="single" w:color="auto" w:sz="4" w:space="0"/>
              <w:left w:val="single" w:color="auto" w:sz="4" w:space="0"/>
              <w:bottom w:val="single" w:color="auto" w:sz="4" w:space="0"/>
              <w:right w:val="single" w:color="auto" w:sz="4" w:space="0"/>
            </w:tcBorders>
            <w:vAlign w:val="center"/>
          </w:tcPr>
          <w:p w14:paraId="11171AB0">
            <w:pPr>
              <w:widowControl/>
              <w:jc w:val="left"/>
              <w:rPr>
                <w:rFonts w:ascii="Times New Roman" w:hAnsi="Times New Roman" w:eastAsia="仿宋_GB2312" w:cs="Times New Roman"/>
                <w:b/>
                <w:bCs/>
                <w:kern w:val="0"/>
                <w:sz w:val="24"/>
                <w:szCs w:val="24"/>
              </w:rPr>
            </w:pPr>
          </w:p>
        </w:tc>
      </w:tr>
      <w:tr w14:paraId="69620BC1">
        <w:tblPrEx>
          <w:tblCellMar>
            <w:top w:w="0" w:type="dxa"/>
            <w:left w:w="108" w:type="dxa"/>
            <w:bottom w:w="0" w:type="dxa"/>
            <w:right w:w="108" w:type="dxa"/>
          </w:tblCellMar>
        </w:tblPrEx>
        <w:trPr>
          <w:trHeight w:val="595" w:hRule="atLeast"/>
          <w:jc w:val="center"/>
        </w:trPr>
        <w:tc>
          <w:tcPr>
            <w:tcW w:w="614" w:type="pct"/>
            <w:vMerge w:val="continue"/>
            <w:tcBorders>
              <w:top w:val="single" w:color="auto" w:sz="4" w:space="0"/>
              <w:left w:val="single" w:color="auto" w:sz="4" w:space="0"/>
              <w:bottom w:val="single" w:color="auto" w:sz="4" w:space="0"/>
              <w:right w:val="single" w:color="auto" w:sz="4" w:space="0"/>
            </w:tcBorders>
            <w:vAlign w:val="center"/>
          </w:tcPr>
          <w:p w14:paraId="4F8F5747">
            <w:pPr>
              <w:widowControl/>
              <w:jc w:val="left"/>
              <w:rPr>
                <w:rFonts w:ascii="Times New Roman" w:hAnsi="Times New Roman" w:eastAsia="仿宋_GB2312" w:cs="Times New Roman"/>
                <w:kern w:val="0"/>
                <w:sz w:val="24"/>
                <w:szCs w:val="24"/>
              </w:rPr>
            </w:pPr>
          </w:p>
        </w:tc>
        <w:tc>
          <w:tcPr>
            <w:tcW w:w="1229" w:type="pct"/>
            <w:vMerge w:val="continue"/>
            <w:tcBorders>
              <w:top w:val="nil"/>
              <w:left w:val="single" w:color="auto" w:sz="4" w:space="0"/>
              <w:bottom w:val="single" w:color="auto" w:sz="4" w:space="0"/>
              <w:right w:val="single" w:color="auto" w:sz="4" w:space="0"/>
            </w:tcBorders>
            <w:vAlign w:val="center"/>
          </w:tcPr>
          <w:p w14:paraId="25BE5E87">
            <w:pPr>
              <w:widowControl/>
              <w:jc w:val="left"/>
              <w:rPr>
                <w:rFonts w:ascii="Times New Roman" w:hAnsi="Times New Roman" w:eastAsia="仿宋_GB2312" w:cs="Times New Roman"/>
                <w:kern w:val="0"/>
                <w:sz w:val="24"/>
                <w:szCs w:val="24"/>
              </w:rPr>
            </w:pPr>
          </w:p>
        </w:tc>
        <w:tc>
          <w:tcPr>
            <w:tcW w:w="377" w:type="pct"/>
            <w:vMerge w:val="continue"/>
            <w:tcBorders>
              <w:top w:val="single" w:color="auto" w:sz="4" w:space="0"/>
              <w:left w:val="single" w:color="auto" w:sz="4" w:space="0"/>
              <w:bottom w:val="single" w:color="auto" w:sz="4" w:space="0"/>
              <w:right w:val="single" w:color="auto" w:sz="4" w:space="0"/>
            </w:tcBorders>
            <w:vAlign w:val="center"/>
          </w:tcPr>
          <w:p w14:paraId="43BFE1AD">
            <w:pPr>
              <w:widowControl/>
              <w:jc w:val="left"/>
              <w:rPr>
                <w:rFonts w:ascii="Times New Roman" w:hAnsi="Times New Roman" w:eastAsia="仿宋_GB2312" w:cs="Times New Roman"/>
                <w:kern w:val="0"/>
                <w:sz w:val="24"/>
                <w:szCs w:val="24"/>
              </w:rPr>
            </w:pPr>
          </w:p>
        </w:tc>
        <w:tc>
          <w:tcPr>
            <w:tcW w:w="479" w:type="pct"/>
            <w:vMerge w:val="continue"/>
            <w:tcBorders>
              <w:top w:val="single" w:color="auto" w:sz="4" w:space="0"/>
              <w:left w:val="single" w:color="auto" w:sz="4" w:space="0"/>
              <w:bottom w:val="single" w:color="auto" w:sz="4" w:space="0"/>
              <w:right w:val="single" w:color="auto" w:sz="4" w:space="0"/>
            </w:tcBorders>
            <w:vAlign w:val="center"/>
          </w:tcPr>
          <w:p w14:paraId="6F30D833">
            <w:pPr>
              <w:widowControl/>
              <w:jc w:val="left"/>
              <w:rPr>
                <w:rFonts w:ascii="Times New Roman" w:hAnsi="Times New Roman" w:eastAsia="仿宋_GB2312" w:cs="Times New Roman"/>
                <w:kern w:val="0"/>
                <w:sz w:val="24"/>
                <w:szCs w:val="24"/>
              </w:rPr>
            </w:pPr>
          </w:p>
        </w:tc>
        <w:tc>
          <w:tcPr>
            <w:tcW w:w="479" w:type="pct"/>
            <w:vMerge w:val="continue"/>
            <w:tcBorders>
              <w:top w:val="single" w:color="auto" w:sz="4" w:space="0"/>
              <w:left w:val="single" w:color="auto" w:sz="4" w:space="0"/>
              <w:bottom w:val="single" w:color="auto" w:sz="4" w:space="0"/>
              <w:right w:val="single" w:color="auto" w:sz="4" w:space="0"/>
            </w:tcBorders>
            <w:vAlign w:val="center"/>
          </w:tcPr>
          <w:p w14:paraId="50845069">
            <w:pPr>
              <w:widowControl/>
              <w:jc w:val="left"/>
              <w:rPr>
                <w:rFonts w:ascii="Times New Roman" w:hAnsi="Times New Roman" w:eastAsia="仿宋_GB2312" w:cs="Times New Roman"/>
                <w:kern w:val="0"/>
                <w:sz w:val="24"/>
                <w:szCs w:val="24"/>
              </w:rPr>
            </w:pPr>
          </w:p>
        </w:tc>
        <w:tc>
          <w:tcPr>
            <w:tcW w:w="508" w:type="pct"/>
            <w:vMerge w:val="continue"/>
            <w:tcBorders>
              <w:top w:val="single" w:color="auto" w:sz="4" w:space="0"/>
              <w:left w:val="single" w:color="auto" w:sz="4" w:space="0"/>
              <w:bottom w:val="single" w:color="auto" w:sz="4" w:space="0"/>
              <w:right w:val="single" w:color="auto" w:sz="4" w:space="0"/>
            </w:tcBorders>
            <w:vAlign w:val="center"/>
          </w:tcPr>
          <w:p w14:paraId="0DC535FD">
            <w:pPr>
              <w:widowControl/>
              <w:jc w:val="left"/>
              <w:rPr>
                <w:rFonts w:ascii="Times New Roman" w:hAnsi="Times New Roman" w:eastAsia="仿宋_GB2312" w:cs="Times New Roman"/>
                <w:kern w:val="0"/>
                <w:sz w:val="24"/>
                <w:szCs w:val="24"/>
              </w:rPr>
            </w:pPr>
          </w:p>
        </w:tc>
        <w:tc>
          <w:tcPr>
            <w:tcW w:w="643" w:type="pct"/>
            <w:vMerge w:val="continue"/>
            <w:tcBorders>
              <w:top w:val="single" w:color="auto" w:sz="4" w:space="0"/>
              <w:left w:val="single" w:color="auto" w:sz="4" w:space="0"/>
              <w:bottom w:val="single" w:color="auto" w:sz="4" w:space="0"/>
              <w:right w:val="single" w:color="auto" w:sz="4" w:space="0"/>
            </w:tcBorders>
            <w:vAlign w:val="center"/>
          </w:tcPr>
          <w:p w14:paraId="6B2A0FBE">
            <w:pPr>
              <w:widowControl/>
              <w:jc w:val="left"/>
              <w:rPr>
                <w:rFonts w:ascii="Times New Roman" w:hAnsi="Times New Roman" w:eastAsia="仿宋_GB2312" w:cs="Times New Roman"/>
                <w:kern w:val="0"/>
                <w:sz w:val="24"/>
                <w:szCs w:val="24"/>
              </w:rPr>
            </w:pPr>
          </w:p>
        </w:tc>
        <w:tc>
          <w:tcPr>
            <w:tcW w:w="667" w:type="pct"/>
            <w:vMerge w:val="continue"/>
            <w:tcBorders>
              <w:top w:val="single" w:color="auto" w:sz="4" w:space="0"/>
              <w:left w:val="single" w:color="auto" w:sz="4" w:space="0"/>
              <w:bottom w:val="single" w:color="auto" w:sz="4" w:space="0"/>
              <w:right w:val="single" w:color="auto" w:sz="4" w:space="0"/>
            </w:tcBorders>
            <w:vAlign w:val="center"/>
          </w:tcPr>
          <w:p w14:paraId="1CC129CB">
            <w:pPr>
              <w:widowControl/>
              <w:jc w:val="left"/>
              <w:rPr>
                <w:rFonts w:ascii="Times New Roman" w:hAnsi="Times New Roman" w:eastAsia="仿宋_GB2312" w:cs="Times New Roman"/>
                <w:kern w:val="0"/>
                <w:sz w:val="24"/>
                <w:szCs w:val="24"/>
              </w:rPr>
            </w:pPr>
          </w:p>
        </w:tc>
      </w:tr>
      <w:tr w14:paraId="252F161A">
        <w:tblPrEx>
          <w:tblCellMar>
            <w:top w:w="0" w:type="dxa"/>
            <w:left w:w="108" w:type="dxa"/>
            <w:bottom w:w="0" w:type="dxa"/>
            <w:right w:w="108" w:type="dxa"/>
          </w:tblCellMar>
        </w:tblPrEx>
        <w:trPr>
          <w:trHeight w:val="90" w:hRule="atLeast"/>
          <w:jc w:val="center"/>
        </w:trPr>
        <w:tc>
          <w:tcPr>
            <w:tcW w:w="184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241242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377" w:type="pct"/>
            <w:tcBorders>
              <w:top w:val="nil"/>
              <w:left w:val="nil"/>
              <w:bottom w:val="single" w:color="auto" w:sz="4" w:space="0"/>
              <w:right w:val="single" w:color="auto" w:sz="4" w:space="0"/>
            </w:tcBorders>
            <w:shd w:val="clear" w:color="000000" w:fill="FFFFFF"/>
            <w:noWrap/>
            <w:vAlign w:val="center"/>
          </w:tcPr>
          <w:p w14:paraId="2CA0AA7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79" w:type="pct"/>
            <w:tcBorders>
              <w:top w:val="nil"/>
              <w:left w:val="nil"/>
              <w:bottom w:val="single" w:color="auto" w:sz="4" w:space="0"/>
              <w:right w:val="single" w:color="auto" w:sz="4" w:space="0"/>
            </w:tcBorders>
            <w:shd w:val="clear" w:color="000000" w:fill="FFFFFF"/>
            <w:noWrap/>
            <w:vAlign w:val="center"/>
          </w:tcPr>
          <w:p w14:paraId="48D75DD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79" w:type="pct"/>
            <w:tcBorders>
              <w:top w:val="nil"/>
              <w:left w:val="nil"/>
              <w:bottom w:val="single" w:color="auto" w:sz="4" w:space="0"/>
              <w:right w:val="single" w:color="auto" w:sz="4" w:space="0"/>
            </w:tcBorders>
            <w:shd w:val="clear" w:color="000000" w:fill="FFFFFF"/>
            <w:noWrap/>
            <w:vAlign w:val="center"/>
          </w:tcPr>
          <w:p w14:paraId="2219646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508" w:type="pct"/>
            <w:tcBorders>
              <w:top w:val="nil"/>
              <w:left w:val="nil"/>
              <w:bottom w:val="single" w:color="auto" w:sz="4" w:space="0"/>
              <w:right w:val="single" w:color="auto" w:sz="4" w:space="0"/>
            </w:tcBorders>
            <w:shd w:val="clear" w:color="000000" w:fill="FFFFFF"/>
            <w:noWrap/>
            <w:vAlign w:val="center"/>
          </w:tcPr>
          <w:p w14:paraId="214FF73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643" w:type="pct"/>
            <w:tcBorders>
              <w:top w:val="nil"/>
              <w:left w:val="nil"/>
              <w:bottom w:val="single" w:color="auto" w:sz="4" w:space="0"/>
              <w:right w:val="single" w:color="auto" w:sz="4" w:space="0"/>
            </w:tcBorders>
            <w:shd w:val="clear" w:color="000000" w:fill="FFFFFF"/>
            <w:noWrap/>
            <w:vAlign w:val="center"/>
          </w:tcPr>
          <w:p w14:paraId="18D882B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667" w:type="pct"/>
            <w:tcBorders>
              <w:top w:val="nil"/>
              <w:left w:val="nil"/>
              <w:bottom w:val="single" w:color="auto" w:sz="4" w:space="0"/>
              <w:right w:val="single" w:color="auto" w:sz="4" w:space="0"/>
            </w:tcBorders>
            <w:shd w:val="clear" w:color="000000" w:fill="FFFFFF"/>
            <w:noWrap/>
            <w:vAlign w:val="center"/>
          </w:tcPr>
          <w:p w14:paraId="4E17AA4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0D65DF1A">
        <w:tblPrEx>
          <w:tblCellMar>
            <w:top w:w="0" w:type="dxa"/>
            <w:left w:w="108" w:type="dxa"/>
            <w:bottom w:w="0" w:type="dxa"/>
            <w:right w:w="108" w:type="dxa"/>
          </w:tblCellMar>
        </w:tblPrEx>
        <w:trPr>
          <w:trHeight w:val="390" w:hRule="atLeast"/>
          <w:jc w:val="center"/>
        </w:trPr>
        <w:tc>
          <w:tcPr>
            <w:tcW w:w="184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D5D4BE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377" w:type="pct"/>
            <w:tcBorders>
              <w:top w:val="nil"/>
              <w:left w:val="nil"/>
              <w:bottom w:val="single" w:color="auto" w:sz="4" w:space="0"/>
              <w:right w:val="single" w:color="auto" w:sz="4" w:space="0"/>
            </w:tcBorders>
            <w:shd w:val="clear" w:color="auto" w:fill="auto"/>
            <w:noWrap/>
            <w:vAlign w:val="center"/>
          </w:tcPr>
          <w:p w14:paraId="0CC30ED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722.03</w:t>
            </w:r>
          </w:p>
        </w:tc>
        <w:tc>
          <w:tcPr>
            <w:tcW w:w="479" w:type="pct"/>
            <w:tcBorders>
              <w:top w:val="nil"/>
              <w:left w:val="nil"/>
              <w:bottom w:val="single" w:color="auto" w:sz="4" w:space="0"/>
              <w:right w:val="single" w:color="auto" w:sz="4" w:space="0"/>
            </w:tcBorders>
            <w:shd w:val="clear" w:color="auto" w:fill="auto"/>
            <w:noWrap/>
            <w:vAlign w:val="center"/>
          </w:tcPr>
          <w:p w14:paraId="578967A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585.23</w:t>
            </w:r>
          </w:p>
        </w:tc>
        <w:tc>
          <w:tcPr>
            <w:tcW w:w="479" w:type="pct"/>
            <w:tcBorders>
              <w:top w:val="nil"/>
              <w:left w:val="nil"/>
              <w:bottom w:val="single" w:color="auto" w:sz="4" w:space="0"/>
              <w:right w:val="single" w:color="auto" w:sz="4" w:space="0"/>
            </w:tcBorders>
            <w:shd w:val="clear" w:color="auto" w:fill="auto"/>
            <w:noWrap/>
            <w:vAlign w:val="center"/>
          </w:tcPr>
          <w:p w14:paraId="28410B2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136.80</w:t>
            </w:r>
          </w:p>
        </w:tc>
        <w:tc>
          <w:tcPr>
            <w:tcW w:w="508" w:type="pct"/>
            <w:tcBorders>
              <w:top w:val="nil"/>
              <w:left w:val="nil"/>
              <w:bottom w:val="single" w:color="auto" w:sz="4" w:space="0"/>
              <w:right w:val="single" w:color="auto" w:sz="4" w:space="0"/>
            </w:tcBorders>
            <w:shd w:val="clear" w:color="auto" w:fill="auto"/>
            <w:noWrap/>
            <w:vAlign w:val="center"/>
          </w:tcPr>
          <w:p w14:paraId="3DAF0CF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643" w:type="pct"/>
            <w:tcBorders>
              <w:top w:val="nil"/>
              <w:left w:val="nil"/>
              <w:bottom w:val="single" w:color="auto" w:sz="4" w:space="0"/>
              <w:right w:val="single" w:color="auto" w:sz="4" w:space="0"/>
            </w:tcBorders>
            <w:shd w:val="clear" w:color="auto" w:fill="auto"/>
            <w:noWrap/>
            <w:vAlign w:val="center"/>
          </w:tcPr>
          <w:p w14:paraId="6BD3EAA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667" w:type="pct"/>
            <w:tcBorders>
              <w:top w:val="nil"/>
              <w:left w:val="nil"/>
              <w:bottom w:val="single" w:color="auto" w:sz="4" w:space="0"/>
              <w:right w:val="single" w:color="auto" w:sz="4" w:space="0"/>
            </w:tcBorders>
            <w:shd w:val="clear" w:color="auto" w:fill="auto"/>
            <w:noWrap/>
            <w:vAlign w:val="center"/>
          </w:tcPr>
          <w:p w14:paraId="3711CBC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r>
      <w:tr w14:paraId="1A62DF16">
        <w:tblPrEx>
          <w:tblCellMar>
            <w:top w:w="0" w:type="dxa"/>
            <w:left w:w="108" w:type="dxa"/>
            <w:bottom w:w="0" w:type="dxa"/>
            <w:right w:w="108" w:type="dxa"/>
          </w:tblCellMar>
        </w:tblPrEx>
        <w:trPr>
          <w:trHeight w:val="459" w:hRule="atLeast"/>
          <w:jc w:val="center"/>
        </w:trPr>
        <w:tc>
          <w:tcPr>
            <w:tcW w:w="61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25848BD">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207</w:t>
            </w:r>
          </w:p>
        </w:tc>
        <w:tc>
          <w:tcPr>
            <w:tcW w:w="1229" w:type="pct"/>
            <w:tcBorders>
              <w:top w:val="nil"/>
              <w:left w:val="nil"/>
              <w:bottom w:val="single" w:color="auto" w:sz="4" w:space="0"/>
              <w:right w:val="single" w:color="auto" w:sz="4" w:space="0"/>
            </w:tcBorders>
            <w:shd w:val="clear" w:color="000000" w:fill="FFFFFF"/>
            <w:noWrap/>
            <w:vAlign w:val="center"/>
          </w:tcPr>
          <w:p w14:paraId="5DE99E54">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文化旅游体育与传媒支出</w:t>
            </w:r>
          </w:p>
        </w:tc>
        <w:tc>
          <w:tcPr>
            <w:tcW w:w="377" w:type="pct"/>
            <w:tcBorders>
              <w:top w:val="nil"/>
              <w:left w:val="nil"/>
              <w:bottom w:val="single" w:color="auto" w:sz="4" w:space="0"/>
              <w:right w:val="single" w:color="auto" w:sz="4" w:space="0"/>
            </w:tcBorders>
            <w:shd w:val="clear" w:color="auto" w:fill="auto"/>
            <w:noWrap/>
            <w:vAlign w:val="center"/>
          </w:tcPr>
          <w:p w14:paraId="7888C30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719.03</w:t>
            </w:r>
          </w:p>
        </w:tc>
        <w:tc>
          <w:tcPr>
            <w:tcW w:w="479" w:type="pct"/>
            <w:tcBorders>
              <w:top w:val="nil"/>
              <w:left w:val="nil"/>
              <w:bottom w:val="single" w:color="auto" w:sz="4" w:space="0"/>
              <w:right w:val="single" w:color="auto" w:sz="4" w:space="0"/>
            </w:tcBorders>
            <w:shd w:val="clear" w:color="auto" w:fill="auto"/>
            <w:noWrap/>
            <w:vAlign w:val="center"/>
          </w:tcPr>
          <w:p w14:paraId="07DC12D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582.23</w:t>
            </w:r>
          </w:p>
        </w:tc>
        <w:tc>
          <w:tcPr>
            <w:tcW w:w="479" w:type="pct"/>
            <w:tcBorders>
              <w:top w:val="nil"/>
              <w:left w:val="nil"/>
              <w:bottom w:val="single" w:color="auto" w:sz="4" w:space="0"/>
              <w:right w:val="single" w:color="auto" w:sz="4" w:space="0"/>
            </w:tcBorders>
            <w:shd w:val="clear" w:color="auto" w:fill="auto"/>
            <w:noWrap/>
            <w:vAlign w:val="center"/>
          </w:tcPr>
          <w:p w14:paraId="0241B51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136.80</w:t>
            </w:r>
          </w:p>
        </w:tc>
        <w:tc>
          <w:tcPr>
            <w:tcW w:w="508" w:type="pct"/>
            <w:tcBorders>
              <w:top w:val="nil"/>
              <w:left w:val="nil"/>
              <w:bottom w:val="single" w:color="auto" w:sz="4" w:space="0"/>
              <w:right w:val="single" w:color="auto" w:sz="4" w:space="0"/>
            </w:tcBorders>
            <w:shd w:val="clear" w:color="auto" w:fill="auto"/>
            <w:noWrap/>
            <w:vAlign w:val="center"/>
          </w:tcPr>
          <w:p w14:paraId="60F79BD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43" w:type="pct"/>
            <w:tcBorders>
              <w:top w:val="nil"/>
              <w:left w:val="nil"/>
              <w:bottom w:val="single" w:color="auto" w:sz="4" w:space="0"/>
              <w:right w:val="single" w:color="auto" w:sz="4" w:space="0"/>
            </w:tcBorders>
            <w:shd w:val="clear" w:color="auto" w:fill="auto"/>
            <w:noWrap/>
            <w:vAlign w:val="center"/>
          </w:tcPr>
          <w:p w14:paraId="137DB85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7" w:type="pct"/>
            <w:tcBorders>
              <w:top w:val="nil"/>
              <w:left w:val="nil"/>
              <w:bottom w:val="single" w:color="auto" w:sz="4" w:space="0"/>
              <w:right w:val="single" w:color="auto" w:sz="4" w:space="0"/>
            </w:tcBorders>
            <w:shd w:val="clear" w:color="auto" w:fill="auto"/>
            <w:noWrap/>
            <w:vAlign w:val="center"/>
          </w:tcPr>
          <w:p w14:paraId="06D48E0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3FA0B12">
        <w:tblPrEx>
          <w:tblCellMar>
            <w:top w:w="0" w:type="dxa"/>
            <w:left w:w="108" w:type="dxa"/>
            <w:bottom w:w="0" w:type="dxa"/>
            <w:right w:w="108" w:type="dxa"/>
          </w:tblCellMar>
        </w:tblPrEx>
        <w:trPr>
          <w:trHeight w:val="377" w:hRule="atLeast"/>
          <w:jc w:val="center"/>
        </w:trPr>
        <w:tc>
          <w:tcPr>
            <w:tcW w:w="61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7BAAD7F">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20706</w:t>
            </w:r>
          </w:p>
        </w:tc>
        <w:tc>
          <w:tcPr>
            <w:tcW w:w="1229" w:type="pct"/>
            <w:tcBorders>
              <w:top w:val="nil"/>
              <w:left w:val="nil"/>
              <w:bottom w:val="single" w:color="auto" w:sz="4" w:space="0"/>
              <w:right w:val="single" w:color="auto" w:sz="4" w:space="0"/>
            </w:tcBorders>
            <w:shd w:val="clear" w:color="000000" w:fill="FFFFFF"/>
            <w:noWrap/>
            <w:vAlign w:val="center"/>
          </w:tcPr>
          <w:p w14:paraId="410BB15A">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新闻出版电影</w:t>
            </w:r>
          </w:p>
        </w:tc>
        <w:tc>
          <w:tcPr>
            <w:tcW w:w="377" w:type="pct"/>
            <w:tcBorders>
              <w:top w:val="nil"/>
              <w:left w:val="nil"/>
              <w:bottom w:val="single" w:color="auto" w:sz="4" w:space="0"/>
              <w:right w:val="single" w:color="auto" w:sz="4" w:space="0"/>
            </w:tcBorders>
            <w:shd w:val="clear" w:color="auto" w:fill="auto"/>
            <w:noWrap/>
            <w:vAlign w:val="center"/>
          </w:tcPr>
          <w:p w14:paraId="0D21481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394.04</w:t>
            </w:r>
          </w:p>
        </w:tc>
        <w:tc>
          <w:tcPr>
            <w:tcW w:w="479" w:type="pct"/>
            <w:tcBorders>
              <w:top w:val="nil"/>
              <w:left w:val="nil"/>
              <w:bottom w:val="single" w:color="auto" w:sz="4" w:space="0"/>
              <w:right w:val="single" w:color="auto" w:sz="4" w:space="0"/>
            </w:tcBorders>
            <w:shd w:val="clear" w:color="auto" w:fill="auto"/>
            <w:noWrap/>
            <w:vAlign w:val="center"/>
          </w:tcPr>
          <w:p w14:paraId="66C98F2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394.04</w:t>
            </w:r>
          </w:p>
        </w:tc>
        <w:tc>
          <w:tcPr>
            <w:tcW w:w="479" w:type="pct"/>
            <w:tcBorders>
              <w:top w:val="nil"/>
              <w:left w:val="nil"/>
              <w:bottom w:val="single" w:color="auto" w:sz="4" w:space="0"/>
              <w:right w:val="single" w:color="auto" w:sz="4" w:space="0"/>
            </w:tcBorders>
            <w:shd w:val="clear" w:color="auto" w:fill="auto"/>
            <w:noWrap/>
            <w:vAlign w:val="center"/>
          </w:tcPr>
          <w:p w14:paraId="090EACD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auto" w:sz="4" w:space="0"/>
              <w:right w:val="single" w:color="auto" w:sz="4" w:space="0"/>
            </w:tcBorders>
            <w:shd w:val="clear" w:color="auto" w:fill="auto"/>
            <w:noWrap/>
            <w:vAlign w:val="center"/>
          </w:tcPr>
          <w:p w14:paraId="6143009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43" w:type="pct"/>
            <w:tcBorders>
              <w:top w:val="nil"/>
              <w:left w:val="nil"/>
              <w:bottom w:val="single" w:color="auto" w:sz="4" w:space="0"/>
              <w:right w:val="single" w:color="auto" w:sz="4" w:space="0"/>
            </w:tcBorders>
            <w:shd w:val="clear" w:color="auto" w:fill="auto"/>
            <w:noWrap/>
            <w:vAlign w:val="center"/>
          </w:tcPr>
          <w:p w14:paraId="11E1D95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7" w:type="pct"/>
            <w:tcBorders>
              <w:top w:val="nil"/>
              <w:left w:val="nil"/>
              <w:bottom w:val="single" w:color="auto" w:sz="4" w:space="0"/>
              <w:right w:val="single" w:color="auto" w:sz="4" w:space="0"/>
            </w:tcBorders>
            <w:shd w:val="clear" w:color="auto" w:fill="auto"/>
            <w:noWrap/>
            <w:vAlign w:val="center"/>
          </w:tcPr>
          <w:p w14:paraId="3CAF5D9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98EA81A">
        <w:tblPrEx>
          <w:tblCellMar>
            <w:top w:w="0" w:type="dxa"/>
            <w:left w:w="108" w:type="dxa"/>
            <w:bottom w:w="0" w:type="dxa"/>
            <w:right w:w="108" w:type="dxa"/>
          </w:tblCellMar>
        </w:tblPrEx>
        <w:trPr>
          <w:trHeight w:val="379" w:hRule="atLeast"/>
          <w:jc w:val="center"/>
        </w:trPr>
        <w:tc>
          <w:tcPr>
            <w:tcW w:w="61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8E63082">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2070601</w:t>
            </w:r>
          </w:p>
        </w:tc>
        <w:tc>
          <w:tcPr>
            <w:tcW w:w="1229" w:type="pct"/>
            <w:tcBorders>
              <w:top w:val="nil"/>
              <w:left w:val="nil"/>
              <w:bottom w:val="single" w:color="auto" w:sz="4" w:space="0"/>
              <w:right w:val="single" w:color="auto" w:sz="4" w:space="0"/>
            </w:tcBorders>
            <w:shd w:val="clear" w:color="000000" w:fill="FFFFFF"/>
            <w:noWrap/>
            <w:vAlign w:val="center"/>
          </w:tcPr>
          <w:p w14:paraId="56E764C3">
            <w:pPr>
              <w:rPr>
                <w:rFonts w:ascii="Times New Roman" w:hAnsi="Times New Roman" w:eastAsia="仿宋_GB2312" w:cs="Times New Roman"/>
                <w:kern w:val="2"/>
                <w:sz w:val="24"/>
                <w:szCs w:val="24"/>
                <w:lang w:val="en-US" w:eastAsia="zh-CN" w:bidi="ar-SA"/>
              </w:rPr>
            </w:pPr>
            <w:r>
              <w:rPr>
                <w:rFonts w:hint="eastAsia"/>
              </w:rPr>
              <w:t>行政运行</w:t>
            </w:r>
          </w:p>
        </w:tc>
        <w:tc>
          <w:tcPr>
            <w:tcW w:w="377" w:type="pct"/>
            <w:tcBorders>
              <w:top w:val="nil"/>
              <w:left w:val="nil"/>
              <w:bottom w:val="single" w:color="auto" w:sz="4" w:space="0"/>
              <w:right w:val="single" w:color="auto" w:sz="4" w:space="0"/>
            </w:tcBorders>
            <w:shd w:val="clear" w:color="auto" w:fill="auto"/>
            <w:noWrap/>
            <w:vAlign w:val="center"/>
          </w:tcPr>
          <w:p w14:paraId="4776113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394.04</w:t>
            </w:r>
          </w:p>
        </w:tc>
        <w:tc>
          <w:tcPr>
            <w:tcW w:w="479" w:type="pct"/>
            <w:tcBorders>
              <w:top w:val="nil"/>
              <w:left w:val="nil"/>
              <w:bottom w:val="single" w:color="auto" w:sz="4" w:space="0"/>
              <w:right w:val="single" w:color="auto" w:sz="4" w:space="0"/>
            </w:tcBorders>
            <w:shd w:val="clear" w:color="auto" w:fill="auto"/>
            <w:noWrap/>
            <w:vAlign w:val="center"/>
          </w:tcPr>
          <w:p w14:paraId="790B4AF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394.04</w:t>
            </w:r>
          </w:p>
        </w:tc>
        <w:tc>
          <w:tcPr>
            <w:tcW w:w="479" w:type="pct"/>
            <w:tcBorders>
              <w:top w:val="nil"/>
              <w:left w:val="nil"/>
              <w:bottom w:val="single" w:color="auto" w:sz="4" w:space="0"/>
              <w:right w:val="single" w:color="auto" w:sz="4" w:space="0"/>
            </w:tcBorders>
            <w:shd w:val="clear" w:color="auto" w:fill="auto"/>
            <w:noWrap/>
            <w:vAlign w:val="center"/>
          </w:tcPr>
          <w:p w14:paraId="27D34DE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nil"/>
              <w:left w:val="nil"/>
              <w:bottom w:val="single" w:color="auto" w:sz="4" w:space="0"/>
              <w:right w:val="single" w:color="auto" w:sz="4" w:space="0"/>
            </w:tcBorders>
            <w:shd w:val="clear" w:color="auto" w:fill="auto"/>
            <w:noWrap/>
            <w:vAlign w:val="center"/>
          </w:tcPr>
          <w:p w14:paraId="7434077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43" w:type="pct"/>
            <w:tcBorders>
              <w:top w:val="nil"/>
              <w:left w:val="nil"/>
              <w:bottom w:val="single" w:color="auto" w:sz="4" w:space="0"/>
              <w:right w:val="single" w:color="auto" w:sz="4" w:space="0"/>
            </w:tcBorders>
            <w:shd w:val="clear" w:color="auto" w:fill="auto"/>
            <w:noWrap/>
            <w:vAlign w:val="center"/>
          </w:tcPr>
          <w:p w14:paraId="1FAD60E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7" w:type="pct"/>
            <w:tcBorders>
              <w:top w:val="nil"/>
              <w:left w:val="nil"/>
              <w:bottom w:val="single" w:color="auto" w:sz="4" w:space="0"/>
              <w:right w:val="single" w:color="auto" w:sz="4" w:space="0"/>
            </w:tcBorders>
            <w:shd w:val="clear" w:color="auto" w:fill="auto"/>
            <w:noWrap/>
            <w:vAlign w:val="center"/>
          </w:tcPr>
          <w:p w14:paraId="6511691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457D1FD">
        <w:tblPrEx>
          <w:tblCellMar>
            <w:top w:w="0" w:type="dxa"/>
            <w:left w:w="108" w:type="dxa"/>
            <w:bottom w:w="0" w:type="dxa"/>
            <w:right w:w="108" w:type="dxa"/>
          </w:tblCellMar>
        </w:tblPrEx>
        <w:trPr>
          <w:trHeight w:val="445" w:hRule="atLeast"/>
          <w:jc w:val="center"/>
        </w:trPr>
        <w:tc>
          <w:tcPr>
            <w:tcW w:w="61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5351756">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20708</w:t>
            </w:r>
          </w:p>
        </w:tc>
        <w:tc>
          <w:tcPr>
            <w:tcW w:w="1229" w:type="pct"/>
            <w:tcBorders>
              <w:top w:val="nil"/>
              <w:left w:val="nil"/>
              <w:bottom w:val="single" w:color="auto" w:sz="4" w:space="0"/>
              <w:right w:val="single" w:color="auto" w:sz="4" w:space="0"/>
            </w:tcBorders>
            <w:shd w:val="clear" w:color="000000" w:fill="FFFFFF"/>
            <w:noWrap/>
            <w:vAlign w:val="center"/>
          </w:tcPr>
          <w:p w14:paraId="3C5DFDAC">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广播电视</w:t>
            </w:r>
          </w:p>
        </w:tc>
        <w:tc>
          <w:tcPr>
            <w:tcW w:w="377" w:type="pct"/>
            <w:tcBorders>
              <w:top w:val="nil"/>
              <w:left w:val="nil"/>
              <w:bottom w:val="single" w:color="auto" w:sz="4" w:space="0"/>
              <w:right w:val="single" w:color="auto" w:sz="4" w:space="0"/>
            </w:tcBorders>
            <w:shd w:val="clear" w:color="auto" w:fill="auto"/>
            <w:noWrap/>
            <w:vAlign w:val="center"/>
          </w:tcPr>
          <w:p w14:paraId="0AF8102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253.78</w:t>
            </w:r>
          </w:p>
        </w:tc>
        <w:tc>
          <w:tcPr>
            <w:tcW w:w="479" w:type="pct"/>
            <w:tcBorders>
              <w:top w:val="nil"/>
              <w:left w:val="nil"/>
              <w:bottom w:val="single" w:color="auto" w:sz="4" w:space="0"/>
              <w:right w:val="single" w:color="auto" w:sz="4" w:space="0"/>
            </w:tcBorders>
            <w:shd w:val="clear" w:color="auto" w:fill="auto"/>
            <w:noWrap/>
            <w:vAlign w:val="center"/>
          </w:tcPr>
          <w:p w14:paraId="42487CE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188.18</w:t>
            </w:r>
          </w:p>
        </w:tc>
        <w:tc>
          <w:tcPr>
            <w:tcW w:w="479" w:type="pct"/>
            <w:tcBorders>
              <w:top w:val="nil"/>
              <w:left w:val="nil"/>
              <w:bottom w:val="single" w:color="auto" w:sz="4" w:space="0"/>
              <w:right w:val="single" w:color="auto" w:sz="4" w:space="0"/>
            </w:tcBorders>
            <w:shd w:val="clear" w:color="auto" w:fill="auto"/>
            <w:noWrap/>
            <w:vAlign w:val="center"/>
          </w:tcPr>
          <w:p w14:paraId="28B5710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65.60</w:t>
            </w:r>
          </w:p>
        </w:tc>
        <w:tc>
          <w:tcPr>
            <w:tcW w:w="508" w:type="pct"/>
            <w:tcBorders>
              <w:top w:val="nil"/>
              <w:left w:val="nil"/>
              <w:bottom w:val="single" w:color="auto" w:sz="4" w:space="0"/>
              <w:right w:val="single" w:color="auto" w:sz="4" w:space="0"/>
            </w:tcBorders>
            <w:shd w:val="clear" w:color="auto" w:fill="auto"/>
            <w:noWrap/>
            <w:vAlign w:val="center"/>
          </w:tcPr>
          <w:p w14:paraId="477E777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43" w:type="pct"/>
            <w:tcBorders>
              <w:top w:val="nil"/>
              <w:left w:val="nil"/>
              <w:bottom w:val="single" w:color="auto" w:sz="4" w:space="0"/>
              <w:right w:val="single" w:color="auto" w:sz="4" w:space="0"/>
            </w:tcBorders>
            <w:shd w:val="clear" w:color="auto" w:fill="auto"/>
            <w:noWrap/>
            <w:vAlign w:val="center"/>
          </w:tcPr>
          <w:p w14:paraId="5F63B59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7" w:type="pct"/>
            <w:tcBorders>
              <w:top w:val="nil"/>
              <w:left w:val="nil"/>
              <w:bottom w:val="single" w:color="auto" w:sz="4" w:space="0"/>
              <w:right w:val="single" w:color="auto" w:sz="4" w:space="0"/>
            </w:tcBorders>
            <w:shd w:val="clear" w:color="auto" w:fill="auto"/>
            <w:noWrap/>
            <w:vAlign w:val="center"/>
          </w:tcPr>
          <w:p w14:paraId="19DD81C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B29AB05">
        <w:tblPrEx>
          <w:tblCellMar>
            <w:top w:w="0" w:type="dxa"/>
            <w:left w:w="108" w:type="dxa"/>
            <w:bottom w:w="0" w:type="dxa"/>
            <w:right w:w="108" w:type="dxa"/>
          </w:tblCellMar>
        </w:tblPrEx>
        <w:trPr>
          <w:trHeight w:val="296" w:hRule="atLeast"/>
          <w:jc w:val="center"/>
        </w:trPr>
        <w:tc>
          <w:tcPr>
            <w:tcW w:w="61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FF27DF9">
            <w:pPr>
              <w:numPr>
                <w:ilvl w:val="0"/>
                <w:numId w:val="0"/>
              </w:numPr>
              <w:ind w:leftChars="0"/>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2070899</w:t>
            </w:r>
          </w:p>
        </w:tc>
        <w:tc>
          <w:tcPr>
            <w:tcW w:w="1229" w:type="pct"/>
            <w:tcBorders>
              <w:top w:val="nil"/>
              <w:left w:val="nil"/>
              <w:bottom w:val="single" w:color="auto" w:sz="4" w:space="0"/>
              <w:right w:val="single" w:color="auto" w:sz="4" w:space="0"/>
            </w:tcBorders>
            <w:shd w:val="clear" w:color="000000" w:fill="FFFFFF"/>
            <w:noWrap/>
            <w:vAlign w:val="center"/>
          </w:tcPr>
          <w:p w14:paraId="25B3489C">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 xml:space="preserve">  其他广播电视支出</w:t>
            </w:r>
          </w:p>
        </w:tc>
        <w:tc>
          <w:tcPr>
            <w:tcW w:w="377" w:type="pct"/>
            <w:tcBorders>
              <w:top w:val="nil"/>
              <w:left w:val="nil"/>
              <w:bottom w:val="single" w:color="auto" w:sz="4" w:space="0"/>
              <w:right w:val="single" w:color="auto" w:sz="4" w:space="0"/>
            </w:tcBorders>
            <w:shd w:val="clear" w:color="auto" w:fill="auto"/>
            <w:noWrap/>
            <w:vAlign w:val="center"/>
          </w:tcPr>
          <w:p w14:paraId="5BAB494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253.78</w:t>
            </w:r>
          </w:p>
        </w:tc>
        <w:tc>
          <w:tcPr>
            <w:tcW w:w="479" w:type="pct"/>
            <w:tcBorders>
              <w:top w:val="nil"/>
              <w:left w:val="nil"/>
              <w:bottom w:val="single" w:color="auto" w:sz="4" w:space="0"/>
              <w:right w:val="single" w:color="auto" w:sz="4" w:space="0"/>
            </w:tcBorders>
            <w:shd w:val="clear" w:color="auto" w:fill="auto"/>
            <w:noWrap/>
            <w:vAlign w:val="center"/>
          </w:tcPr>
          <w:p w14:paraId="42AAC3C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188.18</w:t>
            </w:r>
          </w:p>
        </w:tc>
        <w:tc>
          <w:tcPr>
            <w:tcW w:w="479" w:type="pct"/>
            <w:tcBorders>
              <w:top w:val="nil"/>
              <w:left w:val="nil"/>
              <w:bottom w:val="single" w:color="auto" w:sz="4" w:space="0"/>
              <w:right w:val="single" w:color="auto" w:sz="4" w:space="0"/>
            </w:tcBorders>
            <w:shd w:val="clear" w:color="auto" w:fill="auto"/>
            <w:noWrap/>
            <w:vAlign w:val="center"/>
          </w:tcPr>
          <w:p w14:paraId="60CBF47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65.60</w:t>
            </w:r>
          </w:p>
        </w:tc>
        <w:tc>
          <w:tcPr>
            <w:tcW w:w="508" w:type="pct"/>
            <w:tcBorders>
              <w:top w:val="nil"/>
              <w:left w:val="nil"/>
              <w:bottom w:val="single" w:color="auto" w:sz="4" w:space="0"/>
              <w:right w:val="single" w:color="auto" w:sz="4" w:space="0"/>
            </w:tcBorders>
            <w:shd w:val="clear" w:color="auto" w:fill="auto"/>
            <w:noWrap/>
            <w:vAlign w:val="center"/>
          </w:tcPr>
          <w:p w14:paraId="12C8F36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43" w:type="pct"/>
            <w:tcBorders>
              <w:top w:val="nil"/>
              <w:left w:val="nil"/>
              <w:bottom w:val="single" w:color="auto" w:sz="4" w:space="0"/>
              <w:right w:val="single" w:color="auto" w:sz="4" w:space="0"/>
            </w:tcBorders>
            <w:shd w:val="clear" w:color="auto" w:fill="auto"/>
            <w:noWrap/>
            <w:vAlign w:val="center"/>
          </w:tcPr>
          <w:p w14:paraId="6315CC8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7" w:type="pct"/>
            <w:tcBorders>
              <w:top w:val="nil"/>
              <w:left w:val="nil"/>
              <w:bottom w:val="single" w:color="auto" w:sz="4" w:space="0"/>
              <w:right w:val="single" w:color="auto" w:sz="4" w:space="0"/>
            </w:tcBorders>
            <w:shd w:val="clear" w:color="auto" w:fill="auto"/>
            <w:noWrap/>
            <w:vAlign w:val="center"/>
          </w:tcPr>
          <w:p w14:paraId="3A9A464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6429CC5">
        <w:tblPrEx>
          <w:tblCellMar>
            <w:top w:w="0" w:type="dxa"/>
            <w:left w:w="108" w:type="dxa"/>
            <w:bottom w:w="0" w:type="dxa"/>
            <w:right w:w="108" w:type="dxa"/>
          </w:tblCellMar>
        </w:tblPrEx>
        <w:trPr>
          <w:trHeight w:val="363" w:hRule="atLeast"/>
          <w:jc w:val="center"/>
        </w:trPr>
        <w:tc>
          <w:tcPr>
            <w:tcW w:w="61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655C301">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20799</w:t>
            </w:r>
          </w:p>
        </w:tc>
        <w:tc>
          <w:tcPr>
            <w:tcW w:w="1229" w:type="pct"/>
            <w:tcBorders>
              <w:top w:val="nil"/>
              <w:left w:val="nil"/>
              <w:bottom w:val="single" w:color="auto" w:sz="4" w:space="0"/>
              <w:right w:val="single" w:color="auto" w:sz="4" w:space="0"/>
            </w:tcBorders>
            <w:shd w:val="clear" w:color="000000" w:fill="FFFFFF"/>
            <w:noWrap/>
            <w:vAlign w:val="center"/>
          </w:tcPr>
          <w:p w14:paraId="1BF04AB2">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其他文化旅游体育与传媒支出</w:t>
            </w:r>
          </w:p>
        </w:tc>
        <w:tc>
          <w:tcPr>
            <w:tcW w:w="377" w:type="pct"/>
            <w:tcBorders>
              <w:top w:val="nil"/>
              <w:left w:val="nil"/>
              <w:bottom w:val="single" w:color="auto" w:sz="4" w:space="0"/>
              <w:right w:val="single" w:color="auto" w:sz="4" w:space="0"/>
            </w:tcBorders>
            <w:shd w:val="clear" w:color="auto" w:fill="auto"/>
            <w:noWrap/>
            <w:vAlign w:val="center"/>
          </w:tcPr>
          <w:p w14:paraId="32797DE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71.20</w:t>
            </w:r>
          </w:p>
        </w:tc>
        <w:tc>
          <w:tcPr>
            <w:tcW w:w="479" w:type="pct"/>
            <w:tcBorders>
              <w:top w:val="nil"/>
              <w:left w:val="nil"/>
              <w:bottom w:val="single" w:color="auto" w:sz="4" w:space="0"/>
              <w:right w:val="single" w:color="auto" w:sz="4" w:space="0"/>
            </w:tcBorders>
            <w:shd w:val="clear" w:color="auto" w:fill="auto"/>
            <w:noWrap/>
            <w:vAlign w:val="center"/>
          </w:tcPr>
          <w:p w14:paraId="21C4AB0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79" w:type="pct"/>
            <w:tcBorders>
              <w:top w:val="nil"/>
              <w:left w:val="nil"/>
              <w:bottom w:val="single" w:color="auto" w:sz="4" w:space="0"/>
              <w:right w:val="single" w:color="auto" w:sz="4" w:space="0"/>
            </w:tcBorders>
            <w:shd w:val="clear" w:color="auto" w:fill="auto"/>
            <w:noWrap/>
            <w:vAlign w:val="center"/>
          </w:tcPr>
          <w:p w14:paraId="51DAFDE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71.20</w:t>
            </w:r>
          </w:p>
        </w:tc>
        <w:tc>
          <w:tcPr>
            <w:tcW w:w="508" w:type="pct"/>
            <w:tcBorders>
              <w:top w:val="nil"/>
              <w:left w:val="nil"/>
              <w:bottom w:val="single" w:color="auto" w:sz="4" w:space="0"/>
              <w:right w:val="single" w:color="auto" w:sz="4" w:space="0"/>
            </w:tcBorders>
            <w:shd w:val="clear" w:color="auto" w:fill="auto"/>
            <w:noWrap/>
            <w:vAlign w:val="center"/>
          </w:tcPr>
          <w:p w14:paraId="15E74F4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43" w:type="pct"/>
            <w:tcBorders>
              <w:top w:val="nil"/>
              <w:left w:val="nil"/>
              <w:bottom w:val="single" w:color="auto" w:sz="4" w:space="0"/>
              <w:right w:val="single" w:color="auto" w:sz="4" w:space="0"/>
            </w:tcBorders>
            <w:shd w:val="clear" w:color="auto" w:fill="auto"/>
            <w:noWrap/>
            <w:vAlign w:val="center"/>
          </w:tcPr>
          <w:p w14:paraId="0E29F6B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7" w:type="pct"/>
            <w:tcBorders>
              <w:top w:val="nil"/>
              <w:left w:val="nil"/>
              <w:bottom w:val="single" w:color="auto" w:sz="4" w:space="0"/>
              <w:right w:val="single" w:color="auto" w:sz="4" w:space="0"/>
            </w:tcBorders>
            <w:shd w:val="clear" w:color="auto" w:fill="auto"/>
            <w:noWrap/>
            <w:vAlign w:val="center"/>
          </w:tcPr>
          <w:p w14:paraId="104F25A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F5AAB19">
        <w:tblPrEx>
          <w:tblCellMar>
            <w:top w:w="0" w:type="dxa"/>
            <w:left w:w="108" w:type="dxa"/>
            <w:bottom w:w="0" w:type="dxa"/>
            <w:right w:w="108" w:type="dxa"/>
          </w:tblCellMar>
        </w:tblPrEx>
        <w:trPr>
          <w:trHeight w:val="595" w:hRule="atLeast"/>
          <w:jc w:val="center"/>
        </w:trPr>
        <w:tc>
          <w:tcPr>
            <w:tcW w:w="614" w:type="pct"/>
            <w:tcBorders>
              <w:top w:val="single" w:color="auto" w:sz="4" w:space="0"/>
              <w:left w:val="single" w:color="auto" w:sz="4" w:space="0"/>
              <w:bottom w:val="single" w:color="auto" w:sz="4" w:space="0"/>
              <w:right w:val="single" w:color="auto" w:sz="4" w:space="0"/>
            </w:tcBorders>
            <w:shd w:val="clear" w:color="000000" w:fill="FFFFFF"/>
            <w:vAlign w:val="center"/>
          </w:tcPr>
          <w:p w14:paraId="7133483F">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2079999</w:t>
            </w:r>
          </w:p>
        </w:tc>
        <w:tc>
          <w:tcPr>
            <w:tcW w:w="1229" w:type="pct"/>
            <w:tcBorders>
              <w:top w:val="single" w:color="auto" w:sz="4" w:space="0"/>
              <w:left w:val="single" w:color="auto" w:sz="4" w:space="0"/>
              <w:bottom w:val="single" w:color="auto" w:sz="4" w:space="0"/>
              <w:right w:val="single" w:color="auto" w:sz="4" w:space="0"/>
            </w:tcBorders>
            <w:shd w:val="clear" w:color="000000" w:fill="FFFFFF"/>
            <w:vAlign w:val="center"/>
          </w:tcPr>
          <w:p w14:paraId="543EB82C">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其他文化旅游体育与传媒支出</w:t>
            </w:r>
          </w:p>
        </w:tc>
        <w:tc>
          <w:tcPr>
            <w:tcW w:w="377" w:type="pct"/>
            <w:tcBorders>
              <w:top w:val="single" w:color="auto" w:sz="4" w:space="0"/>
              <w:left w:val="single" w:color="auto" w:sz="4" w:space="0"/>
              <w:bottom w:val="single" w:color="auto" w:sz="4" w:space="0"/>
              <w:right w:val="single" w:color="auto" w:sz="4" w:space="0"/>
            </w:tcBorders>
            <w:vAlign w:val="center"/>
          </w:tcPr>
          <w:p w14:paraId="7EE1D26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71.20</w:t>
            </w:r>
          </w:p>
        </w:tc>
        <w:tc>
          <w:tcPr>
            <w:tcW w:w="479" w:type="pct"/>
            <w:tcBorders>
              <w:top w:val="single" w:color="auto" w:sz="4" w:space="0"/>
              <w:left w:val="single" w:color="auto" w:sz="4" w:space="0"/>
              <w:bottom w:val="single" w:color="auto" w:sz="4" w:space="0"/>
              <w:right w:val="single" w:color="auto" w:sz="4" w:space="0"/>
            </w:tcBorders>
            <w:vAlign w:val="center"/>
          </w:tcPr>
          <w:p w14:paraId="4FF905D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79" w:type="pct"/>
            <w:tcBorders>
              <w:top w:val="single" w:color="auto" w:sz="4" w:space="0"/>
              <w:left w:val="single" w:color="auto" w:sz="4" w:space="0"/>
              <w:bottom w:val="single" w:color="auto" w:sz="4" w:space="0"/>
              <w:right w:val="single" w:color="auto" w:sz="4" w:space="0"/>
            </w:tcBorders>
            <w:vAlign w:val="center"/>
          </w:tcPr>
          <w:p w14:paraId="6B66FD1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71.20</w:t>
            </w:r>
          </w:p>
        </w:tc>
        <w:tc>
          <w:tcPr>
            <w:tcW w:w="508" w:type="pct"/>
            <w:tcBorders>
              <w:top w:val="single" w:color="auto" w:sz="4" w:space="0"/>
              <w:left w:val="single" w:color="auto" w:sz="4" w:space="0"/>
              <w:bottom w:val="single" w:color="auto" w:sz="4" w:space="0"/>
              <w:right w:val="single" w:color="auto" w:sz="4" w:space="0"/>
            </w:tcBorders>
            <w:vAlign w:val="center"/>
          </w:tcPr>
          <w:p w14:paraId="6A390FD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43" w:type="pct"/>
            <w:tcBorders>
              <w:top w:val="single" w:color="auto" w:sz="4" w:space="0"/>
              <w:left w:val="single" w:color="auto" w:sz="4" w:space="0"/>
              <w:bottom w:val="single" w:color="auto" w:sz="4" w:space="0"/>
              <w:right w:val="single" w:color="auto" w:sz="4" w:space="0"/>
            </w:tcBorders>
            <w:vAlign w:val="center"/>
          </w:tcPr>
          <w:p w14:paraId="4982BD1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7" w:type="pct"/>
            <w:tcBorders>
              <w:top w:val="single" w:color="auto" w:sz="4" w:space="0"/>
              <w:left w:val="single" w:color="auto" w:sz="4" w:space="0"/>
              <w:bottom w:val="single" w:color="auto" w:sz="4" w:space="0"/>
              <w:right w:val="single" w:color="auto" w:sz="4" w:space="0"/>
            </w:tcBorders>
            <w:vAlign w:val="center"/>
          </w:tcPr>
          <w:p w14:paraId="13AACDA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6D29BE7">
        <w:tblPrEx>
          <w:tblCellMar>
            <w:top w:w="0" w:type="dxa"/>
            <w:left w:w="108" w:type="dxa"/>
            <w:bottom w:w="0" w:type="dxa"/>
            <w:right w:w="108" w:type="dxa"/>
          </w:tblCellMar>
        </w:tblPrEx>
        <w:trPr>
          <w:trHeight w:val="271" w:hRule="atLeast"/>
          <w:jc w:val="center"/>
        </w:trPr>
        <w:tc>
          <w:tcPr>
            <w:tcW w:w="614" w:type="pct"/>
            <w:tcBorders>
              <w:top w:val="single" w:color="auto" w:sz="4" w:space="0"/>
              <w:left w:val="single" w:color="auto" w:sz="4" w:space="0"/>
              <w:bottom w:val="single" w:color="auto" w:sz="4" w:space="0"/>
              <w:right w:val="single" w:color="auto" w:sz="4" w:space="0"/>
            </w:tcBorders>
            <w:shd w:val="clear" w:color="000000" w:fill="FFFFFF"/>
            <w:vAlign w:val="center"/>
          </w:tcPr>
          <w:p w14:paraId="0CA0D7EA">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212</w:t>
            </w:r>
          </w:p>
        </w:tc>
        <w:tc>
          <w:tcPr>
            <w:tcW w:w="1229" w:type="pct"/>
            <w:tcBorders>
              <w:top w:val="single" w:color="auto" w:sz="4" w:space="0"/>
              <w:left w:val="single" w:color="auto" w:sz="4" w:space="0"/>
              <w:bottom w:val="single" w:color="auto" w:sz="4" w:space="0"/>
              <w:right w:val="single" w:color="auto" w:sz="4" w:space="0"/>
            </w:tcBorders>
            <w:shd w:val="clear" w:color="000000" w:fill="FFFFFF"/>
            <w:vAlign w:val="center"/>
          </w:tcPr>
          <w:p w14:paraId="2AA7233F">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城乡社区支出</w:t>
            </w:r>
          </w:p>
        </w:tc>
        <w:tc>
          <w:tcPr>
            <w:tcW w:w="377" w:type="pct"/>
            <w:tcBorders>
              <w:top w:val="single" w:color="auto" w:sz="4" w:space="0"/>
              <w:left w:val="single" w:color="auto" w:sz="4" w:space="0"/>
              <w:bottom w:val="single" w:color="auto" w:sz="4" w:space="0"/>
              <w:right w:val="single" w:color="auto" w:sz="4" w:space="0"/>
            </w:tcBorders>
            <w:vAlign w:val="center"/>
          </w:tcPr>
          <w:p w14:paraId="0B3B7B3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3.00</w:t>
            </w:r>
          </w:p>
        </w:tc>
        <w:tc>
          <w:tcPr>
            <w:tcW w:w="479" w:type="pct"/>
            <w:tcBorders>
              <w:top w:val="single" w:color="auto" w:sz="4" w:space="0"/>
              <w:left w:val="single" w:color="auto" w:sz="4" w:space="0"/>
              <w:bottom w:val="single" w:color="auto" w:sz="4" w:space="0"/>
              <w:right w:val="single" w:color="auto" w:sz="4" w:space="0"/>
            </w:tcBorders>
            <w:vAlign w:val="center"/>
          </w:tcPr>
          <w:p w14:paraId="18C7061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3.00</w:t>
            </w:r>
          </w:p>
        </w:tc>
        <w:tc>
          <w:tcPr>
            <w:tcW w:w="479" w:type="pct"/>
            <w:tcBorders>
              <w:top w:val="single" w:color="auto" w:sz="4" w:space="0"/>
              <w:left w:val="single" w:color="auto" w:sz="4" w:space="0"/>
              <w:bottom w:val="single" w:color="auto" w:sz="4" w:space="0"/>
              <w:right w:val="single" w:color="auto" w:sz="4" w:space="0"/>
            </w:tcBorders>
            <w:vAlign w:val="center"/>
          </w:tcPr>
          <w:p w14:paraId="18C30C0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single" w:color="auto" w:sz="4" w:space="0"/>
              <w:left w:val="single" w:color="auto" w:sz="4" w:space="0"/>
              <w:bottom w:val="single" w:color="auto" w:sz="4" w:space="0"/>
              <w:right w:val="single" w:color="auto" w:sz="4" w:space="0"/>
            </w:tcBorders>
            <w:vAlign w:val="center"/>
          </w:tcPr>
          <w:p w14:paraId="282FFC8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43" w:type="pct"/>
            <w:tcBorders>
              <w:top w:val="single" w:color="auto" w:sz="4" w:space="0"/>
              <w:left w:val="single" w:color="auto" w:sz="4" w:space="0"/>
              <w:bottom w:val="single" w:color="auto" w:sz="4" w:space="0"/>
              <w:right w:val="single" w:color="auto" w:sz="4" w:space="0"/>
            </w:tcBorders>
            <w:vAlign w:val="center"/>
          </w:tcPr>
          <w:p w14:paraId="2109E76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7" w:type="pct"/>
            <w:tcBorders>
              <w:top w:val="single" w:color="auto" w:sz="4" w:space="0"/>
              <w:left w:val="single" w:color="auto" w:sz="4" w:space="0"/>
              <w:bottom w:val="single" w:color="auto" w:sz="4" w:space="0"/>
              <w:right w:val="single" w:color="auto" w:sz="4" w:space="0"/>
            </w:tcBorders>
            <w:vAlign w:val="center"/>
          </w:tcPr>
          <w:p w14:paraId="226126C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8E7B4CD">
        <w:tblPrEx>
          <w:tblCellMar>
            <w:top w:w="0" w:type="dxa"/>
            <w:left w:w="108" w:type="dxa"/>
            <w:bottom w:w="0" w:type="dxa"/>
            <w:right w:w="108" w:type="dxa"/>
          </w:tblCellMar>
        </w:tblPrEx>
        <w:trPr>
          <w:trHeight w:val="380" w:hRule="atLeast"/>
          <w:jc w:val="center"/>
        </w:trPr>
        <w:tc>
          <w:tcPr>
            <w:tcW w:w="614" w:type="pct"/>
            <w:tcBorders>
              <w:top w:val="single" w:color="auto" w:sz="4" w:space="0"/>
              <w:left w:val="single" w:color="auto" w:sz="4" w:space="0"/>
              <w:bottom w:val="single" w:color="auto" w:sz="4" w:space="0"/>
              <w:right w:val="single" w:color="auto" w:sz="4" w:space="0"/>
            </w:tcBorders>
            <w:shd w:val="clear" w:color="000000" w:fill="FFFFFF"/>
            <w:vAlign w:val="center"/>
          </w:tcPr>
          <w:p w14:paraId="3059794B">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21299</w:t>
            </w:r>
          </w:p>
        </w:tc>
        <w:tc>
          <w:tcPr>
            <w:tcW w:w="1229" w:type="pct"/>
            <w:tcBorders>
              <w:top w:val="single" w:color="auto" w:sz="4" w:space="0"/>
              <w:left w:val="single" w:color="auto" w:sz="4" w:space="0"/>
              <w:bottom w:val="single" w:color="auto" w:sz="4" w:space="0"/>
              <w:right w:val="single" w:color="auto" w:sz="4" w:space="0"/>
            </w:tcBorders>
            <w:shd w:val="clear" w:color="000000" w:fill="FFFFFF"/>
            <w:vAlign w:val="center"/>
          </w:tcPr>
          <w:p w14:paraId="59AAD1B5">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其他城乡社区支出</w:t>
            </w:r>
          </w:p>
        </w:tc>
        <w:tc>
          <w:tcPr>
            <w:tcW w:w="377" w:type="pct"/>
            <w:tcBorders>
              <w:top w:val="single" w:color="auto" w:sz="4" w:space="0"/>
              <w:left w:val="single" w:color="auto" w:sz="4" w:space="0"/>
              <w:bottom w:val="single" w:color="auto" w:sz="4" w:space="0"/>
              <w:right w:val="single" w:color="auto" w:sz="4" w:space="0"/>
            </w:tcBorders>
            <w:vAlign w:val="center"/>
          </w:tcPr>
          <w:p w14:paraId="2DA6E54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3.00</w:t>
            </w:r>
          </w:p>
        </w:tc>
        <w:tc>
          <w:tcPr>
            <w:tcW w:w="479" w:type="pct"/>
            <w:tcBorders>
              <w:top w:val="single" w:color="auto" w:sz="4" w:space="0"/>
              <w:left w:val="single" w:color="auto" w:sz="4" w:space="0"/>
              <w:bottom w:val="single" w:color="auto" w:sz="4" w:space="0"/>
              <w:right w:val="single" w:color="auto" w:sz="4" w:space="0"/>
            </w:tcBorders>
            <w:vAlign w:val="center"/>
          </w:tcPr>
          <w:p w14:paraId="1A43CB4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3.00</w:t>
            </w:r>
          </w:p>
        </w:tc>
        <w:tc>
          <w:tcPr>
            <w:tcW w:w="479" w:type="pct"/>
            <w:tcBorders>
              <w:top w:val="single" w:color="auto" w:sz="4" w:space="0"/>
              <w:left w:val="single" w:color="auto" w:sz="4" w:space="0"/>
              <w:bottom w:val="single" w:color="auto" w:sz="4" w:space="0"/>
              <w:right w:val="single" w:color="auto" w:sz="4" w:space="0"/>
            </w:tcBorders>
            <w:vAlign w:val="center"/>
          </w:tcPr>
          <w:p w14:paraId="6F833A3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single" w:color="auto" w:sz="4" w:space="0"/>
              <w:left w:val="single" w:color="auto" w:sz="4" w:space="0"/>
              <w:bottom w:val="single" w:color="auto" w:sz="4" w:space="0"/>
              <w:right w:val="single" w:color="auto" w:sz="4" w:space="0"/>
            </w:tcBorders>
            <w:vAlign w:val="center"/>
          </w:tcPr>
          <w:p w14:paraId="477A9C8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43" w:type="pct"/>
            <w:tcBorders>
              <w:top w:val="single" w:color="auto" w:sz="4" w:space="0"/>
              <w:left w:val="single" w:color="auto" w:sz="4" w:space="0"/>
              <w:bottom w:val="single" w:color="auto" w:sz="4" w:space="0"/>
              <w:right w:val="single" w:color="auto" w:sz="4" w:space="0"/>
            </w:tcBorders>
            <w:vAlign w:val="center"/>
          </w:tcPr>
          <w:p w14:paraId="5785C63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7" w:type="pct"/>
            <w:tcBorders>
              <w:top w:val="single" w:color="auto" w:sz="4" w:space="0"/>
              <w:left w:val="single" w:color="auto" w:sz="4" w:space="0"/>
              <w:bottom w:val="single" w:color="auto" w:sz="4" w:space="0"/>
              <w:right w:val="single" w:color="auto" w:sz="4" w:space="0"/>
            </w:tcBorders>
            <w:vAlign w:val="center"/>
          </w:tcPr>
          <w:p w14:paraId="65C24E8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2E3AE31">
        <w:tblPrEx>
          <w:tblCellMar>
            <w:top w:w="0" w:type="dxa"/>
            <w:left w:w="108" w:type="dxa"/>
            <w:bottom w:w="0" w:type="dxa"/>
            <w:right w:w="108" w:type="dxa"/>
          </w:tblCellMar>
        </w:tblPrEx>
        <w:trPr>
          <w:trHeight w:val="595" w:hRule="atLeast"/>
          <w:jc w:val="center"/>
        </w:trPr>
        <w:tc>
          <w:tcPr>
            <w:tcW w:w="614" w:type="pct"/>
            <w:tcBorders>
              <w:top w:val="single" w:color="auto" w:sz="4" w:space="0"/>
              <w:left w:val="single" w:color="auto" w:sz="4" w:space="0"/>
              <w:bottom w:val="single" w:color="auto" w:sz="4" w:space="0"/>
              <w:right w:val="single" w:color="auto" w:sz="4" w:space="0"/>
            </w:tcBorders>
            <w:shd w:val="clear" w:color="000000" w:fill="FFFFFF"/>
            <w:vAlign w:val="center"/>
          </w:tcPr>
          <w:p w14:paraId="60617BA3">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2129999</w:t>
            </w:r>
          </w:p>
        </w:tc>
        <w:tc>
          <w:tcPr>
            <w:tcW w:w="1229" w:type="pct"/>
            <w:tcBorders>
              <w:top w:val="single" w:color="auto" w:sz="4" w:space="0"/>
              <w:left w:val="single" w:color="auto" w:sz="4" w:space="0"/>
              <w:bottom w:val="single" w:color="auto" w:sz="4" w:space="0"/>
              <w:right w:val="single" w:color="auto" w:sz="4" w:space="0"/>
            </w:tcBorders>
            <w:shd w:val="clear" w:color="000000" w:fill="FFFFFF"/>
            <w:vAlign w:val="center"/>
          </w:tcPr>
          <w:p w14:paraId="49576EB4">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其他城乡社区支出</w:t>
            </w:r>
          </w:p>
        </w:tc>
        <w:tc>
          <w:tcPr>
            <w:tcW w:w="377" w:type="pct"/>
            <w:tcBorders>
              <w:top w:val="single" w:color="auto" w:sz="4" w:space="0"/>
              <w:left w:val="single" w:color="auto" w:sz="4" w:space="0"/>
              <w:bottom w:val="single" w:color="auto" w:sz="4" w:space="0"/>
              <w:right w:val="single" w:color="auto" w:sz="4" w:space="0"/>
            </w:tcBorders>
            <w:vAlign w:val="center"/>
          </w:tcPr>
          <w:p w14:paraId="38A11E8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3.00</w:t>
            </w:r>
          </w:p>
        </w:tc>
        <w:tc>
          <w:tcPr>
            <w:tcW w:w="479" w:type="pct"/>
            <w:tcBorders>
              <w:top w:val="single" w:color="auto" w:sz="4" w:space="0"/>
              <w:left w:val="single" w:color="auto" w:sz="4" w:space="0"/>
              <w:bottom w:val="single" w:color="auto" w:sz="4" w:space="0"/>
              <w:right w:val="single" w:color="auto" w:sz="4" w:space="0"/>
            </w:tcBorders>
            <w:vAlign w:val="center"/>
          </w:tcPr>
          <w:p w14:paraId="54D7956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3.00</w:t>
            </w:r>
          </w:p>
        </w:tc>
        <w:tc>
          <w:tcPr>
            <w:tcW w:w="479" w:type="pct"/>
            <w:tcBorders>
              <w:top w:val="single" w:color="auto" w:sz="4" w:space="0"/>
              <w:left w:val="single" w:color="auto" w:sz="4" w:space="0"/>
              <w:bottom w:val="single" w:color="auto" w:sz="4" w:space="0"/>
              <w:right w:val="single" w:color="auto" w:sz="4" w:space="0"/>
            </w:tcBorders>
            <w:vAlign w:val="center"/>
          </w:tcPr>
          <w:p w14:paraId="2D85164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8" w:type="pct"/>
            <w:tcBorders>
              <w:top w:val="single" w:color="auto" w:sz="4" w:space="0"/>
              <w:left w:val="single" w:color="auto" w:sz="4" w:space="0"/>
              <w:bottom w:val="single" w:color="auto" w:sz="4" w:space="0"/>
              <w:right w:val="single" w:color="auto" w:sz="4" w:space="0"/>
            </w:tcBorders>
            <w:vAlign w:val="center"/>
          </w:tcPr>
          <w:p w14:paraId="5CFD17C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43" w:type="pct"/>
            <w:tcBorders>
              <w:top w:val="single" w:color="auto" w:sz="4" w:space="0"/>
              <w:left w:val="single" w:color="auto" w:sz="4" w:space="0"/>
              <w:bottom w:val="single" w:color="auto" w:sz="4" w:space="0"/>
              <w:right w:val="single" w:color="auto" w:sz="4" w:space="0"/>
            </w:tcBorders>
            <w:vAlign w:val="center"/>
          </w:tcPr>
          <w:p w14:paraId="7554940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7" w:type="pct"/>
            <w:tcBorders>
              <w:top w:val="single" w:color="auto" w:sz="4" w:space="0"/>
              <w:left w:val="single" w:color="auto" w:sz="4" w:space="0"/>
              <w:bottom w:val="single" w:color="auto" w:sz="4" w:space="0"/>
              <w:right w:val="single" w:color="auto" w:sz="4" w:space="0"/>
            </w:tcBorders>
            <w:vAlign w:val="center"/>
          </w:tcPr>
          <w:p w14:paraId="5C172C7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bl>
    <w:p w14:paraId="43076BDB">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74337CC1">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513A9287">
      <w:pPr>
        <w:widowControl/>
        <w:spacing w:line="400" w:lineRule="exact"/>
        <w:jc w:val="center"/>
        <w:textAlignment w:val="center"/>
        <w:rPr>
          <w:rFonts w:ascii="Times New Roman" w:hAnsi="Times New Roman" w:eastAsia="黑体" w:cs="Times New Roman"/>
          <w:color w:val="000000"/>
          <w:kern w:val="0"/>
          <w:sz w:val="32"/>
          <w:szCs w:val="32"/>
          <w:lang w:bidi="ar"/>
        </w:rPr>
      </w:pPr>
    </w:p>
    <w:p w14:paraId="4F36E7B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3114607C">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6660FACF">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仿宋_GB2312" w:hAnsi="仿宋" w:eastAsia="仿宋_GB2312"/>
          <w:sz w:val="20"/>
          <w:szCs w:val="20"/>
        </w:rPr>
        <w:t>怀化市大中坡电视转播台</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0"/>
        <w:tblW w:w="0" w:type="auto"/>
        <w:jc w:val="center"/>
        <w:tblLayout w:type="autofit"/>
        <w:tblCellMar>
          <w:top w:w="0" w:type="dxa"/>
          <w:left w:w="108" w:type="dxa"/>
          <w:bottom w:w="0" w:type="dxa"/>
          <w:right w:w="108" w:type="dxa"/>
        </w:tblCellMar>
      </w:tblPr>
      <w:tblGrid>
        <w:gridCol w:w="3516"/>
        <w:gridCol w:w="616"/>
        <w:gridCol w:w="821"/>
        <w:gridCol w:w="3336"/>
        <w:gridCol w:w="616"/>
        <w:gridCol w:w="821"/>
        <w:gridCol w:w="1459"/>
        <w:gridCol w:w="1404"/>
        <w:gridCol w:w="1631"/>
      </w:tblGrid>
      <w:tr w14:paraId="17F12FB9">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CF8A7B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4E9E77C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71296787">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A48B90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21CA06D2">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3878BE6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67EB83C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noWrap/>
            <w:vAlign w:val="center"/>
          </w:tcPr>
          <w:p w14:paraId="5A2301B5">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821" w:type="dxa"/>
            <w:tcBorders>
              <w:top w:val="nil"/>
              <w:left w:val="nil"/>
              <w:bottom w:val="single" w:color="auto" w:sz="4" w:space="0"/>
              <w:right w:val="single" w:color="auto" w:sz="4" w:space="0"/>
            </w:tcBorders>
            <w:shd w:val="clear" w:color="auto" w:fill="auto"/>
            <w:noWrap/>
            <w:vAlign w:val="center"/>
          </w:tcPr>
          <w:p w14:paraId="044E06D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30FB880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1FF4BDF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5BFB2A5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227D868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F327FE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532EBF2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403F067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17D24EF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noWrap/>
            <w:vAlign w:val="center"/>
          </w:tcPr>
          <w:p w14:paraId="4CA18A9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21" w:type="dxa"/>
            <w:tcBorders>
              <w:top w:val="nil"/>
              <w:left w:val="nil"/>
              <w:bottom w:val="single" w:color="auto" w:sz="4" w:space="0"/>
              <w:right w:val="single" w:color="auto" w:sz="4" w:space="0"/>
            </w:tcBorders>
            <w:shd w:val="clear" w:color="auto" w:fill="auto"/>
            <w:noWrap/>
            <w:vAlign w:val="center"/>
          </w:tcPr>
          <w:p w14:paraId="7F9E498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5413C0C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0F151F9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461D0DA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14DC8E7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B09BCF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0F08CBB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7CF25A85">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693.55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E7D617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16" w:type="dxa"/>
            <w:tcBorders>
              <w:top w:val="nil"/>
              <w:left w:val="nil"/>
              <w:bottom w:val="single" w:color="auto" w:sz="4" w:space="0"/>
              <w:right w:val="single" w:color="auto" w:sz="4" w:space="0"/>
            </w:tcBorders>
            <w:shd w:val="clear" w:color="auto" w:fill="auto"/>
            <w:noWrap/>
            <w:vAlign w:val="center"/>
          </w:tcPr>
          <w:p w14:paraId="6C9A0EF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821" w:type="dxa"/>
            <w:tcBorders>
              <w:top w:val="nil"/>
              <w:left w:val="nil"/>
              <w:bottom w:val="single" w:color="auto" w:sz="4" w:space="0"/>
              <w:right w:val="single" w:color="auto" w:sz="4" w:space="0"/>
            </w:tcBorders>
            <w:shd w:val="clear" w:color="auto" w:fill="auto"/>
            <w:noWrap/>
            <w:vAlign w:val="center"/>
          </w:tcPr>
          <w:p w14:paraId="6FB84EA5">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4EC7C94">
            <w:pPr>
              <w:widowControl/>
              <w:jc w:val="center"/>
              <w:rPr>
                <w:rFonts w:hint="default" w:ascii="Times New Roman" w:hAnsi="Times New Roman" w:eastAsia="仿宋_GB2312" w:cs="Times New Roman"/>
                <w:kern w:val="0"/>
                <w:sz w:val="22"/>
                <w:lang w:val="en-US"/>
              </w:rPr>
            </w:pPr>
            <w:r>
              <w:rPr>
                <w:rFonts w:hint="eastAsia" w:ascii="Times New Roman" w:hAnsi="Times New Roman" w:eastAsia="仿宋_GB2312" w:cs="Times New Roman"/>
                <w:kern w:val="0"/>
                <w:sz w:val="22"/>
                <w:lang w:val="en-US" w:eastAsia="zh-CN"/>
              </w:rPr>
              <w:t>0.00</w:t>
            </w:r>
          </w:p>
        </w:tc>
        <w:tc>
          <w:tcPr>
            <w:tcW w:w="1404" w:type="dxa"/>
            <w:tcBorders>
              <w:top w:val="nil"/>
              <w:left w:val="nil"/>
              <w:bottom w:val="single" w:color="auto" w:sz="4" w:space="0"/>
              <w:right w:val="single" w:color="auto" w:sz="4" w:space="0"/>
            </w:tcBorders>
            <w:shd w:val="clear" w:color="auto" w:fill="auto"/>
            <w:noWrap/>
            <w:vAlign w:val="center"/>
          </w:tcPr>
          <w:p w14:paraId="0F8C4500">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1631" w:type="dxa"/>
            <w:tcBorders>
              <w:top w:val="nil"/>
              <w:left w:val="nil"/>
              <w:bottom w:val="single" w:color="auto" w:sz="4" w:space="0"/>
              <w:right w:val="single" w:color="auto" w:sz="4" w:space="0"/>
            </w:tcBorders>
            <w:shd w:val="clear" w:color="auto" w:fill="auto"/>
            <w:noWrap/>
            <w:vAlign w:val="center"/>
          </w:tcPr>
          <w:p w14:paraId="2D9AD8C8">
            <w:pPr>
              <w:widowControl/>
              <w:jc w:val="right"/>
              <w:rPr>
                <w:rFonts w:ascii="Times New Roman" w:hAnsi="Times New Roman" w:eastAsia="仿宋_GB2312" w:cs="Times New Roman"/>
                <w:kern w:val="0"/>
                <w:sz w:val="22"/>
              </w:rPr>
            </w:pPr>
            <w:r>
              <w:rPr>
                <w:rFonts w:ascii="Times New Roman" w:hAnsi="Times New Roman" w:eastAsia="仿宋_GB2312" w:cs="Times New Roman"/>
                <w:b w:val="0"/>
                <w:bCs w:val="0"/>
                <w:kern w:val="0"/>
                <w:sz w:val="22"/>
              </w:rPr>
              <w:t>　</w:t>
            </w:r>
            <w:r>
              <w:rPr>
                <w:rFonts w:hint="eastAsia" w:ascii="Times New Roman" w:hAnsi="Times New Roman" w:eastAsia="仿宋_GB2312" w:cs="Times New Roman"/>
                <w:b w:val="0"/>
                <w:bCs w:val="0"/>
                <w:kern w:val="0"/>
                <w:sz w:val="22"/>
                <w:lang w:val="en-US" w:eastAsia="zh-CN"/>
              </w:rPr>
              <w:t>0.00</w:t>
            </w:r>
          </w:p>
        </w:tc>
      </w:tr>
      <w:tr w14:paraId="4FDEB5F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13E8D3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4BB89FC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29480212">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4BCA0E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16" w:type="dxa"/>
            <w:tcBorders>
              <w:top w:val="nil"/>
              <w:left w:val="nil"/>
              <w:bottom w:val="single" w:color="auto" w:sz="4" w:space="0"/>
              <w:right w:val="single" w:color="auto" w:sz="4" w:space="0"/>
            </w:tcBorders>
            <w:shd w:val="clear" w:color="auto" w:fill="auto"/>
            <w:noWrap/>
            <w:vAlign w:val="center"/>
          </w:tcPr>
          <w:p w14:paraId="21B9734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821" w:type="dxa"/>
            <w:tcBorders>
              <w:top w:val="nil"/>
              <w:left w:val="nil"/>
              <w:bottom w:val="single" w:color="auto" w:sz="4" w:space="0"/>
              <w:right w:val="single" w:color="auto" w:sz="4" w:space="0"/>
            </w:tcBorders>
            <w:shd w:val="clear" w:color="auto" w:fill="auto"/>
            <w:noWrap/>
            <w:vAlign w:val="center"/>
          </w:tcPr>
          <w:p w14:paraId="723AF28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1459" w:type="dxa"/>
            <w:tcBorders>
              <w:top w:val="nil"/>
              <w:left w:val="nil"/>
              <w:bottom w:val="single" w:color="auto" w:sz="4" w:space="0"/>
              <w:right w:val="single" w:color="auto" w:sz="4" w:space="0"/>
            </w:tcBorders>
            <w:shd w:val="clear" w:color="auto" w:fill="auto"/>
            <w:noWrap/>
            <w:vAlign w:val="center"/>
          </w:tcPr>
          <w:p w14:paraId="47362470">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1404" w:type="dxa"/>
            <w:tcBorders>
              <w:top w:val="nil"/>
              <w:left w:val="nil"/>
              <w:bottom w:val="single" w:color="auto" w:sz="4" w:space="0"/>
              <w:right w:val="single" w:color="auto" w:sz="4" w:space="0"/>
            </w:tcBorders>
            <w:shd w:val="clear" w:color="auto" w:fill="auto"/>
            <w:noWrap/>
            <w:vAlign w:val="center"/>
          </w:tcPr>
          <w:p w14:paraId="0021B546">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1631" w:type="dxa"/>
            <w:tcBorders>
              <w:top w:val="nil"/>
              <w:left w:val="nil"/>
              <w:bottom w:val="single" w:color="auto" w:sz="4" w:space="0"/>
              <w:right w:val="single" w:color="auto" w:sz="4" w:space="0"/>
            </w:tcBorders>
            <w:shd w:val="clear" w:color="auto" w:fill="auto"/>
            <w:noWrap/>
            <w:vAlign w:val="center"/>
          </w:tcPr>
          <w:p w14:paraId="006C9305">
            <w:pPr>
              <w:widowControl/>
              <w:jc w:val="right"/>
              <w:rPr>
                <w:rFonts w:ascii="Times New Roman" w:hAnsi="Times New Roman" w:eastAsia="仿宋_GB2312" w:cs="Times New Roman"/>
                <w:kern w:val="0"/>
                <w:sz w:val="22"/>
              </w:rPr>
            </w:pPr>
            <w:r>
              <w:rPr>
                <w:rFonts w:ascii="Times New Roman" w:hAnsi="Times New Roman" w:eastAsia="仿宋_GB2312" w:cs="Times New Roman"/>
                <w:b w:val="0"/>
                <w:bCs w:val="0"/>
                <w:kern w:val="0"/>
                <w:sz w:val="22"/>
              </w:rPr>
              <w:t>　</w:t>
            </w:r>
            <w:r>
              <w:rPr>
                <w:rFonts w:hint="eastAsia" w:ascii="Times New Roman" w:hAnsi="Times New Roman" w:eastAsia="仿宋_GB2312" w:cs="Times New Roman"/>
                <w:b w:val="0"/>
                <w:bCs w:val="0"/>
                <w:kern w:val="0"/>
                <w:sz w:val="22"/>
                <w:lang w:val="en-US" w:eastAsia="zh-CN"/>
              </w:rPr>
              <w:t>0.00</w:t>
            </w:r>
          </w:p>
        </w:tc>
      </w:tr>
      <w:tr w14:paraId="510C129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E5F6AC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736F6B9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79B90C5D">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E444E0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616" w:type="dxa"/>
            <w:tcBorders>
              <w:top w:val="nil"/>
              <w:left w:val="nil"/>
              <w:bottom w:val="single" w:color="auto" w:sz="4" w:space="0"/>
              <w:right w:val="single" w:color="auto" w:sz="4" w:space="0"/>
            </w:tcBorders>
            <w:shd w:val="clear" w:color="auto" w:fill="auto"/>
            <w:noWrap/>
            <w:vAlign w:val="center"/>
          </w:tcPr>
          <w:p w14:paraId="1113650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821" w:type="dxa"/>
            <w:tcBorders>
              <w:top w:val="nil"/>
              <w:left w:val="nil"/>
              <w:bottom w:val="single" w:color="auto" w:sz="4" w:space="0"/>
              <w:right w:val="single" w:color="auto" w:sz="4" w:space="0"/>
            </w:tcBorders>
            <w:shd w:val="clear" w:color="auto" w:fill="auto"/>
            <w:noWrap/>
            <w:vAlign w:val="center"/>
          </w:tcPr>
          <w:p w14:paraId="5E66D64B">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1459" w:type="dxa"/>
            <w:tcBorders>
              <w:top w:val="nil"/>
              <w:left w:val="nil"/>
              <w:bottom w:val="single" w:color="auto" w:sz="4" w:space="0"/>
              <w:right w:val="single" w:color="auto" w:sz="4" w:space="0"/>
            </w:tcBorders>
            <w:shd w:val="clear" w:color="auto" w:fill="auto"/>
            <w:noWrap/>
            <w:vAlign w:val="center"/>
          </w:tcPr>
          <w:p w14:paraId="55ECD5A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1404" w:type="dxa"/>
            <w:tcBorders>
              <w:top w:val="nil"/>
              <w:left w:val="nil"/>
              <w:bottom w:val="single" w:color="auto" w:sz="4" w:space="0"/>
              <w:right w:val="single" w:color="auto" w:sz="4" w:space="0"/>
            </w:tcBorders>
            <w:shd w:val="clear" w:color="auto" w:fill="auto"/>
            <w:noWrap/>
            <w:vAlign w:val="center"/>
          </w:tcPr>
          <w:p w14:paraId="58CECACC">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1631" w:type="dxa"/>
            <w:tcBorders>
              <w:top w:val="nil"/>
              <w:left w:val="nil"/>
              <w:bottom w:val="single" w:color="auto" w:sz="4" w:space="0"/>
              <w:right w:val="single" w:color="auto" w:sz="4" w:space="0"/>
            </w:tcBorders>
            <w:shd w:val="clear" w:color="auto" w:fill="auto"/>
            <w:noWrap/>
            <w:vAlign w:val="center"/>
          </w:tcPr>
          <w:p w14:paraId="562A72EB">
            <w:pPr>
              <w:widowControl/>
              <w:jc w:val="right"/>
              <w:rPr>
                <w:rFonts w:ascii="Times New Roman" w:hAnsi="Times New Roman" w:eastAsia="仿宋_GB2312" w:cs="Times New Roman"/>
                <w:kern w:val="0"/>
                <w:sz w:val="22"/>
              </w:rPr>
            </w:pPr>
            <w:r>
              <w:rPr>
                <w:rFonts w:ascii="Times New Roman" w:hAnsi="Times New Roman" w:eastAsia="仿宋_GB2312" w:cs="Times New Roman"/>
                <w:b w:val="0"/>
                <w:bCs w:val="0"/>
                <w:kern w:val="0"/>
                <w:sz w:val="22"/>
              </w:rPr>
              <w:t>　</w:t>
            </w:r>
            <w:r>
              <w:rPr>
                <w:rFonts w:hint="eastAsia" w:ascii="Times New Roman" w:hAnsi="Times New Roman" w:eastAsia="仿宋_GB2312" w:cs="Times New Roman"/>
                <w:b w:val="0"/>
                <w:bCs w:val="0"/>
                <w:kern w:val="0"/>
                <w:sz w:val="22"/>
                <w:lang w:val="en-US" w:eastAsia="zh-CN"/>
              </w:rPr>
              <w:t>0.00</w:t>
            </w:r>
          </w:p>
        </w:tc>
      </w:tr>
      <w:tr w14:paraId="41FD7F1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BF670B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3DC886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38E7D86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CBAB2B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616" w:type="dxa"/>
            <w:tcBorders>
              <w:top w:val="nil"/>
              <w:left w:val="nil"/>
              <w:bottom w:val="single" w:color="auto" w:sz="4" w:space="0"/>
              <w:right w:val="single" w:color="auto" w:sz="4" w:space="0"/>
            </w:tcBorders>
            <w:shd w:val="clear" w:color="auto" w:fill="auto"/>
            <w:noWrap/>
            <w:vAlign w:val="center"/>
          </w:tcPr>
          <w:p w14:paraId="016261C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821" w:type="dxa"/>
            <w:tcBorders>
              <w:top w:val="nil"/>
              <w:left w:val="nil"/>
              <w:bottom w:val="single" w:color="auto" w:sz="4" w:space="0"/>
              <w:right w:val="single" w:color="auto" w:sz="4" w:space="0"/>
            </w:tcBorders>
            <w:shd w:val="clear" w:color="auto" w:fill="auto"/>
            <w:noWrap/>
            <w:vAlign w:val="center"/>
          </w:tcPr>
          <w:p w14:paraId="7D2507C4">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1459" w:type="dxa"/>
            <w:tcBorders>
              <w:top w:val="nil"/>
              <w:left w:val="nil"/>
              <w:bottom w:val="single" w:color="auto" w:sz="4" w:space="0"/>
              <w:right w:val="single" w:color="auto" w:sz="4" w:space="0"/>
            </w:tcBorders>
            <w:shd w:val="clear" w:color="auto" w:fill="auto"/>
            <w:noWrap/>
            <w:vAlign w:val="center"/>
          </w:tcPr>
          <w:p w14:paraId="7D00CBA8">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1404" w:type="dxa"/>
            <w:tcBorders>
              <w:top w:val="nil"/>
              <w:left w:val="nil"/>
              <w:bottom w:val="single" w:color="auto" w:sz="4" w:space="0"/>
              <w:right w:val="single" w:color="auto" w:sz="4" w:space="0"/>
            </w:tcBorders>
            <w:shd w:val="clear" w:color="auto" w:fill="auto"/>
            <w:noWrap/>
            <w:vAlign w:val="center"/>
          </w:tcPr>
          <w:p w14:paraId="55A3EB02">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1631" w:type="dxa"/>
            <w:tcBorders>
              <w:top w:val="nil"/>
              <w:left w:val="nil"/>
              <w:bottom w:val="single" w:color="auto" w:sz="4" w:space="0"/>
              <w:right w:val="single" w:color="auto" w:sz="4" w:space="0"/>
            </w:tcBorders>
            <w:shd w:val="clear" w:color="auto" w:fill="auto"/>
            <w:noWrap/>
            <w:vAlign w:val="center"/>
          </w:tcPr>
          <w:p w14:paraId="522B6449">
            <w:pPr>
              <w:widowControl/>
              <w:jc w:val="right"/>
              <w:rPr>
                <w:rFonts w:ascii="Times New Roman" w:hAnsi="Times New Roman" w:eastAsia="仿宋_GB2312" w:cs="Times New Roman"/>
                <w:kern w:val="0"/>
                <w:sz w:val="22"/>
              </w:rPr>
            </w:pPr>
            <w:r>
              <w:rPr>
                <w:rFonts w:ascii="Times New Roman" w:hAnsi="Times New Roman" w:eastAsia="仿宋_GB2312" w:cs="Times New Roman"/>
                <w:b w:val="0"/>
                <w:bCs w:val="0"/>
                <w:kern w:val="0"/>
                <w:sz w:val="22"/>
              </w:rPr>
              <w:t>　</w:t>
            </w:r>
            <w:r>
              <w:rPr>
                <w:rFonts w:hint="eastAsia" w:ascii="Times New Roman" w:hAnsi="Times New Roman" w:eastAsia="仿宋_GB2312" w:cs="Times New Roman"/>
                <w:b w:val="0"/>
                <w:bCs w:val="0"/>
                <w:kern w:val="0"/>
                <w:sz w:val="22"/>
                <w:lang w:val="en-US" w:eastAsia="zh-CN"/>
              </w:rPr>
              <w:t>0.00</w:t>
            </w:r>
          </w:p>
        </w:tc>
      </w:tr>
      <w:tr w14:paraId="0BBA512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FD770D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150C7A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3565086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570E79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616" w:type="dxa"/>
            <w:tcBorders>
              <w:top w:val="nil"/>
              <w:left w:val="nil"/>
              <w:bottom w:val="single" w:color="auto" w:sz="4" w:space="0"/>
              <w:right w:val="single" w:color="auto" w:sz="4" w:space="0"/>
            </w:tcBorders>
            <w:shd w:val="clear" w:color="auto" w:fill="auto"/>
            <w:noWrap/>
            <w:vAlign w:val="center"/>
          </w:tcPr>
          <w:p w14:paraId="18D7AD6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821" w:type="dxa"/>
            <w:tcBorders>
              <w:top w:val="nil"/>
              <w:left w:val="nil"/>
              <w:bottom w:val="single" w:color="auto" w:sz="4" w:space="0"/>
              <w:right w:val="single" w:color="auto" w:sz="4" w:space="0"/>
            </w:tcBorders>
            <w:shd w:val="clear" w:color="auto" w:fill="auto"/>
            <w:noWrap/>
            <w:vAlign w:val="center"/>
          </w:tcPr>
          <w:p w14:paraId="2CCE7BEB">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1459" w:type="dxa"/>
            <w:tcBorders>
              <w:top w:val="nil"/>
              <w:left w:val="nil"/>
              <w:bottom w:val="single" w:color="auto" w:sz="4" w:space="0"/>
              <w:right w:val="single" w:color="auto" w:sz="4" w:space="0"/>
            </w:tcBorders>
            <w:shd w:val="clear" w:color="auto" w:fill="auto"/>
            <w:noWrap/>
            <w:vAlign w:val="center"/>
          </w:tcPr>
          <w:p w14:paraId="64043BDD">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1404" w:type="dxa"/>
            <w:tcBorders>
              <w:top w:val="nil"/>
              <w:left w:val="nil"/>
              <w:bottom w:val="single" w:color="auto" w:sz="4" w:space="0"/>
              <w:right w:val="single" w:color="auto" w:sz="4" w:space="0"/>
            </w:tcBorders>
            <w:shd w:val="clear" w:color="auto" w:fill="auto"/>
            <w:noWrap/>
            <w:vAlign w:val="center"/>
          </w:tcPr>
          <w:p w14:paraId="1D3FEFC2">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1631" w:type="dxa"/>
            <w:tcBorders>
              <w:top w:val="nil"/>
              <w:left w:val="nil"/>
              <w:bottom w:val="single" w:color="auto" w:sz="4" w:space="0"/>
              <w:right w:val="single" w:color="auto" w:sz="4" w:space="0"/>
            </w:tcBorders>
            <w:shd w:val="clear" w:color="auto" w:fill="auto"/>
            <w:noWrap/>
            <w:vAlign w:val="center"/>
          </w:tcPr>
          <w:p w14:paraId="16E5A8B2">
            <w:pPr>
              <w:widowControl/>
              <w:jc w:val="right"/>
              <w:rPr>
                <w:rFonts w:ascii="Times New Roman" w:hAnsi="Times New Roman" w:eastAsia="仿宋_GB2312" w:cs="Times New Roman"/>
                <w:kern w:val="0"/>
                <w:sz w:val="22"/>
              </w:rPr>
            </w:pPr>
            <w:r>
              <w:rPr>
                <w:rFonts w:ascii="Times New Roman" w:hAnsi="Times New Roman" w:eastAsia="仿宋_GB2312" w:cs="Times New Roman"/>
                <w:b w:val="0"/>
                <w:bCs w:val="0"/>
                <w:kern w:val="0"/>
                <w:sz w:val="22"/>
              </w:rPr>
              <w:t>　</w:t>
            </w:r>
            <w:r>
              <w:rPr>
                <w:rFonts w:hint="eastAsia" w:ascii="Times New Roman" w:hAnsi="Times New Roman" w:eastAsia="仿宋_GB2312" w:cs="Times New Roman"/>
                <w:b w:val="0"/>
                <w:bCs w:val="0"/>
                <w:kern w:val="0"/>
                <w:sz w:val="22"/>
                <w:lang w:val="en-US" w:eastAsia="zh-CN"/>
              </w:rPr>
              <w:t>0.00</w:t>
            </w:r>
          </w:p>
        </w:tc>
      </w:tr>
      <w:tr w14:paraId="0697EB3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5244E1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F91504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2F4D993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FAF406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616" w:type="dxa"/>
            <w:tcBorders>
              <w:top w:val="nil"/>
              <w:left w:val="nil"/>
              <w:bottom w:val="single" w:color="auto" w:sz="4" w:space="0"/>
              <w:right w:val="single" w:color="auto" w:sz="4" w:space="0"/>
            </w:tcBorders>
            <w:shd w:val="clear" w:color="auto" w:fill="auto"/>
            <w:noWrap/>
            <w:vAlign w:val="center"/>
          </w:tcPr>
          <w:p w14:paraId="7DAB9AB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821" w:type="dxa"/>
            <w:tcBorders>
              <w:top w:val="nil"/>
              <w:left w:val="nil"/>
              <w:bottom w:val="single" w:color="auto" w:sz="4" w:space="0"/>
              <w:right w:val="single" w:color="auto" w:sz="4" w:space="0"/>
            </w:tcBorders>
            <w:shd w:val="clear" w:color="auto" w:fill="auto"/>
            <w:noWrap/>
            <w:vAlign w:val="center"/>
          </w:tcPr>
          <w:p w14:paraId="200FE5CA">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1459" w:type="dxa"/>
            <w:tcBorders>
              <w:top w:val="nil"/>
              <w:left w:val="nil"/>
              <w:bottom w:val="single" w:color="auto" w:sz="4" w:space="0"/>
              <w:right w:val="single" w:color="auto" w:sz="4" w:space="0"/>
            </w:tcBorders>
            <w:shd w:val="clear" w:color="auto" w:fill="auto"/>
            <w:noWrap/>
            <w:vAlign w:val="center"/>
          </w:tcPr>
          <w:p w14:paraId="57235756">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1404" w:type="dxa"/>
            <w:tcBorders>
              <w:top w:val="nil"/>
              <w:left w:val="nil"/>
              <w:bottom w:val="single" w:color="auto" w:sz="4" w:space="0"/>
              <w:right w:val="single" w:color="auto" w:sz="4" w:space="0"/>
            </w:tcBorders>
            <w:shd w:val="clear" w:color="auto" w:fill="auto"/>
            <w:noWrap/>
            <w:vAlign w:val="center"/>
          </w:tcPr>
          <w:p w14:paraId="76297ED9">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1631" w:type="dxa"/>
            <w:tcBorders>
              <w:top w:val="nil"/>
              <w:left w:val="nil"/>
              <w:bottom w:val="single" w:color="auto" w:sz="4" w:space="0"/>
              <w:right w:val="single" w:color="auto" w:sz="4" w:space="0"/>
            </w:tcBorders>
            <w:shd w:val="clear" w:color="auto" w:fill="auto"/>
            <w:noWrap/>
            <w:vAlign w:val="center"/>
          </w:tcPr>
          <w:p w14:paraId="64839A4D">
            <w:pPr>
              <w:widowControl/>
              <w:jc w:val="right"/>
              <w:rPr>
                <w:rFonts w:ascii="Times New Roman" w:hAnsi="Times New Roman" w:eastAsia="仿宋_GB2312" w:cs="Times New Roman"/>
                <w:kern w:val="0"/>
                <w:sz w:val="22"/>
              </w:rPr>
            </w:pPr>
            <w:r>
              <w:rPr>
                <w:rFonts w:ascii="Times New Roman" w:hAnsi="Times New Roman" w:eastAsia="仿宋_GB2312" w:cs="Times New Roman"/>
                <w:b w:val="0"/>
                <w:bCs w:val="0"/>
                <w:kern w:val="0"/>
                <w:sz w:val="22"/>
              </w:rPr>
              <w:t>　</w:t>
            </w:r>
            <w:r>
              <w:rPr>
                <w:rFonts w:hint="eastAsia" w:ascii="Times New Roman" w:hAnsi="Times New Roman" w:eastAsia="仿宋_GB2312" w:cs="Times New Roman"/>
                <w:b w:val="0"/>
                <w:bCs w:val="0"/>
                <w:kern w:val="0"/>
                <w:sz w:val="22"/>
                <w:lang w:val="en-US" w:eastAsia="zh-CN"/>
              </w:rPr>
              <w:t>0.00</w:t>
            </w:r>
          </w:p>
        </w:tc>
      </w:tr>
      <w:tr w14:paraId="7BCE788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52A501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BB615F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4065A4A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5F7AC3A">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七、文化旅游体育与传媒支出</w:t>
            </w:r>
          </w:p>
        </w:tc>
        <w:tc>
          <w:tcPr>
            <w:tcW w:w="616" w:type="dxa"/>
            <w:tcBorders>
              <w:top w:val="nil"/>
              <w:left w:val="nil"/>
              <w:bottom w:val="single" w:color="auto" w:sz="4" w:space="0"/>
              <w:right w:val="single" w:color="auto" w:sz="4" w:space="0"/>
            </w:tcBorders>
            <w:shd w:val="clear" w:color="auto" w:fill="auto"/>
            <w:noWrap/>
            <w:vAlign w:val="center"/>
          </w:tcPr>
          <w:p w14:paraId="00A6011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821" w:type="dxa"/>
            <w:tcBorders>
              <w:top w:val="nil"/>
              <w:left w:val="nil"/>
              <w:bottom w:val="single" w:color="auto" w:sz="4" w:space="0"/>
              <w:right w:val="single" w:color="auto" w:sz="4" w:space="0"/>
            </w:tcBorders>
            <w:shd w:val="clear" w:color="auto" w:fill="auto"/>
            <w:noWrap/>
            <w:vAlign w:val="center"/>
          </w:tcPr>
          <w:p w14:paraId="599B88F0">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690.55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B94C3DC">
            <w:pPr>
              <w:widowControl/>
              <w:jc w:val="center"/>
              <w:rPr>
                <w:rFonts w:hint="default" w:ascii="Times New Roman" w:hAnsi="Times New Roman" w:eastAsia="仿宋_GB2312" w:cs="Times New Roman"/>
                <w:kern w:val="0"/>
                <w:sz w:val="22"/>
                <w:lang w:val="en-US"/>
              </w:rPr>
            </w:pPr>
            <w:r>
              <w:rPr>
                <w:rFonts w:hint="eastAsia" w:ascii="Times New Roman" w:hAnsi="Times New Roman" w:eastAsia="仿宋_GB2312" w:cs="Times New Roman"/>
                <w:kern w:val="0"/>
                <w:sz w:val="22"/>
                <w:lang w:val="en-US" w:eastAsia="zh-CN"/>
              </w:rPr>
              <w:t>690.55</w:t>
            </w:r>
          </w:p>
        </w:tc>
        <w:tc>
          <w:tcPr>
            <w:tcW w:w="1404" w:type="dxa"/>
            <w:tcBorders>
              <w:top w:val="nil"/>
              <w:left w:val="nil"/>
              <w:bottom w:val="single" w:color="auto" w:sz="4" w:space="0"/>
              <w:right w:val="single" w:color="auto" w:sz="4" w:space="0"/>
            </w:tcBorders>
            <w:shd w:val="clear" w:color="auto" w:fill="auto"/>
            <w:noWrap/>
            <w:vAlign w:val="center"/>
          </w:tcPr>
          <w:p w14:paraId="18EE44A8">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1631" w:type="dxa"/>
            <w:tcBorders>
              <w:top w:val="nil"/>
              <w:left w:val="nil"/>
              <w:bottom w:val="single" w:color="auto" w:sz="4" w:space="0"/>
              <w:right w:val="single" w:color="auto" w:sz="4" w:space="0"/>
            </w:tcBorders>
            <w:shd w:val="clear" w:color="auto" w:fill="auto"/>
            <w:noWrap/>
            <w:vAlign w:val="center"/>
          </w:tcPr>
          <w:p w14:paraId="074790A7">
            <w:pPr>
              <w:widowControl/>
              <w:jc w:val="right"/>
              <w:rPr>
                <w:rFonts w:ascii="Times New Roman" w:hAnsi="Times New Roman" w:eastAsia="仿宋_GB2312" w:cs="Times New Roman"/>
                <w:kern w:val="0"/>
                <w:sz w:val="22"/>
              </w:rPr>
            </w:pPr>
            <w:r>
              <w:rPr>
                <w:rFonts w:ascii="Times New Roman" w:hAnsi="Times New Roman" w:eastAsia="仿宋_GB2312" w:cs="Times New Roman"/>
                <w:b w:val="0"/>
                <w:bCs w:val="0"/>
                <w:kern w:val="0"/>
                <w:sz w:val="22"/>
              </w:rPr>
              <w:t>　</w:t>
            </w:r>
            <w:r>
              <w:rPr>
                <w:rFonts w:hint="eastAsia" w:ascii="Times New Roman" w:hAnsi="Times New Roman" w:eastAsia="仿宋_GB2312" w:cs="Times New Roman"/>
                <w:b w:val="0"/>
                <w:bCs w:val="0"/>
                <w:kern w:val="0"/>
                <w:sz w:val="22"/>
                <w:lang w:val="en-US" w:eastAsia="zh-CN"/>
              </w:rPr>
              <w:t>0.00</w:t>
            </w:r>
          </w:p>
        </w:tc>
      </w:tr>
      <w:tr w14:paraId="0FFF34F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9534C0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F6332F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241AB40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EDE8744">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十一、城乡社区支出</w:t>
            </w:r>
          </w:p>
        </w:tc>
        <w:tc>
          <w:tcPr>
            <w:tcW w:w="616" w:type="dxa"/>
            <w:tcBorders>
              <w:top w:val="nil"/>
              <w:left w:val="nil"/>
              <w:bottom w:val="single" w:color="auto" w:sz="4" w:space="0"/>
              <w:right w:val="single" w:color="auto" w:sz="4" w:space="0"/>
            </w:tcBorders>
            <w:shd w:val="clear" w:color="auto" w:fill="auto"/>
            <w:noWrap/>
            <w:vAlign w:val="center"/>
          </w:tcPr>
          <w:p w14:paraId="4402A05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821" w:type="dxa"/>
            <w:tcBorders>
              <w:top w:val="nil"/>
              <w:left w:val="nil"/>
              <w:bottom w:val="single" w:color="auto" w:sz="4" w:space="0"/>
              <w:right w:val="single" w:color="auto" w:sz="4" w:space="0"/>
            </w:tcBorders>
            <w:shd w:val="clear" w:color="auto" w:fill="auto"/>
            <w:noWrap/>
            <w:vAlign w:val="center"/>
          </w:tcPr>
          <w:p w14:paraId="58B60296">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3.00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7D4945D">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3.00</w:t>
            </w:r>
          </w:p>
        </w:tc>
        <w:tc>
          <w:tcPr>
            <w:tcW w:w="1404" w:type="dxa"/>
            <w:tcBorders>
              <w:top w:val="nil"/>
              <w:left w:val="nil"/>
              <w:bottom w:val="single" w:color="auto" w:sz="4" w:space="0"/>
              <w:right w:val="single" w:color="auto" w:sz="4" w:space="0"/>
            </w:tcBorders>
            <w:shd w:val="clear" w:color="auto" w:fill="auto"/>
            <w:noWrap/>
            <w:vAlign w:val="center"/>
          </w:tcPr>
          <w:p w14:paraId="033509B9">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1631" w:type="dxa"/>
            <w:tcBorders>
              <w:top w:val="nil"/>
              <w:left w:val="nil"/>
              <w:bottom w:val="single" w:color="auto" w:sz="4" w:space="0"/>
              <w:right w:val="single" w:color="auto" w:sz="4" w:space="0"/>
            </w:tcBorders>
            <w:shd w:val="clear" w:color="auto" w:fill="auto"/>
            <w:noWrap/>
            <w:vAlign w:val="center"/>
          </w:tcPr>
          <w:p w14:paraId="20FD98FF">
            <w:pPr>
              <w:widowControl/>
              <w:jc w:val="right"/>
              <w:rPr>
                <w:rFonts w:ascii="Times New Roman" w:hAnsi="Times New Roman" w:eastAsia="仿宋_GB2312" w:cs="Times New Roman"/>
                <w:kern w:val="0"/>
                <w:sz w:val="22"/>
              </w:rPr>
            </w:pPr>
            <w:r>
              <w:rPr>
                <w:rFonts w:ascii="Times New Roman" w:hAnsi="Times New Roman" w:eastAsia="仿宋_GB2312" w:cs="Times New Roman"/>
                <w:b w:val="0"/>
                <w:bCs w:val="0"/>
                <w:kern w:val="0"/>
                <w:sz w:val="22"/>
              </w:rPr>
              <w:t>　</w:t>
            </w:r>
            <w:r>
              <w:rPr>
                <w:rFonts w:hint="eastAsia" w:ascii="Times New Roman" w:hAnsi="Times New Roman" w:eastAsia="仿宋_GB2312" w:cs="Times New Roman"/>
                <w:b w:val="0"/>
                <w:bCs w:val="0"/>
                <w:kern w:val="0"/>
                <w:sz w:val="22"/>
                <w:lang w:val="en-US" w:eastAsia="zh-CN"/>
              </w:rPr>
              <w:t>0.00</w:t>
            </w:r>
          </w:p>
        </w:tc>
      </w:tr>
      <w:tr w14:paraId="3D619DA5">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493F96F">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053B093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7BED1636">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693.55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380CB7B">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16" w:type="dxa"/>
            <w:tcBorders>
              <w:top w:val="nil"/>
              <w:left w:val="nil"/>
              <w:bottom w:val="single" w:color="auto" w:sz="4" w:space="0"/>
              <w:right w:val="single" w:color="auto" w:sz="4" w:space="0"/>
            </w:tcBorders>
            <w:shd w:val="clear" w:color="auto" w:fill="auto"/>
            <w:noWrap/>
            <w:vAlign w:val="center"/>
          </w:tcPr>
          <w:p w14:paraId="5CE2C61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821" w:type="dxa"/>
            <w:tcBorders>
              <w:top w:val="nil"/>
              <w:left w:val="nil"/>
              <w:bottom w:val="single" w:color="auto" w:sz="4" w:space="0"/>
              <w:right w:val="single" w:color="auto" w:sz="4" w:space="0"/>
            </w:tcBorders>
            <w:shd w:val="clear" w:color="auto" w:fill="auto"/>
            <w:noWrap/>
            <w:vAlign w:val="center"/>
          </w:tcPr>
          <w:p w14:paraId="3C5F2624">
            <w:pPr>
              <w:widowControl/>
              <w:jc w:val="righ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693.55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729AE2F">
            <w:pPr>
              <w:widowControl/>
              <w:jc w:val="righ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693.55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66015FB">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8A5C2C8">
            <w:pPr>
              <w:widowControl/>
              <w:jc w:val="right"/>
              <w:rPr>
                <w:rFonts w:hint="default" w:ascii="Times New Roman" w:hAnsi="Times New Roman" w:eastAsia="仿宋_GB2312" w:cs="Times New Roman"/>
                <w:b w:val="0"/>
                <w:bCs w:val="0"/>
                <w:kern w:val="0"/>
                <w:sz w:val="22"/>
                <w:lang w:val="en-US" w:eastAsia="zh-CN"/>
              </w:rPr>
            </w:pPr>
            <w:r>
              <w:rPr>
                <w:rFonts w:ascii="Times New Roman" w:hAnsi="Times New Roman" w:eastAsia="仿宋_GB2312" w:cs="Times New Roman"/>
                <w:b w:val="0"/>
                <w:bCs w:val="0"/>
                <w:kern w:val="0"/>
                <w:sz w:val="22"/>
              </w:rPr>
              <w:t>　</w:t>
            </w:r>
            <w:r>
              <w:rPr>
                <w:rFonts w:hint="eastAsia" w:ascii="Times New Roman" w:hAnsi="Times New Roman" w:eastAsia="仿宋_GB2312" w:cs="Times New Roman"/>
                <w:b w:val="0"/>
                <w:bCs w:val="0"/>
                <w:kern w:val="0"/>
                <w:sz w:val="22"/>
                <w:lang w:val="en-US" w:eastAsia="zh-CN"/>
              </w:rPr>
              <w:t>0.00</w:t>
            </w:r>
          </w:p>
        </w:tc>
      </w:tr>
      <w:tr w14:paraId="07128204">
        <w:tblPrEx>
          <w:tblCellMar>
            <w:top w:w="0" w:type="dxa"/>
            <w:left w:w="108" w:type="dxa"/>
            <w:bottom w:w="0" w:type="dxa"/>
            <w:right w:w="108" w:type="dxa"/>
          </w:tblCellMar>
        </w:tblPrEx>
        <w:trPr>
          <w:trHeight w:val="40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7504D1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4A908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1F5D112">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9EB76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BD0C7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8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F9EFE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5E907F0">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005544">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4A5825">
            <w:pPr>
              <w:widowControl/>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0.0</w:t>
            </w:r>
          </w:p>
        </w:tc>
      </w:tr>
      <w:tr w14:paraId="209636A5">
        <w:tblPrEx>
          <w:tblCellMar>
            <w:top w:w="0" w:type="dxa"/>
            <w:left w:w="108" w:type="dxa"/>
            <w:bottom w:w="0" w:type="dxa"/>
            <w:right w:w="108" w:type="dxa"/>
          </w:tblCellMar>
        </w:tblPrEx>
        <w:trPr>
          <w:trHeight w:val="40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7A6CDE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0C9008A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1CD9B46E">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43E06CC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single" w:color="auto" w:sz="4" w:space="0"/>
              <w:left w:val="nil"/>
              <w:bottom w:val="single" w:color="auto" w:sz="4" w:space="0"/>
              <w:right w:val="single" w:color="auto" w:sz="4" w:space="0"/>
            </w:tcBorders>
            <w:shd w:val="clear" w:color="auto" w:fill="auto"/>
            <w:noWrap/>
            <w:vAlign w:val="center"/>
          </w:tcPr>
          <w:p w14:paraId="2C57933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821" w:type="dxa"/>
            <w:tcBorders>
              <w:top w:val="single" w:color="auto" w:sz="4" w:space="0"/>
              <w:left w:val="nil"/>
              <w:bottom w:val="single" w:color="auto" w:sz="4" w:space="0"/>
              <w:right w:val="single" w:color="auto" w:sz="4" w:space="0"/>
            </w:tcBorders>
            <w:shd w:val="clear" w:color="auto" w:fill="auto"/>
            <w:noWrap/>
            <w:vAlign w:val="center"/>
          </w:tcPr>
          <w:p w14:paraId="0130463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1FD0E7E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55A001F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6EA1E76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4AA7D6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B05BCF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1027476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728D147E">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w:t>
            </w:r>
          </w:p>
        </w:tc>
        <w:tc>
          <w:tcPr>
            <w:tcW w:w="0" w:type="auto"/>
            <w:tcBorders>
              <w:top w:val="nil"/>
              <w:left w:val="nil"/>
              <w:bottom w:val="single" w:color="auto" w:sz="4" w:space="0"/>
              <w:right w:val="single" w:color="auto" w:sz="4" w:space="0"/>
            </w:tcBorders>
            <w:shd w:val="clear" w:color="auto" w:fill="auto"/>
            <w:noWrap/>
            <w:vAlign w:val="center"/>
          </w:tcPr>
          <w:p w14:paraId="4D93B9A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55FB288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821" w:type="dxa"/>
            <w:tcBorders>
              <w:top w:val="nil"/>
              <w:left w:val="nil"/>
              <w:bottom w:val="single" w:color="auto" w:sz="4" w:space="0"/>
              <w:right w:val="single" w:color="auto" w:sz="4" w:space="0"/>
            </w:tcBorders>
            <w:shd w:val="clear" w:color="auto" w:fill="auto"/>
            <w:noWrap/>
            <w:vAlign w:val="center"/>
          </w:tcPr>
          <w:p w14:paraId="54D0F83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62B635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6C56F5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8FF399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0B79D1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3EEE1D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01EACC6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699DC7AC">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w:t>
            </w:r>
          </w:p>
        </w:tc>
        <w:tc>
          <w:tcPr>
            <w:tcW w:w="0" w:type="auto"/>
            <w:tcBorders>
              <w:top w:val="nil"/>
              <w:left w:val="nil"/>
              <w:bottom w:val="single" w:color="auto" w:sz="4" w:space="0"/>
              <w:right w:val="single" w:color="auto" w:sz="4" w:space="0"/>
            </w:tcBorders>
            <w:shd w:val="clear" w:color="auto" w:fill="auto"/>
            <w:noWrap/>
            <w:vAlign w:val="center"/>
          </w:tcPr>
          <w:p w14:paraId="3EF5010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79F6D1A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821" w:type="dxa"/>
            <w:tcBorders>
              <w:top w:val="nil"/>
              <w:left w:val="nil"/>
              <w:bottom w:val="single" w:color="auto" w:sz="4" w:space="0"/>
              <w:right w:val="single" w:color="auto" w:sz="4" w:space="0"/>
            </w:tcBorders>
            <w:shd w:val="clear" w:color="auto" w:fill="auto"/>
            <w:noWrap/>
            <w:vAlign w:val="center"/>
          </w:tcPr>
          <w:p w14:paraId="61F499E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56EA66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9F9FAB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33C752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1778C6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3820547B">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09A197F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248D32B5">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693.55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6C7075E0">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noWrap/>
            <w:vAlign w:val="center"/>
          </w:tcPr>
          <w:p w14:paraId="2B2AE81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821" w:type="dxa"/>
            <w:tcBorders>
              <w:top w:val="nil"/>
              <w:left w:val="nil"/>
              <w:bottom w:val="single" w:color="auto" w:sz="4" w:space="0"/>
              <w:right w:val="single" w:color="auto" w:sz="4" w:space="0"/>
            </w:tcBorders>
            <w:shd w:val="clear" w:color="auto" w:fill="auto"/>
            <w:noWrap/>
            <w:vAlign w:val="center"/>
          </w:tcPr>
          <w:p w14:paraId="141D5BE5">
            <w:pPr>
              <w:widowControl/>
              <w:jc w:val="righ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693.55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C090569">
            <w:pPr>
              <w:widowControl/>
              <w:jc w:val="righ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693.55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644E4E6">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17D4939">
            <w:pPr>
              <w:widowControl/>
              <w:jc w:val="right"/>
              <w:rPr>
                <w:rFonts w:hint="default" w:ascii="Times New Roman" w:hAnsi="Times New Roman" w:eastAsia="仿宋_GB2312" w:cs="Times New Roman"/>
                <w:b w:val="0"/>
                <w:bCs w:val="0"/>
                <w:kern w:val="0"/>
                <w:sz w:val="22"/>
                <w:szCs w:val="22"/>
                <w:lang w:val="en-US" w:eastAsia="zh-CN" w:bidi="ar-SA"/>
              </w:rPr>
            </w:pPr>
            <w:r>
              <w:rPr>
                <w:rFonts w:ascii="Times New Roman" w:hAnsi="Times New Roman" w:eastAsia="仿宋_GB2312" w:cs="Times New Roman"/>
                <w:b w:val="0"/>
                <w:bCs w:val="0"/>
                <w:kern w:val="0"/>
                <w:sz w:val="22"/>
              </w:rPr>
              <w:t>　</w:t>
            </w:r>
            <w:r>
              <w:rPr>
                <w:rFonts w:hint="eastAsia" w:ascii="Times New Roman" w:hAnsi="Times New Roman" w:eastAsia="仿宋_GB2312" w:cs="Times New Roman"/>
                <w:b w:val="0"/>
                <w:bCs w:val="0"/>
                <w:kern w:val="0"/>
                <w:sz w:val="22"/>
                <w:lang w:val="en-US" w:eastAsia="zh-CN"/>
              </w:rPr>
              <w:t>0.00</w:t>
            </w:r>
          </w:p>
        </w:tc>
      </w:tr>
    </w:tbl>
    <w:p w14:paraId="1F655C46">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47D2E2E5">
      <w:pPr>
        <w:widowControl/>
        <w:jc w:val="center"/>
        <w:rPr>
          <w:rFonts w:ascii="Times New Roman" w:hAnsi="Times New Roman" w:eastAsia="方正小标宋_GBK" w:cs="Times New Roman"/>
          <w:kern w:val="0"/>
          <w:sz w:val="36"/>
          <w:szCs w:val="36"/>
        </w:rPr>
      </w:pPr>
    </w:p>
    <w:p w14:paraId="50C7CBA6">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2F250ACF">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仿宋_GB2312" w:hAnsi="仿宋" w:eastAsia="仿宋_GB2312"/>
          <w:sz w:val="20"/>
          <w:szCs w:val="20"/>
        </w:rPr>
        <w:t>怀化市大中坡电视转播台</w:t>
      </w:r>
      <w:r>
        <w:rPr>
          <w:rFonts w:ascii="Times New Roman" w:hAnsi="Times New Roman" w:eastAsia="仿宋_GB2312" w:cs="Times New Roman"/>
          <w:color w:val="000000"/>
          <w:kern w:val="0"/>
          <w:szCs w:val="21"/>
        </w:rPr>
        <w:t xml:space="preserve">                                                                                                     公开05表</w:t>
      </w:r>
    </w:p>
    <w:p w14:paraId="1CF2ACB1">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0"/>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63EA7054">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2B1559F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6784104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734B9872">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4426C22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1BCF5DD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4489691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447BA41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39720FF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16FB5FF3">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C7DE6B2">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35979723">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7D5D81F5">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B1D636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08998273">
            <w:pPr>
              <w:widowControl/>
              <w:jc w:val="left"/>
              <w:rPr>
                <w:rFonts w:ascii="Times New Roman" w:hAnsi="Times New Roman" w:eastAsia="仿宋_GB2312" w:cs="Times New Roman"/>
                <w:kern w:val="0"/>
                <w:szCs w:val="21"/>
              </w:rPr>
            </w:pPr>
          </w:p>
        </w:tc>
      </w:tr>
      <w:tr w14:paraId="2E14E9DF">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A827744">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114A14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4A7BE71">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85E6B2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F5A1564">
            <w:pPr>
              <w:widowControl/>
              <w:jc w:val="left"/>
              <w:rPr>
                <w:rFonts w:ascii="Times New Roman" w:hAnsi="Times New Roman" w:eastAsia="仿宋_GB2312" w:cs="Times New Roman"/>
                <w:kern w:val="0"/>
                <w:szCs w:val="21"/>
              </w:rPr>
            </w:pPr>
          </w:p>
        </w:tc>
      </w:tr>
      <w:tr w14:paraId="0E9D7FE0">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1306B5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18968F9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193C545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4658CE9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6B7C298C">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C930A1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6762E6E6">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693.55</w:t>
            </w:r>
          </w:p>
        </w:tc>
        <w:tc>
          <w:tcPr>
            <w:tcW w:w="3492" w:type="dxa"/>
            <w:tcBorders>
              <w:top w:val="nil"/>
              <w:left w:val="nil"/>
              <w:bottom w:val="single" w:color="auto" w:sz="4" w:space="0"/>
              <w:right w:val="single" w:color="auto" w:sz="4" w:space="0"/>
            </w:tcBorders>
            <w:shd w:val="clear" w:color="auto" w:fill="auto"/>
            <w:vAlign w:val="center"/>
          </w:tcPr>
          <w:p w14:paraId="5BC2030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556.75</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3020E580">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136.80</w:t>
            </w:r>
          </w:p>
        </w:tc>
      </w:tr>
      <w:tr w14:paraId="65466BE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B5FE26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207</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0AA57B2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文化旅游体育与传媒支出</w:t>
            </w:r>
          </w:p>
        </w:tc>
        <w:tc>
          <w:tcPr>
            <w:tcW w:w="3000" w:type="dxa"/>
            <w:tcBorders>
              <w:top w:val="nil"/>
              <w:left w:val="nil"/>
              <w:bottom w:val="single" w:color="auto" w:sz="4" w:space="0"/>
              <w:right w:val="single" w:color="auto" w:sz="4" w:space="0"/>
            </w:tcBorders>
            <w:shd w:val="clear" w:color="auto" w:fill="auto"/>
            <w:vAlign w:val="center"/>
          </w:tcPr>
          <w:p w14:paraId="17BD95B1">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690.55</w:t>
            </w:r>
          </w:p>
        </w:tc>
        <w:tc>
          <w:tcPr>
            <w:tcW w:w="3492" w:type="dxa"/>
            <w:tcBorders>
              <w:top w:val="nil"/>
              <w:left w:val="nil"/>
              <w:bottom w:val="single" w:color="auto" w:sz="4" w:space="0"/>
              <w:right w:val="single" w:color="auto" w:sz="4" w:space="0"/>
            </w:tcBorders>
            <w:shd w:val="clear" w:color="auto" w:fill="auto"/>
            <w:vAlign w:val="center"/>
          </w:tcPr>
          <w:p w14:paraId="12C2C62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553.75</w:t>
            </w:r>
          </w:p>
        </w:tc>
        <w:tc>
          <w:tcPr>
            <w:tcW w:w="3000" w:type="dxa"/>
            <w:tcBorders>
              <w:top w:val="nil"/>
              <w:left w:val="nil"/>
              <w:bottom w:val="single" w:color="auto" w:sz="4" w:space="0"/>
              <w:right w:val="single" w:color="auto" w:sz="8" w:space="0"/>
            </w:tcBorders>
            <w:shd w:val="clear" w:color="auto" w:fill="auto"/>
            <w:vAlign w:val="center"/>
          </w:tcPr>
          <w:p w14:paraId="07BDCCFC">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136.80</w:t>
            </w:r>
          </w:p>
        </w:tc>
      </w:tr>
      <w:tr w14:paraId="44982D79">
        <w:tblPrEx>
          <w:tblCellMar>
            <w:top w:w="0" w:type="dxa"/>
            <w:left w:w="108" w:type="dxa"/>
            <w:bottom w:w="0" w:type="dxa"/>
            <w:right w:w="108" w:type="dxa"/>
          </w:tblCellMar>
        </w:tblPrEx>
        <w:trPr>
          <w:trHeight w:val="369"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6F31CD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20706</w:t>
            </w:r>
          </w:p>
        </w:tc>
        <w:tc>
          <w:tcPr>
            <w:tcW w:w="3527" w:type="dxa"/>
            <w:tcBorders>
              <w:top w:val="nil"/>
              <w:left w:val="nil"/>
              <w:bottom w:val="single" w:color="auto" w:sz="4" w:space="0"/>
              <w:right w:val="single" w:color="auto" w:sz="4" w:space="0"/>
            </w:tcBorders>
            <w:shd w:val="clear" w:color="auto" w:fill="auto"/>
            <w:vAlign w:val="center"/>
          </w:tcPr>
          <w:p w14:paraId="351BDB2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新闻出版电影</w:t>
            </w:r>
          </w:p>
        </w:tc>
        <w:tc>
          <w:tcPr>
            <w:tcW w:w="3000" w:type="dxa"/>
            <w:tcBorders>
              <w:top w:val="nil"/>
              <w:left w:val="nil"/>
              <w:bottom w:val="single" w:color="auto" w:sz="4" w:space="0"/>
              <w:right w:val="single" w:color="auto" w:sz="4" w:space="0"/>
            </w:tcBorders>
            <w:shd w:val="clear" w:color="auto" w:fill="auto"/>
            <w:vAlign w:val="center"/>
          </w:tcPr>
          <w:p w14:paraId="1D1F7C8B">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394.04</w:t>
            </w:r>
          </w:p>
        </w:tc>
        <w:tc>
          <w:tcPr>
            <w:tcW w:w="3492" w:type="dxa"/>
            <w:tcBorders>
              <w:top w:val="nil"/>
              <w:left w:val="nil"/>
              <w:bottom w:val="single" w:color="auto" w:sz="4" w:space="0"/>
              <w:right w:val="single" w:color="auto" w:sz="4" w:space="0"/>
            </w:tcBorders>
            <w:shd w:val="clear" w:color="auto" w:fill="auto"/>
            <w:vAlign w:val="center"/>
          </w:tcPr>
          <w:p w14:paraId="73052BB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394.04</w:t>
            </w:r>
          </w:p>
        </w:tc>
        <w:tc>
          <w:tcPr>
            <w:tcW w:w="3000" w:type="dxa"/>
            <w:tcBorders>
              <w:top w:val="nil"/>
              <w:left w:val="nil"/>
              <w:bottom w:val="single" w:color="auto" w:sz="4" w:space="0"/>
              <w:right w:val="single" w:color="auto" w:sz="8" w:space="0"/>
            </w:tcBorders>
            <w:shd w:val="clear" w:color="auto" w:fill="auto"/>
            <w:vAlign w:val="center"/>
          </w:tcPr>
          <w:p w14:paraId="28519A2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306A3AEE">
        <w:tblPrEx>
          <w:tblCellMar>
            <w:top w:w="0" w:type="dxa"/>
            <w:left w:w="108" w:type="dxa"/>
            <w:bottom w:w="0" w:type="dxa"/>
            <w:right w:w="108" w:type="dxa"/>
          </w:tblCellMar>
        </w:tblPrEx>
        <w:trPr>
          <w:trHeight w:val="355"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FAAEF8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2070601</w:t>
            </w:r>
          </w:p>
        </w:tc>
        <w:tc>
          <w:tcPr>
            <w:tcW w:w="3527" w:type="dxa"/>
            <w:tcBorders>
              <w:top w:val="nil"/>
              <w:left w:val="nil"/>
              <w:bottom w:val="single" w:color="auto" w:sz="4" w:space="0"/>
              <w:right w:val="single" w:color="auto" w:sz="4" w:space="0"/>
            </w:tcBorders>
            <w:shd w:val="clear" w:color="auto" w:fill="auto"/>
            <w:vAlign w:val="center"/>
          </w:tcPr>
          <w:p w14:paraId="62F6962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行政运行</w:t>
            </w:r>
          </w:p>
        </w:tc>
        <w:tc>
          <w:tcPr>
            <w:tcW w:w="3000" w:type="dxa"/>
            <w:tcBorders>
              <w:top w:val="nil"/>
              <w:left w:val="nil"/>
              <w:bottom w:val="single" w:color="auto" w:sz="4" w:space="0"/>
              <w:right w:val="single" w:color="auto" w:sz="4" w:space="0"/>
            </w:tcBorders>
            <w:shd w:val="clear" w:color="auto" w:fill="auto"/>
            <w:vAlign w:val="center"/>
          </w:tcPr>
          <w:p w14:paraId="4BBC046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394.04</w:t>
            </w:r>
          </w:p>
        </w:tc>
        <w:tc>
          <w:tcPr>
            <w:tcW w:w="3492" w:type="dxa"/>
            <w:tcBorders>
              <w:top w:val="nil"/>
              <w:left w:val="nil"/>
              <w:bottom w:val="single" w:color="auto" w:sz="4" w:space="0"/>
              <w:right w:val="single" w:color="auto" w:sz="4" w:space="0"/>
            </w:tcBorders>
            <w:shd w:val="clear" w:color="auto" w:fill="auto"/>
            <w:vAlign w:val="center"/>
          </w:tcPr>
          <w:p w14:paraId="2B228F1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394.04</w:t>
            </w:r>
          </w:p>
        </w:tc>
        <w:tc>
          <w:tcPr>
            <w:tcW w:w="3000" w:type="dxa"/>
            <w:tcBorders>
              <w:top w:val="nil"/>
              <w:left w:val="nil"/>
              <w:bottom w:val="single" w:color="auto" w:sz="4" w:space="0"/>
              <w:right w:val="single" w:color="auto" w:sz="8" w:space="0"/>
            </w:tcBorders>
            <w:shd w:val="clear" w:color="auto" w:fill="auto"/>
            <w:vAlign w:val="center"/>
          </w:tcPr>
          <w:p w14:paraId="102585E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0301C078">
        <w:tblPrEx>
          <w:tblCellMar>
            <w:top w:w="0" w:type="dxa"/>
            <w:left w:w="108" w:type="dxa"/>
            <w:bottom w:w="0" w:type="dxa"/>
            <w:right w:w="108" w:type="dxa"/>
          </w:tblCellMar>
        </w:tblPrEx>
        <w:trPr>
          <w:trHeight w:val="313"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CDB1AE6">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20708</w:t>
            </w:r>
          </w:p>
        </w:tc>
        <w:tc>
          <w:tcPr>
            <w:tcW w:w="3527" w:type="dxa"/>
            <w:tcBorders>
              <w:top w:val="nil"/>
              <w:left w:val="nil"/>
              <w:bottom w:val="single" w:color="auto" w:sz="4" w:space="0"/>
              <w:right w:val="single" w:color="auto" w:sz="4" w:space="0"/>
            </w:tcBorders>
            <w:shd w:val="clear" w:color="auto" w:fill="auto"/>
            <w:vAlign w:val="center"/>
          </w:tcPr>
          <w:p w14:paraId="427EEFE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广播电视</w:t>
            </w:r>
          </w:p>
        </w:tc>
        <w:tc>
          <w:tcPr>
            <w:tcW w:w="3000" w:type="dxa"/>
            <w:tcBorders>
              <w:top w:val="nil"/>
              <w:left w:val="nil"/>
              <w:bottom w:val="single" w:color="auto" w:sz="4" w:space="0"/>
              <w:right w:val="single" w:color="auto" w:sz="4" w:space="0"/>
            </w:tcBorders>
            <w:shd w:val="clear" w:color="auto" w:fill="auto"/>
            <w:vAlign w:val="center"/>
          </w:tcPr>
          <w:p w14:paraId="1175848B">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225.30</w:t>
            </w:r>
          </w:p>
        </w:tc>
        <w:tc>
          <w:tcPr>
            <w:tcW w:w="3492" w:type="dxa"/>
            <w:tcBorders>
              <w:top w:val="nil"/>
              <w:left w:val="nil"/>
              <w:bottom w:val="single" w:color="auto" w:sz="4" w:space="0"/>
              <w:right w:val="single" w:color="auto" w:sz="4" w:space="0"/>
            </w:tcBorders>
            <w:shd w:val="clear" w:color="auto" w:fill="auto"/>
            <w:vAlign w:val="center"/>
          </w:tcPr>
          <w:p w14:paraId="3245BA6C">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159.70</w:t>
            </w:r>
          </w:p>
        </w:tc>
        <w:tc>
          <w:tcPr>
            <w:tcW w:w="3000" w:type="dxa"/>
            <w:tcBorders>
              <w:top w:val="nil"/>
              <w:left w:val="nil"/>
              <w:bottom w:val="single" w:color="auto" w:sz="4" w:space="0"/>
              <w:right w:val="single" w:color="auto" w:sz="8" w:space="0"/>
            </w:tcBorders>
            <w:shd w:val="clear" w:color="auto" w:fill="auto"/>
            <w:vAlign w:val="center"/>
          </w:tcPr>
          <w:p w14:paraId="04B1520D">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65.60</w:t>
            </w:r>
          </w:p>
        </w:tc>
      </w:tr>
      <w:tr w14:paraId="54A014FD">
        <w:tblPrEx>
          <w:tblCellMar>
            <w:top w:w="0" w:type="dxa"/>
            <w:left w:w="108" w:type="dxa"/>
            <w:bottom w:w="0" w:type="dxa"/>
            <w:right w:w="108" w:type="dxa"/>
          </w:tblCellMar>
        </w:tblPrEx>
        <w:trPr>
          <w:trHeight w:val="272"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5F47D79">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2070899</w:t>
            </w:r>
          </w:p>
        </w:tc>
        <w:tc>
          <w:tcPr>
            <w:tcW w:w="3527" w:type="dxa"/>
            <w:tcBorders>
              <w:top w:val="nil"/>
              <w:left w:val="nil"/>
              <w:bottom w:val="single" w:color="auto" w:sz="4" w:space="0"/>
              <w:right w:val="single" w:color="auto" w:sz="4" w:space="0"/>
            </w:tcBorders>
            <w:shd w:val="clear" w:color="auto" w:fill="auto"/>
            <w:vAlign w:val="center"/>
          </w:tcPr>
          <w:p w14:paraId="7D1D387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 xml:space="preserve"> 其他广播电视支出</w:t>
            </w:r>
          </w:p>
        </w:tc>
        <w:tc>
          <w:tcPr>
            <w:tcW w:w="3000" w:type="dxa"/>
            <w:tcBorders>
              <w:top w:val="nil"/>
              <w:left w:val="nil"/>
              <w:bottom w:val="single" w:color="auto" w:sz="4" w:space="0"/>
              <w:right w:val="single" w:color="auto" w:sz="4" w:space="0"/>
            </w:tcBorders>
            <w:shd w:val="clear" w:color="auto" w:fill="auto"/>
            <w:vAlign w:val="center"/>
          </w:tcPr>
          <w:p w14:paraId="251A200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225.30</w:t>
            </w:r>
          </w:p>
        </w:tc>
        <w:tc>
          <w:tcPr>
            <w:tcW w:w="3492" w:type="dxa"/>
            <w:tcBorders>
              <w:top w:val="nil"/>
              <w:left w:val="nil"/>
              <w:bottom w:val="single" w:color="auto" w:sz="4" w:space="0"/>
              <w:right w:val="single" w:color="auto" w:sz="4" w:space="0"/>
            </w:tcBorders>
            <w:shd w:val="clear" w:color="auto" w:fill="auto"/>
            <w:vAlign w:val="center"/>
          </w:tcPr>
          <w:p w14:paraId="104CD8D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159.70</w:t>
            </w:r>
          </w:p>
        </w:tc>
        <w:tc>
          <w:tcPr>
            <w:tcW w:w="3000" w:type="dxa"/>
            <w:tcBorders>
              <w:top w:val="nil"/>
              <w:left w:val="nil"/>
              <w:bottom w:val="single" w:color="auto" w:sz="4" w:space="0"/>
              <w:right w:val="single" w:color="auto" w:sz="8" w:space="0"/>
            </w:tcBorders>
            <w:shd w:val="clear" w:color="auto" w:fill="auto"/>
            <w:vAlign w:val="center"/>
          </w:tcPr>
          <w:p w14:paraId="174E7DD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65.60</w:t>
            </w:r>
          </w:p>
        </w:tc>
      </w:tr>
      <w:tr w14:paraId="3DE8BC37">
        <w:tblPrEx>
          <w:tblCellMar>
            <w:top w:w="0" w:type="dxa"/>
            <w:left w:w="108" w:type="dxa"/>
            <w:bottom w:w="0" w:type="dxa"/>
            <w:right w:w="108" w:type="dxa"/>
          </w:tblCellMar>
        </w:tblPrEx>
        <w:trPr>
          <w:trHeight w:val="372"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DC48F88">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20799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7D481F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其他文化旅游体育与传媒支出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AE533BB">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71.2</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94C742D">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5B3109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71.20</w:t>
            </w:r>
          </w:p>
        </w:tc>
      </w:tr>
      <w:tr w14:paraId="7BB6F794">
        <w:tblPrEx>
          <w:tblCellMar>
            <w:top w:w="0" w:type="dxa"/>
            <w:left w:w="108" w:type="dxa"/>
            <w:bottom w:w="0" w:type="dxa"/>
            <w:right w:w="108" w:type="dxa"/>
          </w:tblCellMar>
        </w:tblPrEx>
        <w:trPr>
          <w:trHeight w:val="399"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CC7ED16">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2079999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D6454B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其他文化旅游体育与传媒支出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AF38DF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71.2</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6B85323">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D7724D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71.20</w:t>
            </w:r>
          </w:p>
        </w:tc>
      </w:tr>
      <w:tr w14:paraId="367AB16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A4A6E0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15EBCD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城乡社区支出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EBEEEA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E121DD3">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8990430">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7D575A3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261BB91">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21299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F6F9EC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其他城乡社区支出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E59CB01">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A2F994B">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01C202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193D2CC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6A31ACC">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2129999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D20F28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其他城乡社区支出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A76993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FB5A24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B0AC11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bl>
    <w:p w14:paraId="5A4CE9DA">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04AB6E56">
      <w:pPr>
        <w:widowControl/>
        <w:jc w:val="left"/>
        <w:rPr>
          <w:rFonts w:ascii="Times New Roman" w:hAnsi="Times New Roman" w:eastAsia="仿宋_GB2312" w:cs="Times New Roman"/>
          <w:bCs/>
          <w:kern w:val="0"/>
          <w:szCs w:val="21"/>
        </w:rPr>
      </w:pPr>
    </w:p>
    <w:p w14:paraId="01B94EC6">
      <w:pPr>
        <w:widowControl/>
        <w:jc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4D9144C5">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仿宋_GB2312" w:hAnsi="仿宋" w:eastAsia="仿宋_GB2312"/>
          <w:sz w:val="20"/>
          <w:szCs w:val="20"/>
        </w:rPr>
        <w:t>怀化市大中坡电视转播台</w:t>
      </w:r>
      <w:r>
        <w:rPr>
          <w:rFonts w:ascii="Times New Roman" w:hAnsi="Times New Roman" w:eastAsia="仿宋_GB2312" w:cs="Times New Roman"/>
          <w:color w:val="000000"/>
          <w:kern w:val="0"/>
          <w:szCs w:val="21"/>
        </w:rPr>
        <w:t xml:space="preserve">                                                                                                                公开06表</w:t>
      </w:r>
    </w:p>
    <w:p w14:paraId="64D4FC57">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0"/>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1BD00B6D">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7838C0A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3911BF5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29CACE5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4DB707A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0CD927E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4A503EF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67E3A8D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401A7AC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48C40A7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256E407C">
        <w:tblPrEx>
          <w:tblCellMar>
            <w:top w:w="0" w:type="dxa"/>
            <w:left w:w="108" w:type="dxa"/>
            <w:bottom w:w="0" w:type="dxa"/>
            <w:right w:w="108" w:type="dxa"/>
          </w:tblCellMar>
        </w:tblPrEx>
        <w:trPr>
          <w:trHeight w:val="290"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9C70E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7A95AE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11111665">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482.49</w:t>
            </w:r>
          </w:p>
        </w:tc>
        <w:tc>
          <w:tcPr>
            <w:tcW w:w="1116" w:type="dxa"/>
            <w:tcBorders>
              <w:top w:val="nil"/>
              <w:left w:val="nil"/>
              <w:bottom w:val="single" w:color="auto" w:sz="4" w:space="0"/>
              <w:right w:val="single" w:color="auto" w:sz="4" w:space="0"/>
            </w:tcBorders>
            <w:shd w:val="clear" w:color="auto" w:fill="auto"/>
            <w:noWrap/>
            <w:vAlign w:val="center"/>
          </w:tcPr>
          <w:p w14:paraId="612519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4EC8A5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738023F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52.45</w:t>
            </w:r>
          </w:p>
        </w:tc>
        <w:tc>
          <w:tcPr>
            <w:tcW w:w="1217" w:type="dxa"/>
            <w:tcBorders>
              <w:top w:val="nil"/>
              <w:left w:val="nil"/>
              <w:bottom w:val="single" w:color="auto" w:sz="4" w:space="0"/>
              <w:right w:val="single" w:color="auto" w:sz="4" w:space="0"/>
            </w:tcBorders>
            <w:shd w:val="clear" w:color="auto" w:fill="auto"/>
            <w:noWrap/>
            <w:vAlign w:val="center"/>
          </w:tcPr>
          <w:p w14:paraId="7F3980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060703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7D4FC8D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EAC2CB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8788B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56D921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2DB74C5A">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153.05</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E5CBC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2A888A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3DBC2DE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0.69</w:t>
            </w:r>
          </w:p>
        </w:tc>
        <w:tc>
          <w:tcPr>
            <w:tcW w:w="1217" w:type="dxa"/>
            <w:tcBorders>
              <w:top w:val="nil"/>
              <w:left w:val="nil"/>
              <w:bottom w:val="single" w:color="auto" w:sz="4" w:space="0"/>
              <w:right w:val="single" w:color="auto" w:sz="4" w:space="0"/>
            </w:tcBorders>
            <w:shd w:val="clear" w:color="auto" w:fill="auto"/>
            <w:noWrap/>
            <w:vAlign w:val="center"/>
          </w:tcPr>
          <w:p w14:paraId="4D8CCF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67BD4C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0657361D">
            <w:pPr>
              <w:widowControl/>
              <w:jc w:val="righ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1ECBEF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9EDD5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0AB0F6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4BCA2878">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161.59</w:t>
            </w:r>
          </w:p>
        </w:tc>
        <w:tc>
          <w:tcPr>
            <w:tcW w:w="1116" w:type="dxa"/>
            <w:tcBorders>
              <w:top w:val="nil"/>
              <w:left w:val="nil"/>
              <w:bottom w:val="single" w:color="auto" w:sz="4" w:space="0"/>
              <w:right w:val="single" w:color="auto" w:sz="4" w:space="0"/>
            </w:tcBorders>
            <w:shd w:val="clear" w:color="auto" w:fill="auto"/>
            <w:noWrap/>
            <w:vAlign w:val="center"/>
          </w:tcPr>
          <w:p w14:paraId="0F6BCA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520058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390D4D01">
            <w:pPr>
              <w:widowControl/>
              <w:jc w:val="righ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39B100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64F2FB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7395E952">
            <w:pPr>
              <w:widowControl/>
              <w:jc w:val="righ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4569FE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97536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25E788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6306BE5C">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28.58</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40FC4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437DFF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72DBF0F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w:t>
            </w:r>
          </w:p>
        </w:tc>
        <w:tc>
          <w:tcPr>
            <w:tcW w:w="1217" w:type="dxa"/>
            <w:tcBorders>
              <w:top w:val="nil"/>
              <w:left w:val="nil"/>
              <w:bottom w:val="single" w:color="auto" w:sz="4" w:space="0"/>
              <w:right w:val="single" w:color="auto" w:sz="4" w:space="0"/>
            </w:tcBorders>
            <w:shd w:val="clear" w:color="auto" w:fill="auto"/>
            <w:noWrap/>
            <w:vAlign w:val="center"/>
          </w:tcPr>
          <w:p w14:paraId="413F0C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17BA49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269AB501">
            <w:pPr>
              <w:widowControl/>
              <w:jc w:val="righ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999C57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FDE26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6D9017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6EAC40CD">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rPr>
              <w:t>8.8</w:t>
            </w:r>
            <w:r>
              <w:rPr>
                <w:rFonts w:hint="eastAsia" w:ascii="Times New Roman" w:hAnsi="Times New Roman" w:eastAsia="仿宋_GB2312" w:cs="Times New Roman"/>
                <w:color w:val="000000"/>
                <w:kern w:val="0"/>
                <w:szCs w:val="20"/>
                <w:lang w:val="en-US" w:eastAsia="zh-CN"/>
              </w:rPr>
              <w:t>0</w:t>
            </w:r>
          </w:p>
        </w:tc>
        <w:tc>
          <w:tcPr>
            <w:tcW w:w="1116" w:type="dxa"/>
            <w:tcBorders>
              <w:top w:val="nil"/>
              <w:left w:val="nil"/>
              <w:bottom w:val="single" w:color="auto" w:sz="4" w:space="0"/>
              <w:right w:val="single" w:color="auto" w:sz="4" w:space="0"/>
            </w:tcBorders>
            <w:shd w:val="clear" w:color="auto" w:fill="auto"/>
            <w:noWrap/>
            <w:vAlign w:val="center"/>
          </w:tcPr>
          <w:p w14:paraId="126BB4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1A3D30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58DE2FC8">
            <w:pPr>
              <w:widowControl/>
              <w:jc w:val="righ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156EEB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18765B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62C5A9E5">
            <w:pPr>
              <w:widowControl/>
              <w:jc w:val="righ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DA8F8E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5438B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0D05BB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4DF9D1CF">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9CC88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67766E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569D3A4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0.43</w:t>
            </w:r>
          </w:p>
        </w:tc>
        <w:tc>
          <w:tcPr>
            <w:tcW w:w="1217" w:type="dxa"/>
            <w:tcBorders>
              <w:top w:val="nil"/>
              <w:left w:val="nil"/>
              <w:bottom w:val="single" w:color="auto" w:sz="4" w:space="0"/>
              <w:right w:val="single" w:color="auto" w:sz="4" w:space="0"/>
            </w:tcBorders>
            <w:shd w:val="clear" w:color="auto" w:fill="auto"/>
            <w:noWrap/>
            <w:vAlign w:val="center"/>
          </w:tcPr>
          <w:p w14:paraId="45DCAD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738B90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6FAAB179">
            <w:pPr>
              <w:widowControl/>
              <w:jc w:val="righ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4416F3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F57F9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7DD965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机关事业单位基本养老保缴费</w:t>
            </w:r>
            <w:r>
              <w:rPr>
                <w:rFonts w:hint="eastAsia" w:ascii="Times New Roman" w:hAnsi="Times New Roman" w:eastAsia="仿宋_GB2312" w:cs="Times New Roman"/>
                <w:color w:val="000000"/>
                <w:kern w:val="0"/>
                <w:szCs w:val="20"/>
                <w:lang w:eastAsia="zh-CN"/>
              </w:rPr>
              <w:t>险险</w:t>
            </w:r>
            <w:r>
              <w:rPr>
                <w:rFonts w:ascii="Times New Roman" w:hAnsi="Times New Roman" w:eastAsia="仿宋_GB2312" w:cs="Times New Roman"/>
                <w:color w:val="000000"/>
                <w:kern w:val="0"/>
                <w:szCs w:val="20"/>
              </w:rPr>
              <w:t>险缴费</w:t>
            </w:r>
          </w:p>
        </w:tc>
        <w:tc>
          <w:tcPr>
            <w:tcW w:w="966" w:type="dxa"/>
            <w:tcBorders>
              <w:top w:val="nil"/>
              <w:left w:val="nil"/>
              <w:bottom w:val="single" w:color="auto" w:sz="4" w:space="0"/>
              <w:right w:val="single" w:color="auto" w:sz="4" w:space="0"/>
            </w:tcBorders>
            <w:shd w:val="clear" w:color="auto" w:fill="auto"/>
            <w:noWrap/>
            <w:vAlign w:val="center"/>
          </w:tcPr>
          <w:p w14:paraId="12D3A630">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46.97</w:t>
            </w:r>
          </w:p>
        </w:tc>
        <w:tc>
          <w:tcPr>
            <w:tcW w:w="1116" w:type="dxa"/>
            <w:tcBorders>
              <w:top w:val="nil"/>
              <w:left w:val="nil"/>
              <w:bottom w:val="single" w:color="auto" w:sz="4" w:space="0"/>
              <w:right w:val="single" w:color="auto" w:sz="4" w:space="0"/>
            </w:tcBorders>
            <w:shd w:val="clear" w:color="auto" w:fill="auto"/>
            <w:noWrap/>
            <w:vAlign w:val="center"/>
          </w:tcPr>
          <w:p w14:paraId="5B5DBB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23B704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4A3F48F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6.62</w:t>
            </w:r>
          </w:p>
        </w:tc>
        <w:tc>
          <w:tcPr>
            <w:tcW w:w="1217" w:type="dxa"/>
            <w:tcBorders>
              <w:top w:val="nil"/>
              <w:left w:val="nil"/>
              <w:bottom w:val="single" w:color="auto" w:sz="4" w:space="0"/>
              <w:right w:val="single" w:color="auto" w:sz="4" w:space="0"/>
            </w:tcBorders>
            <w:shd w:val="clear" w:color="auto" w:fill="auto"/>
            <w:noWrap/>
            <w:vAlign w:val="center"/>
          </w:tcPr>
          <w:p w14:paraId="33AB4F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6E85B6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32D42295">
            <w:pPr>
              <w:widowControl/>
              <w:jc w:val="righ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F324E4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3E575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7F6586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2405524C">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6.96</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99449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5A4765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6CAD55D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0.64</w:t>
            </w:r>
          </w:p>
        </w:tc>
        <w:tc>
          <w:tcPr>
            <w:tcW w:w="1217" w:type="dxa"/>
            <w:tcBorders>
              <w:top w:val="nil"/>
              <w:left w:val="nil"/>
              <w:bottom w:val="single" w:color="auto" w:sz="4" w:space="0"/>
              <w:right w:val="single" w:color="auto" w:sz="4" w:space="0"/>
            </w:tcBorders>
            <w:shd w:val="clear" w:color="auto" w:fill="auto"/>
            <w:noWrap/>
            <w:vAlign w:val="center"/>
          </w:tcPr>
          <w:p w14:paraId="05284A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7AB0D5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09336078">
            <w:pPr>
              <w:widowControl/>
              <w:jc w:val="righ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569846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D9145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57A959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661B5E34">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20.69</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B0147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1ADC48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284AA285">
            <w:pPr>
              <w:widowControl/>
              <w:jc w:val="righ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5F191D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34E9AE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10A7E799">
            <w:pPr>
              <w:widowControl/>
              <w:jc w:val="righ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56E2C67">
        <w:tblPrEx>
          <w:tblCellMar>
            <w:top w:w="0" w:type="dxa"/>
            <w:left w:w="108" w:type="dxa"/>
            <w:bottom w:w="0" w:type="dxa"/>
            <w:right w:w="108" w:type="dxa"/>
          </w:tblCellMar>
        </w:tblPrEx>
        <w:trPr>
          <w:trHeight w:val="272"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96CC1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2F6AF6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4F2EBCF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473D71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6F4B2E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7EF87922">
            <w:pPr>
              <w:widowControl/>
              <w:jc w:val="righ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6E37F4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08AC08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434A7E95">
            <w:pPr>
              <w:widowControl/>
              <w:jc w:val="righ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3F5AB6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A3716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5F4A7E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tbl>
            <w:tblPr>
              <w:tblStyle w:val="10"/>
              <w:tblW w:w="180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7"/>
            </w:tblGrid>
            <w:tr w14:paraId="3BBDC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800" w:type="dxa"/>
                  <w:tcBorders>
                    <w:top w:val="nil"/>
                    <w:left w:val="nil"/>
                    <w:bottom w:val="single" w:color="000000" w:sz="4" w:space="0"/>
                    <w:right w:val="single" w:color="000000" w:sz="4" w:space="0"/>
                  </w:tcBorders>
                  <w:shd w:val="clear" w:color="auto" w:fill="auto"/>
                  <w:noWrap/>
                  <w:vAlign w:val="center"/>
                </w:tcPr>
                <w:p w14:paraId="5AA349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9.03</w:t>
                  </w:r>
                </w:p>
              </w:tc>
            </w:tr>
            <w:tr w14:paraId="34E2B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01" w:type="dxa"/>
                  <w:tcBorders>
                    <w:top w:val="nil"/>
                    <w:left w:val="nil"/>
                    <w:bottom w:val="single" w:color="000000" w:sz="4" w:space="0"/>
                    <w:right w:val="single" w:color="000000" w:sz="4" w:space="0"/>
                  </w:tcBorders>
                  <w:shd w:val="clear" w:color="auto" w:fill="auto"/>
                  <w:noWrap/>
                  <w:vAlign w:val="center"/>
                </w:tcPr>
                <w:p w14:paraId="1878FB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39.16</w:t>
                  </w:r>
                </w:p>
              </w:tc>
            </w:tr>
          </w:tbl>
          <w:p w14:paraId="794AC657">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11CA9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3A51EB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6BA52D1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3.17</w:t>
            </w:r>
          </w:p>
        </w:tc>
        <w:tc>
          <w:tcPr>
            <w:tcW w:w="1217" w:type="dxa"/>
            <w:tcBorders>
              <w:top w:val="nil"/>
              <w:left w:val="nil"/>
              <w:bottom w:val="single" w:color="auto" w:sz="4" w:space="0"/>
              <w:right w:val="single" w:color="auto" w:sz="4" w:space="0"/>
            </w:tcBorders>
            <w:shd w:val="clear" w:color="auto" w:fill="auto"/>
            <w:noWrap/>
            <w:vAlign w:val="center"/>
          </w:tcPr>
          <w:p w14:paraId="0E63B4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746D6C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7509A4A0">
            <w:pPr>
              <w:widowControl/>
              <w:jc w:val="righ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B03094E">
        <w:tblPrEx>
          <w:tblCellMar>
            <w:top w:w="0" w:type="dxa"/>
            <w:left w:w="108" w:type="dxa"/>
            <w:bottom w:w="0" w:type="dxa"/>
            <w:right w:w="108" w:type="dxa"/>
          </w:tblCellMar>
        </w:tblPrEx>
        <w:trPr>
          <w:trHeight w:val="300"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77A4F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44B2B2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2FD85AA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39.16</w:t>
            </w:r>
          </w:p>
        </w:tc>
        <w:tc>
          <w:tcPr>
            <w:tcW w:w="1116" w:type="dxa"/>
            <w:tcBorders>
              <w:top w:val="nil"/>
              <w:left w:val="nil"/>
              <w:bottom w:val="single" w:color="auto" w:sz="4" w:space="0"/>
              <w:right w:val="single" w:color="auto" w:sz="4" w:space="0"/>
            </w:tcBorders>
            <w:shd w:val="clear" w:color="auto" w:fill="auto"/>
            <w:noWrap/>
            <w:vAlign w:val="center"/>
          </w:tcPr>
          <w:p w14:paraId="4FF9A5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659C32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7AAAB539">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4CEB19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1342A8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68BDD33A">
            <w:pPr>
              <w:widowControl/>
              <w:jc w:val="righ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DF6F8A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2F9F8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58FD3B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72A0E738">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C2BA0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65943A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647AB7E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10.66</w:t>
            </w:r>
          </w:p>
        </w:tc>
        <w:tc>
          <w:tcPr>
            <w:tcW w:w="1217" w:type="dxa"/>
            <w:tcBorders>
              <w:top w:val="nil"/>
              <w:left w:val="nil"/>
              <w:bottom w:val="single" w:color="auto" w:sz="4" w:space="0"/>
              <w:right w:val="single" w:color="auto" w:sz="4" w:space="0"/>
            </w:tcBorders>
            <w:shd w:val="clear" w:color="auto" w:fill="auto"/>
            <w:noWrap/>
            <w:vAlign w:val="center"/>
          </w:tcPr>
          <w:p w14:paraId="4954B0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508BEA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7A84B102">
            <w:pPr>
              <w:widowControl/>
              <w:jc w:val="righ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01CC13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F6202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618C44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3C3D155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7.66</w:t>
            </w:r>
          </w:p>
        </w:tc>
        <w:tc>
          <w:tcPr>
            <w:tcW w:w="1116" w:type="dxa"/>
            <w:tcBorders>
              <w:top w:val="nil"/>
              <w:left w:val="nil"/>
              <w:bottom w:val="single" w:color="auto" w:sz="4" w:space="0"/>
              <w:right w:val="single" w:color="auto" w:sz="4" w:space="0"/>
            </w:tcBorders>
            <w:shd w:val="clear" w:color="auto" w:fill="auto"/>
            <w:noWrap/>
            <w:vAlign w:val="center"/>
          </w:tcPr>
          <w:p w14:paraId="0360F1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3C4069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4074CE32">
            <w:pPr>
              <w:widowControl/>
              <w:jc w:val="righ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78BA2C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6A66D5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39B83C07">
            <w:pPr>
              <w:widowControl/>
              <w:jc w:val="righ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5BC77A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99FAC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660691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7B7A4EC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21.81</w:t>
            </w:r>
          </w:p>
        </w:tc>
        <w:tc>
          <w:tcPr>
            <w:tcW w:w="1116" w:type="dxa"/>
            <w:tcBorders>
              <w:top w:val="nil"/>
              <w:left w:val="nil"/>
              <w:bottom w:val="single" w:color="auto" w:sz="4" w:space="0"/>
              <w:right w:val="single" w:color="auto" w:sz="4" w:space="0"/>
            </w:tcBorders>
            <w:shd w:val="clear" w:color="auto" w:fill="auto"/>
            <w:noWrap/>
            <w:vAlign w:val="center"/>
          </w:tcPr>
          <w:p w14:paraId="507F45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71D452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21E215E6">
            <w:pPr>
              <w:widowControl/>
              <w:jc w:val="righ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151B96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2587FC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27824417">
            <w:pPr>
              <w:widowControl/>
              <w:jc w:val="righ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52CAF6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C934E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1FBC37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531A404A">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57E77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54D35C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4D19490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0.12</w:t>
            </w:r>
          </w:p>
        </w:tc>
        <w:tc>
          <w:tcPr>
            <w:tcW w:w="1217" w:type="dxa"/>
            <w:tcBorders>
              <w:top w:val="nil"/>
              <w:left w:val="nil"/>
              <w:bottom w:val="single" w:color="auto" w:sz="4" w:space="0"/>
              <w:right w:val="single" w:color="auto" w:sz="4" w:space="0"/>
            </w:tcBorders>
            <w:shd w:val="clear" w:color="auto" w:fill="auto"/>
            <w:noWrap/>
            <w:vAlign w:val="center"/>
          </w:tcPr>
          <w:p w14:paraId="355F2E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45CFD9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08997C17">
            <w:pPr>
              <w:widowControl/>
              <w:jc w:val="righ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9A4E29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7AE05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356EA6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06C7A433">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20DB2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0E18B8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48FD4FD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0.13</w:t>
            </w:r>
          </w:p>
        </w:tc>
        <w:tc>
          <w:tcPr>
            <w:tcW w:w="1217" w:type="dxa"/>
            <w:tcBorders>
              <w:top w:val="nil"/>
              <w:left w:val="nil"/>
              <w:bottom w:val="single" w:color="auto" w:sz="4" w:space="0"/>
              <w:right w:val="single" w:color="auto" w:sz="4" w:space="0"/>
            </w:tcBorders>
            <w:shd w:val="clear" w:color="auto" w:fill="auto"/>
            <w:noWrap/>
            <w:vAlign w:val="center"/>
          </w:tcPr>
          <w:p w14:paraId="6D3F1F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27DAAF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758F23A7">
            <w:pPr>
              <w:widowControl/>
              <w:jc w:val="righ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84EC41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C82D8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5ECF48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45CBF49F">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33ABB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1AFA2A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29A68940">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eastAsia="zh-CN"/>
              </w:rPr>
              <w:t>0</w:t>
            </w:r>
            <w:r>
              <w:rPr>
                <w:rFonts w:hint="eastAsia" w:ascii="Times New Roman" w:hAnsi="Times New Roman" w:eastAsia="仿宋_GB2312" w:cs="Times New Roman"/>
                <w:color w:val="000000"/>
                <w:kern w:val="0"/>
                <w:szCs w:val="20"/>
                <w:lang w:val="en-US" w:eastAsia="zh-CN"/>
              </w:rPr>
              <w:t>.00</w:t>
            </w:r>
          </w:p>
        </w:tc>
        <w:tc>
          <w:tcPr>
            <w:tcW w:w="1217" w:type="dxa"/>
            <w:tcBorders>
              <w:top w:val="nil"/>
              <w:left w:val="nil"/>
              <w:bottom w:val="single" w:color="auto" w:sz="4" w:space="0"/>
              <w:right w:val="single" w:color="auto" w:sz="4" w:space="0"/>
            </w:tcBorders>
            <w:shd w:val="clear" w:color="auto" w:fill="auto"/>
            <w:noWrap/>
            <w:vAlign w:val="center"/>
          </w:tcPr>
          <w:p w14:paraId="794E12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063090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5E6F2D04">
            <w:pPr>
              <w:widowControl/>
              <w:jc w:val="righ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75CB419">
        <w:tblPrEx>
          <w:tblCellMar>
            <w:top w:w="0" w:type="dxa"/>
            <w:left w:w="108" w:type="dxa"/>
            <w:bottom w:w="0" w:type="dxa"/>
            <w:right w:w="108" w:type="dxa"/>
          </w:tblCellMar>
        </w:tblPrEx>
        <w:trPr>
          <w:trHeight w:val="307"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84F0A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3B871C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70404E8A">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D2620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4AE210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3A4A566D">
            <w:pPr>
              <w:widowControl/>
              <w:jc w:val="righ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6653DA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7FF37C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4A056B2B">
            <w:pPr>
              <w:widowControl/>
              <w:jc w:val="righ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06C454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FB150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4F5346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3ECF74A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21.04</w:t>
            </w:r>
          </w:p>
        </w:tc>
        <w:tc>
          <w:tcPr>
            <w:tcW w:w="1116" w:type="dxa"/>
            <w:tcBorders>
              <w:top w:val="nil"/>
              <w:left w:val="nil"/>
              <w:bottom w:val="single" w:color="auto" w:sz="4" w:space="0"/>
              <w:right w:val="single" w:color="auto" w:sz="4" w:space="0"/>
            </w:tcBorders>
            <w:shd w:val="clear" w:color="auto" w:fill="auto"/>
            <w:noWrap/>
            <w:vAlign w:val="center"/>
          </w:tcPr>
          <w:p w14:paraId="4D5E82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40AC67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18776A9E">
            <w:pPr>
              <w:widowControl/>
              <w:jc w:val="right"/>
              <w:rPr>
                <w:rFonts w:hint="default" w:ascii="Times New Roman" w:hAnsi="Times New Roman" w:eastAsia="仿宋_GB2312" w:cs="Times New Roman"/>
                <w:color w:val="000000"/>
                <w:kern w:val="0"/>
                <w:szCs w:val="20"/>
                <w:lang w:val="en-US" w:eastAsia="zh-CN"/>
              </w:rPr>
            </w:pPr>
            <w:r>
              <w:rPr>
                <w:rFonts w:hint="default" w:ascii="Times New Roman" w:hAnsi="Times New Roman" w:eastAsia="仿宋_GB2312" w:cs="Times New Roman"/>
                <w:color w:val="000000"/>
                <w:kern w:val="0"/>
                <w:szCs w:val="20"/>
                <w:lang w:val="en-US"/>
              </w:rPr>
              <w:t>　</w:t>
            </w:r>
            <w:r>
              <w:rPr>
                <w:rFonts w:hint="default"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6DE30B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228C6E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4047E1FE">
            <w:pPr>
              <w:widowControl/>
              <w:jc w:val="righ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46FE1F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FF050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725FED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374E0659">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4EAE7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49DA69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7D9C88D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4.68</w:t>
            </w:r>
          </w:p>
        </w:tc>
        <w:tc>
          <w:tcPr>
            <w:tcW w:w="1217" w:type="dxa"/>
            <w:tcBorders>
              <w:top w:val="nil"/>
              <w:left w:val="nil"/>
              <w:bottom w:val="single" w:color="auto" w:sz="4" w:space="0"/>
              <w:right w:val="single" w:color="auto" w:sz="4" w:space="0"/>
            </w:tcBorders>
            <w:shd w:val="clear" w:color="auto" w:fill="auto"/>
            <w:noWrap/>
            <w:vAlign w:val="center"/>
          </w:tcPr>
          <w:p w14:paraId="6EBDDB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764DC0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1BACF60D">
            <w:pPr>
              <w:widowControl/>
              <w:jc w:val="righ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8E60B5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2B5B4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56B3CB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53F96A65">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9D4E6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57FB84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09352E11">
            <w:pPr>
              <w:widowControl/>
              <w:jc w:val="righ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5CE982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260C4D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35BB62D4">
            <w:pPr>
              <w:widowControl/>
              <w:jc w:val="righ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513837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A34BB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5C99D9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6E7F0471">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54D11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16B406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4DBEF29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16.08</w:t>
            </w:r>
          </w:p>
        </w:tc>
        <w:tc>
          <w:tcPr>
            <w:tcW w:w="1217" w:type="dxa"/>
            <w:tcBorders>
              <w:top w:val="nil"/>
              <w:left w:val="nil"/>
              <w:bottom w:val="single" w:color="auto" w:sz="4" w:space="0"/>
              <w:right w:val="single" w:color="auto" w:sz="4" w:space="0"/>
            </w:tcBorders>
            <w:shd w:val="clear" w:color="auto" w:fill="auto"/>
            <w:noWrap/>
            <w:vAlign w:val="center"/>
          </w:tcPr>
          <w:p w14:paraId="53EDAB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0BCDA3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4E3D8F8C">
            <w:pPr>
              <w:widowControl/>
              <w:jc w:val="righ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07B32B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2D9B9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70DEDC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32D3813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0.77</w:t>
            </w:r>
          </w:p>
        </w:tc>
        <w:tc>
          <w:tcPr>
            <w:tcW w:w="1116" w:type="dxa"/>
            <w:tcBorders>
              <w:top w:val="nil"/>
              <w:left w:val="nil"/>
              <w:bottom w:val="single" w:color="auto" w:sz="4" w:space="0"/>
              <w:right w:val="single" w:color="auto" w:sz="4" w:space="0"/>
            </w:tcBorders>
            <w:shd w:val="clear" w:color="auto" w:fill="auto"/>
            <w:noWrap/>
            <w:vAlign w:val="center"/>
          </w:tcPr>
          <w:p w14:paraId="0F65AD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443EEA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53C87324">
            <w:pPr>
              <w:widowControl/>
              <w:jc w:val="righ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65F28E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3DA7C9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54EA80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089B8455">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70D86763">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7D42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34D9010A">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1613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60EB7458">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20AD6DA0">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BAF4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5979C615">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9EDE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1E5C45DD">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11C0B672">
            <w:pPr>
              <w:widowControl/>
              <w:jc w:val="righ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C57566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AD1A8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7AF2C7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17CD66F8">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F0054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6EAC7B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4A981FB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2.70</w:t>
            </w:r>
          </w:p>
        </w:tc>
        <w:tc>
          <w:tcPr>
            <w:tcW w:w="1217" w:type="dxa"/>
            <w:tcBorders>
              <w:top w:val="nil"/>
              <w:left w:val="nil"/>
              <w:bottom w:val="single" w:color="auto" w:sz="4" w:space="0"/>
              <w:right w:val="single" w:color="auto" w:sz="4" w:space="0"/>
            </w:tcBorders>
            <w:shd w:val="clear" w:color="auto" w:fill="auto"/>
            <w:noWrap/>
            <w:vAlign w:val="center"/>
          </w:tcPr>
          <w:p w14:paraId="5BC8AB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4026D5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1E7EAA0C">
            <w:pPr>
              <w:widowControl/>
              <w:jc w:val="righ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0531DF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632C5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3994A8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08FAD73E">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27C40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433D6A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169379E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3.74</w:t>
            </w:r>
          </w:p>
        </w:tc>
        <w:tc>
          <w:tcPr>
            <w:tcW w:w="1217" w:type="dxa"/>
            <w:tcBorders>
              <w:top w:val="nil"/>
              <w:left w:val="nil"/>
              <w:bottom w:val="single" w:color="auto" w:sz="4" w:space="0"/>
              <w:right w:val="single" w:color="auto" w:sz="4" w:space="0"/>
            </w:tcBorders>
            <w:shd w:val="clear" w:color="auto" w:fill="auto"/>
            <w:noWrap/>
            <w:vAlign w:val="center"/>
          </w:tcPr>
          <w:p w14:paraId="094163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64BB7B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0840481F">
            <w:pPr>
              <w:widowControl/>
              <w:jc w:val="righ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4E5DE2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98F87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46AB56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2306C04B">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C8644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65017F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121D0761">
            <w:pPr>
              <w:widowControl/>
              <w:jc w:val="righ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7B89C4E0">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53967290">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7FD2C3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B3EF84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ABF83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739C84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6F9843B3">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D7E13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35F6C2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32C4028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1.75</w:t>
            </w:r>
          </w:p>
        </w:tc>
        <w:tc>
          <w:tcPr>
            <w:tcW w:w="1217" w:type="dxa"/>
            <w:tcBorders>
              <w:top w:val="nil"/>
              <w:left w:val="nil"/>
              <w:bottom w:val="single" w:color="auto" w:sz="4" w:space="0"/>
              <w:right w:val="single" w:color="auto" w:sz="4" w:space="0"/>
            </w:tcBorders>
            <w:shd w:val="clear" w:color="auto" w:fill="auto"/>
            <w:noWrap/>
            <w:vAlign w:val="center"/>
          </w:tcPr>
          <w:p w14:paraId="26900F96">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7EFA44E4">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606B29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441E342">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ED77F4E">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56272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504.29</w:t>
            </w:r>
          </w:p>
        </w:tc>
        <w:tc>
          <w:tcPr>
            <w:tcW w:w="880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DDA336B">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7FBD03">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52.45</w:t>
            </w:r>
          </w:p>
        </w:tc>
      </w:tr>
    </w:tbl>
    <w:p w14:paraId="195155E9">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21E6AB64">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158F714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35285C97">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107A742D">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仿宋_GB2312" w:hAnsi="仿宋" w:eastAsia="仿宋_GB2312"/>
          <w:sz w:val="20"/>
          <w:szCs w:val="20"/>
        </w:rPr>
        <w:t>怀化市大中坡电视转播台</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0"/>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2E0FCA40">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F01B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8"/>
                <w:rFonts w:hint="default" w:ascii="Times New Roman" w:hAnsi="Times New Roman" w:eastAsia="仿宋_GB2312" w:cs="Times New Roman"/>
                <w:b/>
                <w:bCs/>
                <w:lang w:bidi="ar"/>
              </w:rPr>
              <w:t xml:space="preserve">   </w:t>
            </w:r>
            <w:r>
              <w:rPr>
                <w:rStyle w:val="19"/>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E72BF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EBD20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91C4B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D484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459EE228">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DD47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8FFF4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18F50">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563DD">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CE8C6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4790F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F278B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24DA3">
            <w:pPr>
              <w:widowControl/>
              <w:jc w:val="center"/>
              <w:rPr>
                <w:rFonts w:ascii="Times New Roman" w:hAnsi="Times New Roman" w:eastAsia="仿宋_GB2312" w:cs="Times New Roman"/>
                <w:color w:val="000000"/>
                <w:sz w:val="24"/>
                <w:szCs w:val="24"/>
              </w:rPr>
            </w:pPr>
          </w:p>
        </w:tc>
      </w:tr>
      <w:tr w14:paraId="526A0CA9">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2047D">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FCCC4">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B6B75">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7C400">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FEB33">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365B8">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EB76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4A1F5">
            <w:pPr>
              <w:jc w:val="center"/>
              <w:rPr>
                <w:rFonts w:ascii="Times New Roman" w:hAnsi="Times New Roman" w:eastAsia="仿宋_GB2312" w:cs="Times New Roman"/>
                <w:color w:val="000000"/>
                <w:sz w:val="24"/>
                <w:szCs w:val="24"/>
              </w:rPr>
            </w:pPr>
          </w:p>
        </w:tc>
      </w:tr>
      <w:tr w14:paraId="1246495E">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46F8B">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82199">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31D11">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6D56F">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4E576">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9EFB9">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3E520">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3BCB8">
            <w:pPr>
              <w:jc w:val="center"/>
              <w:rPr>
                <w:rFonts w:ascii="Times New Roman" w:hAnsi="Times New Roman" w:eastAsia="仿宋_GB2312" w:cs="Times New Roman"/>
                <w:color w:val="000000"/>
                <w:sz w:val="24"/>
                <w:szCs w:val="24"/>
              </w:rPr>
            </w:pPr>
          </w:p>
        </w:tc>
      </w:tr>
      <w:tr w14:paraId="2EF40438">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43BF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02C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15A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00D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0B2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167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208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2B4BD6AA">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C046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4D3B">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7741">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84B5">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2E1A">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9EFD">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8B55">
            <w:pPr>
              <w:jc w:val="center"/>
              <w:rPr>
                <w:rFonts w:ascii="Times New Roman" w:hAnsi="Times New Roman" w:eastAsia="仿宋_GB2312" w:cs="Times New Roman"/>
                <w:color w:val="000000"/>
                <w:sz w:val="24"/>
                <w:szCs w:val="24"/>
              </w:rPr>
            </w:pPr>
          </w:p>
        </w:tc>
      </w:tr>
      <w:tr w14:paraId="2229EBE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3FC0">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39E7">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0DC0">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ACC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57AA">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9BE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C75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1421">
            <w:pPr>
              <w:rPr>
                <w:rFonts w:ascii="Times New Roman" w:hAnsi="Times New Roman" w:eastAsia="仿宋_GB2312" w:cs="Times New Roman"/>
                <w:color w:val="000000"/>
                <w:sz w:val="24"/>
                <w:szCs w:val="24"/>
              </w:rPr>
            </w:pPr>
          </w:p>
        </w:tc>
      </w:tr>
      <w:tr w14:paraId="1817403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0C5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31A4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CA4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4E4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85B2">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164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984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B74B">
            <w:pPr>
              <w:rPr>
                <w:rFonts w:ascii="Times New Roman" w:hAnsi="Times New Roman" w:eastAsia="仿宋_GB2312" w:cs="Times New Roman"/>
                <w:color w:val="000000"/>
                <w:sz w:val="24"/>
                <w:szCs w:val="24"/>
              </w:rPr>
            </w:pPr>
          </w:p>
        </w:tc>
      </w:tr>
      <w:tr w14:paraId="5AD06BC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12B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6A12">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FCC1">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AC7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47F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09B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67A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0891">
            <w:pPr>
              <w:rPr>
                <w:rFonts w:ascii="Times New Roman" w:hAnsi="Times New Roman" w:eastAsia="仿宋_GB2312" w:cs="Times New Roman"/>
                <w:color w:val="000000"/>
                <w:sz w:val="24"/>
                <w:szCs w:val="24"/>
              </w:rPr>
            </w:pPr>
          </w:p>
        </w:tc>
      </w:tr>
      <w:tr w14:paraId="446BE13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51E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0A1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4ED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EA9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95F2">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86E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3F5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7BA2">
            <w:pPr>
              <w:rPr>
                <w:rFonts w:ascii="Times New Roman" w:hAnsi="Times New Roman" w:eastAsia="仿宋_GB2312" w:cs="Times New Roman"/>
                <w:color w:val="000000"/>
                <w:sz w:val="24"/>
                <w:szCs w:val="24"/>
              </w:rPr>
            </w:pPr>
          </w:p>
        </w:tc>
      </w:tr>
      <w:tr w14:paraId="1719C49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B96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775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538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505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D46F">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2DB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4B5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14CE">
            <w:pPr>
              <w:rPr>
                <w:rFonts w:ascii="Times New Roman" w:hAnsi="Times New Roman" w:eastAsia="仿宋_GB2312" w:cs="Times New Roman"/>
                <w:color w:val="000000"/>
                <w:sz w:val="24"/>
                <w:szCs w:val="24"/>
              </w:rPr>
            </w:pPr>
          </w:p>
        </w:tc>
      </w:tr>
      <w:tr w14:paraId="41D3E37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CFB5">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54C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C16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D7D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7A9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2A7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C9C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C851">
            <w:pPr>
              <w:rPr>
                <w:rFonts w:ascii="Times New Roman" w:hAnsi="Times New Roman" w:eastAsia="仿宋_GB2312" w:cs="Times New Roman"/>
                <w:color w:val="000000"/>
                <w:sz w:val="24"/>
                <w:szCs w:val="24"/>
              </w:rPr>
            </w:pPr>
          </w:p>
        </w:tc>
      </w:tr>
    </w:tbl>
    <w:p w14:paraId="52D8493F">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643856F5">
      <w:pPr>
        <w:widowControl/>
        <w:jc w:val="left"/>
        <w:textAlignment w:val="center"/>
        <w:rPr>
          <w:rFonts w:ascii="Times New Roman" w:hAnsi="Times New Roman" w:eastAsia="仿宋_GB2312" w:cs="Times New Roman"/>
          <w:color w:val="000000"/>
          <w:kern w:val="0"/>
          <w:sz w:val="24"/>
          <w:szCs w:val="24"/>
          <w:lang w:bidi="ar"/>
        </w:rPr>
      </w:pPr>
    </w:p>
    <w:p w14:paraId="0DDE44A5">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517A96B5">
      <w:pPr>
        <w:widowControl/>
        <w:jc w:val="center"/>
        <w:rPr>
          <w:rFonts w:ascii="Times New Roman" w:hAnsi="Times New Roman" w:eastAsia="方正小标宋_GBK" w:cs="Times New Roman"/>
          <w:color w:val="000000"/>
          <w:kern w:val="0"/>
          <w:sz w:val="36"/>
          <w:szCs w:val="36"/>
        </w:rPr>
      </w:pPr>
    </w:p>
    <w:p w14:paraId="4315BC3F">
      <w:pPr>
        <w:widowControl/>
        <w:spacing w:line="400" w:lineRule="exact"/>
        <w:textAlignment w:val="center"/>
        <w:rPr>
          <w:rFonts w:ascii="Times New Roman" w:hAnsi="Times New Roman" w:eastAsia="黑体" w:cs="Times New Roman"/>
          <w:color w:val="000000"/>
          <w:kern w:val="0"/>
          <w:sz w:val="36"/>
          <w:szCs w:val="36"/>
          <w:lang w:bidi="ar"/>
        </w:rPr>
      </w:pPr>
    </w:p>
    <w:p w14:paraId="2644B425">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692C3E7A">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21EC5003">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仿宋_GB2312" w:hAnsi="仿宋" w:eastAsia="仿宋_GB2312"/>
          <w:sz w:val="20"/>
          <w:szCs w:val="20"/>
        </w:rPr>
        <w:t>怀化市大中坡电视转播台</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0"/>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3E5B71C7">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B809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0"/>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41B9C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15CC1292">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70E41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D7979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7E4F2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45D4F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2DDB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290461C7">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484B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C22D3">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641FB">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10DF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D6418">
            <w:pPr>
              <w:jc w:val="center"/>
              <w:rPr>
                <w:rFonts w:ascii="Times New Roman" w:hAnsi="Times New Roman" w:eastAsia="仿宋_GB2312" w:cs="Times New Roman"/>
                <w:color w:val="000000"/>
                <w:sz w:val="24"/>
                <w:szCs w:val="24"/>
              </w:rPr>
            </w:pPr>
          </w:p>
        </w:tc>
      </w:tr>
      <w:tr w14:paraId="3522EAEC">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935D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F122D">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551A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AB22B">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22A92">
            <w:pPr>
              <w:jc w:val="center"/>
              <w:rPr>
                <w:rFonts w:ascii="Times New Roman" w:hAnsi="Times New Roman" w:eastAsia="仿宋_GB2312" w:cs="Times New Roman"/>
                <w:color w:val="000000"/>
                <w:sz w:val="24"/>
                <w:szCs w:val="24"/>
              </w:rPr>
            </w:pPr>
          </w:p>
        </w:tc>
      </w:tr>
      <w:tr w14:paraId="1F3EBBF5">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BE336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1996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F8D0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1623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3C067F66">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72A22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12666">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FEEDF">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94080">
            <w:pPr>
              <w:jc w:val="center"/>
              <w:rPr>
                <w:rFonts w:ascii="Times New Roman" w:hAnsi="Times New Roman" w:eastAsia="仿宋_GB2312" w:cs="Times New Roman"/>
                <w:color w:val="000000"/>
                <w:sz w:val="24"/>
                <w:szCs w:val="24"/>
              </w:rPr>
            </w:pPr>
          </w:p>
        </w:tc>
      </w:tr>
      <w:tr w14:paraId="1D05296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9F8D2">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E6320">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09C6F">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9E570">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6BE36">
            <w:pPr>
              <w:rPr>
                <w:rFonts w:ascii="Times New Roman" w:hAnsi="Times New Roman" w:eastAsia="仿宋_GB2312" w:cs="Times New Roman"/>
                <w:color w:val="000000"/>
                <w:sz w:val="24"/>
                <w:szCs w:val="24"/>
              </w:rPr>
            </w:pPr>
          </w:p>
        </w:tc>
      </w:tr>
      <w:tr w14:paraId="3DD782A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984F1">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7C84F">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8C142">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41998">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0B674">
            <w:pPr>
              <w:rPr>
                <w:rFonts w:ascii="Times New Roman" w:hAnsi="Times New Roman" w:eastAsia="仿宋_GB2312" w:cs="Times New Roman"/>
                <w:color w:val="000000"/>
                <w:sz w:val="24"/>
                <w:szCs w:val="24"/>
              </w:rPr>
            </w:pPr>
          </w:p>
        </w:tc>
      </w:tr>
      <w:tr w14:paraId="23C750F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0EFAE">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CF361">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6FC4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44DF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5DBDD">
            <w:pPr>
              <w:rPr>
                <w:rFonts w:ascii="Times New Roman" w:hAnsi="Times New Roman" w:eastAsia="宋体" w:cs="Times New Roman"/>
                <w:color w:val="000000"/>
                <w:sz w:val="24"/>
                <w:szCs w:val="24"/>
              </w:rPr>
            </w:pPr>
          </w:p>
        </w:tc>
      </w:tr>
      <w:tr w14:paraId="60422FB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9224E">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C6651">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BCDE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9CAC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1A32E">
            <w:pPr>
              <w:rPr>
                <w:rFonts w:ascii="Times New Roman" w:hAnsi="Times New Roman" w:eastAsia="宋体" w:cs="Times New Roman"/>
                <w:color w:val="000000"/>
                <w:sz w:val="24"/>
                <w:szCs w:val="24"/>
              </w:rPr>
            </w:pPr>
          </w:p>
        </w:tc>
      </w:tr>
      <w:tr w14:paraId="7CA1F48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BB37B">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7C21E">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8386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0A93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B0E92">
            <w:pPr>
              <w:rPr>
                <w:rFonts w:ascii="Times New Roman" w:hAnsi="Times New Roman" w:eastAsia="宋体" w:cs="Times New Roman"/>
                <w:color w:val="000000"/>
                <w:sz w:val="24"/>
                <w:szCs w:val="24"/>
              </w:rPr>
            </w:pPr>
          </w:p>
        </w:tc>
      </w:tr>
      <w:tr w14:paraId="5233E0F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4F7FC">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A6013">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4BCF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26E3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C1170">
            <w:pPr>
              <w:rPr>
                <w:rFonts w:ascii="Times New Roman" w:hAnsi="Times New Roman" w:eastAsia="宋体" w:cs="Times New Roman"/>
                <w:color w:val="000000"/>
                <w:sz w:val="24"/>
                <w:szCs w:val="24"/>
              </w:rPr>
            </w:pPr>
          </w:p>
        </w:tc>
      </w:tr>
    </w:tbl>
    <w:p w14:paraId="63F2F393">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0EF26E7D">
      <w:pPr>
        <w:widowControl/>
        <w:jc w:val="left"/>
        <w:textAlignment w:val="center"/>
        <w:rPr>
          <w:rFonts w:ascii="Times New Roman" w:hAnsi="Times New Roman" w:eastAsia="宋体" w:cs="Times New Roman"/>
          <w:color w:val="000000"/>
          <w:kern w:val="0"/>
          <w:sz w:val="24"/>
          <w:szCs w:val="24"/>
          <w:lang w:bidi="ar"/>
        </w:rPr>
      </w:pPr>
    </w:p>
    <w:p w14:paraId="3B208685">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700C23EC">
      <w:pPr>
        <w:widowControl/>
        <w:jc w:val="center"/>
        <w:rPr>
          <w:rFonts w:ascii="Times New Roman" w:hAnsi="Times New Roman" w:eastAsia="方正小标宋_GBK" w:cs="Times New Roman"/>
          <w:color w:val="000000"/>
          <w:kern w:val="0"/>
          <w:sz w:val="36"/>
          <w:szCs w:val="36"/>
        </w:rPr>
      </w:pPr>
    </w:p>
    <w:p w14:paraId="7BD01C61">
      <w:pPr>
        <w:pStyle w:val="8"/>
        <w:spacing w:line="400" w:lineRule="exact"/>
        <w:rPr>
          <w:rFonts w:ascii="Times New Roman" w:hAnsi="Times New Roman" w:eastAsia="华文中宋" w:cs="Times New Roman"/>
          <w:color w:val="000000"/>
          <w:kern w:val="0"/>
          <w:sz w:val="32"/>
          <w:szCs w:val="32"/>
          <w:lang w:bidi="ar"/>
        </w:rPr>
      </w:pPr>
    </w:p>
    <w:p w14:paraId="2213213E">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0B0E3899">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64D580B5">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仿宋_GB2312" w:hAnsi="仿宋" w:eastAsia="仿宋_GB2312"/>
          <w:sz w:val="20"/>
          <w:szCs w:val="20"/>
        </w:rPr>
        <w:t>怀化市大中坡电视转播台</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0"/>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5990344C">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FFBFB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47CF3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3D8F6586">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20268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9C9DC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5D452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90F62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A919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B2E71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55A82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1BDE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6A86633F">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48BA5">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0E689">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D140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2846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6A61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A35C6">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45A3B">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D4715">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29A3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CC52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C63F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E18FC">
            <w:pPr>
              <w:jc w:val="center"/>
              <w:rPr>
                <w:rFonts w:ascii="Times New Roman" w:hAnsi="Times New Roman" w:eastAsia="仿宋_GB2312" w:cs="Times New Roman"/>
                <w:color w:val="000000"/>
                <w:sz w:val="22"/>
              </w:rPr>
            </w:pPr>
          </w:p>
        </w:tc>
      </w:tr>
      <w:tr w14:paraId="4633F6B0">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C118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2B15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30C1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97DA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8E75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7877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B6D6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4135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EBDF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4CE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5D9A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2C25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4C55B4CF">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58FC4">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2.83</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D0E16">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D2289">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2.83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62B25">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9F764">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2.70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C7F25">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0.13</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8512C">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2.83</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D0D44">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EADAF">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2.70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7EE99">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0AEA1">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2.70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62AC5">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0.13</w:t>
            </w:r>
          </w:p>
        </w:tc>
      </w:tr>
    </w:tbl>
    <w:p w14:paraId="019C7FE0">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53F3D9B4">
      <w:pPr>
        <w:autoSpaceDE w:val="0"/>
        <w:autoSpaceDN w:val="0"/>
        <w:adjustRightInd w:val="0"/>
        <w:ind w:left="315" w:leftChars="150"/>
        <w:jc w:val="left"/>
        <w:rPr>
          <w:rFonts w:ascii="Times New Roman" w:hAnsi="Times New Roman" w:eastAsia="宋体" w:cs="Times New Roman"/>
          <w:kern w:val="0"/>
          <w:sz w:val="24"/>
          <w:szCs w:val="24"/>
        </w:rPr>
      </w:pPr>
    </w:p>
    <w:p w14:paraId="79231557">
      <w:pPr>
        <w:autoSpaceDE w:val="0"/>
        <w:autoSpaceDN w:val="0"/>
        <w:adjustRightInd w:val="0"/>
        <w:ind w:left="315" w:leftChars="150"/>
        <w:jc w:val="left"/>
        <w:rPr>
          <w:rFonts w:ascii="Times New Roman" w:hAnsi="Times New Roman" w:eastAsia="宋体" w:cs="Times New Roman"/>
          <w:kern w:val="0"/>
          <w:sz w:val="24"/>
          <w:szCs w:val="24"/>
        </w:rPr>
      </w:pPr>
    </w:p>
    <w:p w14:paraId="45A2D45B">
      <w:pPr>
        <w:autoSpaceDE w:val="0"/>
        <w:autoSpaceDN w:val="0"/>
        <w:adjustRightInd w:val="0"/>
        <w:ind w:left="315" w:leftChars="150"/>
        <w:jc w:val="left"/>
        <w:rPr>
          <w:rFonts w:ascii="Times New Roman" w:hAnsi="Times New Roman" w:eastAsia="宋体" w:cs="Times New Roman"/>
          <w:kern w:val="0"/>
          <w:sz w:val="24"/>
          <w:szCs w:val="24"/>
        </w:rPr>
      </w:pPr>
    </w:p>
    <w:p w14:paraId="5BA87567">
      <w:pPr>
        <w:autoSpaceDE w:val="0"/>
        <w:autoSpaceDN w:val="0"/>
        <w:adjustRightInd w:val="0"/>
        <w:ind w:left="315" w:leftChars="150"/>
        <w:jc w:val="left"/>
        <w:rPr>
          <w:rFonts w:ascii="Times New Roman" w:hAnsi="Times New Roman" w:eastAsia="宋体" w:cs="Times New Roman"/>
          <w:kern w:val="0"/>
          <w:sz w:val="24"/>
          <w:szCs w:val="24"/>
        </w:rPr>
      </w:pPr>
    </w:p>
    <w:p w14:paraId="5FE0E256">
      <w:pPr>
        <w:autoSpaceDE w:val="0"/>
        <w:autoSpaceDN w:val="0"/>
        <w:adjustRightInd w:val="0"/>
        <w:ind w:left="315" w:leftChars="150"/>
        <w:jc w:val="left"/>
        <w:rPr>
          <w:rFonts w:ascii="Times New Roman" w:hAnsi="Times New Roman" w:eastAsia="宋体" w:cs="Times New Roman"/>
          <w:kern w:val="0"/>
          <w:sz w:val="24"/>
          <w:szCs w:val="24"/>
        </w:rPr>
      </w:pPr>
    </w:p>
    <w:p w14:paraId="23F5B1C4">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46E67EB3">
      <w:pPr>
        <w:pStyle w:val="15"/>
        <w:rPr>
          <w:rFonts w:ascii="Times New Roman" w:hAnsi="Times New Roman" w:cs="Times New Roman"/>
          <w:sz w:val="72"/>
          <w:szCs w:val="72"/>
        </w:rPr>
      </w:pPr>
    </w:p>
    <w:p w14:paraId="23FC5B7E">
      <w:pPr>
        <w:pStyle w:val="15"/>
        <w:rPr>
          <w:rFonts w:ascii="Times New Roman" w:hAnsi="Times New Roman" w:cs="Times New Roman"/>
          <w:sz w:val="72"/>
          <w:szCs w:val="72"/>
        </w:rPr>
      </w:pPr>
    </w:p>
    <w:p w14:paraId="12FF1022">
      <w:pPr>
        <w:pStyle w:val="15"/>
        <w:rPr>
          <w:rFonts w:ascii="Times New Roman" w:hAnsi="Times New Roman" w:cs="Times New Roman"/>
          <w:sz w:val="72"/>
          <w:szCs w:val="72"/>
        </w:rPr>
      </w:pPr>
    </w:p>
    <w:p w14:paraId="3EC5B17C">
      <w:pPr>
        <w:pStyle w:val="15"/>
        <w:jc w:val="center"/>
        <w:rPr>
          <w:rFonts w:ascii="Times New Roman" w:hAnsi="Times New Roman" w:cs="Times New Roman"/>
          <w:sz w:val="72"/>
          <w:szCs w:val="72"/>
        </w:rPr>
      </w:pPr>
    </w:p>
    <w:p w14:paraId="554206D4">
      <w:pPr>
        <w:pStyle w:val="15"/>
        <w:jc w:val="center"/>
        <w:rPr>
          <w:rFonts w:ascii="Times New Roman" w:hAnsi="Times New Roman" w:eastAsia="方正小标宋_GBK" w:cs="Times New Roman"/>
          <w:sz w:val="72"/>
          <w:szCs w:val="72"/>
        </w:rPr>
      </w:pPr>
    </w:p>
    <w:p w14:paraId="4DA9F9E0">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5BAA182D">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184636A6">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5838C632">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759F1834">
      <w:pPr>
        <w:pStyle w:val="15"/>
        <w:overflowPunct w:val="0"/>
        <w:autoSpaceDE/>
        <w:autoSpaceDN/>
        <w:spacing w:line="600" w:lineRule="exact"/>
        <w:ind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sz w:val="32"/>
          <w:szCs w:val="32"/>
        </w:rPr>
        <w:t>2024年度收、支总计</w:t>
      </w:r>
      <w:r>
        <w:rPr>
          <w:rFonts w:hint="eastAsia" w:ascii="仿宋" w:hAnsi="仿宋" w:eastAsia="仿宋" w:cs="仿宋"/>
          <w:sz w:val="32"/>
          <w:szCs w:val="32"/>
          <w:lang w:val="en-US" w:eastAsia="zh-CN"/>
        </w:rPr>
        <w:t>722.03</w:t>
      </w:r>
      <w:r>
        <w:rPr>
          <w:rFonts w:hint="eastAsia" w:ascii="仿宋" w:hAnsi="仿宋" w:eastAsia="仿宋" w:cs="仿宋"/>
          <w:sz w:val="32"/>
          <w:szCs w:val="32"/>
        </w:rPr>
        <w:t>万元。与上年相比，增加</w:t>
      </w:r>
      <w:r>
        <w:rPr>
          <w:rFonts w:hint="eastAsia" w:ascii="仿宋" w:hAnsi="仿宋" w:eastAsia="仿宋" w:cs="仿宋"/>
          <w:sz w:val="32"/>
          <w:szCs w:val="32"/>
          <w:lang w:val="en-US" w:eastAsia="zh-CN"/>
        </w:rPr>
        <w:t>101.91</w:t>
      </w:r>
      <w:r>
        <w:rPr>
          <w:rFonts w:hint="eastAsia" w:ascii="仿宋" w:hAnsi="仿宋" w:eastAsia="仿宋" w:cs="仿宋"/>
          <w:sz w:val="32"/>
          <w:szCs w:val="32"/>
        </w:rPr>
        <w:t>万元，增长</w:t>
      </w:r>
      <w:r>
        <w:rPr>
          <w:rFonts w:hint="eastAsia" w:ascii="仿宋" w:hAnsi="仿宋" w:eastAsia="仿宋" w:cs="仿宋"/>
          <w:sz w:val="32"/>
          <w:szCs w:val="32"/>
          <w:lang w:val="en-US" w:eastAsia="zh-CN"/>
        </w:rPr>
        <w:t>16.43</w:t>
      </w:r>
      <w:r>
        <w:rPr>
          <w:rFonts w:hint="eastAsia" w:ascii="仿宋" w:hAnsi="仿宋" w:eastAsia="仿宋" w:cs="仿宋"/>
          <w:sz w:val="32"/>
          <w:szCs w:val="32"/>
        </w:rPr>
        <w:t>%，</w:t>
      </w:r>
      <w:r>
        <w:rPr>
          <w:rFonts w:hint="eastAsia" w:ascii="仿宋" w:hAnsi="仿宋" w:eastAsia="仿宋" w:cs="仿宋"/>
          <w:color w:val="auto"/>
          <w:sz w:val="32"/>
          <w:szCs w:val="32"/>
        </w:rPr>
        <w:t>主要</w:t>
      </w:r>
      <w:r>
        <w:rPr>
          <w:rFonts w:hint="eastAsia" w:ascii="仿宋" w:hAnsi="仿宋" w:eastAsia="仿宋" w:cs="仿宋"/>
          <w:color w:val="auto"/>
          <w:sz w:val="32"/>
          <w:szCs w:val="32"/>
          <w:lang w:val="en-US" w:eastAsia="zh-CN"/>
        </w:rPr>
        <w:t>原因2024年度向上级争取专项资金以及正常增资调资所致。</w:t>
      </w:r>
    </w:p>
    <w:p w14:paraId="54D4FB20">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54451208">
      <w:pPr>
        <w:pStyle w:val="15"/>
        <w:overflowPunct w:val="0"/>
        <w:autoSpaceDE/>
        <w:autoSpaceDN/>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2024年度收入合计</w:t>
      </w:r>
      <w:r>
        <w:rPr>
          <w:rFonts w:hint="eastAsia" w:ascii="仿宋" w:hAnsi="仿宋" w:eastAsia="仿宋" w:cs="仿宋"/>
          <w:sz w:val="32"/>
          <w:szCs w:val="32"/>
          <w:lang w:val="en-US" w:eastAsia="zh-CN"/>
        </w:rPr>
        <w:t>722.03</w:t>
      </w:r>
      <w:r>
        <w:rPr>
          <w:rFonts w:hint="eastAsia" w:ascii="仿宋" w:hAnsi="仿宋" w:eastAsia="仿宋" w:cs="仿宋"/>
          <w:sz w:val="32"/>
          <w:szCs w:val="32"/>
        </w:rPr>
        <w:t>万元，其中：财政拨款收入</w:t>
      </w:r>
      <w:r>
        <w:rPr>
          <w:rFonts w:hint="eastAsia" w:ascii="仿宋" w:hAnsi="仿宋" w:eastAsia="仿宋" w:cs="仿宋"/>
          <w:sz w:val="32"/>
          <w:szCs w:val="32"/>
          <w:lang w:val="en-US" w:eastAsia="zh-CN"/>
        </w:rPr>
        <w:t>693.55</w:t>
      </w:r>
      <w:r>
        <w:rPr>
          <w:rFonts w:hint="eastAsia" w:ascii="仿宋" w:hAnsi="仿宋" w:eastAsia="仿宋" w:cs="仿宋"/>
          <w:sz w:val="32"/>
          <w:szCs w:val="32"/>
        </w:rPr>
        <w:t>万元，占</w:t>
      </w:r>
      <w:r>
        <w:rPr>
          <w:rFonts w:hint="eastAsia" w:ascii="仿宋" w:hAnsi="仿宋" w:eastAsia="仿宋" w:cs="仿宋"/>
          <w:sz w:val="32"/>
          <w:szCs w:val="32"/>
          <w:lang w:val="en-US" w:eastAsia="zh-CN"/>
        </w:rPr>
        <w:t>96.06</w:t>
      </w:r>
      <w:r>
        <w:rPr>
          <w:rFonts w:hint="eastAsia" w:ascii="仿宋" w:hAnsi="仿宋" w:eastAsia="仿宋" w:cs="仿宋"/>
          <w:sz w:val="32"/>
          <w:szCs w:val="32"/>
        </w:rPr>
        <w:t>%；上级补助收入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%；事业收入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%；经营收入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%；附属单位上缴收入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%；其他收入</w:t>
      </w:r>
      <w:r>
        <w:rPr>
          <w:rFonts w:hint="eastAsia" w:ascii="仿宋" w:hAnsi="仿宋" w:eastAsia="仿宋" w:cs="仿宋"/>
          <w:sz w:val="32"/>
          <w:szCs w:val="32"/>
          <w:lang w:val="en-US" w:eastAsia="zh-CN"/>
        </w:rPr>
        <w:t>28.48</w:t>
      </w:r>
      <w:r>
        <w:rPr>
          <w:rFonts w:hint="eastAsia" w:ascii="仿宋" w:hAnsi="仿宋" w:eastAsia="仿宋" w:cs="仿宋"/>
          <w:sz w:val="32"/>
          <w:szCs w:val="32"/>
        </w:rPr>
        <w:t>万元，占</w:t>
      </w:r>
      <w:r>
        <w:rPr>
          <w:rFonts w:hint="eastAsia" w:ascii="仿宋" w:hAnsi="仿宋" w:eastAsia="仿宋" w:cs="仿宋"/>
          <w:sz w:val="32"/>
          <w:szCs w:val="32"/>
          <w:lang w:val="en-US" w:eastAsia="zh-CN"/>
        </w:rPr>
        <w:t>3.94</w:t>
      </w:r>
      <w:r>
        <w:rPr>
          <w:rFonts w:hint="eastAsia" w:ascii="仿宋" w:hAnsi="仿宋" w:eastAsia="仿宋" w:cs="仿宋"/>
          <w:sz w:val="32"/>
          <w:szCs w:val="32"/>
        </w:rPr>
        <w:t>%。</w:t>
      </w:r>
    </w:p>
    <w:p w14:paraId="0B4483DB">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355E8A89">
      <w:pPr>
        <w:pStyle w:val="15"/>
        <w:overflowPunct w:val="0"/>
        <w:autoSpaceDE/>
        <w:autoSpaceDN/>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2024年度支出合计</w:t>
      </w:r>
      <w:r>
        <w:rPr>
          <w:rFonts w:hint="eastAsia" w:ascii="仿宋" w:hAnsi="仿宋" w:eastAsia="仿宋" w:cs="仿宋"/>
          <w:sz w:val="32"/>
          <w:szCs w:val="32"/>
          <w:lang w:val="en-US" w:eastAsia="zh-CN"/>
        </w:rPr>
        <w:t>722.03</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585.23</w:t>
      </w:r>
      <w:r>
        <w:rPr>
          <w:rFonts w:hint="eastAsia" w:ascii="仿宋" w:hAnsi="仿宋" w:eastAsia="仿宋" w:cs="仿宋"/>
          <w:sz w:val="32"/>
          <w:szCs w:val="32"/>
        </w:rPr>
        <w:t>万元，占</w:t>
      </w:r>
      <w:r>
        <w:rPr>
          <w:rFonts w:hint="eastAsia" w:ascii="仿宋" w:hAnsi="仿宋" w:eastAsia="仿宋" w:cs="仿宋"/>
          <w:sz w:val="32"/>
          <w:szCs w:val="32"/>
          <w:lang w:val="en-US" w:eastAsia="zh-CN"/>
        </w:rPr>
        <w:t>81.05</w:t>
      </w:r>
      <w:r>
        <w:rPr>
          <w:rFonts w:hint="eastAsia" w:ascii="仿宋" w:hAnsi="仿宋" w:eastAsia="仿宋" w:cs="仿宋"/>
          <w:sz w:val="32"/>
          <w:szCs w:val="32"/>
        </w:rPr>
        <w:t>%；项目支出</w:t>
      </w:r>
      <w:r>
        <w:rPr>
          <w:rFonts w:hint="eastAsia" w:ascii="仿宋" w:hAnsi="仿宋" w:eastAsia="仿宋" w:cs="仿宋"/>
          <w:sz w:val="32"/>
          <w:szCs w:val="32"/>
          <w:lang w:val="en-US" w:eastAsia="zh-CN"/>
        </w:rPr>
        <w:t>136.80</w:t>
      </w:r>
      <w:r>
        <w:rPr>
          <w:rFonts w:hint="eastAsia" w:ascii="仿宋" w:hAnsi="仿宋" w:eastAsia="仿宋" w:cs="仿宋"/>
          <w:sz w:val="32"/>
          <w:szCs w:val="32"/>
        </w:rPr>
        <w:t>万元，占</w:t>
      </w:r>
      <w:r>
        <w:rPr>
          <w:rFonts w:hint="eastAsia" w:ascii="仿宋" w:hAnsi="仿宋" w:eastAsia="仿宋" w:cs="仿宋"/>
          <w:sz w:val="32"/>
          <w:szCs w:val="32"/>
          <w:lang w:val="en-US" w:eastAsia="zh-CN"/>
        </w:rPr>
        <w:t>18.85</w:t>
      </w:r>
      <w:r>
        <w:rPr>
          <w:rFonts w:hint="eastAsia" w:ascii="仿宋" w:hAnsi="仿宋" w:eastAsia="仿宋" w:cs="仿宋"/>
          <w:sz w:val="32"/>
          <w:szCs w:val="32"/>
        </w:rPr>
        <w:t>%；上缴上级支出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%；经营支出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%；对附属单位补助支出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w:t>
      </w:r>
    </w:p>
    <w:p w14:paraId="7EC6BCF8">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460B8129">
      <w:pPr>
        <w:pStyle w:val="15"/>
        <w:overflowPunct w:val="0"/>
        <w:autoSpaceDE/>
        <w:autoSpaceDN/>
        <w:spacing w:line="600" w:lineRule="exact"/>
        <w:ind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sz w:val="32"/>
          <w:szCs w:val="32"/>
        </w:rPr>
        <w:t>2024年度财政拨款收、支总计</w:t>
      </w:r>
      <w:r>
        <w:rPr>
          <w:rFonts w:hint="eastAsia" w:ascii="仿宋" w:hAnsi="仿宋" w:eastAsia="仿宋" w:cs="仿宋"/>
          <w:sz w:val="32"/>
          <w:szCs w:val="32"/>
          <w:lang w:val="en-US" w:eastAsia="zh-CN"/>
        </w:rPr>
        <w:t>693.55</w:t>
      </w:r>
      <w:r>
        <w:rPr>
          <w:rFonts w:hint="eastAsia" w:ascii="仿宋" w:hAnsi="仿宋" w:eastAsia="仿宋" w:cs="仿宋"/>
          <w:sz w:val="32"/>
          <w:szCs w:val="32"/>
        </w:rPr>
        <w:t>万元，与上年相比，增加</w:t>
      </w:r>
      <w:r>
        <w:rPr>
          <w:rFonts w:hint="eastAsia" w:ascii="仿宋" w:hAnsi="仿宋" w:eastAsia="仿宋" w:cs="仿宋"/>
          <w:sz w:val="32"/>
          <w:szCs w:val="32"/>
          <w:lang w:val="en-US" w:eastAsia="zh-CN"/>
        </w:rPr>
        <w:t>151.77</w:t>
      </w:r>
      <w:r>
        <w:rPr>
          <w:rFonts w:hint="eastAsia" w:ascii="仿宋" w:hAnsi="仿宋" w:eastAsia="仿宋" w:cs="仿宋"/>
          <w:sz w:val="32"/>
          <w:szCs w:val="32"/>
        </w:rPr>
        <w:t>万元,增长</w:t>
      </w:r>
      <w:r>
        <w:rPr>
          <w:rFonts w:hint="eastAsia" w:ascii="仿宋" w:hAnsi="仿宋" w:eastAsia="仿宋" w:cs="仿宋"/>
          <w:sz w:val="32"/>
          <w:szCs w:val="32"/>
          <w:lang w:val="en-US" w:eastAsia="zh-CN"/>
        </w:rPr>
        <w:t>20.01</w:t>
      </w:r>
      <w:r>
        <w:rPr>
          <w:rFonts w:hint="eastAsia" w:ascii="仿宋" w:hAnsi="仿宋" w:eastAsia="仿宋" w:cs="仿宋"/>
          <w:sz w:val="32"/>
          <w:szCs w:val="32"/>
        </w:rPr>
        <w:t>%，</w:t>
      </w:r>
      <w:r>
        <w:rPr>
          <w:rFonts w:hint="eastAsia" w:ascii="仿宋" w:hAnsi="仿宋" w:eastAsia="仿宋" w:cs="仿宋"/>
          <w:color w:val="auto"/>
          <w:sz w:val="32"/>
          <w:szCs w:val="32"/>
        </w:rPr>
        <w:t>主要是因为主要</w:t>
      </w:r>
      <w:r>
        <w:rPr>
          <w:rFonts w:hint="eastAsia" w:ascii="仿宋" w:hAnsi="仿宋" w:eastAsia="仿宋" w:cs="仿宋"/>
          <w:color w:val="auto"/>
          <w:sz w:val="32"/>
          <w:szCs w:val="32"/>
          <w:lang w:val="en-US" w:eastAsia="zh-CN"/>
        </w:rPr>
        <w:t>原因2024年度向上级争取专项资金以及正常增资调资所致。</w:t>
      </w:r>
    </w:p>
    <w:p w14:paraId="12FD6372">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6A56B133">
      <w:pPr>
        <w:pStyle w:val="15"/>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0256E908">
      <w:pPr>
        <w:pStyle w:val="15"/>
        <w:overflowPunct w:val="0"/>
        <w:autoSpaceDE/>
        <w:autoSpaceDN/>
        <w:spacing w:line="600" w:lineRule="exact"/>
        <w:ind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sz w:val="32"/>
          <w:szCs w:val="32"/>
        </w:rPr>
        <w:t>2024年度财政拨款支出</w:t>
      </w:r>
      <w:r>
        <w:rPr>
          <w:rFonts w:hint="eastAsia" w:ascii="仿宋" w:hAnsi="仿宋" w:eastAsia="仿宋" w:cs="仿宋"/>
          <w:sz w:val="32"/>
          <w:szCs w:val="32"/>
          <w:lang w:val="en-US" w:eastAsia="zh-CN"/>
        </w:rPr>
        <w:t>693.55</w:t>
      </w:r>
      <w:r>
        <w:rPr>
          <w:rFonts w:hint="eastAsia" w:ascii="仿宋" w:hAnsi="仿宋" w:eastAsia="仿宋" w:cs="仿宋"/>
          <w:sz w:val="32"/>
          <w:szCs w:val="32"/>
        </w:rPr>
        <w:t>万元，占本年支出合计的</w:t>
      </w:r>
      <w:r>
        <w:rPr>
          <w:rFonts w:hint="eastAsia" w:ascii="仿宋" w:hAnsi="仿宋" w:eastAsia="仿宋" w:cs="仿宋"/>
          <w:sz w:val="32"/>
          <w:szCs w:val="32"/>
          <w:lang w:val="en-US" w:eastAsia="zh-CN"/>
        </w:rPr>
        <w:t>100</w:t>
      </w:r>
      <w:r>
        <w:rPr>
          <w:rFonts w:hint="eastAsia" w:ascii="仿宋" w:hAnsi="仿宋" w:eastAsia="仿宋" w:cs="仿宋"/>
          <w:sz w:val="32"/>
          <w:szCs w:val="32"/>
        </w:rPr>
        <w:t>%，与上年相比，财政拨款支出增加</w:t>
      </w:r>
      <w:r>
        <w:rPr>
          <w:rFonts w:hint="eastAsia" w:ascii="仿宋" w:hAnsi="仿宋" w:eastAsia="仿宋" w:cs="仿宋"/>
          <w:sz w:val="32"/>
          <w:szCs w:val="32"/>
          <w:lang w:val="en-US" w:eastAsia="zh-CN"/>
        </w:rPr>
        <w:t>151.77</w:t>
      </w:r>
      <w:r>
        <w:rPr>
          <w:rFonts w:hint="eastAsia" w:ascii="仿宋" w:hAnsi="仿宋" w:eastAsia="仿宋" w:cs="仿宋"/>
          <w:sz w:val="32"/>
          <w:szCs w:val="32"/>
        </w:rPr>
        <w:t>万元，增长</w:t>
      </w:r>
      <w:r>
        <w:rPr>
          <w:rFonts w:hint="eastAsia" w:ascii="仿宋" w:hAnsi="仿宋" w:eastAsia="仿宋" w:cs="仿宋"/>
          <w:sz w:val="32"/>
          <w:szCs w:val="32"/>
          <w:lang w:val="en-US" w:eastAsia="zh-CN"/>
        </w:rPr>
        <w:t>20.01</w:t>
      </w:r>
      <w:r>
        <w:rPr>
          <w:rFonts w:hint="eastAsia" w:ascii="仿宋" w:hAnsi="仿宋" w:eastAsia="仿宋" w:cs="仿宋"/>
          <w:sz w:val="32"/>
          <w:szCs w:val="32"/>
        </w:rPr>
        <w:t>%，</w:t>
      </w:r>
      <w:r>
        <w:rPr>
          <w:rFonts w:hint="eastAsia" w:ascii="仿宋" w:hAnsi="仿宋" w:eastAsia="仿宋" w:cs="仿宋"/>
          <w:color w:val="auto"/>
          <w:sz w:val="32"/>
          <w:szCs w:val="32"/>
        </w:rPr>
        <w:t>主要是因为主要</w:t>
      </w:r>
      <w:r>
        <w:rPr>
          <w:rFonts w:hint="eastAsia" w:ascii="仿宋" w:hAnsi="仿宋" w:eastAsia="仿宋" w:cs="仿宋"/>
          <w:color w:val="auto"/>
          <w:sz w:val="32"/>
          <w:szCs w:val="32"/>
          <w:lang w:val="en-US" w:eastAsia="zh-CN"/>
        </w:rPr>
        <w:t>原因2024年度向上级争取追加的专项资金以及正常增资调资所致。</w:t>
      </w:r>
    </w:p>
    <w:p w14:paraId="73FCD880">
      <w:pPr>
        <w:pStyle w:val="15"/>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37DEE5A7">
      <w:pPr>
        <w:pStyle w:val="15"/>
        <w:overflowPunct w:val="0"/>
        <w:autoSpaceDE/>
        <w:autoSpaceDN/>
        <w:spacing w:line="60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2024年度财政拨款支出</w:t>
      </w:r>
      <w:r>
        <w:rPr>
          <w:rFonts w:hint="eastAsia" w:ascii="仿宋" w:hAnsi="仿宋" w:eastAsia="仿宋" w:cs="仿宋"/>
          <w:sz w:val="32"/>
          <w:szCs w:val="32"/>
          <w:lang w:val="en-US" w:eastAsia="zh-CN"/>
        </w:rPr>
        <w:t>693.55</w:t>
      </w:r>
      <w:r>
        <w:rPr>
          <w:rFonts w:hint="eastAsia" w:ascii="仿宋" w:hAnsi="仿宋" w:eastAsia="仿宋" w:cs="仿宋"/>
          <w:sz w:val="32"/>
          <w:szCs w:val="32"/>
        </w:rPr>
        <w:t>万元，主要用于以下方面：</w:t>
      </w:r>
      <w:r>
        <w:rPr>
          <w:rFonts w:hint="eastAsia" w:ascii="仿宋" w:hAnsi="仿宋" w:eastAsia="仿宋" w:cs="仿宋"/>
          <w:sz w:val="32"/>
          <w:szCs w:val="32"/>
          <w:lang w:eastAsia="zh-CN"/>
        </w:rPr>
        <w:t>文化旅游体育与传媒</w:t>
      </w:r>
      <w:r>
        <w:rPr>
          <w:rFonts w:hint="eastAsia" w:ascii="仿宋" w:hAnsi="仿宋" w:eastAsia="仿宋" w:cs="仿宋"/>
          <w:sz w:val="32"/>
          <w:szCs w:val="32"/>
        </w:rPr>
        <w:t>（类）支出</w:t>
      </w:r>
      <w:r>
        <w:rPr>
          <w:rFonts w:hint="eastAsia" w:ascii="仿宋" w:hAnsi="仿宋" w:eastAsia="仿宋" w:cs="仿宋"/>
          <w:sz w:val="32"/>
          <w:szCs w:val="32"/>
          <w:lang w:val="en-US" w:eastAsia="zh-CN"/>
        </w:rPr>
        <w:t>394.04</w:t>
      </w:r>
      <w:r>
        <w:rPr>
          <w:rFonts w:hint="eastAsia" w:ascii="仿宋" w:hAnsi="仿宋" w:eastAsia="仿宋" w:cs="仿宋"/>
          <w:sz w:val="32"/>
          <w:szCs w:val="32"/>
        </w:rPr>
        <w:t>万元，占</w:t>
      </w:r>
      <w:r>
        <w:rPr>
          <w:rFonts w:hint="eastAsia" w:ascii="仿宋" w:hAnsi="仿宋" w:eastAsia="仿宋" w:cs="仿宋"/>
          <w:color w:val="auto"/>
          <w:sz w:val="32"/>
          <w:szCs w:val="32"/>
          <w:lang w:val="en-US" w:eastAsia="zh-CN"/>
        </w:rPr>
        <w:t>56.81</w:t>
      </w:r>
      <w:r>
        <w:rPr>
          <w:rFonts w:hint="eastAsia" w:ascii="仿宋" w:hAnsi="仿宋" w:eastAsia="仿宋" w:cs="仿宋"/>
          <w:sz w:val="32"/>
          <w:szCs w:val="32"/>
        </w:rPr>
        <w:t>%；</w:t>
      </w:r>
      <w:r>
        <w:rPr>
          <w:rFonts w:hint="eastAsia" w:ascii="仿宋" w:hAnsi="仿宋" w:eastAsia="仿宋" w:cs="仿宋"/>
          <w:sz w:val="32"/>
          <w:szCs w:val="32"/>
          <w:lang w:eastAsia="zh-CN"/>
        </w:rPr>
        <w:t>广播电视其他广播电视</w:t>
      </w:r>
      <w:r>
        <w:rPr>
          <w:rFonts w:hint="eastAsia" w:ascii="仿宋" w:hAnsi="仿宋" w:eastAsia="仿宋" w:cs="仿宋"/>
          <w:sz w:val="32"/>
          <w:szCs w:val="32"/>
        </w:rPr>
        <w:t>（类）支出</w:t>
      </w:r>
      <w:r>
        <w:rPr>
          <w:rFonts w:hint="eastAsia" w:ascii="仿宋" w:hAnsi="仿宋" w:eastAsia="仿宋" w:cs="仿宋"/>
          <w:sz w:val="32"/>
          <w:szCs w:val="32"/>
          <w:lang w:val="en-US" w:eastAsia="zh-CN"/>
        </w:rPr>
        <w:t>225.30</w:t>
      </w:r>
      <w:r>
        <w:rPr>
          <w:rFonts w:hint="eastAsia" w:ascii="仿宋" w:hAnsi="仿宋" w:eastAsia="仿宋" w:cs="仿宋"/>
          <w:sz w:val="32"/>
          <w:szCs w:val="32"/>
        </w:rPr>
        <w:t>万元</w:t>
      </w:r>
      <w:r>
        <w:rPr>
          <w:rFonts w:hint="eastAsia" w:ascii="仿宋" w:hAnsi="仿宋" w:eastAsia="仿宋" w:cs="仿宋"/>
          <w:sz w:val="32"/>
          <w:szCs w:val="32"/>
          <w:lang w:eastAsia="zh-CN"/>
        </w:rPr>
        <w:t>，占</w:t>
      </w:r>
      <w:r>
        <w:rPr>
          <w:rFonts w:hint="eastAsia" w:ascii="仿宋" w:hAnsi="仿宋" w:eastAsia="仿宋" w:cs="仿宋"/>
          <w:sz w:val="32"/>
          <w:szCs w:val="32"/>
          <w:lang w:val="en-US" w:eastAsia="zh-CN"/>
        </w:rPr>
        <w:t>32.49%；</w:t>
      </w:r>
      <w:r>
        <w:rPr>
          <w:rFonts w:hint="eastAsia" w:ascii="仿宋" w:hAnsi="仿宋" w:eastAsia="仿宋" w:cs="仿宋"/>
          <w:kern w:val="0"/>
          <w:sz w:val="32"/>
          <w:szCs w:val="32"/>
        </w:rPr>
        <w:t>其他文化旅游体育与传媒</w:t>
      </w:r>
      <w:r>
        <w:rPr>
          <w:rFonts w:hint="eastAsia" w:ascii="仿宋" w:hAnsi="仿宋" w:eastAsia="仿宋" w:cs="仿宋"/>
          <w:sz w:val="32"/>
          <w:szCs w:val="32"/>
        </w:rPr>
        <w:t>（类）支出</w:t>
      </w:r>
      <w:r>
        <w:rPr>
          <w:rFonts w:hint="eastAsia" w:ascii="仿宋" w:hAnsi="仿宋" w:eastAsia="仿宋" w:cs="仿宋"/>
          <w:sz w:val="32"/>
          <w:szCs w:val="32"/>
          <w:lang w:val="en-US" w:eastAsia="zh-CN"/>
        </w:rPr>
        <w:t>71.20</w:t>
      </w:r>
      <w:r>
        <w:rPr>
          <w:rFonts w:hint="eastAsia" w:ascii="仿宋" w:hAnsi="仿宋" w:eastAsia="仿宋" w:cs="仿宋"/>
          <w:sz w:val="32"/>
          <w:szCs w:val="32"/>
        </w:rPr>
        <w:t>万元</w:t>
      </w:r>
      <w:r>
        <w:rPr>
          <w:rFonts w:hint="eastAsia" w:ascii="仿宋" w:hAnsi="仿宋" w:eastAsia="仿宋" w:cs="仿宋"/>
          <w:sz w:val="32"/>
          <w:szCs w:val="32"/>
          <w:lang w:eastAsia="zh-CN"/>
        </w:rPr>
        <w:t>，占</w:t>
      </w:r>
      <w:r>
        <w:rPr>
          <w:rFonts w:hint="eastAsia" w:ascii="仿宋" w:hAnsi="仿宋" w:eastAsia="仿宋" w:cs="仿宋"/>
          <w:sz w:val="32"/>
          <w:szCs w:val="32"/>
          <w:lang w:val="en-US" w:eastAsia="zh-CN"/>
        </w:rPr>
        <w:t>10.27%；</w:t>
      </w:r>
      <w:r>
        <w:rPr>
          <w:rFonts w:hint="eastAsia" w:ascii="仿宋" w:hAnsi="仿宋" w:eastAsia="仿宋" w:cs="仿宋"/>
          <w:sz w:val="32"/>
          <w:szCs w:val="32"/>
          <w:lang w:eastAsia="zh-CN"/>
        </w:rPr>
        <w:t>城乡社区</w:t>
      </w:r>
      <w:r>
        <w:rPr>
          <w:rFonts w:hint="eastAsia" w:ascii="仿宋" w:hAnsi="仿宋" w:eastAsia="仿宋" w:cs="仿宋"/>
          <w:sz w:val="32"/>
          <w:szCs w:val="32"/>
        </w:rPr>
        <w:t>（类）支出</w:t>
      </w:r>
      <w:r>
        <w:rPr>
          <w:rFonts w:hint="eastAsia" w:ascii="仿宋" w:hAnsi="仿宋" w:eastAsia="仿宋" w:cs="仿宋"/>
          <w:sz w:val="32"/>
          <w:szCs w:val="32"/>
          <w:lang w:val="en-US" w:eastAsia="zh-CN"/>
        </w:rPr>
        <w:t>3</w:t>
      </w:r>
      <w:r>
        <w:rPr>
          <w:rFonts w:hint="eastAsia" w:ascii="仿宋" w:hAnsi="仿宋" w:eastAsia="仿宋" w:cs="仿宋"/>
          <w:sz w:val="32"/>
          <w:szCs w:val="32"/>
        </w:rPr>
        <w:t>万元，占</w:t>
      </w:r>
      <w:r>
        <w:rPr>
          <w:rFonts w:hint="eastAsia" w:ascii="仿宋" w:hAnsi="仿宋" w:eastAsia="仿宋" w:cs="仿宋"/>
          <w:sz w:val="32"/>
          <w:szCs w:val="32"/>
          <w:lang w:val="en-US" w:eastAsia="zh-CN"/>
        </w:rPr>
        <w:t>0.43</w:t>
      </w:r>
      <w:r>
        <w:rPr>
          <w:rFonts w:hint="eastAsia" w:ascii="仿宋" w:hAnsi="仿宋" w:eastAsia="仿宋" w:cs="仿宋"/>
          <w:sz w:val="32"/>
          <w:szCs w:val="32"/>
        </w:rPr>
        <w:t>%</w:t>
      </w:r>
      <w:r>
        <w:rPr>
          <w:rFonts w:hint="eastAsia" w:ascii="仿宋" w:hAnsi="仿宋" w:eastAsia="仿宋" w:cs="仿宋"/>
          <w:sz w:val="32"/>
          <w:szCs w:val="32"/>
          <w:lang w:eastAsia="zh-CN"/>
        </w:rPr>
        <w:t>。</w:t>
      </w:r>
    </w:p>
    <w:p w14:paraId="70111E96">
      <w:pPr>
        <w:pStyle w:val="15"/>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7A05DC3D">
      <w:pPr>
        <w:pStyle w:val="15"/>
        <w:overflowPunct w:val="0"/>
        <w:autoSpaceDE/>
        <w:autoSpaceDN/>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2024年度财政拨款支出年初预算数为</w:t>
      </w:r>
      <w:r>
        <w:rPr>
          <w:rFonts w:hint="eastAsia" w:ascii="仿宋" w:hAnsi="仿宋" w:eastAsia="仿宋" w:cs="仿宋"/>
          <w:color w:val="auto"/>
          <w:sz w:val="32"/>
          <w:szCs w:val="32"/>
          <w:lang w:val="en-US" w:eastAsia="zh-CN"/>
        </w:rPr>
        <w:t>390.43</w:t>
      </w:r>
      <w:r>
        <w:rPr>
          <w:rFonts w:hint="eastAsia" w:ascii="仿宋" w:hAnsi="仿宋" w:eastAsia="仿宋" w:cs="仿宋"/>
          <w:sz w:val="32"/>
          <w:szCs w:val="32"/>
        </w:rPr>
        <w:t>万元，支出决算数为</w:t>
      </w:r>
      <w:r>
        <w:rPr>
          <w:rFonts w:hint="eastAsia" w:ascii="仿宋" w:hAnsi="仿宋" w:eastAsia="仿宋" w:cs="仿宋"/>
          <w:sz w:val="32"/>
          <w:szCs w:val="32"/>
          <w:lang w:val="en-US" w:eastAsia="zh-CN"/>
        </w:rPr>
        <w:t>693.55</w:t>
      </w:r>
      <w:r>
        <w:rPr>
          <w:rFonts w:hint="eastAsia" w:ascii="仿宋" w:hAnsi="仿宋" w:eastAsia="仿宋" w:cs="仿宋"/>
          <w:sz w:val="32"/>
          <w:szCs w:val="32"/>
        </w:rPr>
        <w:t>万元，完成年初预算的</w:t>
      </w:r>
      <w:r>
        <w:rPr>
          <w:rFonts w:hint="eastAsia" w:ascii="仿宋" w:hAnsi="仿宋" w:eastAsia="仿宋" w:cs="仿宋"/>
          <w:color w:val="auto"/>
          <w:sz w:val="32"/>
          <w:szCs w:val="32"/>
          <w:lang w:val="en-US" w:eastAsia="zh-CN"/>
        </w:rPr>
        <w:t>177.64</w:t>
      </w:r>
      <w:r>
        <w:rPr>
          <w:rFonts w:hint="eastAsia" w:ascii="仿宋" w:hAnsi="仿宋" w:eastAsia="仿宋" w:cs="仿宋"/>
          <w:sz w:val="32"/>
          <w:szCs w:val="32"/>
        </w:rPr>
        <w:t>%，其中：</w:t>
      </w:r>
    </w:p>
    <w:p w14:paraId="22C763DA">
      <w:pPr>
        <w:pStyle w:val="15"/>
        <w:overflowPunct w:val="0"/>
        <w:autoSpaceDE/>
        <w:autoSpaceDN/>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文化旅游体育与传媒</w:t>
      </w:r>
      <w:r>
        <w:rPr>
          <w:rFonts w:hint="eastAsia" w:ascii="仿宋" w:hAnsi="仿宋" w:eastAsia="仿宋" w:cs="仿宋"/>
          <w:sz w:val="32"/>
          <w:szCs w:val="32"/>
        </w:rPr>
        <w:t>（类）</w:t>
      </w:r>
      <w:r>
        <w:rPr>
          <w:rFonts w:hint="eastAsia" w:ascii="仿宋" w:hAnsi="仿宋" w:eastAsia="仿宋" w:cs="仿宋"/>
          <w:kern w:val="0"/>
          <w:sz w:val="32"/>
          <w:szCs w:val="32"/>
        </w:rPr>
        <w:t>新闻出版电影</w:t>
      </w:r>
      <w:r>
        <w:rPr>
          <w:rFonts w:hint="eastAsia" w:ascii="仿宋" w:hAnsi="仿宋" w:eastAsia="仿宋" w:cs="仿宋"/>
          <w:sz w:val="32"/>
          <w:szCs w:val="32"/>
        </w:rPr>
        <w:t>（款）</w:t>
      </w:r>
      <w:r>
        <w:rPr>
          <w:rFonts w:hint="eastAsia" w:ascii="仿宋" w:hAnsi="仿宋" w:eastAsia="仿宋" w:cs="仿宋"/>
          <w:sz w:val="32"/>
          <w:szCs w:val="32"/>
          <w:lang w:eastAsia="zh-CN"/>
        </w:rPr>
        <w:t>行政运行</w:t>
      </w:r>
      <w:r>
        <w:rPr>
          <w:rFonts w:hint="eastAsia" w:ascii="仿宋" w:hAnsi="仿宋" w:eastAsia="仿宋" w:cs="仿宋"/>
          <w:sz w:val="32"/>
          <w:szCs w:val="32"/>
        </w:rPr>
        <w:t>（项）。</w:t>
      </w:r>
    </w:p>
    <w:p w14:paraId="36912AAE">
      <w:pPr>
        <w:pStyle w:val="15"/>
        <w:overflowPunct w:val="0"/>
        <w:autoSpaceDE/>
        <w:autoSpaceDN/>
        <w:spacing w:line="600" w:lineRule="exact"/>
        <w:ind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sz w:val="32"/>
          <w:szCs w:val="32"/>
        </w:rPr>
        <w:t>年初预算为</w:t>
      </w:r>
      <w:r>
        <w:rPr>
          <w:rFonts w:hint="eastAsia" w:ascii="仿宋" w:hAnsi="仿宋" w:eastAsia="仿宋" w:cs="仿宋"/>
          <w:color w:val="auto"/>
          <w:sz w:val="32"/>
          <w:szCs w:val="32"/>
          <w:lang w:val="en-US" w:eastAsia="zh-CN"/>
        </w:rPr>
        <w:t>390.43</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394.04</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100.92</w:t>
      </w:r>
      <w:r>
        <w:rPr>
          <w:rFonts w:hint="eastAsia" w:ascii="仿宋" w:hAnsi="仿宋" w:eastAsia="仿宋" w:cs="仿宋"/>
          <w:sz w:val="32"/>
          <w:szCs w:val="32"/>
        </w:rPr>
        <w:t>%，决算数大于年初预算数的主要原因是：</w:t>
      </w:r>
      <w:r>
        <w:rPr>
          <w:rFonts w:hint="eastAsia" w:ascii="仿宋" w:hAnsi="仿宋" w:eastAsia="仿宋" w:cs="仿宋"/>
          <w:color w:val="auto"/>
          <w:sz w:val="32"/>
          <w:szCs w:val="32"/>
          <w:lang w:val="en-US" w:eastAsia="zh-CN"/>
        </w:rPr>
        <w:t>年度工资调增及社保缴费增加。</w:t>
      </w:r>
    </w:p>
    <w:p w14:paraId="5D0EDE99">
      <w:pPr>
        <w:pStyle w:val="15"/>
        <w:overflowPunct w:val="0"/>
        <w:autoSpaceDE/>
        <w:autoSpaceDN/>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文化旅游体育与传媒</w:t>
      </w:r>
      <w:r>
        <w:rPr>
          <w:rFonts w:hint="eastAsia" w:ascii="仿宋" w:hAnsi="仿宋" w:eastAsia="仿宋" w:cs="仿宋"/>
          <w:sz w:val="32"/>
          <w:szCs w:val="32"/>
        </w:rPr>
        <w:t>（类）</w:t>
      </w:r>
      <w:r>
        <w:rPr>
          <w:rFonts w:hint="eastAsia" w:ascii="仿宋" w:hAnsi="仿宋" w:eastAsia="仿宋" w:cs="仿宋"/>
          <w:sz w:val="32"/>
          <w:szCs w:val="32"/>
          <w:lang w:eastAsia="zh-CN"/>
        </w:rPr>
        <w:t>广播电视</w:t>
      </w:r>
      <w:r>
        <w:rPr>
          <w:rFonts w:hint="eastAsia" w:ascii="仿宋" w:hAnsi="仿宋" w:eastAsia="仿宋" w:cs="仿宋"/>
          <w:sz w:val="32"/>
          <w:szCs w:val="32"/>
        </w:rPr>
        <w:t>（款）</w:t>
      </w:r>
      <w:r>
        <w:rPr>
          <w:rFonts w:hint="eastAsia" w:ascii="仿宋" w:hAnsi="仿宋" w:eastAsia="仿宋" w:cs="仿宋"/>
          <w:sz w:val="32"/>
          <w:szCs w:val="32"/>
          <w:lang w:eastAsia="zh-CN"/>
        </w:rPr>
        <w:t>其他广播电视支出</w:t>
      </w:r>
      <w:r>
        <w:rPr>
          <w:rFonts w:hint="eastAsia" w:ascii="仿宋" w:hAnsi="仿宋" w:eastAsia="仿宋" w:cs="仿宋"/>
          <w:sz w:val="32"/>
          <w:szCs w:val="32"/>
        </w:rPr>
        <w:t>（项）。</w:t>
      </w:r>
    </w:p>
    <w:p w14:paraId="00A1450F">
      <w:pPr>
        <w:pStyle w:val="15"/>
        <w:overflowPunct w:val="0"/>
        <w:autoSpaceDE/>
        <w:autoSpaceDN/>
        <w:spacing w:line="60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sz w:val="32"/>
          <w:szCs w:val="32"/>
        </w:rPr>
        <w:t>年初预算为</w:t>
      </w:r>
      <w:r>
        <w:rPr>
          <w:rFonts w:hint="eastAsia" w:ascii="仿宋" w:hAnsi="仿宋" w:eastAsia="仿宋" w:cs="仿宋"/>
          <w:color w:val="FF0000"/>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225.30</w:t>
      </w:r>
      <w:r>
        <w:rPr>
          <w:rFonts w:hint="eastAsia" w:ascii="仿宋" w:hAnsi="仿宋" w:eastAsia="仿宋" w:cs="仿宋"/>
          <w:sz w:val="32"/>
          <w:szCs w:val="32"/>
        </w:rPr>
        <w:t>万元，</w:t>
      </w:r>
      <w:r>
        <w:rPr>
          <w:rFonts w:hint="eastAsia" w:ascii="仿宋" w:hAnsi="仿宋" w:eastAsia="仿宋" w:cs="仿宋"/>
          <w:sz w:val="32"/>
          <w:szCs w:val="32"/>
          <w:lang w:val="en-US" w:eastAsia="zh-CN"/>
        </w:rPr>
        <w:t>无法计算完成比例</w:t>
      </w:r>
      <w:r>
        <w:rPr>
          <w:rFonts w:hint="eastAsia" w:ascii="仿宋" w:hAnsi="仿宋" w:eastAsia="仿宋" w:cs="仿宋"/>
          <w:sz w:val="32"/>
          <w:szCs w:val="32"/>
        </w:rPr>
        <w:t>，决算数大于年初预算数的</w:t>
      </w:r>
      <w:r>
        <w:rPr>
          <w:rFonts w:hint="eastAsia" w:ascii="仿宋" w:hAnsi="仿宋" w:eastAsia="仿宋" w:cs="仿宋"/>
          <w:color w:val="auto"/>
          <w:sz w:val="32"/>
          <w:szCs w:val="32"/>
        </w:rPr>
        <w:t>主要原因是：</w:t>
      </w:r>
      <w:r>
        <w:rPr>
          <w:rFonts w:hint="eastAsia" w:ascii="仿宋" w:hAnsi="仿宋" w:eastAsia="仿宋" w:cs="仿宋"/>
          <w:color w:val="auto"/>
          <w:sz w:val="32"/>
          <w:szCs w:val="32"/>
          <w:lang w:val="en-US" w:eastAsia="zh-CN"/>
        </w:rPr>
        <w:t>争取省级台站建设资金、数字无线覆盖运维资金、分流安置人员经费等，因财政下拨款项与年初预算口径不一致。</w:t>
      </w:r>
    </w:p>
    <w:p w14:paraId="4C52123D">
      <w:pPr>
        <w:pStyle w:val="15"/>
        <w:overflowPunct w:val="0"/>
        <w:autoSpaceDE/>
        <w:autoSpaceDN/>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eastAsia="zh-CN"/>
        </w:rPr>
        <w:t>文化旅游体育与传媒</w:t>
      </w:r>
      <w:r>
        <w:rPr>
          <w:rFonts w:hint="eastAsia" w:ascii="仿宋" w:hAnsi="仿宋" w:eastAsia="仿宋" w:cs="仿宋"/>
          <w:sz w:val="32"/>
          <w:szCs w:val="32"/>
        </w:rPr>
        <w:t>（类）</w:t>
      </w:r>
      <w:r>
        <w:rPr>
          <w:rFonts w:hint="eastAsia" w:ascii="仿宋" w:hAnsi="仿宋" w:eastAsia="仿宋" w:cs="仿宋"/>
          <w:kern w:val="0"/>
          <w:sz w:val="32"/>
          <w:szCs w:val="32"/>
        </w:rPr>
        <w:t>其他文化旅游体育与传媒支出</w:t>
      </w:r>
      <w:r>
        <w:rPr>
          <w:rFonts w:hint="eastAsia" w:ascii="仿宋" w:hAnsi="仿宋" w:eastAsia="仿宋" w:cs="仿宋"/>
          <w:sz w:val="32"/>
          <w:szCs w:val="32"/>
        </w:rPr>
        <w:t>（款）</w:t>
      </w:r>
      <w:r>
        <w:rPr>
          <w:rFonts w:hint="eastAsia" w:ascii="仿宋" w:hAnsi="仿宋" w:eastAsia="仿宋" w:cs="仿宋"/>
          <w:kern w:val="0"/>
          <w:sz w:val="32"/>
          <w:szCs w:val="32"/>
        </w:rPr>
        <w:t>其他文化旅游体育与传媒支出</w:t>
      </w:r>
      <w:r>
        <w:rPr>
          <w:rFonts w:hint="eastAsia" w:ascii="仿宋" w:hAnsi="仿宋" w:eastAsia="仿宋" w:cs="仿宋"/>
          <w:sz w:val="32"/>
          <w:szCs w:val="32"/>
        </w:rPr>
        <w:t>（项）。</w:t>
      </w:r>
    </w:p>
    <w:p w14:paraId="7FF205BC">
      <w:pPr>
        <w:pStyle w:val="15"/>
        <w:overflowPunct w:val="0"/>
        <w:autoSpaceDE/>
        <w:autoSpaceDN/>
        <w:spacing w:line="60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sz w:val="32"/>
          <w:szCs w:val="32"/>
        </w:rPr>
        <w:t>年初预算为</w:t>
      </w:r>
      <w:r>
        <w:rPr>
          <w:rFonts w:hint="eastAsia" w:ascii="仿宋" w:hAnsi="仿宋" w:eastAsia="仿宋" w:cs="仿宋"/>
          <w:color w:val="FF0000"/>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71.20</w:t>
      </w:r>
      <w:r>
        <w:rPr>
          <w:rFonts w:hint="eastAsia" w:ascii="仿宋" w:hAnsi="仿宋" w:eastAsia="仿宋" w:cs="仿宋"/>
          <w:sz w:val="32"/>
          <w:szCs w:val="32"/>
        </w:rPr>
        <w:t>万元，</w:t>
      </w:r>
      <w:r>
        <w:rPr>
          <w:rFonts w:hint="eastAsia" w:ascii="仿宋" w:hAnsi="仿宋" w:eastAsia="仿宋" w:cs="仿宋"/>
          <w:sz w:val="32"/>
          <w:szCs w:val="32"/>
          <w:lang w:val="en-US" w:eastAsia="zh-CN"/>
        </w:rPr>
        <w:t>无法计算完成比例</w:t>
      </w:r>
      <w:r>
        <w:rPr>
          <w:rFonts w:hint="eastAsia" w:ascii="仿宋" w:hAnsi="仿宋" w:eastAsia="仿宋" w:cs="仿宋"/>
          <w:sz w:val="32"/>
          <w:szCs w:val="32"/>
        </w:rPr>
        <w:t>，决算数大于年初预算数的</w:t>
      </w:r>
      <w:r>
        <w:rPr>
          <w:rFonts w:hint="eastAsia" w:ascii="仿宋" w:hAnsi="仿宋" w:eastAsia="仿宋" w:cs="仿宋"/>
          <w:color w:val="auto"/>
          <w:sz w:val="32"/>
          <w:szCs w:val="32"/>
        </w:rPr>
        <w:t>主要原因是：</w:t>
      </w:r>
      <w:r>
        <w:rPr>
          <w:rFonts w:hint="eastAsia" w:ascii="仿宋" w:hAnsi="仿宋" w:eastAsia="仿宋" w:cs="仿宋"/>
          <w:color w:val="auto"/>
          <w:sz w:val="32"/>
          <w:szCs w:val="32"/>
          <w:lang w:val="en-US" w:eastAsia="zh-CN"/>
        </w:rPr>
        <w:t>争取中央对地方公共文化服务建设补助资金，用于机房基础设施维修维护资金、中央数字运维资金、因财政下拨款项与年初预算口径不一致。</w:t>
      </w:r>
    </w:p>
    <w:p w14:paraId="7745E902">
      <w:pPr>
        <w:pStyle w:val="15"/>
        <w:overflowPunct w:val="0"/>
        <w:autoSpaceDE/>
        <w:autoSpaceDN/>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kern w:val="0"/>
          <w:sz w:val="32"/>
          <w:szCs w:val="32"/>
        </w:rPr>
        <w:t>城乡社区支出</w:t>
      </w:r>
      <w:r>
        <w:rPr>
          <w:rFonts w:hint="eastAsia" w:ascii="仿宋" w:hAnsi="仿宋" w:eastAsia="仿宋" w:cs="仿宋"/>
          <w:sz w:val="32"/>
          <w:szCs w:val="32"/>
        </w:rPr>
        <w:t>（类）</w:t>
      </w:r>
      <w:r>
        <w:rPr>
          <w:rFonts w:hint="eastAsia" w:ascii="仿宋" w:hAnsi="仿宋" w:eastAsia="仿宋" w:cs="仿宋"/>
          <w:kern w:val="0"/>
          <w:sz w:val="32"/>
          <w:szCs w:val="32"/>
        </w:rPr>
        <w:t>其他城乡社区支出</w:t>
      </w:r>
      <w:r>
        <w:rPr>
          <w:rFonts w:hint="eastAsia" w:ascii="仿宋" w:hAnsi="仿宋" w:eastAsia="仿宋" w:cs="仿宋"/>
          <w:sz w:val="32"/>
          <w:szCs w:val="32"/>
        </w:rPr>
        <w:t>（款）</w:t>
      </w:r>
      <w:r>
        <w:rPr>
          <w:rFonts w:hint="eastAsia" w:ascii="仿宋" w:hAnsi="仿宋" w:eastAsia="仿宋" w:cs="仿宋"/>
          <w:kern w:val="0"/>
          <w:sz w:val="32"/>
          <w:szCs w:val="32"/>
        </w:rPr>
        <w:t>其他城乡社区支出</w:t>
      </w:r>
      <w:r>
        <w:rPr>
          <w:rFonts w:hint="eastAsia" w:ascii="仿宋" w:hAnsi="仿宋" w:eastAsia="仿宋" w:cs="仿宋"/>
          <w:sz w:val="32"/>
          <w:szCs w:val="32"/>
        </w:rPr>
        <w:t>（项）。</w:t>
      </w:r>
    </w:p>
    <w:p w14:paraId="17838D0E">
      <w:pPr>
        <w:pStyle w:val="15"/>
        <w:overflowPunct w:val="0"/>
        <w:autoSpaceDE/>
        <w:autoSpaceDN/>
        <w:spacing w:line="600" w:lineRule="exact"/>
        <w:ind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sz w:val="32"/>
          <w:szCs w:val="32"/>
        </w:rPr>
        <w:t>年初预算为</w:t>
      </w:r>
      <w:r>
        <w:rPr>
          <w:rFonts w:hint="eastAsia" w:ascii="仿宋" w:hAnsi="仿宋" w:eastAsia="仿宋" w:cs="仿宋"/>
          <w:b w:val="0"/>
          <w:bCs w:val="0"/>
          <w:color w:val="FF0000"/>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3.00</w:t>
      </w:r>
      <w:r>
        <w:rPr>
          <w:rFonts w:hint="eastAsia" w:ascii="仿宋" w:hAnsi="仿宋" w:eastAsia="仿宋" w:cs="仿宋"/>
          <w:sz w:val="32"/>
          <w:szCs w:val="32"/>
        </w:rPr>
        <w:t>万元，</w:t>
      </w:r>
      <w:r>
        <w:rPr>
          <w:rFonts w:hint="eastAsia" w:ascii="仿宋" w:hAnsi="仿宋" w:eastAsia="仿宋" w:cs="仿宋"/>
          <w:sz w:val="32"/>
          <w:szCs w:val="32"/>
          <w:lang w:val="en-US" w:eastAsia="zh-CN"/>
        </w:rPr>
        <w:t>无法计算完成比例</w:t>
      </w:r>
      <w:r>
        <w:rPr>
          <w:rFonts w:hint="eastAsia" w:ascii="仿宋" w:hAnsi="仿宋" w:eastAsia="仿宋" w:cs="仿宋"/>
          <w:sz w:val="32"/>
          <w:szCs w:val="32"/>
        </w:rPr>
        <w:t>，决算数大于年初预算数的主要</w:t>
      </w:r>
      <w:r>
        <w:rPr>
          <w:rFonts w:hint="eastAsia" w:ascii="仿宋" w:hAnsi="仿宋" w:eastAsia="仿宋" w:cs="仿宋"/>
          <w:color w:val="auto"/>
          <w:sz w:val="32"/>
          <w:szCs w:val="32"/>
        </w:rPr>
        <w:t>原因是</w:t>
      </w:r>
      <w:r>
        <w:rPr>
          <w:rFonts w:hint="eastAsia" w:ascii="仿宋" w:hAnsi="仿宋" w:eastAsia="仿宋" w:cs="仿宋"/>
          <w:color w:val="auto"/>
          <w:sz w:val="32"/>
          <w:szCs w:val="32"/>
          <w:lang w:val="en-US" w:eastAsia="zh-CN"/>
        </w:rPr>
        <w:t>向本级财政争取追加安播工作专项资金。</w:t>
      </w:r>
    </w:p>
    <w:p w14:paraId="51C602CF">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670E6EC9">
      <w:pPr>
        <w:pStyle w:val="15"/>
        <w:overflowPunct w:val="0"/>
        <w:autoSpaceDE/>
        <w:autoSpaceDN/>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2024年度一般公共预算财政拨款基本支出</w:t>
      </w:r>
      <w:r>
        <w:rPr>
          <w:rFonts w:hint="eastAsia" w:ascii="仿宋" w:hAnsi="仿宋" w:eastAsia="仿宋" w:cs="仿宋"/>
          <w:sz w:val="32"/>
          <w:szCs w:val="32"/>
          <w:lang w:val="en-US" w:eastAsia="zh-CN"/>
        </w:rPr>
        <w:t>556.75</w:t>
      </w:r>
      <w:r>
        <w:rPr>
          <w:rFonts w:hint="eastAsia" w:ascii="仿宋" w:hAnsi="仿宋" w:eastAsia="仿宋" w:cs="仿宋"/>
          <w:sz w:val="32"/>
          <w:szCs w:val="32"/>
        </w:rPr>
        <w:t>万元，其中：</w:t>
      </w:r>
    </w:p>
    <w:p w14:paraId="169E1485">
      <w:pPr>
        <w:pStyle w:val="15"/>
        <w:overflowPunct w:val="0"/>
        <w:autoSpaceDE/>
        <w:autoSpaceDN/>
        <w:spacing w:line="600" w:lineRule="exact"/>
        <w:ind w:firstLine="643" w:firstLineChars="200"/>
        <w:jc w:val="both"/>
        <w:rPr>
          <w:rFonts w:hint="eastAsia" w:ascii="仿宋" w:hAnsi="仿宋" w:eastAsia="仿宋" w:cs="仿宋"/>
          <w:sz w:val="32"/>
          <w:szCs w:val="32"/>
        </w:rPr>
      </w:pPr>
      <w:r>
        <w:rPr>
          <w:rFonts w:hint="eastAsia" w:ascii="仿宋" w:hAnsi="仿宋" w:eastAsia="仿宋" w:cs="仿宋"/>
          <w:b/>
          <w:bCs/>
          <w:sz w:val="32"/>
          <w:szCs w:val="32"/>
        </w:rPr>
        <w:t>人员经费</w:t>
      </w:r>
      <w:r>
        <w:rPr>
          <w:rFonts w:hint="eastAsia" w:ascii="仿宋" w:hAnsi="仿宋" w:eastAsia="仿宋" w:cs="仿宋"/>
          <w:sz w:val="32"/>
          <w:szCs w:val="32"/>
          <w:lang w:val="en-US" w:eastAsia="zh-CN"/>
        </w:rPr>
        <w:t>504.29</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90.58</w:t>
      </w:r>
      <w:r>
        <w:rPr>
          <w:rFonts w:hint="eastAsia" w:ascii="仿宋" w:hAnsi="仿宋" w:eastAsia="仿宋" w:cs="仿宋"/>
          <w:sz w:val="32"/>
          <w:szCs w:val="32"/>
        </w:rPr>
        <w:t>%,主要包括基本工资、津贴补贴、奖金、伙食补助费</w:t>
      </w:r>
      <w:r>
        <w:rPr>
          <w:rFonts w:hint="eastAsia" w:ascii="仿宋" w:hAnsi="仿宋" w:eastAsia="仿宋" w:cs="仿宋"/>
          <w:sz w:val="32"/>
          <w:szCs w:val="32"/>
          <w:lang w:eastAsia="zh-CN"/>
        </w:rPr>
        <w:t>、</w:t>
      </w:r>
      <w:r>
        <w:rPr>
          <w:rFonts w:hint="eastAsia" w:ascii="仿宋" w:hAnsi="仿宋" w:eastAsia="仿宋" w:cs="仿宋"/>
          <w:color w:val="000000"/>
          <w:kern w:val="0"/>
          <w:sz w:val="32"/>
          <w:szCs w:val="32"/>
        </w:rPr>
        <w:t>机关事业单位基本养老保</w:t>
      </w:r>
      <w:r>
        <w:rPr>
          <w:rFonts w:hint="eastAsia" w:ascii="仿宋" w:hAnsi="仿宋" w:eastAsia="仿宋" w:cs="仿宋"/>
          <w:color w:val="000000"/>
          <w:kern w:val="0"/>
          <w:sz w:val="32"/>
          <w:szCs w:val="32"/>
          <w:lang w:eastAsia="zh-CN"/>
        </w:rPr>
        <w:t>险、</w:t>
      </w:r>
      <w:r>
        <w:rPr>
          <w:rFonts w:hint="eastAsia" w:ascii="仿宋" w:hAnsi="仿宋" w:eastAsia="仿宋" w:cs="仿宋"/>
          <w:color w:val="000000"/>
          <w:kern w:val="0"/>
          <w:sz w:val="32"/>
          <w:szCs w:val="32"/>
        </w:rPr>
        <w:t xml:space="preserve"> 职业年金缴费</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职工基本医疗保险缴费</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其他社会保障缴费</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 xml:space="preserve"> 住房公积金</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 xml:space="preserve"> 其他工资福利支出</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对个人和家庭的补助</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生活补助</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奖励金</w:t>
      </w:r>
      <w:r>
        <w:rPr>
          <w:rFonts w:hint="eastAsia" w:ascii="仿宋" w:hAnsi="仿宋" w:eastAsia="仿宋" w:cs="仿宋"/>
          <w:color w:val="000000"/>
          <w:kern w:val="0"/>
          <w:sz w:val="32"/>
          <w:szCs w:val="32"/>
          <w:lang w:eastAsia="zh-CN"/>
        </w:rPr>
        <w:t>支出</w:t>
      </w:r>
      <w:r>
        <w:rPr>
          <w:rFonts w:hint="eastAsia" w:ascii="仿宋" w:hAnsi="仿宋" w:eastAsia="仿宋" w:cs="仿宋"/>
          <w:sz w:val="32"/>
          <w:szCs w:val="32"/>
        </w:rPr>
        <w:t>。</w:t>
      </w:r>
    </w:p>
    <w:p w14:paraId="6BE7D4A2">
      <w:pPr>
        <w:pStyle w:val="15"/>
        <w:overflowPunct w:val="0"/>
        <w:autoSpaceDE/>
        <w:autoSpaceDN/>
        <w:spacing w:line="600" w:lineRule="exact"/>
        <w:ind w:firstLine="643" w:firstLineChars="200"/>
        <w:jc w:val="both"/>
        <w:rPr>
          <w:rFonts w:hint="eastAsia" w:ascii="仿宋" w:hAnsi="仿宋" w:eastAsia="仿宋" w:cs="仿宋"/>
          <w:sz w:val="32"/>
          <w:szCs w:val="32"/>
        </w:rPr>
      </w:pPr>
      <w:r>
        <w:rPr>
          <w:rFonts w:hint="eastAsia" w:ascii="仿宋" w:hAnsi="仿宋" w:eastAsia="仿宋" w:cs="仿宋"/>
          <w:b/>
          <w:bCs/>
          <w:sz w:val="32"/>
          <w:szCs w:val="32"/>
        </w:rPr>
        <w:t>公用经费</w:t>
      </w:r>
      <w:r>
        <w:rPr>
          <w:rFonts w:hint="eastAsia" w:ascii="仿宋" w:hAnsi="仿宋" w:eastAsia="仿宋" w:cs="仿宋"/>
          <w:sz w:val="32"/>
          <w:szCs w:val="32"/>
          <w:lang w:val="en-US" w:eastAsia="zh-CN"/>
        </w:rPr>
        <w:t>52.45</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9.42</w:t>
      </w:r>
      <w:r>
        <w:rPr>
          <w:rFonts w:hint="eastAsia" w:ascii="仿宋" w:hAnsi="仿宋" w:eastAsia="仿宋" w:cs="仿宋"/>
          <w:sz w:val="32"/>
          <w:szCs w:val="32"/>
        </w:rPr>
        <w:t>%，主要包括办公费、咨询费、</w:t>
      </w:r>
      <w:r>
        <w:rPr>
          <w:rFonts w:hint="eastAsia" w:ascii="仿宋" w:hAnsi="仿宋" w:eastAsia="仿宋" w:cs="仿宋"/>
          <w:color w:val="000000"/>
          <w:kern w:val="0"/>
          <w:sz w:val="32"/>
          <w:szCs w:val="32"/>
        </w:rPr>
        <w:t>水费</w:t>
      </w:r>
      <w:r>
        <w:rPr>
          <w:rFonts w:hint="eastAsia" w:ascii="仿宋" w:hAnsi="仿宋" w:eastAsia="仿宋" w:cs="仿宋"/>
          <w:color w:val="000000"/>
          <w:kern w:val="0"/>
          <w:sz w:val="32"/>
          <w:szCs w:val="32"/>
          <w:lang w:eastAsia="zh-CN"/>
        </w:rPr>
        <w:t>、电费、邮电费</w:t>
      </w:r>
      <w:r>
        <w:rPr>
          <w:rFonts w:hint="eastAsia" w:ascii="仿宋" w:hAnsi="仿宋" w:eastAsia="仿宋" w:cs="仿宋"/>
          <w:sz w:val="32"/>
          <w:szCs w:val="32"/>
        </w:rPr>
        <w:t>、</w:t>
      </w:r>
      <w:r>
        <w:rPr>
          <w:rFonts w:hint="eastAsia" w:ascii="仿宋" w:hAnsi="仿宋" w:eastAsia="仿宋" w:cs="仿宋"/>
          <w:sz w:val="32"/>
          <w:szCs w:val="32"/>
          <w:lang w:eastAsia="zh-CN"/>
        </w:rPr>
        <w:t>差旅费、维修费、培训费公务接待费、劳务费、工会经费、公务用车运行费、其他交通费、其他商品服务支出</w:t>
      </w:r>
      <w:r>
        <w:rPr>
          <w:rFonts w:hint="eastAsia" w:ascii="仿宋" w:hAnsi="仿宋" w:eastAsia="仿宋" w:cs="仿宋"/>
          <w:sz w:val="32"/>
          <w:szCs w:val="32"/>
        </w:rPr>
        <w:t>。</w:t>
      </w:r>
    </w:p>
    <w:p w14:paraId="20A5C4FD">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0CC79962">
      <w:pPr>
        <w:pStyle w:val="15"/>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5F8852CB">
      <w:pPr>
        <w:pStyle w:val="15"/>
        <w:overflowPunct w:val="0"/>
        <w:autoSpaceDE/>
        <w:autoSpaceDN/>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2024年度“三公”经费财政拨款支出预算为</w:t>
      </w:r>
      <w:r>
        <w:rPr>
          <w:rFonts w:hint="eastAsia" w:ascii="仿宋" w:hAnsi="仿宋" w:eastAsia="仿宋" w:cs="仿宋"/>
          <w:sz w:val="32"/>
          <w:szCs w:val="32"/>
          <w:lang w:val="en-US" w:eastAsia="zh-CN"/>
        </w:rPr>
        <w:t>2.83</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2.83</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%；与上年相比增长</w:t>
      </w:r>
      <w:r>
        <w:rPr>
          <w:rFonts w:hint="eastAsia" w:ascii="仿宋" w:hAnsi="仿宋" w:eastAsia="仿宋" w:cs="仿宋"/>
          <w:sz w:val="32"/>
          <w:szCs w:val="32"/>
          <w:lang w:val="en-US" w:eastAsia="zh-CN"/>
        </w:rPr>
        <w:t>0.28</w:t>
      </w:r>
      <w:r>
        <w:rPr>
          <w:rFonts w:hint="eastAsia" w:ascii="仿宋" w:hAnsi="仿宋" w:eastAsia="仿宋" w:cs="仿宋"/>
          <w:sz w:val="32"/>
          <w:szCs w:val="32"/>
        </w:rPr>
        <w:t>万元，增长</w:t>
      </w:r>
      <w:r>
        <w:rPr>
          <w:rFonts w:hint="eastAsia" w:ascii="仿宋" w:hAnsi="仿宋" w:eastAsia="仿宋" w:cs="仿宋"/>
          <w:sz w:val="32"/>
          <w:szCs w:val="32"/>
          <w:lang w:val="en-US" w:eastAsia="zh-CN"/>
        </w:rPr>
        <w:t>10.98</w:t>
      </w:r>
      <w:r>
        <w:rPr>
          <w:rFonts w:hint="eastAsia" w:ascii="仿宋" w:hAnsi="仿宋" w:eastAsia="仿宋" w:cs="仿宋"/>
          <w:sz w:val="32"/>
          <w:szCs w:val="32"/>
        </w:rPr>
        <w:t>%。决算数</w:t>
      </w:r>
      <w:r>
        <w:rPr>
          <w:rFonts w:hint="eastAsia" w:ascii="仿宋" w:hAnsi="仿宋" w:eastAsia="仿宋" w:cs="仿宋"/>
          <w:sz w:val="32"/>
          <w:szCs w:val="32"/>
          <w:lang w:eastAsia="zh-CN"/>
        </w:rPr>
        <w:t>与</w:t>
      </w:r>
      <w:r>
        <w:rPr>
          <w:rFonts w:hint="eastAsia" w:ascii="仿宋" w:hAnsi="仿宋" w:eastAsia="仿宋" w:cs="仿宋"/>
          <w:sz w:val="32"/>
          <w:szCs w:val="32"/>
        </w:rPr>
        <w:t>预算数</w:t>
      </w:r>
      <w:r>
        <w:rPr>
          <w:rFonts w:hint="eastAsia" w:ascii="仿宋" w:hAnsi="仿宋" w:eastAsia="仿宋" w:cs="仿宋"/>
          <w:sz w:val="32"/>
          <w:szCs w:val="32"/>
          <w:lang w:eastAsia="zh-CN"/>
        </w:rPr>
        <w:t>持平，</w:t>
      </w:r>
      <w:r>
        <w:rPr>
          <w:rFonts w:hint="eastAsia" w:ascii="仿宋" w:hAnsi="仿宋" w:eastAsia="仿宋" w:cs="仿宋"/>
          <w:sz w:val="32"/>
          <w:szCs w:val="32"/>
        </w:rPr>
        <w:t>与上年相比增长的主要原因</w:t>
      </w:r>
      <w:r>
        <w:rPr>
          <w:rFonts w:hint="eastAsia" w:ascii="仿宋" w:hAnsi="仿宋" w:eastAsia="仿宋" w:cs="仿宋"/>
          <w:color w:val="auto"/>
          <w:sz w:val="32"/>
          <w:szCs w:val="32"/>
        </w:rPr>
        <w:t>是本年</w:t>
      </w:r>
      <w:r>
        <w:rPr>
          <w:rFonts w:hint="eastAsia" w:ascii="仿宋" w:hAnsi="仿宋" w:eastAsia="仿宋" w:cs="仿宋"/>
          <w:color w:val="auto"/>
          <w:sz w:val="32"/>
          <w:szCs w:val="32"/>
          <w:lang w:val="en-US" w:eastAsia="zh-CN"/>
        </w:rPr>
        <w:t>车辆老化维修费用增加</w:t>
      </w:r>
      <w:r>
        <w:rPr>
          <w:rFonts w:hint="eastAsia" w:ascii="仿宋" w:hAnsi="仿宋" w:eastAsia="仿宋" w:cs="仿宋"/>
          <w:color w:val="auto"/>
          <w:sz w:val="32"/>
          <w:szCs w:val="32"/>
        </w:rPr>
        <w:t>。</w:t>
      </w:r>
    </w:p>
    <w:p w14:paraId="020ED856">
      <w:pPr>
        <w:pStyle w:val="15"/>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6A78EF69">
      <w:pPr>
        <w:pStyle w:val="15"/>
        <w:overflowPunct w:val="0"/>
        <w:autoSpaceDE/>
        <w:autoSpaceDN/>
        <w:spacing w:line="600" w:lineRule="exact"/>
        <w:ind w:firstLine="640" w:firstLineChars="200"/>
        <w:jc w:val="both"/>
        <w:rPr>
          <w:rFonts w:hint="eastAsia" w:ascii="仿宋" w:hAnsi="仿宋" w:eastAsia="仿宋" w:cs="仿宋"/>
          <w:color w:val="000000"/>
          <w:sz w:val="32"/>
          <w:szCs w:val="32"/>
        </w:rPr>
      </w:pPr>
      <w:r>
        <w:rPr>
          <w:rFonts w:hint="eastAsia" w:ascii="仿宋" w:hAnsi="仿宋" w:eastAsia="仿宋" w:cs="仿宋"/>
          <w:sz w:val="32"/>
          <w:szCs w:val="32"/>
        </w:rPr>
        <w:t>1.因公出国（境）费支出预算为</w:t>
      </w:r>
      <w:r>
        <w:rPr>
          <w:rFonts w:hint="eastAsia" w:ascii="仿宋" w:hAnsi="仿宋" w:eastAsia="仿宋" w:cs="仿宋"/>
          <w:color w:val="auto"/>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color w:val="auto"/>
          <w:sz w:val="32"/>
          <w:szCs w:val="32"/>
          <w:lang w:val="en-US" w:eastAsia="zh-CN"/>
        </w:rPr>
        <w:t>0</w:t>
      </w:r>
      <w:r>
        <w:rPr>
          <w:rFonts w:hint="eastAsia" w:ascii="仿宋" w:hAnsi="仿宋" w:eastAsia="仿宋" w:cs="仿宋"/>
          <w:sz w:val="32"/>
          <w:szCs w:val="32"/>
        </w:rPr>
        <w:t>万元，完成预算的</w:t>
      </w:r>
      <w:r>
        <w:rPr>
          <w:rFonts w:hint="eastAsia" w:ascii="仿宋" w:hAnsi="仿宋" w:eastAsia="仿宋" w:cs="仿宋"/>
          <w:color w:val="auto"/>
          <w:sz w:val="32"/>
          <w:szCs w:val="32"/>
          <w:lang w:val="en-US" w:eastAsia="zh-CN"/>
        </w:rPr>
        <w:t>0</w:t>
      </w:r>
      <w:r>
        <w:rPr>
          <w:rFonts w:hint="eastAsia" w:ascii="仿宋" w:hAnsi="仿宋" w:eastAsia="仿宋" w:cs="仿宋"/>
          <w:sz w:val="32"/>
          <w:szCs w:val="32"/>
        </w:rPr>
        <w:t>%；与上年相比降低</w:t>
      </w:r>
      <w:r>
        <w:rPr>
          <w:rFonts w:hint="eastAsia" w:ascii="仿宋" w:hAnsi="仿宋" w:eastAsia="仿宋" w:cs="仿宋"/>
          <w:sz w:val="32"/>
          <w:szCs w:val="32"/>
          <w:lang w:val="en-US" w:eastAsia="zh-CN"/>
        </w:rPr>
        <w:t>0</w:t>
      </w:r>
      <w:r>
        <w:rPr>
          <w:rFonts w:hint="eastAsia" w:ascii="仿宋" w:hAnsi="仿宋" w:eastAsia="仿宋" w:cs="仿宋"/>
          <w:sz w:val="32"/>
          <w:szCs w:val="32"/>
        </w:rPr>
        <w:t>万元，降低</w:t>
      </w:r>
      <w:r>
        <w:rPr>
          <w:rFonts w:hint="eastAsia" w:ascii="仿宋" w:hAnsi="仿宋" w:eastAsia="仿宋" w:cs="仿宋"/>
          <w:sz w:val="32"/>
          <w:szCs w:val="32"/>
          <w:lang w:val="en-US" w:eastAsia="zh-CN"/>
        </w:rPr>
        <w:t>0</w:t>
      </w:r>
      <w:r>
        <w:rPr>
          <w:rFonts w:hint="eastAsia" w:ascii="仿宋" w:hAnsi="仿宋" w:eastAsia="仿宋" w:cs="仿宋"/>
          <w:sz w:val="32"/>
          <w:szCs w:val="32"/>
        </w:rPr>
        <w:t>%。决算数</w:t>
      </w:r>
      <w:r>
        <w:rPr>
          <w:rFonts w:hint="eastAsia" w:ascii="仿宋" w:hAnsi="仿宋" w:eastAsia="仿宋" w:cs="仿宋"/>
          <w:sz w:val="32"/>
          <w:szCs w:val="32"/>
          <w:lang w:eastAsia="zh-CN"/>
        </w:rPr>
        <w:t>与</w:t>
      </w:r>
      <w:r>
        <w:rPr>
          <w:rFonts w:hint="eastAsia" w:ascii="仿宋" w:hAnsi="仿宋" w:eastAsia="仿宋" w:cs="仿宋"/>
          <w:sz w:val="32"/>
          <w:szCs w:val="32"/>
        </w:rPr>
        <w:t>预算数</w:t>
      </w:r>
      <w:r>
        <w:rPr>
          <w:rFonts w:hint="eastAsia" w:ascii="仿宋" w:hAnsi="仿宋" w:eastAsia="仿宋" w:cs="仿宋"/>
          <w:sz w:val="32"/>
          <w:szCs w:val="32"/>
          <w:lang w:eastAsia="zh-CN"/>
        </w:rPr>
        <w:t>持平，与</w:t>
      </w:r>
      <w:r>
        <w:rPr>
          <w:rFonts w:hint="eastAsia" w:ascii="仿宋" w:hAnsi="仿宋" w:eastAsia="仿宋" w:cs="仿宋"/>
          <w:sz w:val="32"/>
          <w:szCs w:val="32"/>
        </w:rPr>
        <w:t>上年数</w:t>
      </w:r>
      <w:r>
        <w:rPr>
          <w:rFonts w:hint="eastAsia" w:ascii="仿宋" w:hAnsi="仿宋" w:eastAsia="仿宋" w:cs="仿宋"/>
          <w:sz w:val="32"/>
          <w:szCs w:val="32"/>
          <w:lang w:eastAsia="zh-CN"/>
        </w:rPr>
        <w:t>相比</w:t>
      </w:r>
      <w:r>
        <w:rPr>
          <w:rFonts w:hint="eastAsia" w:ascii="仿宋" w:hAnsi="仿宋" w:eastAsia="仿宋" w:cs="仿宋"/>
          <w:sz w:val="32"/>
          <w:szCs w:val="32"/>
          <w:lang w:val="en-US" w:eastAsia="zh-CN"/>
        </w:rPr>
        <w:t>2023年</w:t>
      </w:r>
      <w:r>
        <w:rPr>
          <w:rFonts w:hint="eastAsia" w:ascii="仿宋" w:hAnsi="仿宋" w:eastAsia="仿宋" w:cs="仿宋"/>
          <w:sz w:val="32"/>
          <w:szCs w:val="32"/>
        </w:rPr>
        <w:t>202</w:t>
      </w:r>
      <w:r>
        <w:rPr>
          <w:rFonts w:hint="eastAsia" w:ascii="仿宋" w:hAnsi="仿宋" w:eastAsia="仿宋" w:cs="仿宋"/>
          <w:sz w:val="32"/>
          <w:szCs w:val="32"/>
          <w:lang w:val="en-US" w:eastAsia="zh-CN"/>
        </w:rPr>
        <w:t>4两个</w:t>
      </w:r>
      <w:r>
        <w:rPr>
          <w:rFonts w:hint="eastAsia" w:ascii="仿宋" w:hAnsi="仿宋" w:eastAsia="仿宋" w:cs="仿宋"/>
          <w:sz w:val="32"/>
          <w:szCs w:val="32"/>
        </w:rPr>
        <w:t>年</w:t>
      </w:r>
      <w:r>
        <w:rPr>
          <w:rFonts w:hint="eastAsia" w:ascii="仿宋" w:hAnsi="仿宋" w:eastAsia="仿宋" w:cs="仿宋"/>
          <w:sz w:val="32"/>
          <w:szCs w:val="32"/>
          <w:lang w:eastAsia="zh-CN"/>
        </w:rPr>
        <w:t>度均无</w:t>
      </w:r>
      <w:r>
        <w:rPr>
          <w:rFonts w:hint="eastAsia" w:ascii="仿宋" w:hAnsi="仿宋" w:eastAsia="仿宋" w:cs="仿宋"/>
          <w:sz w:val="32"/>
          <w:szCs w:val="32"/>
        </w:rPr>
        <w:t>此项</w:t>
      </w:r>
      <w:r>
        <w:rPr>
          <w:rFonts w:hint="eastAsia" w:ascii="仿宋" w:hAnsi="仿宋" w:eastAsia="仿宋" w:cs="仿宋"/>
          <w:sz w:val="32"/>
          <w:szCs w:val="32"/>
          <w:lang w:eastAsia="zh-CN"/>
        </w:rPr>
        <w:t>支出</w:t>
      </w:r>
      <w:r>
        <w:rPr>
          <w:rFonts w:hint="eastAsia" w:ascii="仿宋" w:hAnsi="仿宋" w:eastAsia="仿宋" w:cs="仿宋"/>
          <w:color w:val="000000"/>
          <w:sz w:val="32"/>
          <w:szCs w:val="32"/>
        </w:rPr>
        <w:t>。</w:t>
      </w:r>
    </w:p>
    <w:p w14:paraId="68EC9F47">
      <w:pPr>
        <w:pStyle w:val="15"/>
        <w:overflowPunct w:val="0"/>
        <w:autoSpaceDE/>
        <w:autoSpaceDN/>
        <w:spacing w:line="600" w:lineRule="exact"/>
        <w:ind w:firstLine="640" w:firstLineChars="200"/>
        <w:jc w:val="both"/>
        <w:rPr>
          <w:rFonts w:hint="eastAsia" w:ascii="仿宋" w:hAnsi="仿宋" w:eastAsia="仿宋" w:cs="仿宋"/>
          <w:b/>
          <w:bCs/>
          <w:i/>
          <w:color w:val="auto"/>
          <w:sz w:val="32"/>
          <w:szCs w:val="32"/>
          <w:lang w:eastAsia="zh-CN"/>
        </w:rPr>
      </w:pPr>
      <w:r>
        <w:rPr>
          <w:rFonts w:hint="eastAsia" w:ascii="仿宋" w:hAnsi="仿宋" w:eastAsia="仿宋" w:cs="仿宋"/>
          <w:sz w:val="32"/>
          <w:szCs w:val="32"/>
        </w:rPr>
        <w:t>2024年度安排因公出国（境）团组</w:t>
      </w:r>
      <w:r>
        <w:rPr>
          <w:rFonts w:hint="eastAsia" w:ascii="仿宋" w:hAnsi="仿宋" w:eastAsia="仿宋" w:cs="仿宋"/>
          <w:sz w:val="32"/>
          <w:szCs w:val="32"/>
          <w:lang w:val="en-US" w:eastAsia="zh-CN"/>
        </w:rPr>
        <w:t>0</w:t>
      </w:r>
      <w:r>
        <w:rPr>
          <w:rFonts w:hint="eastAsia" w:ascii="仿宋" w:hAnsi="仿宋" w:eastAsia="仿宋" w:cs="仿宋"/>
          <w:sz w:val="32"/>
          <w:szCs w:val="32"/>
        </w:rPr>
        <w:t>个，累计</w:t>
      </w:r>
      <w:r>
        <w:rPr>
          <w:rFonts w:hint="eastAsia" w:ascii="仿宋" w:hAnsi="仿宋" w:eastAsia="仿宋" w:cs="仿宋"/>
          <w:sz w:val="32"/>
          <w:szCs w:val="32"/>
          <w:lang w:val="en-US" w:eastAsia="zh-CN"/>
        </w:rPr>
        <w:t>0</w:t>
      </w:r>
      <w:r>
        <w:rPr>
          <w:rFonts w:hint="eastAsia" w:ascii="仿宋" w:hAnsi="仿宋" w:eastAsia="仿宋" w:cs="仿宋"/>
          <w:sz w:val="32"/>
          <w:szCs w:val="32"/>
        </w:rPr>
        <w:t>人次</w:t>
      </w:r>
      <w:r>
        <w:rPr>
          <w:rFonts w:hint="eastAsia" w:ascii="仿宋" w:hAnsi="仿宋" w:eastAsia="仿宋" w:cs="仿宋"/>
          <w:b/>
          <w:bCs/>
          <w:i/>
          <w:color w:val="auto"/>
          <w:sz w:val="32"/>
          <w:szCs w:val="32"/>
          <w:lang w:eastAsia="zh-CN"/>
        </w:rPr>
        <w:t>。</w:t>
      </w:r>
    </w:p>
    <w:p w14:paraId="4448A8E0">
      <w:pPr>
        <w:pStyle w:val="15"/>
        <w:overflowPunct w:val="0"/>
        <w:autoSpaceDE/>
        <w:autoSpaceDN/>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2.公务用车购置费及运行维护费支出预算为</w:t>
      </w:r>
      <w:r>
        <w:rPr>
          <w:rFonts w:hint="eastAsia" w:ascii="仿宋" w:hAnsi="仿宋" w:eastAsia="仿宋" w:cs="仿宋"/>
          <w:sz w:val="32"/>
          <w:szCs w:val="32"/>
          <w:lang w:val="en-US" w:eastAsia="zh-CN"/>
        </w:rPr>
        <w:t>2.70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2.70</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%；与上年相比增加</w:t>
      </w:r>
      <w:r>
        <w:rPr>
          <w:rFonts w:hint="eastAsia" w:ascii="仿宋" w:hAnsi="仿宋" w:eastAsia="仿宋" w:cs="仿宋"/>
          <w:sz w:val="32"/>
          <w:szCs w:val="32"/>
          <w:lang w:val="en-US" w:eastAsia="zh-CN"/>
        </w:rPr>
        <w:t>0.74</w:t>
      </w:r>
      <w:r>
        <w:rPr>
          <w:rFonts w:hint="eastAsia" w:ascii="仿宋" w:hAnsi="仿宋" w:eastAsia="仿宋" w:cs="仿宋"/>
          <w:sz w:val="32"/>
          <w:szCs w:val="32"/>
        </w:rPr>
        <w:t>万元，增长</w:t>
      </w:r>
      <w:r>
        <w:rPr>
          <w:rFonts w:hint="eastAsia" w:ascii="仿宋" w:hAnsi="仿宋" w:eastAsia="仿宋" w:cs="仿宋"/>
          <w:sz w:val="32"/>
          <w:szCs w:val="32"/>
          <w:lang w:val="en-US" w:eastAsia="zh-CN"/>
        </w:rPr>
        <w:t>37.76</w:t>
      </w:r>
      <w:r>
        <w:rPr>
          <w:rFonts w:hint="eastAsia" w:ascii="仿宋" w:hAnsi="仿宋" w:eastAsia="仿宋" w:cs="仿宋"/>
          <w:sz w:val="32"/>
          <w:szCs w:val="32"/>
        </w:rPr>
        <w:t>%。其中：</w:t>
      </w:r>
    </w:p>
    <w:p w14:paraId="76C7E86F">
      <w:pPr>
        <w:pStyle w:val="15"/>
        <w:overflowPunct w:val="0"/>
        <w:autoSpaceDE/>
        <w:autoSpaceDN/>
        <w:spacing w:line="600" w:lineRule="exact"/>
        <w:ind w:firstLine="640" w:firstLineChars="200"/>
        <w:jc w:val="both"/>
        <w:rPr>
          <w:rFonts w:hint="eastAsia" w:ascii="仿宋" w:hAnsi="仿宋" w:eastAsia="仿宋" w:cs="仿宋"/>
          <w:color w:val="000000"/>
          <w:sz w:val="32"/>
          <w:szCs w:val="32"/>
        </w:rPr>
      </w:pPr>
      <w:r>
        <w:rPr>
          <w:rFonts w:hint="eastAsia" w:ascii="仿宋" w:hAnsi="仿宋" w:eastAsia="仿宋" w:cs="仿宋"/>
          <w:sz w:val="32"/>
          <w:szCs w:val="32"/>
        </w:rPr>
        <w:t>公务用车购置费支出预算为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0</w:t>
      </w:r>
      <w:r>
        <w:rPr>
          <w:rFonts w:hint="eastAsia" w:ascii="仿宋" w:hAnsi="仿宋" w:eastAsia="仿宋" w:cs="仿宋"/>
          <w:sz w:val="32"/>
          <w:szCs w:val="32"/>
        </w:rPr>
        <w:t>%；与上年相比增加</w:t>
      </w:r>
      <w:r>
        <w:rPr>
          <w:rFonts w:hint="eastAsia" w:ascii="仿宋" w:hAnsi="仿宋" w:eastAsia="仿宋" w:cs="仿宋"/>
          <w:sz w:val="32"/>
          <w:szCs w:val="32"/>
          <w:lang w:val="en-US" w:eastAsia="zh-CN"/>
        </w:rPr>
        <w:t>0</w:t>
      </w:r>
      <w:r>
        <w:rPr>
          <w:rFonts w:hint="eastAsia" w:ascii="仿宋" w:hAnsi="仿宋" w:eastAsia="仿宋" w:cs="仿宋"/>
          <w:sz w:val="32"/>
          <w:szCs w:val="32"/>
        </w:rPr>
        <w:t>万元，决算数</w:t>
      </w:r>
      <w:r>
        <w:rPr>
          <w:rFonts w:hint="eastAsia" w:ascii="仿宋" w:hAnsi="仿宋" w:eastAsia="仿宋" w:cs="仿宋"/>
          <w:sz w:val="32"/>
          <w:szCs w:val="32"/>
          <w:lang w:eastAsia="zh-CN"/>
        </w:rPr>
        <w:t>与</w:t>
      </w:r>
      <w:r>
        <w:rPr>
          <w:rFonts w:hint="eastAsia" w:ascii="仿宋" w:hAnsi="仿宋" w:eastAsia="仿宋" w:cs="仿宋"/>
          <w:sz w:val="32"/>
          <w:szCs w:val="32"/>
        </w:rPr>
        <w:t>预算数</w:t>
      </w:r>
      <w:r>
        <w:rPr>
          <w:rFonts w:hint="eastAsia" w:ascii="仿宋" w:hAnsi="仿宋" w:eastAsia="仿宋" w:cs="仿宋"/>
          <w:sz w:val="32"/>
          <w:szCs w:val="32"/>
          <w:lang w:eastAsia="zh-CN"/>
        </w:rPr>
        <w:t>持平，与</w:t>
      </w:r>
      <w:r>
        <w:rPr>
          <w:rFonts w:hint="eastAsia" w:ascii="仿宋" w:hAnsi="仿宋" w:eastAsia="仿宋" w:cs="仿宋"/>
          <w:sz w:val="32"/>
          <w:szCs w:val="32"/>
        </w:rPr>
        <w:t>上年数</w:t>
      </w:r>
      <w:r>
        <w:rPr>
          <w:rFonts w:hint="eastAsia" w:ascii="仿宋" w:hAnsi="仿宋" w:eastAsia="仿宋" w:cs="仿宋"/>
          <w:sz w:val="32"/>
          <w:szCs w:val="32"/>
          <w:lang w:eastAsia="zh-CN"/>
        </w:rPr>
        <w:t>相比</w:t>
      </w:r>
      <w:r>
        <w:rPr>
          <w:rFonts w:hint="eastAsia" w:ascii="仿宋" w:hAnsi="仿宋" w:eastAsia="仿宋" w:cs="仿宋"/>
          <w:sz w:val="32"/>
          <w:szCs w:val="32"/>
          <w:lang w:val="en-US" w:eastAsia="zh-CN"/>
        </w:rPr>
        <w:t>2023年</w:t>
      </w:r>
      <w:r>
        <w:rPr>
          <w:rFonts w:hint="eastAsia" w:ascii="仿宋" w:hAnsi="仿宋" w:eastAsia="仿宋" w:cs="仿宋"/>
          <w:sz w:val="32"/>
          <w:szCs w:val="32"/>
        </w:rPr>
        <w:t>202</w:t>
      </w:r>
      <w:r>
        <w:rPr>
          <w:rFonts w:hint="eastAsia" w:ascii="仿宋" w:hAnsi="仿宋" w:eastAsia="仿宋" w:cs="仿宋"/>
          <w:sz w:val="32"/>
          <w:szCs w:val="32"/>
          <w:lang w:val="en-US" w:eastAsia="zh-CN"/>
        </w:rPr>
        <w:t>4两个</w:t>
      </w:r>
      <w:r>
        <w:rPr>
          <w:rFonts w:hint="eastAsia" w:ascii="仿宋" w:hAnsi="仿宋" w:eastAsia="仿宋" w:cs="仿宋"/>
          <w:sz w:val="32"/>
          <w:szCs w:val="32"/>
        </w:rPr>
        <w:t>年</w:t>
      </w:r>
      <w:r>
        <w:rPr>
          <w:rFonts w:hint="eastAsia" w:ascii="仿宋" w:hAnsi="仿宋" w:eastAsia="仿宋" w:cs="仿宋"/>
          <w:sz w:val="32"/>
          <w:szCs w:val="32"/>
          <w:lang w:eastAsia="zh-CN"/>
        </w:rPr>
        <w:t>度均无</w:t>
      </w:r>
      <w:r>
        <w:rPr>
          <w:rFonts w:hint="eastAsia" w:ascii="仿宋" w:hAnsi="仿宋" w:eastAsia="仿宋" w:cs="仿宋"/>
          <w:sz w:val="32"/>
          <w:szCs w:val="32"/>
        </w:rPr>
        <w:t>此项</w:t>
      </w:r>
      <w:r>
        <w:rPr>
          <w:rFonts w:hint="eastAsia" w:ascii="仿宋" w:hAnsi="仿宋" w:eastAsia="仿宋" w:cs="仿宋"/>
          <w:sz w:val="32"/>
          <w:szCs w:val="32"/>
          <w:lang w:eastAsia="zh-CN"/>
        </w:rPr>
        <w:t>支出</w:t>
      </w:r>
      <w:r>
        <w:rPr>
          <w:rFonts w:hint="eastAsia" w:ascii="仿宋" w:hAnsi="仿宋" w:eastAsia="仿宋" w:cs="仿宋"/>
          <w:color w:val="000000"/>
          <w:sz w:val="32"/>
          <w:szCs w:val="32"/>
        </w:rPr>
        <w:t>。</w:t>
      </w:r>
    </w:p>
    <w:p w14:paraId="09B480A3">
      <w:pPr>
        <w:pStyle w:val="15"/>
        <w:overflowPunct w:val="0"/>
        <w:autoSpaceDE/>
        <w:autoSpaceDN/>
        <w:spacing w:line="600" w:lineRule="exact"/>
        <w:ind w:firstLine="640" w:firstLineChars="200"/>
        <w:jc w:val="both"/>
        <w:rPr>
          <w:rFonts w:hint="eastAsia" w:ascii="仿宋" w:hAnsi="仿宋" w:eastAsia="仿宋" w:cs="仿宋"/>
          <w:b/>
          <w:bCs/>
          <w:i/>
          <w:sz w:val="32"/>
          <w:szCs w:val="32"/>
        </w:rPr>
      </w:pPr>
      <w:r>
        <w:rPr>
          <w:rFonts w:hint="eastAsia" w:ascii="仿宋" w:hAnsi="仿宋" w:eastAsia="仿宋" w:cs="仿宋"/>
          <w:sz w:val="32"/>
          <w:szCs w:val="32"/>
        </w:rPr>
        <w:t>公务用车运行维护费支出预算为</w:t>
      </w:r>
      <w:r>
        <w:rPr>
          <w:rFonts w:hint="eastAsia" w:ascii="仿宋" w:hAnsi="仿宋" w:eastAsia="仿宋" w:cs="仿宋"/>
          <w:sz w:val="32"/>
          <w:szCs w:val="32"/>
          <w:lang w:val="en-US" w:eastAsia="zh-CN"/>
        </w:rPr>
        <w:t>2.70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2.70</w:t>
      </w:r>
      <w:r>
        <w:rPr>
          <w:rFonts w:hint="eastAsia" w:ascii="仿宋" w:hAnsi="仿宋" w:eastAsia="仿宋" w:cs="仿宋"/>
          <w:sz w:val="32"/>
          <w:szCs w:val="32"/>
        </w:rPr>
        <w:t>万元，主要是</w:t>
      </w:r>
      <w:r>
        <w:rPr>
          <w:rFonts w:hint="eastAsia" w:ascii="仿宋" w:hAnsi="仿宋" w:eastAsia="仿宋" w:cs="仿宋"/>
          <w:color w:val="auto"/>
          <w:sz w:val="32"/>
          <w:szCs w:val="32"/>
          <w:lang w:eastAsia="zh-CN"/>
        </w:rPr>
        <w:t>维修费</w:t>
      </w:r>
      <w:r>
        <w:rPr>
          <w:rFonts w:hint="eastAsia" w:ascii="仿宋" w:hAnsi="仿宋" w:eastAsia="仿宋" w:cs="仿宋"/>
          <w:sz w:val="32"/>
          <w:szCs w:val="32"/>
        </w:rPr>
        <w:t>支出，完成预算的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%；与上年相比增加</w:t>
      </w:r>
      <w:r>
        <w:rPr>
          <w:rFonts w:hint="eastAsia" w:ascii="仿宋" w:hAnsi="仿宋" w:eastAsia="仿宋" w:cs="仿宋"/>
          <w:sz w:val="32"/>
          <w:szCs w:val="32"/>
          <w:lang w:val="en-US" w:eastAsia="zh-CN"/>
        </w:rPr>
        <w:t>0.74</w:t>
      </w:r>
      <w:r>
        <w:rPr>
          <w:rFonts w:hint="eastAsia" w:ascii="仿宋" w:hAnsi="仿宋" w:eastAsia="仿宋" w:cs="仿宋"/>
          <w:sz w:val="32"/>
          <w:szCs w:val="32"/>
        </w:rPr>
        <w:t>万元，增长</w:t>
      </w:r>
      <w:r>
        <w:rPr>
          <w:rFonts w:hint="eastAsia" w:ascii="仿宋" w:hAnsi="仿宋" w:eastAsia="仿宋" w:cs="仿宋"/>
          <w:sz w:val="32"/>
          <w:szCs w:val="32"/>
          <w:lang w:val="en-US" w:eastAsia="zh-CN"/>
        </w:rPr>
        <w:t>37.76</w:t>
      </w:r>
      <w:r>
        <w:rPr>
          <w:rFonts w:hint="eastAsia" w:ascii="仿宋" w:hAnsi="仿宋" w:eastAsia="仿宋" w:cs="仿宋"/>
          <w:sz w:val="32"/>
          <w:szCs w:val="32"/>
        </w:rPr>
        <w:t>%。决算数</w:t>
      </w:r>
      <w:r>
        <w:rPr>
          <w:rFonts w:hint="eastAsia" w:ascii="仿宋" w:hAnsi="仿宋" w:eastAsia="仿宋" w:cs="仿宋"/>
          <w:sz w:val="32"/>
          <w:szCs w:val="32"/>
          <w:lang w:eastAsia="zh-CN"/>
        </w:rPr>
        <w:t>与</w:t>
      </w:r>
      <w:r>
        <w:rPr>
          <w:rFonts w:hint="eastAsia" w:ascii="仿宋" w:hAnsi="仿宋" w:eastAsia="仿宋" w:cs="仿宋"/>
          <w:sz w:val="32"/>
          <w:szCs w:val="32"/>
        </w:rPr>
        <w:t>预算数</w:t>
      </w:r>
      <w:r>
        <w:rPr>
          <w:rFonts w:hint="eastAsia" w:ascii="仿宋" w:hAnsi="仿宋" w:eastAsia="仿宋" w:cs="仿宋"/>
          <w:sz w:val="32"/>
          <w:szCs w:val="32"/>
          <w:lang w:eastAsia="zh-CN"/>
        </w:rPr>
        <w:t>持平</w:t>
      </w:r>
      <w:r>
        <w:rPr>
          <w:rFonts w:hint="eastAsia" w:ascii="仿宋" w:hAnsi="仿宋" w:eastAsia="仿宋" w:cs="仿宋"/>
          <w:sz w:val="32"/>
          <w:szCs w:val="32"/>
        </w:rPr>
        <w:t>。决算数大于上年数的主要原因是</w:t>
      </w:r>
      <w:r>
        <w:rPr>
          <w:rFonts w:hint="eastAsia" w:ascii="仿宋" w:hAnsi="仿宋" w:eastAsia="仿宋" w:cs="仿宋"/>
          <w:color w:val="auto"/>
          <w:sz w:val="32"/>
          <w:szCs w:val="32"/>
          <w:lang w:eastAsia="zh-CN"/>
        </w:rPr>
        <w:t>车辆老化维修费用增加</w:t>
      </w:r>
      <w:r>
        <w:rPr>
          <w:rFonts w:hint="eastAsia" w:ascii="仿宋" w:hAnsi="仿宋" w:eastAsia="仿宋" w:cs="仿宋"/>
          <w:color w:val="auto"/>
          <w:sz w:val="32"/>
          <w:szCs w:val="32"/>
        </w:rPr>
        <w:t>。</w:t>
      </w:r>
      <w:r>
        <w:rPr>
          <w:rFonts w:hint="eastAsia" w:ascii="仿宋" w:hAnsi="仿宋" w:eastAsia="仿宋" w:cs="仿宋"/>
          <w:sz w:val="32"/>
          <w:szCs w:val="32"/>
        </w:rPr>
        <w:t>截止2024年12月31日，我单位开支财政拨款的公务用车保有量为</w:t>
      </w: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辆。</w:t>
      </w:r>
    </w:p>
    <w:p w14:paraId="0BA962FE">
      <w:pPr>
        <w:pStyle w:val="15"/>
        <w:overflowPunct w:val="0"/>
        <w:autoSpaceDE/>
        <w:autoSpaceDN/>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3.公务接待费支出预算为</w:t>
      </w:r>
      <w:r>
        <w:rPr>
          <w:rFonts w:hint="eastAsia" w:ascii="仿宋" w:hAnsi="仿宋" w:eastAsia="仿宋" w:cs="仿宋"/>
          <w:sz w:val="32"/>
          <w:szCs w:val="32"/>
          <w:lang w:val="en-US" w:eastAsia="zh-CN"/>
        </w:rPr>
        <w:t>0.13</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0.13</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%；与上年相比减少</w:t>
      </w:r>
      <w:r>
        <w:rPr>
          <w:rFonts w:hint="eastAsia" w:ascii="仿宋" w:hAnsi="仿宋" w:eastAsia="仿宋" w:cs="仿宋"/>
          <w:sz w:val="32"/>
          <w:szCs w:val="32"/>
          <w:lang w:val="en-US" w:eastAsia="zh-CN"/>
        </w:rPr>
        <w:t>0.46</w:t>
      </w:r>
      <w:r>
        <w:rPr>
          <w:rFonts w:hint="eastAsia" w:ascii="仿宋" w:hAnsi="仿宋" w:eastAsia="仿宋" w:cs="仿宋"/>
          <w:sz w:val="32"/>
          <w:szCs w:val="32"/>
        </w:rPr>
        <w:t>万元，降低</w:t>
      </w:r>
      <w:r>
        <w:rPr>
          <w:rFonts w:hint="eastAsia" w:ascii="仿宋" w:hAnsi="仿宋" w:eastAsia="仿宋" w:cs="仿宋"/>
          <w:sz w:val="32"/>
          <w:szCs w:val="32"/>
          <w:lang w:val="en-US" w:eastAsia="zh-CN"/>
        </w:rPr>
        <w:t>77.97</w:t>
      </w:r>
      <w:r>
        <w:rPr>
          <w:rFonts w:hint="eastAsia" w:ascii="仿宋" w:hAnsi="仿宋" w:eastAsia="仿宋" w:cs="仿宋"/>
          <w:sz w:val="32"/>
          <w:szCs w:val="32"/>
        </w:rPr>
        <w:t>%。决算数</w:t>
      </w:r>
      <w:r>
        <w:rPr>
          <w:rFonts w:hint="eastAsia" w:ascii="仿宋" w:hAnsi="仿宋" w:eastAsia="仿宋" w:cs="仿宋"/>
          <w:sz w:val="32"/>
          <w:szCs w:val="32"/>
          <w:lang w:eastAsia="zh-CN"/>
        </w:rPr>
        <w:t>与</w:t>
      </w:r>
      <w:r>
        <w:rPr>
          <w:rFonts w:hint="eastAsia" w:ascii="仿宋" w:hAnsi="仿宋" w:eastAsia="仿宋" w:cs="仿宋"/>
          <w:sz w:val="32"/>
          <w:szCs w:val="32"/>
        </w:rPr>
        <w:t>预算数</w:t>
      </w:r>
      <w:r>
        <w:rPr>
          <w:rFonts w:hint="eastAsia" w:ascii="仿宋" w:hAnsi="仿宋" w:eastAsia="仿宋" w:cs="仿宋"/>
          <w:sz w:val="32"/>
          <w:szCs w:val="32"/>
          <w:lang w:eastAsia="zh-CN"/>
        </w:rPr>
        <w:t>持平</w:t>
      </w:r>
      <w:r>
        <w:rPr>
          <w:rFonts w:hint="eastAsia" w:ascii="仿宋" w:hAnsi="仿宋" w:eastAsia="仿宋" w:cs="仿宋"/>
          <w:sz w:val="32"/>
          <w:szCs w:val="32"/>
        </w:rPr>
        <w:t>。决算数小于上年数的主要原因是我单位严格遵守中央“八项规定”以及省、市有关规定，严格控制公务接待费用</w:t>
      </w:r>
      <w:r>
        <w:rPr>
          <w:rFonts w:hint="eastAsia" w:ascii="仿宋" w:hAnsi="仿宋" w:eastAsia="仿宋" w:cs="仿宋"/>
          <w:sz w:val="32"/>
          <w:szCs w:val="32"/>
          <w:lang w:eastAsia="zh-CN"/>
        </w:rPr>
        <w:t>，厉行节约，压减支出</w:t>
      </w:r>
      <w:r>
        <w:rPr>
          <w:rFonts w:hint="eastAsia" w:ascii="仿宋" w:hAnsi="仿宋" w:eastAsia="仿宋" w:cs="仿宋"/>
          <w:sz w:val="32"/>
          <w:szCs w:val="32"/>
        </w:rPr>
        <w:t>。2024年度共接待来访团组</w:t>
      </w:r>
      <w:r>
        <w:rPr>
          <w:rFonts w:hint="eastAsia" w:ascii="仿宋" w:hAnsi="仿宋" w:eastAsia="仿宋" w:cs="仿宋"/>
          <w:sz w:val="32"/>
          <w:szCs w:val="32"/>
          <w:lang w:val="en-US" w:eastAsia="zh-CN"/>
        </w:rPr>
        <w:t>2</w:t>
      </w:r>
      <w:r>
        <w:rPr>
          <w:rFonts w:hint="eastAsia" w:ascii="仿宋" w:hAnsi="仿宋" w:eastAsia="仿宋" w:cs="仿宋"/>
          <w:sz w:val="32"/>
          <w:szCs w:val="32"/>
        </w:rPr>
        <w:t>个、来宾</w:t>
      </w:r>
      <w:r>
        <w:rPr>
          <w:rFonts w:hint="eastAsia" w:ascii="仿宋" w:hAnsi="仿宋" w:eastAsia="仿宋" w:cs="仿宋"/>
          <w:sz w:val="32"/>
          <w:szCs w:val="32"/>
          <w:lang w:val="en-US" w:eastAsia="zh-CN"/>
        </w:rPr>
        <w:t>7</w:t>
      </w:r>
      <w:r>
        <w:rPr>
          <w:rFonts w:hint="eastAsia" w:ascii="仿宋" w:hAnsi="仿宋" w:eastAsia="仿宋" w:cs="仿宋"/>
          <w:sz w:val="32"/>
          <w:szCs w:val="32"/>
        </w:rPr>
        <w:t>人次，主要是</w:t>
      </w:r>
      <w:r>
        <w:rPr>
          <w:rFonts w:hint="eastAsia" w:ascii="仿宋" w:hAnsi="仿宋" w:eastAsia="仿宋" w:cs="仿宋"/>
          <w:color w:val="auto"/>
          <w:sz w:val="32"/>
          <w:szCs w:val="32"/>
          <w:lang w:val="en-US" w:eastAsia="zh-CN"/>
        </w:rPr>
        <w:t>技术设备检测</w:t>
      </w:r>
      <w:r>
        <w:rPr>
          <w:rFonts w:hint="eastAsia" w:ascii="仿宋" w:hAnsi="仿宋" w:eastAsia="仿宋" w:cs="仿宋"/>
          <w:color w:val="auto"/>
          <w:sz w:val="32"/>
          <w:szCs w:val="32"/>
        </w:rPr>
        <w:t>公务接待费用</w:t>
      </w:r>
      <w:r>
        <w:rPr>
          <w:rFonts w:hint="eastAsia" w:ascii="仿宋" w:hAnsi="仿宋" w:eastAsia="仿宋" w:cs="仿宋"/>
          <w:color w:val="auto"/>
          <w:sz w:val="32"/>
          <w:szCs w:val="32"/>
          <w:lang w:eastAsia="zh-CN"/>
        </w:rPr>
        <w:t>，</w:t>
      </w:r>
      <w:r>
        <w:rPr>
          <w:rFonts w:hint="eastAsia" w:ascii="仿宋" w:hAnsi="仿宋" w:eastAsia="仿宋" w:cs="仿宋"/>
          <w:sz w:val="32"/>
          <w:szCs w:val="32"/>
        </w:rPr>
        <w:t>发生的接待支出。</w:t>
      </w:r>
    </w:p>
    <w:p w14:paraId="2C73BFCC">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5B6B78EF">
      <w:pPr>
        <w:pStyle w:val="9"/>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仿宋" w:hAnsi="仿宋" w:eastAsia="仿宋" w:cs="仿宋"/>
          <w:vanish w:val="0"/>
          <w:sz w:val="32"/>
          <w:szCs w:val="32"/>
          <w:lang w:val="en-US" w:eastAsia="zh-CN"/>
        </w:rPr>
      </w:pPr>
      <w:r>
        <w:rPr>
          <w:rFonts w:hint="eastAsia" w:ascii="仿宋" w:hAnsi="仿宋" w:eastAsia="仿宋" w:cs="仿宋"/>
          <w:sz w:val="32"/>
          <w:szCs w:val="32"/>
          <w:lang w:val="en-US" w:eastAsia="zh-CN"/>
        </w:rPr>
        <w:t>本单位无政府性基金收支。</w:t>
      </w:r>
    </w:p>
    <w:p w14:paraId="1E2345BD">
      <w:pPr>
        <w:pStyle w:val="15"/>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 w:hAnsi="仿宋" w:eastAsia="仿宋" w:cs="仿宋"/>
          <w:b/>
          <w:color w:val="auto"/>
          <w:sz w:val="32"/>
          <w:szCs w:val="32"/>
        </w:rPr>
      </w:pPr>
      <w:r>
        <w:rPr>
          <w:rFonts w:hint="eastAsia" w:ascii="黑体" w:hAnsi="黑体" w:eastAsia="黑体" w:cs="黑体"/>
          <w:b w:val="0"/>
          <w:bCs/>
          <w:color w:val="auto"/>
          <w:sz w:val="32"/>
          <w:szCs w:val="32"/>
        </w:rPr>
        <w:t>九、国有资本经营预算财政拨款</w:t>
      </w:r>
      <w:r>
        <w:rPr>
          <w:rFonts w:hint="eastAsia" w:hAnsi="黑体" w:cs="黑体"/>
          <w:b w:val="0"/>
          <w:bCs/>
          <w:color w:val="auto"/>
          <w:sz w:val="32"/>
          <w:szCs w:val="32"/>
          <w:lang w:val="en-US" w:eastAsia="zh-CN"/>
        </w:rPr>
        <w:t>收入</w:t>
      </w:r>
      <w:r>
        <w:rPr>
          <w:rFonts w:hint="eastAsia" w:ascii="黑体" w:hAnsi="黑体" w:eastAsia="黑体" w:cs="黑体"/>
          <w:b w:val="0"/>
          <w:bCs/>
          <w:color w:val="auto"/>
          <w:sz w:val="32"/>
          <w:szCs w:val="32"/>
        </w:rPr>
        <w:t>支出决算情况说明</w:t>
      </w:r>
    </w:p>
    <w:p w14:paraId="0F726148">
      <w:pPr>
        <w:pStyle w:val="9"/>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Times New Roman" w:hAnsi="Times New Roman" w:eastAsia="仿宋_GB2312" w:cstheme="minorBidi"/>
          <w:color w:val="auto"/>
          <w:kern w:val="2"/>
          <w:sz w:val="32"/>
          <w:szCs w:val="32"/>
          <w:lang w:val="en-US" w:eastAsia="zh-CN" w:bidi="ar-SA"/>
        </w:rPr>
      </w:pPr>
      <w:r>
        <w:rPr>
          <w:rFonts w:hint="eastAsia" w:ascii="Times New Roman" w:hAnsi="Times New Roman" w:eastAsia="仿宋_GB2312" w:cstheme="minorBidi"/>
          <w:color w:val="auto"/>
          <w:kern w:val="2"/>
          <w:sz w:val="32"/>
          <w:szCs w:val="32"/>
          <w:lang w:val="en-US" w:eastAsia="zh-CN" w:bidi="ar-SA"/>
        </w:rPr>
        <w:t>本单位无国有资本经营预算财政拨款收入，无国有资本经营预算财政拨款支出。</w:t>
      </w:r>
    </w:p>
    <w:p w14:paraId="1A891AD7">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val="en-US" w:eastAsia="zh-CN"/>
        </w:rPr>
        <w:t>十</w:t>
      </w:r>
      <w:r>
        <w:rPr>
          <w:rFonts w:ascii="Times New Roman" w:hAnsi="Times New Roman" w:cs="Times New Roman"/>
          <w:bCs/>
          <w:sz w:val="32"/>
          <w:szCs w:val="32"/>
        </w:rPr>
        <w:t>、关于机关运行经费支出说明</w:t>
      </w:r>
    </w:p>
    <w:p w14:paraId="2B621297">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heme="minorBidi"/>
          <w:color w:val="auto"/>
          <w:kern w:val="2"/>
          <w:sz w:val="32"/>
          <w:szCs w:val="32"/>
          <w:lang w:val="en-US" w:eastAsia="zh-CN" w:bidi="ar-SA"/>
        </w:rPr>
      </w:pPr>
      <w:r>
        <w:rPr>
          <w:rFonts w:hint="eastAsia" w:ascii="仿宋" w:hAnsi="仿宋" w:eastAsia="仿宋" w:cs="仿宋"/>
          <w:color w:val="auto"/>
          <w:sz w:val="32"/>
          <w:szCs w:val="32"/>
          <w:lang w:val="en-US" w:eastAsia="zh-CN"/>
        </w:rPr>
        <w:t>本部门属非参公事业单位</w:t>
      </w:r>
      <w:r>
        <w:rPr>
          <w:rFonts w:hint="eastAsia" w:ascii="Times New Roman" w:hAnsi="Times New Roman" w:eastAsia="仿宋_GB2312"/>
          <w:sz w:val="32"/>
          <w:szCs w:val="32"/>
        </w:rPr>
        <w:t>。</w:t>
      </w:r>
    </w:p>
    <w:p w14:paraId="504129F7">
      <w:pPr>
        <w:pStyle w:val="9"/>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Times New Roman" w:hAnsi="Times New Roman" w:eastAsia="黑体" w:cs="Times New Roman"/>
          <w:bCs/>
          <w:color w:val="000000"/>
          <w:sz w:val="32"/>
          <w:szCs w:val="32"/>
          <w:lang w:val="en-US" w:eastAsia="zh-CN" w:bidi="ar-SA"/>
        </w:rPr>
      </w:pPr>
      <w:r>
        <w:rPr>
          <w:rFonts w:ascii="Times New Roman" w:hAnsi="Times New Roman" w:eastAsia="黑体" w:cs="Times New Roman"/>
          <w:bCs/>
          <w:color w:val="000000"/>
          <w:sz w:val="32"/>
          <w:szCs w:val="32"/>
          <w:lang w:val="en-US" w:eastAsia="zh-CN" w:bidi="ar-SA"/>
        </w:rPr>
        <w:t>十</w:t>
      </w:r>
      <w:r>
        <w:rPr>
          <w:rFonts w:hint="eastAsia" w:ascii="Times New Roman" w:hAnsi="Times New Roman" w:eastAsia="黑体" w:cs="Times New Roman"/>
          <w:bCs/>
          <w:color w:val="000000"/>
          <w:sz w:val="32"/>
          <w:szCs w:val="32"/>
          <w:lang w:val="en-US" w:eastAsia="zh-CN" w:bidi="ar-SA"/>
        </w:rPr>
        <w:t>一</w:t>
      </w:r>
      <w:r>
        <w:rPr>
          <w:rFonts w:ascii="Times New Roman" w:hAnsi="Times New Roman" w:eastAsia="黑体" w:cs="Times New Roman"/>
          <w:bCs/>
          <w:color w:val="000000"/>
          <w:sz w:val="32"/>
          <w:szCs w:val="32"/>
          <w:lang w:val="en-US" w:eastAsia="zh-CN" w:bidi="ar-SA"/>
        </w:rPr>
        <w:t>、一般性支出情况说明</w:t>
      </w:r>
    </w:p>
    <w:p w14:paraId="68224850">
      <w:pPr>
        <w:pStyle w:val="15"/>
        <w:overflowPunct w:val="0"/>
        <w:autoSpaceDE/>
        <w:autoSpaceDN/>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2024年本部门开支会议费</w:t>
      </w:r>
      <w:r>
        <w:rPr>
          <w:rFonts w:hint="eastAsia" w:ascii="仿宋" w:hAnsi="仿宋" w:eastAsia="仿宋" w:cs="仿宋"/>
          <w:sz w:val="32"/>
          <w:szCs w:val="32"/>
          <w:lang w:val="en-US" w:eastAsia="zh-CN"/>
        </w:rPr>
        <w:t>0</w:t>
      </w:r>
      <w:r>
        <w:rPr>
          <w:rFonts w:hint="eastAsia" w:ascii="仿宋" w:hAnsi="仿宋" w:eastAsia="仿宋" w:cs="仿宋"/>
          <w:sz w:val="32"/>
          <w:szCs w:val="32"/>
        </w:rPr>
        <w:t>万元，用于召开</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场</w:t>
      </w:r>
      <w:r>
        <w:rPr>
          <w:rFonts w:hint="eastAsia" w:ascii="仿宋" w:hAnsi="仿宋" w:eastAsia="仿宋" w:cs="仿宋"/>
          <w:sz w:val="32"/>
          <w:szCs w:val="32"/>
        </w:rPr>
        <w:t>会议，人数</w:t>
      </w:r>
      <w:r>
        <w:rPr>
          <w:rFonts w:hint="eastAsia" w:ascii="仿宋" w:hAnsi="仿宋" w:eastAsia="仿宋" w:cs="仿宋"/>
          <w:sz w:val="32"/>
          <w:szCs w:val="32"/>
          <w:lang w:val="en-US" w:eastAsia="zh-CN"/>
        </w:rPr>
        <w:t>0</w:t>
      </w:r>
      <w:r>
        <w:rPr>
          <w:rFonts w:hint="eastAsia" w:ascii="仿宋" w:hAnsi="仿宋" w:eastAsia="仿宋" w:cs="仿宋"/>
          <w:sz w:val="32"/>
          <w:szCs w:val="32"/>
        </w:rPr>
        <w:t>人，内容为</w:t>
      </w:r>
      <w:r>
        <w:rPr>
          <w:rFonts w:hint="eastAsia" w:ascii="仿宋" w:hAnsi="仿宋" w:eastAsia="仿宋" w:cs="仿宋"/>
          <w:sz w:val="32"/>
          <w:szCs w:val="32"/>
          <w:lang w:eastAsia="zh-CN"/>
        </w:rPr>
        <w:t>无</w:t>
      </w:r>
      <w:r>
        <w:rPr>
          <w:rFonts w:hint="eastAsia" w:ascii="仿宋" w:hAnsi="仿宋" w:eastAsia="仿宋" w:cs="仿宋"/>
          <w:sz w:val="32"/>
          <w:szCs w:val="32"/>
        </w:rPr>
        <w:t>；开支培训费</w:t>
      </w:r>
      <w:r>
        <w:rPr>
          <w:rFonts w:hint="eastAsia" w:ascii="仿宋" w:hAnsi="仿宋" w:eastAsia="仿宋" w:cs="仿宋"/>
          <w:sz w:val="32"/>
          <w:szCs w:val="32"/>
          <w:lang w:val="en-US" w:eastAsia="zh-CN"/>
        </w:rPr>
        <w:t>0.12</w:t>
      </w:r>
      <w:r>
        <w:rPr>
          <w:rFonts w:hint="eastAsia" w:ascii="仿宋" w:hAnsi="仿宋" w:eastAsia="仿宋" w:cs="仿宋"/>
          <w:sz w:val="32"/>
          <w:szCs w:val="32"/>
        </w:rPr>
        <w:t>万元，</w:t>
      </w:r>
      <w:r>
        <w:rPr>
          <w:rFonts w:hint="eastAsia" w:ascii="仿宋" w:hAnsi="仿宋" w:eastAsia="仿宋" w:cs="仿宋"/>
          <w:color w:val="auto"/>
          <w:sz w:val="32"/>
          <w:szCs w:val="32"/>
        </w:rPr>
        <w:t>用于开展</w:t>
      </w:r>
      <w:r>
        <w:rPr>
          <w:rFonts w:hint="eastAsia" w:ascii="仿宋" w:hAnsi="仿宋" w:eastAsia="仿宋" w:cs="仿宋"/>
          <w:color w:val="auto"/>
          <w:sz w:val="32"/>
          <w:szCs w:val="32"/>
          <w:lang w:val="en-US" w:eastAsia="zh-CN"/>
        </w:rPr>
        <w:t>2次</w:t>
      </w:r>
      <w:r>
        <w:rPr>
          <w:rFonts w:hint="eastAsia" w:ascii="仿宋" w:hAnsi="仿宋" w:eastAsia="仿宋" w:cs="仿宋"/>
          <w:color w:val="auto"/>
          <w:sz w:val="32"/>
          <w:szCs w:val="32"/>
        </w:rPr>
        <w:t>培训，人数</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人，内容为</w:t>
      </w:r>
      <w:r>
        <w:rPr>
          <w:rFonts w:hint="eastAsia" w:ascii="仿宋" w:hAnsi="仿宋" w:eastAsia="仿宋" w:cs="仿宋"/>
          <w:color w:val="auto"/>
          <w:sz w:val="32"/>
          <w:szCs w:val="32"/>
          <w:lang w:val="en-US" w:eastAsia="zh-CN"/>
        </w:rPr>
        <w:t>参加专业技术培训</w:t>
      </w:r>
      <w:r>
        <w:rPr>
          <w:rFonts w:hint="eastAsia" w:ascii="仿宋" w:hAnsi="仿宋" w:eastAsia="仿宋" w:cs="仿宋"/>
          <w:sz w:val="32"/>
          <w:szCs w:val="32"/>
        </w:rPr>
        <w:t>；</w:t>
      </w:r>
      <w:r>
        <w:rPr>
          <w:rFonts w:hint="eastAsia" w:ascii="仿宋" w:hAnsi="仿宋" w:eastAsia="仿宋" w:cs="仿宋"/>
          <w:sz w:val="32"/>
          <w:szCs w:val="32"/>
          <w:lang w:eastAsia="zh-CN"/>
        </w:rPr>
        <w:t>未</w:t>
      </w:r>
      <w:r>
        <w:rPr>
          <w:rFonts w:hint="eastAsia" w:ascii="仿宋" w:hAnsi="仿宋" w:eastAsia="仿宋" w:cs="仿宋"/>
          <w:sz w:val="32"/>
          <w:szCs w:val="32"/>
        </w:rPr>
        <w:t>举办节庆、晚会、论坛、赛事</w:t>
      </w:r>
      <w:r>
        <w:rPr>
          <w:rFonts w:hint="eastAsia" w:ascii="仿宋" w:hAnsi="仿宋" w:eastAsia="仿宋" w:cs="仿宋"/>
          <w:sz w:val="32"/>
          <w:szCs w:val="32"/>
          <w:lang w:eastAsia="zh-CN"/>
        </w:rPr>
        <w:t>等</w:t>
      </w:r>
      <w:r>
        <w:rPr>
          <w:rFonts w:hint="eastAsia" w:ascii="仿宋" w:hAnsi="仿宋" w:eastAsia="仿宋" w:cs="仿宋"/>
          <w:sz w:val="32"/>
          <w:szCs w:val="32"/>
        </w:rPr>
        <w:t>活动，开支</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p>
    <w:p w14:paraId="680D739F">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二</w:t>
      </w:r>
      <w:r>
        <w:rPr>
          <w:rFonts w:ascii="Times New Roman" w:hAnsi="Times New Roman" w:cs="Times New Roman"/>
          <w:bCs/>
          <w:sz w:val="32"/>
          <w:szCs w:val="32"/>
        </w:rPr>
        <w:t>、关于政府采购支出说明</w:t>
      </w:r>
    </w:p>
    <w:p w14:paraId="466BE62D">
      <w:pPr>
        <w:pStyle w:val="15"/>
        <w:overflowPunct w:val="0"/>
        <w:autoSpaceDE/>
        <w:autoSpaceDN/>
        <w:spacing w:line="6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本部门2024年度政府采购支出总额</w:t>
      </w:r>
      <w:r>
        <w:rPr>
          <w:rFonts w:hint="eastAsia" w:ascii="仿宋" w:hAnsi="仿宋" w:eastAsia="仿宋" w:cs="仿宋"/>
          <w:color w:val="auto"/>
          <w:sz w:val="32"/>
          <w:szCs w:val="32"/>
          <w:lang w:val="en-US" w:eastAsia="zh-CN"/>
        </w:rPr>
        <w:t>76.7</w:t>
      </w:r>
      <w:r>
        <w:rPr>
          <w:rFonts w:hint="eastAsia" w:ascii="仿宋" w:hAnsi="仿宋" w:eastAsia="仿宋" w:cs="仿宋"/>
          <w:color w:val="auto"/>
          <w:sz w:val="32"/>
          <w:szCs w:val="32"/>
        </w:rPr>
        <w:t>万元，其中：政府采购货物支出</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万元、政府采购工程支出</w:t>
      </w:r>
      <w:r>
        <w:rPr>
          <w:rFonts w:hint="eastAsia" w:ascii="仿宋" w:hAnsi="仿宋" w:eastAsia="仿宋" w:cs="仿宋"/>
          <w:color w:val="auto"/>
          <w:sz w:val="32"/>
          <w:szCs w:val="32"/>
          <w:lang w:val="en-US" w:eastAsia="zh-CN"/>
        </w:rPr>
        <w:t>44.5</w:t>
      </w:r>
      <w:r>
        <w:rPr>
          <w:rFonts w:hint="eastAsia" w:ascii="仿宋" w:hAnsi="仿宋" w:eastAsia="仿宋" w:cs="仿宋"/>
          <w:color w:val="auto"/>
          <w:sz w:val="32"/>
          <w:szCs w:val="32"/>
        </w:rPr>
        <w:t>万元、政府采购服务支出</w:t>
      </w:r>
      <w:r>
        <w:rPr>
          <w:rFonts w:hint="eastAsia" w:ascii="仿宋" w:hAnsi="仿宋" w:eastAsia="仿宋" w:cs="仿宋"/>
          <w:color w:val="auto"/>
          <w:sz w:val="32"/>
          <w:szCs w:val="32"/>
          <w:lang w:val="en-US" w:eastAsia="zh-CN"/>
        </w:rPr>
        <w:t>26.2</w:t>
      </w:r>
      <w:r>
        <w:rPr>
          <w:rFonts w:hint="eastAsia" w:ascii="仿宋" w:hAnsi="仿宋" w:eastAsia="仿宋" w:cs="仿宋"/>
          <w:color w:val="auto"/>
          <w:sz w:val="32"/>
          <w:szCs w:val="32"/>
        </w:rPr>
        <w:t>万元。授予中小企业合同金额</w:t>
      </w:r>
      <w:r>
        <w:rPr>
          <w:rFonts w:hint="eastAsia" w:ascii="仿宋" w:hAnsi="仿宋" w:eastAsia="仿宋" w:cs="仿宋"/>
          <w:color w:val="auto"/>
          <w:sz w:val="32"/>
          <w:szCs w:val="32"/>
          <w:lang w:val="en-US" w:eastAsia="zh-CN"/>
        </w:rPr>
        <w:t>76.7</w:t>
      </w:r>
      <w:r>
        <w:rPr>
          <w:rFonts w:hint="eastAsia" w:ascii="仿宋" w:hAnsi="仿宋" w:eastAsia="仿宋" w:cs="仿宋"/>
          <w:color w:val="auto"/>
          <w:sz w:val="32"/>
          <w:szCs w:val="32"/>
        </w:rPr>
        <w:t>万元，占政府采购支出总额的</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%，其中：授予小微企业合同金额</w:t>
      </w:r>
      <w:r>
        <w:rPr>
          <w:rFonts w:hint="eastAsia" w:ascii="仿宋" w:hAnsi="仿宋" w:eastAsia="仿宋" w:cs="仿宋"/>
          <w:color w:val="auto"/>
          <w:sz w:val="32"/>
          <w:szCs w:val="32"/>
          <w:lang w:val="en-US" w:eastAsia="zh-CN"/>
        </w:rPr>
        <w:t>76.7</w:t>
      </w:r>
      <w:r>
        <w:rPr>
          <w:rFonts w:hint="eastAsia" w:ascii="仿宋" w:hAnsi="仿宋" w:eastAsia="仿宋" w:cs="仿宋"/>
          <w:color w:val="auto"/>
          <w:sz w:val="32"/>
          <w:szCs w:val="32"/>
        </w:rPr>
        <w:t>万元，占授予中小企业合同金额的</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%。货物采购授予中小企业合同金额占货物支出金额的</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%，工程采购授予中小企业合同金额占工程支出金额的</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%，服务采购授予中小企业合同金额占服务支出金额的</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w:t>
      </w:r>
    </w:p>
    <w:p w14:paraId="3CA74D3B">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三</w:t>
      </w:r>
      <w:r>
        <w:rPr>
          <w:rFonts w:ascii="Times New Roman" w:hAnsi="Times New Roman" w:cs="Times New Roman"/>
          <w:bCs/>
          <w:color w:val="auto"/>
          <w:sz w:val="32"/>
          <w:szCs w:val="32"/>
        </w:rPr>
        <w:t>、关于国有资产占用情况说明</w:t>
      </w:r>
    </w:p>
    <w:p w14:paraId="4E4E3839">
      <w:pPr>
        <w:pStyle w:val="15"/>
        <w:overflowPunct w:val="0"/>
        <w:autoSpaceDE/>
        <w:autoSpaceDN/>
        <w:spacing w:line="6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截至2024年12月31日，部门（单位）共有车辆</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辆，其中，副部（省）级及以上领导用车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辆、主要负责人用车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辆、机要通信用车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辆、应急保障用车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辆、执法执勤用车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辆、特种专业技术用车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辆、离退休干部服务用车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辆、其他用车</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辆，其他用车主要是</w:t>
      </w:r>
      <w:r>
        <w:rPr>
          <w:rFonts w:hint="eastAsia" w:ascii="仿宋" w:hAnsi="仿宋" w:eastAsia="仿宋" w:cs="仿宋"/>
          <w:color w:val="auto"/>
          <w:sz w:val="32"/>
          <w:szCs w:val="32"/>
          <w:lang w:eastAsia="zh-CN"/>
        </w:rPr>
        <w:t>公务用车</w:t>
      </w:r>
      <w:r>
        <w:rPr>
          <w:rFonts w:hint="eastAsia" w:ascii="仿宋" w:hAnsi="仿宋" w:eastAsia="仿宋" w:cs="仿宋"/>
          <w:color w:val="auto"/>
          <w:sz w:val="32"/>
          <w:szCs w:val="32"/>
        </w:rPr>
        <w:t>；单位价值100万元以上设备（不含车辆）</w:t>
      </w:r>
      <w:r>
        <w:rPr>
          <w:rFonts w:hint="eastAsia" w:ascii="仿宋" w:hAnsi="仿宋" w:eastAsia="仿宋" w:cs="仿宋"/>
          <w:color w:val="FF0000"/>
          <w:sz w:val="32"/>
          <w:szCs w:val="32"/>
          <w:lang w:val="en-US" w:eastAsia="zh-CN"/>
        </w:rPr>
        <w:t>1</w:t>
      </w:r>
      <w:r>
        <w:rPr>
          <w:rFonts w:hint="eastAsia" w:ascii="仿宋" w:hAnsi="仿宋" w:eastAsia="仿宋" w:cs="仿宋"/>
          <w:color w:val="auto"/>
          <w:sz w:val="32"/>
          <w:szCs w:val="32"/>
        </w:rPr>
        <w:t>台（套）。</w:t>
      </w:r>
    </w:p>
    <w:p w14:paraId="304FA391">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24F79DFD">
      <w:pPr>
        <w:keepNext w:val="0"/>
        <w:keepLines w:val="0"/>
        <w:pageBreakBefore w:val="0"/>
        <w:kinsoku/>
        <w:wordWrap/>
        <w:overflowPunct/>
        <w:topLinePunct w:val="0"/>
        <w:autoSpaceDE/>
        <w:autoSpaceDN/>
        <w:bidi w:val="0"/>
        <w:adjustRightInd/>
        <w:spacing w:afterAutospacing="0" w:line="360" w:lineRule="auto"/>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2024年</w:t>
      </w:r>
      <w:r>
        <w:rPr>
          <w:rFonts w:hint="eastAsia" w:ascii="仿宋" w:hAnsi="仿宋" w:eastAsia="仿宋" w:cs="仿宋"/>
          <w:color w:val="000000" w:themeColor="text1"/>
          <w:sz w:val="32"/>
          <w:szCs w:val="32"/>
          <w14:textFill>
            <w14:solidFill>
              <w14:schemeClr w14:val="tx1"/>
            </w14:solidFill>
          </w14:textFill>
        </w:rPr>
        <w:t>在市委、市政府和市广播电视台的正确领导和大力支持下，</w:t>
      </w:r>
      <w:r>
        <w:rPr>
          <w:rFonts w:hint="eastAsia" w:ascii="仿宋" w:hAnsi="仿宋" w:eastAsia="仿宋" w:cs="仿宋"/>
          <w:color w:val="000000" w:themeColor="text1"/>
          <w:sz w:val="32"/>
          <w:szCs w:val="32"/>
          <w:lang w:val="en-US" w:eastAsia="zh-CN"/>
          <w14:textFill>
            <w14:solidFill>
              <w14:schemeClr w14:val="tx1"/>
            </w14:solidFill>
          </w14:textFill>
        </w:rPr>
        <w:t>深入</w:t>
      </w:r>
      <w:r>
        <w:rPr>
          <w:rFonts w:hint="eastAsia" w:ascii="仿宋" w:hAnsi="仿宋" w:eastAsia="仿宋" w:cs="仿宋"/>
          <w:color w:val="000000" w:themeColor="text1"/>
          <w:sz w:val="32"/>
          <w:szCs w:val="32"/>
          <w:lang w:eastAsia="zh-CN"/>
          <w14:textFill>
            <w14:solidFill>
              <w14:schemeClr w14:val="tx1"/>
            </w14:solidFill>
          </w14:textFill>
        </w:rPr>
        <w:t>学习</w:t>
      </w:r>
      <w:r>
        <w:rPr>
          <w:rFonts w:hint="eastAsia" w:ascii="仿宋" w:hAnsi="仿宋" w:eastAsia="仿宋" w:cs="仿宋"/>
          <w:color w:val="000000" w:themeColor="text1"/>
          <w:sz w:val="32"/>
          <w:szCs w:val="32"/>
          <w14:textFill>
            <w14:solidFill>
              <w14:schemeClr w14:val="tx1"/>
            </w14:solidFill>
          </w14:textFill>
        </w:rPr>
        <w:t>贯彻</w:t>
      </w:r>
      <w:r>
        <w:rPr>
          <w:rFonts w:hint="eastAsia" w:ascii="仿宋" w:hAnsi="仿宋" w:eastAsia="仿宋" w:cs="仿宋"/>
          <w:color w:val="000000" w:themeColor="text1"/>
          <w:sz w:val="32"/>
          <w:szCs w:val="32"/>
          <w:lang w:val="en-US" w:eastAsia="zh-CN"/>
          <w14:textFill>
            <w14:solidFill>
              <w14:schemeClr w14:val="tx1"/>
            </w14:solidFill>
          </w14:textFill>
        </w:rPr>
        <w:t>新思想、</w:t>
      </w:r>
      <w:r>
        <w:rPr>
          <w:rFonts w:hint="eastAsia" w:ascii="仿宋" w:hAnsi="仿宋" w:eastAsia="仿宋" w:cs="仿宋"/>
          <w:color w:val="000000" w:themeColor="text1"/>
          <w:sz w:val="32"/>
          <w:szCs w:val="32"/>
          <w14:textFill>
            <w14:solidFill>
              <w14:schemeClr w14:val="tx1"/>
            </w14:solidFill>
          </w14:textFill>
        </w:rPr>
        <w:t>二十大</w:t>
      </w:r>
      <w:r>
        <w:rPr>
          <w:rFonts w:hint="eastAsia" w:ascii="仿宋" w:hAnsi="仿宋" w:eastAsia="仿宋" w:cs="仿宋"/>
          <w:color w:val="000000" w:themeColor="text1"/>
          <w:sz w:val="32"/>
          <w:szCs w:val="32"/>
          <w:lang w:val="en-US" w:eastAsia="zh-CN"/>
          <w14:textFill>
            <w14:solidFill>
              <w14:schemeClr w14:val="tx1"/>
            </w14:solidFill>
          </w14:textFill>
        </w:rPr>
        <w:t>和二十届三中全会</w:t>
      </w:r>
      <w:r>
        <w:rPr>
          <w:rFonts w:hint="eastAsia" w:ascii="仿宋" w:hAnsi="仿宋" w:eastAsia="仿宋" w:cs="仿宋"/>
          <w:color w:val="000000" w:themeColor="text1"/>
          <w:sz w:val="32"/>
          <w:szCs w:val="32"/>
          <w14:textFill>
            <w14:solidFill>
              <w14:schemeClr w14:val="tx1"/>
            </w14:solidFill>
          </w14:textFill>
        </w:rPr>
        <w:t>精神，</w:t>
      </w:r>
      <w:r>
        <w:rPr>
          <w:rFonts w:hint="eastAsia" w:ascii="仿宋" w:hAnsi="仿宋" w:eastAsia="仿宋" w:cs="仿宋"/>
          <w:color w:val="000000" w:themeColor="text1"/>
          <w:sz w:val="32"/>
          <w:szCs w:val="32"/>
          <w:lang w:val="en-US" w:eastAsia="zh-CN"/>
          <w14:textFill>
            <w14:solidFill>
              <w14:schemeClr w14:val="tx1"/>
            </w14:solidFill>
          </w14:textFill>
        </w:rPr>
        <w:t>围绕以党建工作为引领，</w:t>
      </w:r>
      <w:r>
        <w:rPr>
          <w:rFonts w:hint="eastAsia" w:ascii="仿宋" w:hAnsi="仿宋" w:eastAsia="仿宋" w:cs="仿宋"/>
          <w:color w:val="000000" w:themeColor="text1"/>
          <w:sz w:val="32"/>
          <w:szCs w:val="32"/>
          <w14:textFill>
            <w14:solidFill>
              <w14:schemeClr w14:val="tx1"/>
            </w14:solidFill>
          </w14:textFill>
        </w:rPr>
        <w:t>以安全优质播出为目标</w:t>
      </w:r>
      <w:r>
        <w:rPr>
          <w:rFonts w:hint="eastAsia" w:ascii="仿宋" w:hAnsi="仿宋" w:eastAsia="仿宋" w:cs="仿宋"/>
          <w:color w:val="000000" w:themeColor="text1"/>
          <w:sz w:val="32"/>
          <w:szCs w:val="32"/>
          <w:lang w:val="en-US" w:eastAsia="zh-CN"/>
          <w14:textFill>
            <w14:solidFill>
              <w14:schemeClr w14:val="tx1"/>
            </w14:solidFill>
          </w14:textFill>
        </w:rPr>
        <w:t>的思路</w:t>
      </w:r>
      <w:r>
        <w:rPr>
          <w:rFonts w:hint="eastAsia" w:ascii="仿宋" w:hAnsi="仿宋" w:eastAsia="仿宋" w:cs="仿宋"/>
          <w:color w:val="000000" w:themeColor="text1"/>
          <w:sz w:val="32"/>
          <w:szCs w:val="32"/>
          <w14:textFill>
            <w14:solidFill>
              <w14:schemeClr w14:val="tx1"/>
            </w14:solidFill>
          </w14:textFill>
        </w:rPr>
        <w:t>，坚持强素质、抓管理，实现了各项工作的新突破。</w:t>
      </w:r>
      <w:r>
        <w:rPr>
          <w:rFonts w:hint="eastAsia" w:ascii="仿宋" w:hAnsi="仿宋" w:eastAsia="仿宋" w:cs="仿宋"/>
          <w:color w:val="000000" w:themeColor="text1"/>
          <w:sz w:val="32"/>
          <w:szCs w:val="32"/>
          <w:lang w:val="en-US" w:eastAsia="zh-CN"/>
          <w14:textFill>
            <w14:solidFill>
              <w14:schemeClr w14:val="tx1"/>
            </w14:solidFill>
          </w14:textFill>
        </w:rPr>
        <w:t>现将工作情况汇报如下：</w:t>
      </w:r>
    </w:p>
    <w:p w14:paraId="2890AACC">
      <w:pPr>
        <w:keepNext w:val="0"/>
        <w:keepLines w:val="0"/>
        <w:pageBreakBefore w:val="0"/>
        <w:kinsoku/>
        <w:wordWrap/>
        <w:overflowPunct/>
        <w:topLinePunct w:val="0"/>
        <w:autoSpaceDE/>
        <w:autoSpaceDN/>
        <w:bidi w:val="0"/>
        <w:adjustRightInd/>
        <w:spacing w:afterAutospacing="0" w:line="360" w:lineRule="auto"/>
        <w:ind w:firstLine="643" w:firstLineChars="200"/>
        <w:jc w:val="left"/>
        <w:textAlignment w:val="auto"/>
        <w:rPr>
          <w:rFonts w:hint="eastAsia" w:ascii="仿宋" w:hAnsi="仿宋" w:eastAsia="仿宋" w:cs="仿宋"/>
          <w:b/>
          <w:bCs w:val="0"/>
          <w:color w:val="000000" w:themeColor="text1"/>
          <w:sz w:val="32"/>
          <w:szCs w:val="32"/>
          <w:lang w:val="en-US" w:eastAsia="zh-CN"/>
          <w14:textFill>
            <w14:solidFill>
              <w14:schemeClr w14:val="tx1"/>
            </w14:solidFill>
          </w14:textFill>
        </w:rPr>
      </w:pPr>
      <w:r>
        <w:rPr>
          <w:rFonts w:hint="eastAsia" w:ascii="仿宋" w:hAnsi="仿宋" w:eastAsia="仿宋" w:cs="仿宋"/>
          <w:b/>
          <w:bCs w:val="0"/>
          <w:color w:val="000000" w:themeColor="text1"/>
          <w:sz w:val="32"/>
          <w:szCs w:val="32"/>
          <w14:textFill>
            <w14:solidFill>
              <w14:schemeClr w14:val="tx1"/>
            </w14:solidFill>
          </w14:textFill>
        </w:rPr>
        <w:t>一、</w:t>
      </w:r>
      <w:r>
        <w:rPr>
          <w:rFonts w:hint="eastAsia" w:ascii="仿宋" w:hAnsi="仿宋" w:eastAsia="仿宋" w:cs="仿宋"/>
          <w:b/>
          <w:bCs w:val="0"/>
          <w:color w:val="000000" w:themeColor="text1"/>
          <w:sz w:val="32"/>
          <w:szCs w:val="32"/>
          <w:lang w:val="en-US" w:eastAsia="zh-CN"/>
          <w14:textFill>
            <w14:solidFill>
              <w14:schemeClr w14:val="tx1"/>
            </w14:solidFill>
          </w14:textFill>
        </w:rPr>
        <w:t>2024年工作开展情况</w:t>
      </w:r>
    </w:p>
    <w:p w14:paraId="48EA5451">
      <w:pPr>
        <w:keepNext w:val="0"/>
        <w:keepLines w:val="0"/>
        <w:pageBreakBefore w:val="0"/>
        <w:numPr>
          <w:ilvl w:val="0"/>
          <w:numId w:val="0"/>
        </w:numPr>
        <w:kinsoku/>
        <w:wordWrap/>
        <w:overflowPunct/>
        <w:topLinePunct w:val="0"/>
        <w:autoSpaceDE/>
        <w:autoSpaceDN/>
        <w:bidi w:val="0"/>
        <w:adjustRightInd/>
        <w:snapToGrid/>
        <w:spacing w:afterAutospacing="0" w:line="360" w:lineRule="auto"/>
        <w:ind w:firstLine="643" w:firstLineChars="200"/>
        <w:jc w:val="left"/>
        <w:textAlignment w:val="auto"/>
        <w:rPr>
          <w:rFonts w:hint="eastAsia" w:ascii="仿宋" w:hAnsi="仿宋" w:eastAsia="仿宋" w:cs="仿宋"/>
          <w:b w:val="0"/>
          <w:bCs w:val="0"/>
          <w:i w:val="0"/>
          <w:iCs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bCs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b/>
          <w:bCs w:val="0"/>
          <w:caps w:val="0"/>
          <w:color w:val="000000" w:themeColor="text1"/>
          <w:spacing w:val="0"/>
          <w:sz w:val="32"/>
          <w:szCs w:val="32"/>
          <w:lang w:val="en-US" w:eastAsia="zh-CN"/>
          <w14:textFill>
            <w14:solidFill>
              <w14:schemeClr w14:val="tx1"/>
            </w14:solidFill>
          </w14:textFill>
        </w:rPr>
        <w:t>一</w:t>
      </w:r>
      <w:r>
        <w:rPr>
          <w:rFonts w:hint="eastAsia" w:ascii="仿宋" w:hAnsi="仿宋" w:eastAsia="仿宋" w:cs="仿宋"/>
          <w:b/>
          <w:bCs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b/>
          <w:bCs w:val="0"/>
          <w:caps w:val="0"/>
          <w:color w:val="000000" w:themeColor="text1"/>
          <w:spacing w:val="0"/>
          <w:sz w:val="32"/>
          <w:szCs w:val="32"/>
          <w14:textFill>
            <w14:solidFill>
              <w14:schemeClr w14:val="tx1"/>
            </w14:solidFill>
          </w14:textFill>
        </w:rPr>
        <w:t>坚持党建引领，强化队伍建设</w:t>
      </w:r>
      <w:r>
        <w:rPr>
          <w:rFonts w:hint="eastAsia" w:ascii="仿宋" w:hAnsi="仿宋" w:eastAsia="仿宋" w:cs="仿宋"/>
          <w:b/>
          <w:bCs w:val="0"/>
          <w:caps w:val="0"/>
          <w:color w:val="000000" w:themeColor="text1"/>
          <w:spacing w:val="0"/>
          <w:sz w:val="32"/>
          <w:szCs w:val="32"/>
          <w:lang w:eastAsia="zh-CN"/>
          <w14:textFill>
            <w14:solidFill>
              <w14:schemeClr w14:val="tx1"/>
            </w14:solidFill>
          </w14:textFill>
        </w:rPr>
        <w:t>。</w:t>
      </w:r>
    </w:p>
    <w:p w14:paraId="3B08DFCF">
      <w:pPr>
        <w:keepNext w:val="0"/>
        <w:keepLines w:val="0"/>
        <w:pageBreakBefore w:val="0"/>
        <w:numPr>
          <w:ilvl w:val="0"/>
          <w:numId w:val="0"/>
        </w:numPr>
        <w:kinsoku/>
        <w:wordWrap/>
        <w:overflowPunct/>
        <w:topLinePunct w:val="0"/>
        <w:autoSpaceDE/>
        <w:autoSpaceDN/>
        <w:bidi w:val="0"/>
        <w:adjustRightInd/>
        <w:snapToGrid/>
        <w:spacing w:afterAutospacing="0" w:line="360" w:lineRule="auto"/>
        <w:ind w:firstLine="640" w:firstLineChars="200"/>
        <w:jc w:val="left"/>
        <w:textAlignment w:val="auto"/>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一是强化组织引领作用。切实发挥党组织战斗堡垒作用，始终将增强政治功能深透到日常业务发展中</w:t>
      </w:r>
      <w:r>
        <w:rPr>
          <w:rFonts w:hint="eastAsia" w:ascii="仿宋" w:hAnsi="仿宋" w:eastAsia="仿宋" w:cs="仿宋"/>
          <w:b w:val="0"/>
          <w:bCs w:val="0"/>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32"/>
          <w:szCs w:val="32"/>
          <w:shd w:val="clear" w:fill="FFFFFF"/>
          <w:lang w:val="en-US" w:eastAsia="zh-CN"/>
          <w14:textFill>
            <w14:solidFill>
              <w14:schemeClr w14:val="tx1"/>
            </w14:solidFill>
          </w14:textFill>
        </w:rPr>
        <w:t>严格执行“三会一课”学习教育制度，认真</w:t>
      </w:r>
      <w:r>
        <w:rPr>
          <w:rFonts w:hint="eastAsia" w:ascii="仿宋" w:hAnsi="仿宋" w:eastAsia="仿宋" w:cs="仿宋"/>
          <w:color w:val="000000" w:themeColor="text1"/>
          <w:sz w:val="32"/>
          <w:szCs w:val="32"/>
          <w:lang w:val="en-US" w:eastAsia="zh-CN"/>
          <w14:textFill>
            <w14:solidFill>
              <w14:schemeClr w14:val="tx1"/>
            </w14:solidFill>
          </w14:textFill>
        </w:rPr>
        <w:t>开展</w:t>
      </w:r>
      <w:r>
        <w:rPr>
          <w:rFonts w:hint="eastAsia" w:ascii="仿宋" w:hAnsi="仿宋" w:eastAsia="仿宋" w:cs="仿宋"/>
          <w:color w:val="000000" w:themeColor="text1"/>
          <w:sz w:val="32"/>
          <w:szCs w:val="32"/>
          <w14:textFill>
            <w14:solidFill>
              <w14:schemeClr w14:val="tx1"/>
            </w14:solidFill>
          </w14:textFill>
        </w:rPr>
        <w:t>党纪学习教育</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在全</w:t>
      </w:r>
      <w:r>
        <w:rPr>
          <w:rFonts w:hint="eastAsia" w:ascii="仿宋" w:hAnsi="仿宋" w:eastAsia="仿宋" w:cs="仿宋"/>
          <w:color w:val="000000" w:themeColor="text1"/>
          <w:sz w:val="32"/>
          <w:szCs w:val="32"/>
          <w:lang w:val="en-US" w:eastAsia="zh-CN"/>
          <w14:textFill>
            <w14:solidFill>
              <w14:schemeClr w14:val="tx1"/>
            </w14:solidFill>
          </w14:textFill>
        </w:rPr>
        <w:t>台</w:t>
      </w:r>
      <w:r>
        <w:rPr>
          <w:rFonts w:hint="eastAsia" w:ascii="仿宋" w:hAnsi="仿宋" w:eastAsia="仿宋" w:cs="仿宋"/>
          <w:color w:val="000000" w:themeColor="text1"/>
          <w:sz w:val="32"/>
          <w:szCs w:val="32"/>
          <w14:textFill>
            <w14:solidFill>
              <w14:schemeClr w14:val="tx1"/>
            </w14:solidFill>
          </w14:textFill>
        </w:rPr>
        <w:t>营造党员干部学纪、知纪、明纪、守纪的浓厚氛围</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通过书记讲党课、</w:t>
      </w:r>
      <w:r>
        <w:rPr>
          <w:rFonts w:hint="eastAsia" w:ascii="仿宋" w:hAnsi="仿宋" w:eastAsia="仿宋" w:cs="仿宋"/>
          <w:b w:val="0"/>
          <w:bCs w:val="0"/>
          <w:i w:val="0"/>
          <w:iCs w:val="0"/>
          <w:caps w:val="0"/>
          <w:color w:val="000000" w:themeColor="text1"/>
          <w:spacing w:val="0"/>
          <w:sz w:val="32"/>
          <w:szCs w:val="32"/>
          <w:shd w:val="clear" w:fill="FFFFFF"/>
          <w:lang w:val="en-US" w:eastAsia="zh-CN"/>
          <w14:textFill>
            <w14:solidFill>
              <w14:schemeClr w14:val="tx1"/>
            </w14:solidFill>
          </w14:textFill>
        </w:rPr>
        <w:t>组织生活</w:t>
      </w:r>
      <w:r>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会等多种活动形式，进一步激励</w:t>
      </w:r>
      <w:r>
        <w:rPr>
          <w:rFonts w:hint="eastAsia" w:ascii="仿宋" w:hAnsi="仿宋" w:eastAsia="仿宋" w:cs="仿宋"/>
          <w:b w:val="0"/>
          <w:bCs w:val="0"/>
          <w:i w:val="0"/>
          <w:iCs w:val="0"/>
          <w:caps w:val="0"/>
          <w:color w:val="000000" w:themeColor="text1"/>
          <w:spacing w:val="0"/>
          <w:sz w:val="32"/>
          <w:szCs w:val="32"/>
          <w:shd w:val="clear" w:fill="FFFFFF"/>
          <w:lang w:eastAsia="zh-CN"/>
          <w14:textFill>
            <w14:solidFill>
              <w14:schemeClr w14:val="tx1"/>
            </w14:solidFill>
          </w14:textFill>
        </w:rPr>
        <w:t>干部职工</w:t>
      </w:r>
      <w:r>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在本职工作争当岗位先锋。</w:t>
      </w:r>
    </w:p>
    <w:p w14:paraId="3045A921">
      <w:pPr>
        <w:keepNext w:val="0"/>
        <w:keepLines w:val="0"/>
        <w:pageBreakBefore w:val="0"/>
        <w:numPr>
          <w:ilvl w:val="0"/>
          <w:numId w:val="0"/>
        </w:numPr>
        <w:kinsoku/>
        <w:wordWrap/>
        <w:overflowPunct/>
        <w:topLinePunct w:val="0"/>
        <w:autoSpaceDE/>
        <w:autoSpaceDN/>
        <w:bidi w:val="0"/>
        <w:adjustRightInd/>
        <w:snapToGrid/>
        <w:spacing w:afterAutospacing="0" w:line="360" w:lineRule="auto"/>
        <w:ind w:firstLine="640" w:firstLineChars="200"/>
        <w:jc w:val="left"/>
        <w:textAlignment w:val="auto"/>
        <w:rPr>
          <w:rFonts w:hint="eastAsia" w:ascii="仿宋" w:hAnsi="仿宋" w:eastAsia="仿宋" w:cs="仿宋"/>
          <w:b w:val="0"/>
          <w:bCs w:val="0"/>
          <w:i w:val="0"/>
          <w:iCs w:val="0"/>
          <w:caps w:val="0"/>
          <w:color w:val="000000" w:themeColor="text1"/>
          <w:spacing w:val="0"/>
          <w:sz w:val="32"/>
          <w:szCs w:val="32"/>
          <w:shd w:val="clear" w:fill="FFFFFF"/>
          <w:lang w:eastAsia="zh-CN"/>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二是</w:t>
      </w:r>
      <w:r>
        <w:rPr>
          <w:rStyle w:val="12"/>
          <w:rFonts w:hint="eastAsia" w:ascii="仿宋" w:hAnsi="仿宋" w:eastAsia="仿宋" w:cs="仿宋"/>
          <w:b w:val="0"/>
          <w:bCs w:val="0"/>
          <w:i w:val="0"/>
          <w:caps w:val="0"/>
          <w:color w:val="000000" w:themeColor="text1"/>
          <w:spacing w:val="0"/>
          <w:sz w:val="32"/>
          <w:szCs w:val="32"/>
          <w:shd w:val="clear" w:fill="FFFFFF"/>
          <w:lang w:val="en-US" w:eastAsia="zh-CN"/>
          <w14:textFill>
            <w14:solidFill>
              <w14:schemeClr w14:val="tx1"/>
            </w14:solidFill>
          </w14:textFill>
        </w:rPr>
        <w:t>增强廉洁从业意识。</w:t>
      </w:r>
      <w:r>
        <w:rPr>
          <w:rFonts w:hint="eastAsia" w:ascii="仿宋" w:hAnsi="仿宋" w:eastAsia="仿宋" w:cs="仿宋"/>
          <w:color w:val="000000" w:themeColor="text1"/>
          <w:sz w:val="32"/>
          <w:szCs w:val="32"/>
          <w:lang w:val="en-US" w:eastAsia="zh-CN"/>
          <w14:textFill>
            <w14:solidFill>
              <w14:schemeClr w14:val="tx1"/>
            </w14:solidFill>
          </w14:textFill>
        </w:rPr>
        <w:t>组织党员干部前往怀化市清廉文化教育馆、</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安江农校杂交水稻纪念园</w:t>
      </w:r>
      <w:r>
        <w:rPr>
          <w:rFonts w:hint="eastAsia" w:ascii="仿宋" w:hAnsi="仿宋" w:eastAsia="仿宋" w:cs="仿宋"/>
          <w:color w:val="000000" w:themeColor="text1"/>
          <w:sz w:val="32"/>
          <w:szCs w:val="32"/>
          <w:lang w:val="en-US" w:eastAsia="zh-CN"/>
          <w14:textFill>
            <w14:solidFill>
              <w14:schemeClr w14:val="tx1"/>
            </w14:solidFill>
          </w14:textFill>
        </w:rPr>
        <w:t>开展</w:t>
      </w:r>
      <w:r>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主题党日活动</w:t>
      </w:r>
      <w:r>
        <w:rPr>
          <w:rFonts w:hint="eastAsia" w:ascii="仿宋" w:hAnsi="仿宋" w:eastAsia="仿宋" w:cs="仿宋"/>
          <w:b w:val="0"/>
          <w:bCs w:val="0"/>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让党员干部在看、听、感、悟中接受廉政教育和</w:t>
      </w:r>
      <w:r>
        <w:rPr>
          <w:rFonts w:hint="eastAsia" w:ascii="仿宋" w:hAnsi="仿宋" w:eastAsia="仿宋" w:cs="仿宋"/>
          <w:i w:val="0"/>
          <w:caps w:val="0"/>
          <w:color w:val="000000" w:themeColor="text1"/>
          <w:spacing w:val="0"/>
          <w:sz w:val="32"/>
          <w:szCs w:val="32"/>
          <w14:textFill>
            <w14:solidFill>
              <w14:schemeClr w14:val="tx1"/>
            </w14:solidFill>
          </w14:textFill>
        </w:rPr>
        <w:t>切身感受“杂交水稻之父”袁隆平“愿天下人都有饱饭吃、将饭碗牢牢端在中国人手中、杂交水稻造福世界人民”的责任与担当</w:t>
      </w:r>
      <w:r>
        <w:rPr>
          <w:rFonts w:hint="eastAsia" w:ascii="仿宋" w:hAnsi="仿宋" w:eastAsia="仿宋" w:cs="仿宋"/>
          <w:color w:val="000000" w:themeColor="text1"/>
          <w:sz w:val="32"/>
          <w:szCs w:val="32"/>
          <w:lang w:val="en-US" w:eastAsia="zh-CN"/>
          <w14:textFill>
            <w14:solidFill>
              <w14:schemeClr w14:val="tx1"/>
            </w14:solidFill>
          </w14:textFill>
        </w:rPr>
        <w:t>，教育引导党员干部增强廉洁自律意识，</w:t>
      </w:r>
      <w:r>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促进提升党建教育实效</w:t>
      </w:r>
      <w:r>
        <w:rPr>
          <w:rFonts w:hint="eastAsia" w:ascii="仿宋" w:hAnsi="仿宋" w:eastAsia="仿宋" w:cs="仿宋"/>
          <w:b w:val="0"/>
          <w:bCs w:val="0"/>
          <w:i w:val="0"/>
          <w:iCs w:val="0"/>
          <w:caps w:val="0"/>
          <w:color w:val="000000" w:themeColor="text1"/>
          <w:spacing w:val="0"/>
          <w:sz w:val="32"/>
          <w:szCs w:val="32"/>
          <w:shd w:val="clear" w:fill="FFFFFF"/>
          <w:lang w:eastAsia="zh-CN"/>
          <w14:textFill>
            <w14:solidFill>
              <w14:schemeClr w14:val="tx1"/>
            </w14:solidFill>
          </w14:textFill>
        </w:rPr>
        <w:t>。</w:t>
      </w:r>
    </w:p>
    <w:p w14:paraId="4F0F5E90">
      <w:pPr>
        <w:keepNext w:val="0"/>
        <w:keepLines w:val="0"/>
        <w:pageBreakBefore w:val="0"/>
        <w:numPr>
          <w:ilvl w:val="0"/>
          <w:numId w:val="0"/>
        </w:numPr>
        <w:kinsoku/>
        <w:wordWrap/>
        <w:overflowPunct/>
        <w:topLinePunct w:val="0"/>
        <w:autoSpaceDE/>
        <w:autoSpaceDN/>
        <w:bidi w:val="0"/>
        <w:adjustRightInd/>
        <w:snapToGrid/>
        <w:spacing w:afterAutospacing="0" w:line="360" w:lineRule="auto"/>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lang w:eastAsia="zh-CN"/>
          <w14:textFill>
            <w14:solidFill>
              <w14:schemeClr w14:val="tx1"/>
            </w14:solidFill>
          </w14:textFill>
        </w:rPr>
        <w:t>三</w:t>
      </w:r>
      <w:r>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是强化队伍管理促成长。组织开展谈心谈话、</w:t>
      </w:r>
      <w:r>
        <w:rPr>
          <w:rFonts w:hint="eastAsia" w:ascii="仿宋" w:hAnsi="仿宋" w:eastAsia="仿宋" w:cs="仿宋"/>
          <w:b w:val="0"/>
          <w:bCs w:val="0"/>
          <w:i w:val="0"/>
          <w:iCs w:val="0"/>
          <w:caps w:val="0"/>
          <w:color w:val="000000" w:themeColor="text1"/>
          <w:spacing w:val="0"/>
          <w:sz w:val="32"/>
          <w:szCs w:val="32"/>
          <w:shd w:val="clear" w:fill="FFFFFF"/>
          <w:lang w:eastAsia="zh-CN"/>
          <w14:textFill>
            <w14:solidFill>
              <w14:schemeClr w14:val="tx1"/>
            </w14:solidFill>
          </w14:textFill>
        </w:rPr>
        <w:t>月度积分考核</w:t>
      </w:r>
      <w:r>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等，落实</w:t>
      </w:r>
      <w:r>
        <w:rPr>
          <w:rFonts w:hint="eastAsia" w:ascii="仿宋" w:hAnsi="仿宋" w:eastAsia="仿宋" w:cs="仿宋"/>
          <w:b w:val="0"/>
          <w:bCs w:val="0"/>
          <w:i w:val="0"/>
          <w:iCs w:val="0"/>
          <w:caps w:val="0"/>
          <w:color w:val="000000" w:themeColor="text1"/>
          <w:spacing w:val="0"/>
          <w:sz w:val="32"/>
          <w:szCs w:val="32"/>
          <w:shd w:val="clear" w:fill="FFFFFF"/>
          <w:lang w:eastAsia="zh-CN"/>
          <w14:textFill>
            <w14:solidFill>
              <w14:schemeClr w14:val="tx1"/>
            </w14:solidFill>
          </w14:textFill>
        </w:rPr>
        <w:t>职</w:t>
      </w:r>
      <w:r>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工日常行为管理监督，及时掌握了解</w:t>
      </w:r>
      <w:r>
        <w:rPr>
          <w:rFonts w:hint="eastAsia" w:ascii="仿宋" w:hAnsi="仿宋" w:eastAsia="仿宋" w:cs="仿宋"/>
          <w:b w:val="0"/>
          <w:bCs w:val="0"/>
          <w:i w:val="0"/>
          <w:iCs w:val="0"/>
          <w:caps w:val="0"/>
          <w:color w:val="000000" w:themeColor="text1"/>
          <w:spacing w:val="0"/>
          <w:sz w:val="32"/>
          <w:szCs w:val="32"/>
          <w:shd w:val="clear" w:fill="FFFFFF"/>
          <w:lang w:eastAsia="zh-CN"/>
          <w14:textFill>
            <w14:solidFill>
              <w14:schemeClr w14:val="tx1"/>
            </w14:solidFill>
          </w14:textFill>
        </w:rPr>
        <w:t>职工</w:t>
      </w:r>
      <w:r>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思想动态，对出现的苗头性、倾向性问题早提醒、早纠正，引导培养纪律观念强、规矩意识强的队伍。</w:t>
      </w:r>
      <w:r>
        <w:rPr>
          <w:rFonts w:hint="eastAsia" w:ascii="仿宋" w:hAnsi="仿宋" w:eastAsia="仿宋" w:cs="仿宋"/>
          <w:color w:val="000000" w:themeColor="text1"/>
          <w:sz w:val="32"/>
          <w:szCs w:val="32"/>
          <w14:textFill>
            <w14:solidFill>
              <w14:schemeClr w14:val="tx1"/>
            </w14:solidFill>
          </w14:textFill>
        </w:rPr>
        <w:t>进一步加强党员及职工的教育管理，逐步形成科学、完善的考核评价体系，对全台积分管理制度进行完善修订，解决了部分同志</w:t>
      </w:r>
      <w:r>
        <w:rPr>
          <w:rFonts w:hint="eastAsia" w:ascii="仿宋" w:hAnsi="仿宋" w:eastAsia="仿宋" w:cs="仿宋"/>
          <w:color w:val="000000" w:themeColor="text1"/>
          <w:sz w:val="32"/>
          <w:szCs w:val="32"/>
          <w:lang w:eastAsia="zh-CN"/>
          <w14:textFill>
            <w14:solidFill>
              <w14:schemeClr w14:val="tx1"/>
            </w14:solidFill>
          </w14:textFill>
        </w:rPr>
        <w:t>在工作</w:t>
      </w:r>
      <w:r>
        <w:rPr>
          <w:rFonts w:hint="eastAsia" w:ascii="仿宋" w:hAnsi="仿宋" w:eastAsia="仿宋" w:cs="仿宋"/>
          <w:color w:val="000000" w:themeColor="text1"/>
          <w:sz w:val="32"/>
          <w:szCs w:val="32"/>
          <w14:textFill>
            <w14:solidFill>
              <w14:schemeClr w14:val="tx1"/>
            </w14:solidFill>
          </w14:textFill>
        </w:rPr>
        <w:t>中存在的党性意识不强、组织纪律观念差、作用发挥不好等问题，并采取定性评价与量化考评相结合的方式，实现日常管理服务的科学化、精细化，激励全台党员及职工做到政治合格、执行纪律合格、品德合格、发挥作用合格，落实好各项工作的规范化和制度化管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充分调动广大职工的积极性和创造性，保障了我台各项工作平稳有序开展。</w:t>
      </w:r>
    </w:p>
    <w:p w14:paraId="36DA39F6">
      <w:pPr>
        <w:keepNext w:val="0"/>
        <w:keepLines w:val="0"/>
        <w:pageBreakBefore w:val="0"/>
        <w:numPr>
          <w:ilvl w:val="0"/>
          <w:numId w:val="0"/>
        </w:numPr>
        <w:kinsoku/>
        <w:wordWrap/>
        <w:overflowPunct/>
        <w:topLinePunct w:val="0"/>
        <w:autoSpaceDE/>
        <w:autoSpaceDN/>
        <w:bidi w:val="0"/>
        <w:adjustRightInd/>
        <w:snapToGrid/>
        <w:spacing w:afterAutospacing="0" w:line="360" w:lineRule="auto"/>
        <w:ind w:firstLine="643" w:firstLineChars="200"/>
        <w:jc w:val="left"/>
        <w:textAlignment w:val="auto"/>
        <w:rPr>
          <w:rFonts w:hint="eastAsia" w:ascii="仿宋" w:hAnsi="仿宋" w:eastAsia="仿宋" w:cs="仿宋"/>
          <w:b/>
          <w:bCs/>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（二）加强领导，责任落实</w:t>
      </w:r>
      <w:r>
        <w:rPr>
          <w:rFonts w:hint="eastAsia" w:ascii="仿宋" w:hAnsi="仿宋" w:eastAsia="仿宋" w:cs="仿宋"/>
          <w:b/>
          <w:bCs/>
          <w:color w:val="000000" w:themeColor="text1"/>
          <w:sz w:val="32"/>
          <w:szCs w:val="32"/>
          <w14:textFill>
            <w14:solidFill>
              <w14:schemeClr w14:val="tx1"/>
            </w14:solidFill>
          </w14:textFill>
        </w:rPr>
        <w:t>，</w:t>
      </w:r>
      <w:r>
        <w:rPr>
          <w:rFonts w:hint="eastAsia" w:ascii="仿宋" w:hAnsi="仿宋" w:eastAsia="仿宋" w:cs="仿宋"/>
          <w:b/>
          <w:bCs/>
          <w:color w:val="000000" w:themeColor="text1"/>
          <w:sz w:val="32"/>
          <w:szCs w:val="32"/>
          <w:lang w:val="en-US" w:eastAsia="zh-CN"/>
          <w14:textFill>
            <w14:solidFill>
              <w14:schemeClr w14:val="tx1"/>
            </w14:solidFill>
          </w14:textFill>
        </w:rPr>
        <w:t>确保</w:t>
      </w:r>
      <w:r>
        <w:rPr>
          <w:rFonts w:hint="eastAsia" w:ascii="仿宋" w:hAnsi="仿宋" w:eastAsia="仿宋" w:cs="仿宋"/>
          <w:b/>
          <w:bCs/>
          <w:color w:val="000000" w:themeColor="text1"/>
          <w:sz w:val="32"/>
          <w:szCs w:val="32"/>
          <w14:textFill>
            <w14:solidFill>
              <w14:schemeClr w14:val="tx1"/>
            </w14:solidFill>
          </w14:textFill>
        </w:rPr>
        <w:t>广播电视安全播出</w:t>
      </w:r>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为确保广播电视安全播出，我台成立了以台长为组长，副台长为副组长，部门负责人为成员的安全播出领导小组，先后多次召开了广播电视安全播出保障工作会议，对发射基地广播电视安全播出工作存在的短板弱项进行分析和全面安排部署。特别就恶劣天气基地人员换班交通安全、设备器材备份、后勤保障工作做了强调，要求带班主任主动作为、提前预判。要求全体干部职工要提高政治站位，进一步压实意识形态工作责任制，全力守好意识形态传播主阵地，转播好党的声音。主动瞄准公益属性，认真践行习总书记“以人民为中心”的理念，确保让老百姓看好电视、听好广播，进一步增强人民群众的获得感、幸福感、安全感。把广播电视安全保障工作抓实抓细，认真抓好人防物防技防工作。基地技术人员要勇于担当搞好防范，备份器材准备到位，搞好技术保障能力，不能凭经验办事和决断。只有扎实搞好自查整改，才能保障和提高广播电视安全播出工作。</w:t>
      </w:r>
    </w:p>
    <w:p w14:paraId="616B39E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（三）严格管理，加强培训，全面提高安全播出工作水平。</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为了让</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职</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工提升团队协作能力、增强个人技能素质，</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先后选派二批技术骨干到北京、长沙学习广播电视传输发射及安全播出管理、湖南广播电视技术能手职业技能竞赛等培训学习；与兄弟单位相互学习促提升，</w:t>
      </w:r>
      <w:r>
        <w:rPr>
          <w:rFonts w:hint="eastAsia" w:ascii="仿宋" w:hAnsi="仿宋" w:eastAsia="仿宋" w:cs="仿宋"/>
          <w:b w:val="0"/>
          <w:color w:val="000000" w:themeColor="text1"/>
          <w:sz w:val="32"/>
          <w:szCs w:val="32"/>
          <w:lang w:val="en-US" w:eastAsia="zh-CN"/>
          <w14:textFill>
            <w14:solidFill>
              <w14:schemeClr w14:val="tx1"/>
            </w14:solidFill>
          </w14:textFill>
        </w:rPr>
        <w:t>就高山台现状、怎样加强业务培训提升队伍素质</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的难点和问题进行沟通探讨</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；邀请设备器材厂家技术人员现场讲课，讲解设备器材性能和故障处理办法，提升技术人员处理设备故障能力；</w:t>
      </w:r>
      <w:r>
        <w:rPr>
          <w:rFonts w:hint="eastAsia" w:ascii="仿宋" w:hAnsi="仿宋" w:eastAsia="仿宋" w:cs="仿宋"/>
          <w:color w:val="000000" w:themeColor="text1"/>
          <w:sz w:val="32"/>
          <w:szCs w:val="32"/>
          <w14:textFill>
            <w14:solidFill>
              <w14:schemeClr w14:val="tx1"/>
            </w14:solidFill>
          </w14:textFill>
        </w:rPr>
        <w:t>多次组织</w:t>
      </w:r>
      <w:r>
        <w:rPr>
          <w:rFonts w:hint="eastAsia" w:ascii="仿宋" w:hAnsi="仿宋" w:eastAsia="仿宋" w:cs="仿宋"/>
          <w:color w:val="000000" w:themeColor="text1"/>
          <w:sz w:val="32"/>
          <w:szCs w:val="32"/>
          <w:lang w:val="en-US" w:eastAsia="zh-CN"/>
          <w14:textFill>
            <w14:solidFill>
              <w14:schemeClr w14:val="tx1"/>
            </w14:solidFill>
          </w14:textFill>
        </w:rPr>
        <w:t>发射基地</w:t>
      </w:r>
      <w:r>
        <w:rPr>
          <w:rFonts w:hint="eastAsia" w:ascii="仿宋" w:hAnsi="仿宋" w:eastAsia="仿宋" w:cs="仿宋"/>
          <w:color w:val="000000" w:themeColor="text1"/>
          <w:sz w:val="32"/>
          <w:szCs w:val="32"/>
          <w14:textFill>
            <w14:solidFill>
              <w14:schemeClr w14:val="tx1"/>
            </w14:solidFill>
          </w14:textFill>
        </w:rPr>
        <w:t>工作人员学习安全播出管理的各项规章制度和操作规程，组织应对安全播出应急突发事件的模拟演练，以此促进机房工作的规范化、制度化，更好的完成安全优质播出任务。</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通过采取走出去、请进来的学习培训方式，有效提高了职工的业务技能素质。</w:t>
      </w:r>
    </w:p>
    <w:p w14:paraId="57C4F16E">
      <w:pPr>
        <w:keepNext w:val="0"/>
        <w:keepLines w:val="0"/>
        <w:pageBreakBefore w:val="0"/>
        <w:kinsoku/>
        <w:wordWrap/>
        <w:overflowPunct/>
        <w:topLinePunct w:val="0"/>
        <w:autoSpaceDE/>
        <w:autoSpaceDN/>
        <w:bidi w:val="0"/>
        <w:adjustRightInd/>
        <w:snapToGrid/>
        <w:spacing w:afterAutospacing="0" w:line="360" w:lineRule="auto"/>
        <w:ind w:firstLine="56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（四）</w:t>
      </w:r>
      <w:r>
        <w:rPr>
          <w:rFonts w:hint="eastAsia" w:ascii="仿宋" w:hAnsi="仿宋" w:eastAsia="仿宋" w:cs="仿宋"/>
          <w:b/>
          <w:color w:val="000000" w:themeColor="text1"/>
          <w:sz w:val="32"/>
          <w:szCs w:val="32"/>
          <w14:textFill>
            <w14:solidFill>
              <w14:schemeClr w14:val="tx1"/>
            </w14:solidFill>
          </w14:textFill>
        </w:rPr>
        <w:t>加强</w:t>
      </w:r>
      <w:r>
        <w:rPr>
          <w:rFonts w:hint="eastAsia" w:ascii="仿宋" w:hAnsi="仿宋" w:eastAsia="仿宋" w:cs="仿宋"/>
          <w:b/>
          <w:color w:val="000000" w:themeColor="text1"/>
          <w:sz w:val="32"/>
          <w:szCs w:val="32"/>
          <w:lang w:val="en-US" w:eastAsia="zh-CN"/>
          <w14:textFill>
            <w14:solidFill>
              <w14:schemeClr w14:val="tx1"/>
            </w14:solidFill>
          </w14:textFill>
        </w:rPr>
        <w:t>协作</w:t>
      </w:r>
      <w:r>
        <w:rPr>
          <w:rFonts w:hint="eastAsia" w:ascii="仿宋" w:hAnsi="仿宋" w:eastAsia="仿宋" w:cs="仿宋"/>
          <w:b/>
          <w:color w:val="000000" w:themeColor="text1"/>
          <w:sz w:val="32"/>
          <w:szCs w:val="32"/>
          <w14:textFill>
            <w14:solidFill>
              <w14:schemeClr w14:val="tx1"/>
            </w14:solidFill>
          </w14:textFill>
        </w:rPr>
        <w:t>，保障</w:t>
      </w:r>
      <w:r>
        <w:rPr>
          <w:rFonts w:hint="eastAsia" w:ascii="仿宋" w:hAnsi="仿宋" w:eastAsia="仿宋" w:cs="仿宋"/>
          <w:b/>
          <w:color w:val="000000" w:themeColor="text1"/>
          <w:sz w:val="32"/>
          <w:szCs w:val="32"/>
          <w:lang w:val="en-US" w:eastAsia="zh-CN"/>
          <w14:textFill>
            <w14:solidFill>
              <w14:schemeClr w14:val="tx1"/>
            </w14:solidFill>
          </w14:textFill>
        </w:rPr>
        <w:t>广播电视信号</w:t>
      </w:r>
      <w:r>
        <w:rPr>
          <w:rFonts w:hint="eastAsia" w:ascii="仿宋" w:hAnsi="仿宋" w:eastAsia="仿宋" w:cs="仿宋"/>
          <w:b/>
          <w:color w:val="000000" w:themeColor="text1"/>
          <w:sz w:val="32"/>
          <w:szCs w:val="32"/>
          <w14:textFill>
            <w14:solidFill>
              <w14:schemeClr w14:val="tx1"/>
            </w14:solidFill>
          </w14:textFill>
        </w:rPr>
        <w:t>安全</w:t>
      </w:r>
      <w:r>
        <w:rPr>
          <w:rFonts w:hint="eastAsia" w:ascii="仿宋" w:hAnsi="仿宋" w:eastAsia="仿宋" w:cs="仿宋"/>
          <w:b/>
          <w:color w:val="000000" w:themeColor="text1"/>
          <w:sz w:val="32"/>
          <w:szCs w:val="32"/>
          <w:lang w:val="en-US" w:eastAsia="zh-CN"/>
          <w14:textFill>
            <w14:solidFill>
              <w14:schemeClr w14:val="tx1"/>
            </w14:solidFill>
          </w14:textFill>
        </w:rPr>
        <w:t>优质</w:t>
      </w:r>
      <w:r>
        <w:rPr>
          <w:rFonts w:hint="eastAsia" w:ascii="仿宋" w:hAnsi="仿宋" w:eastAsia="仿宋" w:cs="仿宋"/>
          <w:b/>
          <w:color w:val="000000" w:themeColor="text1"/>
          <w:sz w:val="32"/>
          <w:szCs w:val="32"/>
          <w14:textFill>
            <w14:solidFill>
              <w14:schemeClr w14:val="tx1"/>
            </w14:solidFill>
          </w14:textFill>
        </w:rPr>
        <w:t>播出</w:t>
      </w:r>
      <w:r>
        <w:rPr>
          <w:rFonts w:hint="eastAsia" w:ascii="仿宋" w:hAnsi="仿宋" w:eastAsia="仿宋" w:cs="仿宋"/>
          <w:b/>
          <w:color w:val="000000" w:themeColor="text1"/>
          <w:sz w:val="32"/>
          <w:szCs w:val="32"/>
          <w:lang w:eastAsia="zh-CN"/>
          <w14:textFill>
            <w14:solidFill>
              <w14:schemeClr w14:val="tx1"/>
            </w14:solidFill>
          </w14:textFill>
        </w:rPr>
        <w:t>。</w:t>
      </w:r>
      <w:r>
        <w:rPr>
          <w:rFonts w:hint="eastAsia" w:ascii="仿宋" w:hAnsi="仿宋" w:eastAsia="仿宋" w:cs="仿宋"/>
          <w:b w:val="0"/>
          <w:bCs/>
          <w:color w:val="000000" w:themeColor="text1"/>
          <w:sz w:val="32"/>
          <w:szCs w:val="32"/>
          <w:lang w:val="en-US" w:eastAsia="zh-CN"/>
          <w14:textFill>
            <w14:solidFill>
              <w14:schemeClr w14:val="tx1"/>
            </w14:solidFill>
          </w14:textFill>
        </w:rPr>
        <w:t>一是</w:t>
      </w:r>
      <w:r>
        <w:rPr>
          <w:rFonts w:hint="eastAsia" w:ascii="仿宋" w:hAnsi="仿宋" w:eastAsia="仿宋" w:cs="仿宋"/>
          <w:color w:val="000000" w:themeColor="text1"/>
          <w:sz w:val="32"/>
          <w:szCs w:val="32"/>
          <w14:textFill>
            <w14:solidFill>
              <w14:schemeClr w14:val="tx1"/>
            </w14:solidFill>
          </w14:textFill>
        </w:rPr>
        <w:t>组织对播出设备、天线、电源、播出前端进行防雷检测，各个设备符合防雷技术要求。同时，与电力部门签订电</w:t>
      </w:r>
      <w:r>
        <w:rPr>
          <w:rFonts w:hint="eastAsia" w:ascii="仿宋" w:hAnsi="仿宋" w:eastAsia="仿宋" w:cs="仿宋"/>
          <w:color w:val="000000" w:themeColor="text1"/>
          <w:sz w:val="32"/>
          <w:szCs w:val="32"/>
          <w:lang w:val="en-US" w:eastAsia="zh-CN"/>
          <w14:textFill>
            <w14:solidFill>
              <w14:schemeClr w14:val="tx1"/>
            </w14:solidFill>
          </w14:textFill>
        </w:rPr>
        <w:t>力</w:t>
      </w:r>
      <w:r>
        <w:rPr>
          <w:rFonts w:hint="eastAsia" w:ascii="仿宋" w:hAnsi="仿宋" w:eastAsia="仿宋" w:cs="仿宋"/>
          <w:color w:val="000000" w:themeColor="text1"/>
          <w:sz w:val="32"/>
          <w:szCs w:val="32"/>
          <w14:textFill>
            <w14:solidFill>
              <w14:schemeClr w14:val="tx1"/>
            </w14:solidFill>
          </w14:textFill>
        </w:rPr>
        <w:t>维护合同，保证台内电源安全，消除了电源变压器、稳压器的隐患。</w:t>
      </w:r>
    </w:p>
    <w:p w14:paraId="43992EB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color w:val="000000" w:themeColor="text1"/>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二是</w:t>
      </w:r>
      <w:r>
        <w:rPr>
          <w:rFonts w:hint="eastAsia" w:ascii="仿宋" w:hAnsi="仿宋" w:eastAsia="仿宋" w:cs="仿宋"/>
          <w:b w:val="0"/>
          <w:bCs w:val="0"/>
          <w:i w:val="0"/>
          <w:caps w:val="0"/>
          <w:color w:val="000000" w:themeColor="text1"/>
          <w:spacing w:val="0"/>
          <w:sz w:val="32"/>
          <w:szCs w:val="32"/>
          <w:shd w:val="clear" w:fill="FFFFFF"/>
          <w14:textFill>
            <w14:solidFill>
              <w14:schemeClr w14:val="tx1"/>
            </w14:solidFill>
          </w14:textFill>
        </w:rPr>
        <w:t>强化应急演练</w:t>
      </w:r>
      <w:r>
        <w:rPr>
          <w:rFonts w:hint="eastAsia" w:ascii="仿宋" w:hAnsi="仿宋" w:eastAsia="仿宋" w:cs="仿宋"/>
          <w:b w:val="0"/>
          <w:bCs w:val="0"/>
          <w:i w:val="0"/>
          <w:caps w:val="0"/>
          <w:color w:val="000000" w:themeColor="text1"/>
          <w:spacing w:val="0"/>
          <w:sz w:val="32"/>
          <w:szCs w:val="32"/>
          <w:shd w:val="clear" w:fill="FFFFFF"/>
          <w:lang w:eastAsia="zh-CN"/>
          <w14:textFill>
            <w14:solidFill>
              <w14:schemeClr w14:val="tx1"/>
            </w14:solidFill>
          </w14:textFill>
        </w:rPr>
        <w:t>，</w:t>
      </w:r>
      <w:r>
        <w:rPr>
          <w:rFonts w:hint="eastAsia" w:ascii="仿宋" w:hAnsi="仿宋" w:eastAsia="仿宋" w:cs="仿宋"/>
          <w:b w:val="0"/>
          <w:bCs w:val="0"/>
          <w:i w:val="0"/>
          <w:caps w:val="0"/>
          <w:color w:val="000000" w:themeColor="text1"/>
          <w:spacing w:val="0"/>
          <w:sz w:val="32"/>
          <w:szCs w:val="32"/>
          <w:shd w:val="clear" w:fill="FFFFFF"/>
          <w14:textFill>
            <w14:solidFill>
              <w14:schemeClr w14:val="tx1"/>
            </w14:solidFill>
          </w14:textFill>
        </w:rPr>
        <w:t>提升处置能力</w:t>
      </w:r>
      <w:r>
        <w:rPr>
          <w:rFonts w:hint="eastAsia" w:ascii="仿宋" w:hAnsi="仿宋" w:eastAsia="仿宋" w:cs="仿宋"/>
          <w:b w:val="0"/>
          <w:bCs w:val="0"/>
          <w:i w:val="0"/>
          <w:caps w:val="0"/>
          <w:color w:val="000000" w:themeColor="text1"/>
          <w:spacing w:val="0"/>
          <w:sz w:val="32"/>
          <w:szCs w:val="32"/>
          <w:shd w:val="clear" w:fill="FFFFFF"/>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制定播出突发事件应急预案，加强突发事故应急预案演练，做好发射机维护、信号接收、设备检修，铁塔区的检查及配电电源部分的维护工作。</w:t>
      </w:r>
      <w:r>
        <w:rPr>
          <w:rFonts w:hint="eastAsia" w:ascii="仿宋" w:hAnsi="仿宋" w:eastAsia="仿宋" w:cs="仿宋"/>
          <w:color w:val="000000" w:themeColor="text1"/>
          <w:sz w:val="32"/>
          <w:szCs w:val="32"/>
          <w:lang w:val="en-US" w:eastAsia="zh-CN"/>
          <w14:textFill>
            <w14:solidFill>
              <w14:schemeClr w14:val="tx1"/>
            </w14:solidFill>
          </w14:textFill>
        </w:rPr>
        <w:t>按照要求重新更换维护了动环监测系统。</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为有效预防、积极应对安全突发事件，进一步提高</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职工</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的应急协同处置能力，</w:t>
      </w:r>
      <w:r>
        <w:rPr>
          <w:rFonts w:hint="eastAsia" w:ascii="仿宋" w:hAnsi="仿宋" w:eastAsia="仿宋" w:cs="仿宋"/>
          <w:color w:val="000000" w:themeColor="text1"/>
          <w:sz w:val="32"/>
          <w:szCs w:val="32"/>
          <w:lang w:val="en-US" w:eastAsia="zh-CN"/>
          <w14:textFill>
            <w14:solidFill>
              <w14:schemeClr w14:val="tx1"/>
            </w14:solidFill>
          </w14:textFill>
        </w:rPr>
        <w:t>在全国两会和新中国成立75周年广播电视安全播出期间，我台先后</w:t>
      </w:r>
      <w:r>
        <w:rPr>
          <w:rFonts w:hint="eastAsia" w:ascii="仿宋" w:hAnsi="仿宋" w:eastAsia="仿宋" w:cs="仿宋"/>
          <w:color w:val="000000" w:themeColor="text1"/>
          <w:sz w:val="32"/>
          <w:szCs w:val="32"/>
          <w14:textFill>
            <w14:solidFill>
              <w14:schemeClr w14:val="tx1"/>
            </w14:solidFill>
          </w14:textFill>
        </w:rPr>
        <w:t>组织了</w:t>
      </w:r>
      <w:r>
        <w:rPr>
          <w:rFonts w:hint="eastAsia" w:ascii="仿宋" w:hAnsi="仿宋" w:eastAsia="仿宋" w:cs="仿宋"/>
          <w:color w:val="000000" w:themeColor="text1"/>
          <w:sz w:val="32"/>
          <w:szCs w:val="32"/>
          <w:lang w:val="en-US" w:eastAsia="zh-CN"/>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次</w:t>
      </w:r>
      <w:r>
        <w:rPr>
          <w:rFonts w:hint="eastAsia" w:ascii="仿宋" w:hAnsi="仿宋" w:eastAsia="仿宋" w:cs="仿宋"/>
          <w:color w:val="000000" w:themeColor="text1"/>
          <w:sz w:val="32"/>
          <w:szCs w:val="32"/>
          <w:lang w:val="en-US" w:eastAsia="zh-CN"/>
          <w14:textFill>
            <w14:solidFill>
              <w14:schemeClr w14:val="tx1"/>
            </w14:solidFill>
          </w14:textFill>
        </w:rPr>
        <w:t>模拟广播电视信源故障、播控机房火灾事故和发射基地防暴应急演练。</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演练过程中，全体参演人员按照应急处突预案，行动迅速，配合默契，各处置环节衔接紧密，圆满完成了各类应急演练项目。通过全方位、实战化的应急演练，切实增强了</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全台干部职工</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的安全意识和责任意识，进一步提升了应急处突能力和综合能力</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w:t>
      </w:r>
    </w:p>
    <w:p w14:paraId="35EE6E2A">
      <w:pPr>
        <w:keepNext w:val="0"/>
        <w:keepLines w:val="0"/>
        <w:pageBreakBefore w:val="0"/>
        <w:kinsoku/>
        <w:wordWrap/>
        <w:overflowPunct/>
        <w:topLinePunct w:val="0"/>
        <w:autoSpaceDE/>
        <w:autoSpaceDN/>
        <w:bidi w:val="0"/>
        <w:adjustRightInd/>
        <w:spacing w:afterAutospacing="0" w:line="360" w:lineRule="auto"/>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三是</w:t>
      </w:r>
      <w:r>
        <w:rPr>
          <w:rFonts w:hint="eastAsia" w:ascii="仿宋" w:hAnsi="仿宋" w:eastAsia="仿宋" w:cs="仿宋"/>
          <w:b w:val="0"/>
          <w:bCs w:val="0"/>
          <w:color w:val="000000" w:themeColor="text1"/>
          <w:sz w:val="32"/>
          <w:szCs w:val="32"/>
          <w14:textFill>
            <w14:solidFill>
              <w14:schemeClr w14:val="tx1"/>
            </w14:solidFill>
          </w14:textFill>
        </w:rPr>
        <w:t>搞好部门联动协作，严防死守，确保广播电视安全播出。先后</w:t>
      </w:r>
      <w:r>
        <w:rPr>
          <w:rFonts w:hint="eastAsia" w:ascii="仿宋" w:hAnsi="仿宋" w:eastAsia="仿宋" w:cs="仿宋"/>
          <w:color w:val="000000" w:themeColor="text1"/>
          <w:sz w:val="32"/>
          <w:szCs w:val="32"/>
          <w14:textFill>
            <w14:solidFill>
              <w14:schemeClr w14:val="tx1"/>
            </w14:solidFill>
          </w14:textFill>
        </w:rPr>
        <w:t>与公安部门、电力部门、无委、消防等12个单位部门合作，就保障广播电视安全播出工作进行协调</w:t>
      </w:r>
      <w:r>
        <w:rPr>
          <w:rFonts w:hint="eastAsia" w:ascii="仿宋" w:hAnsi="仿宋" w:eastAsia="仿宋" w:cs="仿宋"/>
          <w:color w:val="000000" w:themeColor="text1"/>
          <w:sz w:val="32"/>
          <w:szCs w:val="32"/>
          <w:lang w:eastAsia="zh-CN"/>
          <w14:textFill>
            <w14:solidFill>
              <w14:schemeClr w14:val="tx1"/>
            </w14:solidFill>
          </w14:textFill>
        </w:rPr>
        <w:t>沟通</w:t>
      </w:r>
      <w:r>
        <w:rPr>
          <w:rFonts w:hint="eastAsia" w:ascii="仿宋" w:hAnsi="仿宋" w:eastAsia="仿宋" w:cs="仿宋"/>
          <w:color w:val="000000" w:themeColor="text1"/>
          <w:sz w:val="32"/>
          <w:szCs w:val="32"/>
          <w14:textFill>
            <w14:solidFill>
              <w14:schemeClr w14:val="tx1"/>
            </w14:solidFill>
          </w14:textFill>
        </w:rPr>
        <w:t>，并确定相应的联系责任人。</w:t>
      </w:r>
    </w:p>
    <w:p w14:paraId="2887AA08">
      <w:pPr>
        <w:keepNext w:val="0"/>
        <w:keepLines w:val="0"/>
        <w:pageBreakBefore w:val="0"/>
        <w:kinsoku/>
        <w:wordWrap/>
        <w:overflowPunct/>
        <w:topLinePunct w:val="0"/>
        <w:autoSpaceDE/>
        <w:autoSpaceDN/>
        <w:bidi w:val="0"/>
        <w:adjustRightInd/>
        <w:spacing w:afterAutospacing="0" w:line="360" w:lineRule="auto"/>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四是</w:t>
      </w:r>
      <w:r>
        <w:rPr>
          <w:rFonts w:hint="eastAsia" w:ascii="仿宋" w:hAnsi="仿宋" w:eastAsia="仿宋" w:cs="仿宋"/>
          <w:color w:val="000000" w:themeColor="text1"/>
          <w:sz w:val="32"/>
          <w:szCs w:val="32"/>
          <w:lang w:eastAsia="zh-CN"/>
          <w14:textFill>
            <w14:solidFill>
              <w14:schemeClr w14:val="tx1"/>
            </w14:solidFill>
          </w14:textFill>
        </w:rPr>
        <w:t>认真搞好传输、接收设备的检查维修维护。全年进行了</w:t>
      </w:r>
      <w:r>
        <w:rPr>
          <w:rFonts w:hint="eastAsia" w:ascii="仿宋" w:hAnsi="仿宋" w:eastAsia="仿宋" w:cs="仿宋"/>
          <w:color w:val="000000" w:themeColor="text1"/>
          <w:sz w:val="32"/>
          <w:szCs w:val="32"/>
          <w:lang w:val="en-US" w:eastAsia="zh-CN"/>
          <w14:textFill>
            <w14:solidFill>
              <w14:schemeClr w14:val="tx1"/>
            </w14:solidFill>
          </w14:textFill>
        </w:rPr>
        <w:t>4次季检和8次月检，发现隐患及时排除，真正让设备故障消除在萌芽状态；先后4次</w:t>
      </w:r>
      <w:r>
        <w:rPr>
          <w:rFonts w:hint="eastAsia" w:ascii="仿宋" w:hAnsi="仿宋" w:eastAsia="仿宋" w:cs="仿宋"/>
          <w:color w:val="000000" w:themeColor="text1"/>
          <w:sz w:val="32"/>
          <w:szCs w:val="32"/>
          <w14:textFill>
            <w14:solidFill>
              <w14:schemeClr w14:val="tx1"/>
            </w14:solidFill>
          </w14:textFill>
        </w:rPr>
        <w:t>深入中方、鹤城、芷江等广播电视覆盖区域，对我台发射的广播电视信号进行检测，并对信号干扰情况进行会商，找出最佳解决方法，让广播电视信号清晰地传送到千家万户。</w:t>
      </w:r>
    </w:p>
    <w:p w14:paraId="295CAE3F">
      <w:pPr>
        <w:keepNext w:val="0"/>
        <w:keepLines w:val="0"/>
        <w:pageBreakBefore w:val="0"/>
        <w:widowControl/>
        <w:shd w:val="clear" w:color="auto" w:fill="FFFFFF"/>
        <w:kinsoku/>
        <w:wordWrap/>
        <w:overflowPunct/>
        <w:topLinePunct w:val="0"/>
        <w:autoSpaceDE/>
        <w:autoSpaceDN/>
        <w:bidi w:val="0"/>
        <w:adjustRightInd/>
        <w:spacing w:afterAutospacing="0" w:line="360" w:lineRule="auto"/>
        <w:ind w:firstLine="640" w:firstLineChars="200"/>
        <w:jc w:val="left"/>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全国“两会”</w:t>
      </w:r>
      <w:r>
        <w:rPr>
          <w:rFonts w:hint="eastAsia" w:ascii="仿宋" w:hAnsi="仿宋" w:eastAsia="仿宋" w:cs="仿宋"/>
          <w:color w:val="000000" w:themeColor="text1"/>
          <w:kern w:val="0"/>
          <w:sz w:val="32"/>
          <w:szCs w:val="32"/>
          <w:lang w:eastAsia="zh-CN"/>
          <w14:textFill>
            <w14:solidFill>
              <w14:schemeClr w14:val="tx1"/>
            </w14:solidFill>
          </w14:textFill>
        </w:rPr>
        <w:t>和</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迎接新中国成立 75 周年</w:t>
      </w:r>
      <w:r>
        <w:rPr>
          <w:rFonts w:hint="eastAsia" w:ascii="仿宋" w:hAnsi="仿宋" w:eastAsia="仿宋" w:cs="仿宋"/>
          <w:color w:val="000000" w:themeColor="text1"/>
          <w:kern w:val="0"/>
          <w:sz w:val="32"/>
          <w:szCs w:val="32"/>
          <w:lang w:eastAsia="zh-CN"/>
          <w14:textFill>
            <w14:solidFill>
              <w14:schemeClr w14:val="tx1"/>
            </w14:solidFill>
          </w14:textFill>
        </w:rPr>
        <w:t>等重要播出</w:t>
      </w:r>
      <w:r>
        <w:rPr>
          <w:rFonts w:hint="eastAsia" w:ascii="仿宋" w:hAnsi="仿宋" w:eastAsia="仿宋" w:cs="仿宋"/>
          <w:color w:val="000000" w:themeColor="text1"/>
          <w:kern w:val="0"/>
          <w:sz w:val="32"/>
          <w:szCs w:val="32"/>
          <w14:textFill>
            <w14:solidFill>
              <w14:schemeClr w14:val="tx1"/>
            </w14:solidFill>
          </w14:textFill>
        </w:rPr>
        <w:t>期间，台领导带班靠前指挥，增加双岗值班值守人员，加大对重点部位的值班巡查力度，加强监听监控，严格零报告制度，确保了</w:t>
      </w:r>
      <w:r>
        <w:rPr>
          <w:rFonts w:hint="eastAsia" w:ascii="仿宋" w:hAnsi="仿宋" w:eastAsia="仿宋" w:cs="仿宋"/>
          <w:color w:val="000000" w:themeColor="text1"/>
          <w:kern w:val="0"/>
          <w:sz w:val="32"/>
          <w:szCs w:val="32"/>
          <w:lang w:eastAsia="zh-CN"/>
          <w14:textFill>
            <w14:solidFill>
              <w14:schemeClr w14:val="tx1"/>
            </w14:solidFill>
          </w14:textFill>
        </w:rPr>
        <w:t>重要播出</w:t>
      </w:r>
      <w:r>
        <w:rPr>
          <w:rFonts w:hint="eastAsia" w:ascii="仿宋" w:hAnsi="仿宋" w:eastAsia="仿宋" w:cs="仿宋"/>
          <w:color w:val="000000" w:themeColor="text1"/>
          <w:kern w:val="0"/>
          <w:sz w:val="32"/>
          <w:szCs w:val="32"/>
          <w14:textFill>
            <w14:solidFill>
              <w14:schemeClr w14:val="tx1"/>
            </w14:solidFill>
          </w14:textFill>
        </w:rPr>
        <w:t>期间广播电视安全播出零中断。</w:t>
      </w:r>
    </w:p>
    <w:p w14:paraId="488B780F">
      <w:pPr>
        <w:keepNext w:val="0"/>
        <w:keepLines w:val="0"/>
        <w:pageBreakBefore w:val="0"/>
        <w:widowControl/>
        <w:shd w:val="clear" w:color="auto" w:fill="FFFFFF"/>
        <w:kinsoku/>
        <w:wordWrap/>
        <w:overflowPunct/>
        <w:topLinePunct w:val="0"/>
        <w:autoSpaceDE/>
        <w:autoSpaceDN/>
        <w:bidi w:val="0"/>
        <w:adjustRightInd/>
        <w:spacing w:afterAutospacing="0" w:line="360" w:lineRule="auto"/>
        <w:ind w:firstLine="640" w:firstLineChars="200"/>
        <w:jc w:val="left"/>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一年来，广播电视节目信号播出、传输、接收设备在技术人员精心呵护下，数字电视、调频广播安全播出正常，做到了全年安全播出零事故、零失误。</w:t>
      </w:r>
    </w:p>
    <w:p w14:paraId="065CA9D2">
      <w:pPr>
        <w:pStyle w:val="2"/>
        <w:keepNext w:val="0"/>
        <w:keepLines w:val="0"/>
        <w:pageBreakBefore w:val="0"/>
        <w:widowControl w:val="0"/>
        <w:numPr>
          <w:ilvl w:val="0"/>
          <w:numId w:val="0"/>
        </w:numPr>
        <w:kinsoku/>
        <w:wordWrap/>
        <w:overflowPunct/>
        <w:topLinePunct w:val="0"/>
        <w:autoSpaceDE/>
        <w:autoSpaceDN/>
        <w:bidi w:val="0"/>
        <w:adjustRightInd/>
        <w:snapToGrid/>
        <w:spacing w:after="0" w:afterAutospacing="0" w:line="360" w:lineRule="auto"/>
        <w:ind w:firstLine="643"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（五）积极争取上级专项资金，加快设备更新换代步伐，为安全优质播出奠定坚实基础。</w:t>
      </w:r>
      <w:r>
        <w:rPr>
          <w:rFonts w:hint="eastAsia" w:ascii="仿宋" w:hAnsi="仿宋" w:eastAsia="仿宋" w:cs="仿宋"/>
          <w:color w:val="000000" w:themeColor="text1"/>
          <w:sz w:val="32"/>
          <w:szCs w:val="32"/>
          <w14:textFill>
            <w14:solidFill>
              <w14:schemeClr w14:val="tx1"/>
            </w14:solidFill>
          </w14:textFill>
        </w:rPr>
        <w:t>台监测系统于2016年建设，至今已运行8年时间，已超系统正常的寿命周期，加上高山特殊的气候环境，目前设备均已老化，服务器死机频繁，设备故障频发，已无法保障对</w:t>
      </w:r>
      <w:r>
        <w:rPr>
          <w:rFonts w:hint="eastAsia" w:ascii="仿宋" w:hAnsi="仿宋" w:eastAsia="仿宋" w:cs="仿宋"/>
          <w:color w:val="000000" w:themeColor="text1"/>
          <w:sz w:val="32"/>
          <w:szCs w:val="32"/>
          <w:lang w:val="en-US" w:eastAsia="zh-CN"/>
          <w14:textFill>
            <w14:solidFill>
              <w14:schemeClr w14:val="tx1"/>
            </w14:solidFill>
          </w14:textFill>
        </w:rPr>
        <w:t>传输</w:t>
      </w:r>
      <w:r>
        <w:rPr>
          <w:rFonts w:hint="eastAsia" w:ascii="仿宋" w:hAnsi="仿宋" w:eastAsia="仿宋" w:cs="仿宋"/>
          <w:color w:val="000000" w:themeColor="text1"/>
          <w:sz w:val="32"/>
          <w:szCs w:val="32"/>
          <w14:textFill>
            <w14:solidFill>
              <w14:schemeClr w14:val="tx1"/>
            </w14:solidFill>
          </w14:textFill>
        </w:rPr>
        <w:t>信号、系统设备运行状态、电力和环境等进行正常的集中监测，严重影响到广播电视的安全播出。随着行业的发展趋势，信源IP化和设备IP化将是整个技术的主流方向，搭建起一个符合当前工作需要的全新IP化架构的信号传输与监测监管的安播保障体系</w:t>
      </w:r>
      <w:r>
        <w:rPr>
          <w:rFonts w:hint="eastAsia" w:ascii="仿宋" w:hAnsi="仿宋" w:eastAsia="仿宋" w:cs="仿宋"/>
          <w:color w:val="000000" w:themeColor="text1"/>
          <w:sz w:val="32"/>
          <w:szCs w:val="32"/>
          <w:lang w:val="en-US" w:eastAsia="zh-CN"/>
          <w14:textFill>
            <w14:solidFill>
              <w14:schemeClr w14:val="tx1"/>
            </w14:solidFill>
          </w14:textFill>
        </w:rPr>
        <w:t>迫在眉睫。为此，我台积极向市文旅广体局、市广播电视台、省广电局汇报，争取到了50万元数智台站建设改造专项资金，目前数智化台站建设基础部分IP化传输监测平台已改造完成。</w:t>
      </w:r>
    </w:p>
    <w:p w14:paraId="7EC62E82">
      <w:pPr>
        <w:pStyle w:val="2"/>
        <w:keepNext w:val="0"/>
        <w:keepLines w:val="0"/>
        <w:pageBreakBefore w:val="0"/>
        <w:kinsoku/>
        <w:wordWrap/>
        <w:overflowPunct/>
        <w:topLinePunct w:val="0"/>
        <w:autoSpaceDE/>
        <w:autoSpaceDN/>
        <w:bidi w:val="0"/>
        <w:adjustRightInd/>
        <w:spacing w:after="0" w:afterAutospacing="0" w:line="360" w:lineRule="auto"/>
        <w:ind w:firstLine="64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争取市财政40万基础设施改造专项资金，对发射基地基础设施进行维修维护，改造院落锌钢护栏130米，解除了原围墙面临倒塌隐患；播控机房吊顶、宿舍墙面防水等进行了全面更新处理；山脚下的水泵房电力设施、抽水设备进行技改，彻底解决了基地生活用水时有时无的困扰。</w:t>
      </w:r>
    </w:p>
    <w:p w14:paraId="7CA0824D">
      <w:pPr>
        <w:pStyle w:val="2"/>
        <w:keepNext w:val="0"/>
        <w:keepLines w:val="0"/>
        <w:pageBreakBefore w:val="0"/>
        <w:kinsoku/>
        <w:wordWrap/>
        <w:overflowPunct/>
        <w:topLinePunct w:val="0"/>
        <w:autoSpaceDE/>
        <w:autoSpaceDN/>
        <w:bidi w:val="0"/>
        <w:adjustRightInd/>
        <w:spacing w:after="0" w:afterAutospacing="0" w:line="360" w:lineRule="auto"/>
        <w:ind w:firstLine="64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争取市财政30万元房屋加固工程专项资金</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对办公用房和发射基地二楼设备机房房屋安全隐患项目进行加固改造，彻底排除了建筑房屋安全隐患。</w:t>
      </w:r>
    </w:p>
    <w:p w14:paraId="1AC13155">
      <w:pPr>
        <w:keepNext w:val="0"/>
        <w:keepLines w:val="0"/>
        <w:pageBreakBefore w:val="0"/>
        <w:widowControl w:val="0"/>
        <w:kinsoku/>
        <w:wordWrap/>
        <w:overflowPunct/>
        <w:topLinePunct w:val="0"/>
        <w:autoSpaceDE/>
        <w:autoSpaceDN/>
        <w:bidi w:val="0"/>
        <w:adjustRightInd/>
        <w:snapToGrid/>
        <w:spacing w:afterAutospacing="0" w:line="360" w:lineRule="auto"/>
        <w:ind w:firstLine="64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目前发射基地面貌焕然一新，切实提升了广播电视基础设施作为公共文化设施的有效配置。</w:t>
      </w:r>
    </w:p>
    <w:p w14:paraId="6C7020F1">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3"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val="0"/>
          <w:color w:val="000000" w:themeColor="text1"/>
          <w:sz w:val="32"/>
          <w:szCs w:val="32"/>
          <w:lang w:val="en-US" w:eastAsia="zh-CN"/>
          <w14:textFill>
            <w14:solidFill>
              <w14:schemeClr w14:val="tx1"/>
            </w14:solidFill>
          </w14:textFill>
        </w:rPr>
        <w:t>（六）扎实做好</w:t>
      </w:r>
      <w:r>
        <w:rPr>
          <w:rFonts w:hint="eastAsia" w:ascii="仿宋" w:hAnsi="仿宋" w:eastAsia="仿宋" w:cs="仿宋"/>
          <w:b/>
          <w:bCs w:val="0"/>
          <w:color w:val="000000" w:themeColor="text1"/>
          <w:sz w:val="32"/>
          <w:szCs w:val="32"/>
          <w14:textFill>
            <w14:solidFill>
              <w14:schemeClr w14:val="tx1"/>
            </w14:solidFill>
          </w14:textFill>
        </w:rPr>
        <w:t>乡村振兴</w:t>
      </w:r>
      <w:r>
        <w:rPr>
          <w:rFonts w:hint="eastAsia" w:ascii="仿宋" w:hAnsi="仿宋" w:eastAsia="仿宋" w:cs="仿宋"/>
          <w:b/>
          <w:bCs w:val="0"/>
          <w:color w:val="000000" w:themeColor="text1"/>
          <w:sz w:val="32"/>
          <w:szCs w:val="32"/>
          <w:lang w:val="en-US" w:eastAsia="zh-CN"/>
          <w14:textFill>
            <w14:solidFill>
              <w14:schemeClr w14:val="tx1"/>
            </w14:solidFill>
          </w14:textFill>
        </w:rPr>
        <w:t>工作。</w:t>
      </w:r>
      <w:r>
        <w:rPr>
          <w:rFonts w:hint="eastAsia" w:ascii="仿宋" w:hAnsi="仿宋" w:eastAsia="仿宋" w:cs="仿宋"/>
          <w:color w:val="000000" w:themeColor="text1"/>
          <w:sz w:val="32"/>
          <w:szCs w:val="32"/>
          <w:lang w:val="en-US" w:eastAsia="zh-CN"/>
          <w14:textFill>
            <w14:solidFill>
              <w14:schemeClr w14:val="tx1"/>
            </w14:solidFill>
          </w14:textFill>
        </w:rPr>
        <w:t>2024年</w:t>
      </w:r>
      <w:r>
        <w:rPr>
          <w:rFonts w:hint="eastAsia" w:ascii="仿宋" w:hAnsi="仿宋" w:eastAsia="仿宋" w:cs="仿宋"/>
          <w:color w:val="000000" w:themeColor="text1"/>
          <w:sz w:val="32"/>
          <w:szCs w:val="32"/>
          <w14:textFill>
            <w14:solidFill>
              <w14:schemeClr w14:val="tx1"/>
            </w14:solidFill>
          </w14:textFill>
        </w:rPr>
        <w:t>我台派了一名工作队员</w:t>
      </w:r>
      <w:r>
        <w:rPr>
          <w:rFonts w:hint="eastAsia" w:ascii="仿宋" w:hAnsi="仿宋" w:eastAsia="仿宋" w:cs="仿宋"/>
          <w:color w:val="000000" w:themeColor="text1"/>
          <w:sz w:val="32"/>
          <w:szCs w:val="32"/>
          <w:lang w:val="en-US" w:eastAsia="zh-CN"/>
          <w14:textFill>
            <w14:solidFill>
              <w14:schemeClr w14:val="tx1"/>
            </w14:solidFill>
          </w14:textFill>
        </w:rPr>
        <w:t>驻村</w:t>
      </w:r>
      <w:r>
        <w:rPr>
          <w:rFonts w:hint="eastAsia" w:ascii="仿宋" w:hAnsi="仿宋" w:eastAsia="仿宋" w:cs="仿宋"/>
          <w:color w:val="000000" w:themeColor="text1"/>
          <w:sz w:val="32"/>
          <w:szCs w:val="32"/>
          <w14:textFill>
            <w14:solidFill>
              <w14:schemeClr w14:val="tx1"/>
            </w14:solidFill>
          </w14:textFill>
        </w:rPr>
        <w:t>到鹤城区黄金坳长潭村，进驻联系村后与其他工作队员一道，深入调查摸底，吃透村情民意，巩固脱贫攻坚成果，大力推动村级产业发展，助力乡村振兴。同时，台领导定期到联系点走访调研，与乡村振兴驻村队员、村委会干部进行座谈交流，详细询问村集体经济、群众生产生活、人居环境整治和基础设施建设等情况，要求单位驻村队员积极为村里乡村振兴想办法、出点子，因地制宜，用心用情搞好乡村振兴，提高村民满意度。</w:t>
      </w:r>
      <w:r>
        <w:rPr>
          <w:rFonts w:hint="eastAsia" w:ascii="仿宋" w:hAnsi="仿宋" w:eastAsia="仿宋" w:cs="仿宋"/>
          <w:color w:val="000000" w:themeColor="text1"/>
          <w:sz w:val="32"/>
          <w:szCs w:val="32"/>
          <w:lang w:val="en-US" w:eastAsia="zh-CN"/>
          <w14:textFill>
            <w14:solidFill>
              <w14:schemeClr w14:val="tx1"/>
            </w14:solidFill>
          </w14:textFill>
        </w:rPr>
        <w:t>驻村工作队</w:t>
      </w:r>
      <w:r>
        <w:rPr>
          <w:rFonts w:hint="eastAsia" w:ascii="仿宋" w:hAnsi="仿宋" w:eastAsia="仿宋" w:cs="仿宋"/>
          <w:color w:val="000000" w:themeColor="text1"/>
          <w:sz w:val="32"/>
          <w:szCs w:val="32"/>
          <w14:textFill>
            <w14:solidFill>
              <w14:schemeClr w14:val="tx1"/>
            </w14:solidFill>
          </w14:textFill>
        </w:rPr>
        <w:t>牢固树立</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发展为要、项目为王、实干为先</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理念，立足全局、统筹谋划、争取资金支持，并结合当地实际，积极主动向上</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跑项目争资金</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，围绕特色产业、基础民生、</w:t>
      </w:r>
      <w:r>
        <w:rPr>
          <w:rFonts w:hint="eastAsia" w:ascii="仿宋" w:hAnsi="仿宋" w:eastAsia="仿宋" w:cs="仿宋"/>
          <w:color w:val="000000" w:themeColor="text1"/>
          <w:sz w:val="32"/>
          <w:szCs w:val="32"/>
          <w:lang w:val="en-US" w:eastAsia="zh-CN"/>
          <w14:textFill>
            <w14:solidFill>
              <w14:schemeClr w14:val="tx1"/>
            </w14:solidFill>
          </w14:textFill>
        </w:rPr>
        <w:t>人居环境</w:t>
      </w:r>
      <w:r>
        <w:rPr>
          <w:rFonts w:hint="eastAsia" w:ascii="仿宋" w:hAnsi="仿宋" w:eastAsia="仿宋" w:cs="仿宋"/>
          <w:color w:val="000000" w:themeColor="text1"/>
          <w:sz w:val="32"/>
          <w:szCs w:val="32"/>
          <w14:textFill>
            <w14:solidFill>
              <w14:schemeClr w14:val="tx1"/>
            </w14:solidFill>
          </w14:textFill>
        </w:rPr>
        <w:t>等领域，积极申请财政衔接资金。</w:t>
      </w:r>
      <w:r>
        <w:rPr>
          <w:rFonts w:hint="eastAsia" w:ascii="仿宋" w:hAnsi="仿宋" w:eastAsia="仿宋" w:cs="仿宋"/>
          <w:color w:val="000000" w:themeColor="text1"/>
          <w:sz w:val="32"/>
          <w:szCs w:val="32"/>
          <w:lang w:val="en-US" w:eastAsia="zh-CN"/>
          <w14:textFill>
            <w14:solidFill>
              <w14:schemeClr w14:val="tx1"/>
            </w14:solidFill>
          </w14:textFill>
        </w:rPr>
        <w:t>2024年</w:t>
      </w:r>
      <w:r>
        <w:rPr>
          <w:rFonts w:hint="eastAsia" w:ascii="仿宋" w:hAnsi="仿宋" w:eastAsia="仿宋" w:cs="仿宋"/>
          <w:color w:val="000000" w:themeColor="text1"/>
          <w:sz w:val="32"/>
          <w:szCs w:val="32"/>
          <w14:textFill>
            <w14:solidFill>
              <w14:schemeClr w14:val="tx1"/>
            </w14:solidFill>
          </w14:textFill>
        </w:rPr>
        <w:t>争取</w:t>
      </w:r>
      <w:r>
        <w:rPr>
          <w:rFonts w:hint="eastAsia" w:ascii="仿宋" w:hAnsi="仿宋" w:eastAsia="仿宋" w:cs="仿宋"/>
          <w:i w:val="0"/>
          <w:caps w:val="0"/>
          <w:color w:val="000000" w:themeColor="text1"/>
          <w:spacing w:val="15"/>
          <w:sz w:val="32"/>
          <w:szCs w:val="32"/>
          <w14:textFill>
            <w14:solidFill>
              <w14:schemeClr w14:val="tx1"/>
            </w14:solidFill>
          </w14:textFill>
        </w:rPr>
        <w:t>村主干道提质改造工程项目</w:t>
      </w:r>
      <w:r>
        <w:rPr>
          <w:rFonts w:hint="eastAsia" w:ascii="仿宋" w:hAnsi="仿宋" w:eastAsia="仿宋" w:cs="仿宋"/>
          <w:i w:val="0"/>
          <w:caps w:val="0"/>
          <w:color w:val="000000" w:themeColor="text1"/>
          <w:spacing w:val="15"/>
          <w:sz w:val="32"/>
          <w:szCs w:val="32"/>
          <w:lang w:eastAsia="zh-CN"/>
          <w14:textFill>
            <w14:solidFill>
              <w14:schemeClr w14:val="tx1"/>
            </w14:solidFill>
          </w14:textFill>
        </w:rPr>
        <w:t>，</w:t>
      </w:r>
      <w:r>
        <w:rPr>
          <w:rFonts w:hint="eastAsia" w:ascii="仿宋" w:hAnsi="仿宋" w:eastAsia="仿宋" w:cs="仿宋"/>
          <w:i w:val="0"/>
          <w:caps w:val="0"/>
          <w:color w:val="000000" w:themeColor="text1"/>
          <w:spacing w:val="15"/>
          <w:sz w:val="32"/>
          <w:szCs w:val="32"/>
          <w14:textFill>
            <w14:solidFill>
              <w14:schemeClr w14:val="tx1"/>
            </w14:solidFill>
          </w14:textFill>
        </w:rPr>
        <w:t>该项目属以工代赈示范工程中央预算内投资项目，项目总投资</w:t>
      </w:r>
      <w:r>
        <w:rPr>
          <w:rFonts w:hint="eastAsia" w:ascii="仿宋" w:hAnsi="仿宋" w:eastAsia="仿宋" w:cs="仿宋"/>
          <w:i w:val="0"/>
          <w:caps w:val="0"/>
          <w:color w:val="000000" w:themeColor="text1"/>
          <w:spacing w:val="15"/>
          <w:sz w:val="32"/>
          <w:szCs w:val="32"/>
          <w:lang w:val="en-US" w:eastAsia="zh-CN"/>
          <w14:textFill>
            <w14:solidFill>
              <w14:schemeClr w14:val="tx1"/>
            </w14:solidFill>
          </w14:textFill>
        </w:rPr>
        <w:t>102</w:t>
      </w:r>
      <w:r>
        <w:rPr>
          <w:rFonts w:hint="eastAsia" w:ascii="仿宋" w:hAnsi="仿宋" w:eastAsia="仿宋" w:cs="仿宋"/>
          <w:i w:val="0"/>
          <w:caps w:val="0"/>
          <w:color w:val="000000" w:themeColor="text1"/>
          <w:spacing w:val="15"/>
          <w:sz w:val="32"/>
          <w:szCs w:val="32"/>
          <w14:textFill>
            <w14:solidFill>
              <w14:schemeClr w14:val="tx1"/>
            </w14:solidFill>
          </w14:textFill>
        </w:rPr>
        <w:t>万元，全长</w:t>
      </w:r>
      <w:r>
        <w:rPr>
          <w:rFonts w:hint="eastAsia" w:ascii="仿宋" w:hAnsi="仿宋" w:eastAsia="仿宋" w:cs="仿宋"/>
          <w:i w:val="0"/>
          <w:caps w:val="0"/>
          <w:color w:val="000000" w:themeColor="text1"/>
          <w:spacing w:val="15"/>
          <w:sz w:val="32"/>
          <w:szCs w:val="32"/>
          <w:lang w:val="en-US" w:eastAsia="zh-CN"/>
          <w14:textFill>
            <w14:solidFill>
              <w14:schemeClr w14:val="tx1"/>
            </w14:solidFill>
          </w14:textFill>
        </w:rPr>
        <w:t>300</w:t>
      </w:r>
      <w:r>
        <w:rPr>
          <w:rFonts w:hint="eastAsia" w:ascii="仿宋" w:hAnsi="仿宋" w:eastAsia="仿宋" w:cs="仿宋"/>
          <w:i w:val="0"/>
          <w:caps w:val="0"/>
          <w:color w:val="000000" w:themeColor="text1"/>
          <w:spacing w:val="15"/>
          <w:sz w:val="32"/>
          <w:szCs w:val="32"/>
          <w14:textFill>
            <w14:solidFill>
              <w14:schemeClr w14:val="tx1"/>
            </w14:solidFill>
          </w14:textFill>
        </w:rPr>
        <w:t>0米，采取村民自建方式进行建设和管理</w:t>
      </w:r>
      <w:r>
        <w:rPr>
          <w:rFonts w:hint="eastAsia" w:ascii="仿宋" w:hAnsi="仿宋" w:eastAsia="仿宋" w:cs="仿宋"/>
          <w:i w:val="0"/>
          <w:caps w:val="0"/>
          <w:color w:val="000000" w:themeColor="text1"/>
          <w:spacing w:val="15"/>
          <w:sz w:val="32"/>
          <w:szCs w:val="32"/>
          <w:lang w:eastAsia="zh-CN"/>
          <w14:textFill>
            <w14:solidFill>
              <w14:schemeClr w14:val="tx1"/>
            </w14:solidFill>
          </w14:textFill>
        </w:rPr>
        <w:t>，</w:t>
      </w:r>
      <w:r>
        <w:rPr>
          <w:rFonts w:hint="eastAsia" w:ascii="仿宋" w:hAnsi="仿宋" w:eastAsia="仿宋" w:cs="仿宋"/>
          <w:i w:val="0"/>
          <w:caps w:val="0"/>
          <w:color w:val="000000" w:themeColor="text1"/>
          <w:spacing w:val="15"/>
          <w:sz w:val="32"/>
          <w:szCs w:val="32"/>
          <w:lang w:val="en-US" w:eastAsia="zh-CN"/>
          <w14:textFill>
            <w14:solidFill>
              <w14:schemeClr w14:val="tx1"/>
            </w14:solidFill>
          </w14:textFill>
        </w:rPr>
        <w:t>预计</w:t>
      </w:r>
      <w:r>
        <w:rPr>
          <w:rFonts w:hint="eastAsia" w:ascii="仿宋" w:hAnsi="仿宋" w:eastAsia="仿宋" w:cs="仿宋"/>
          <w:i w:val="0"/>
          <w:caps w:val="0"/>
          <w:color w:val="000000" w:themeColor="text1"/>
          <w:spacing w:val="15"/>
          <w:sz w:val="32"/>
          <w:szCs w:val="32"/>
          <w14:textFill>
            <w14:solidFill>
              <w14:schemeClr w14:val="tx1"/>
            </w14:solidFill>
          </w14:textFill>
        </w:rPr>
        <w:t>发放</w:t>
      </w:r>
      <w:r>
        <w:rPr>
          <w:rFonts w:hint="eastAsia" w:ascii="仿宋" w:hAnsi="仿宋" w:eastAsia="仿宋" w:cs="仿宋"/>
          <w:i w:val="0"/>
          <w:caps w:val="0"/>
          <w:color w:val="000000" w:themeColor="text1"/>
          <w:spacing w:val="15"/>
          <w:sz w:val="32"/>
          <w:szCs w:val="32"/>
          <w:lang w:val="en-US" w:eastAsia="zh-CN"/>
          <w14:textFill>
            <w14:solidFill>
              <w14:schemeClr w14:val="tx1"/>
            </w14:solidFill>
          </w14:textFill>
        </w:rPr>
        <w:t>村民</w:t>
      </w:r>
      <w:r>
        <w:rPr>
          <w:rFonts w:hint="eastAsia" w:ascii="仿宋" w:hAnsi="仿宋" w:eastAsia="仿宋" w:cs="仿宋"/>
          <w:i w:val="0"/>
          <w:caps w:val="0"/>
          <w:color w:val="000000" w:themeColor="text1"/>
          <w:spacing w:val="15"/>
          <w:sz w:val="32"/>
          <w:szCs w:val="32"/>
          <w14:textFill>
            <w14:solidFill>
              <w14:schemeClr w14:val="tx1"/>
            </w14:solidFill>
          </w14:textFill>
        </w:rPr>
        <w:t>劳务报酬将达</w:t>
      </w:r>
      <w:r>
        <w:rPr>
          <w:rFonts w:hint="eastAsia" w:ascii="仿宋" w:hAnsi="仿宋" w:eastAsia="仿宋" w:cs="仿宋"/>
          <w:i w:val="0"/>
          <w:caps w:val="0"/>
          <w:color w:val="000000" w:themeColor="text1"/>
          <w:spacing w:val="15"/>
          <w:sz w:val="32"/>
          <w:szCs w:val="32"/>
          <w:lang w:val="en-US" w:eastAsia="zh-CN"/>
          <w14:textFill>
            <w14:solidFill>
              <w14:schemeClr w14:val="tx1"/>
            </w14:solidFill>
          </w14:textFill>
        </w:rPr>
        <w:t>27</w:t>
      </w:r>
      <w:r>
        <w:rPr>
          <w:rFonts w:hint="eastAsia" w:ascii="仿宋" w:hAnsi="仿宋" w:eastAsia="仿宋" w:cs="仿宋"/>
          <w:i w:val="0"/>
          <w:caps w:val="0"/>
          <w:color w:val="000000" w:themeColor="text1"/>
          <w:spacing w:val="15"/>
          <w:sz w:val="32"/>
          <w:szCs w:val="32"/>
          <w14:textFill>
            <w14:solidFill>
              <w14:schemeClr w14:val="tx1"/>
            </w14:solidFill>
          </w14:textFill>
        </w:rPr>
        <w:t>万元，实现村民家门口就业增收。</w:t>
      </w:r>
      <w:r>
        <w:rPr>
          <w:rFonts w:hint="eastAsia" w:ascii="仿宋" w:hAnsi="仿宋" w:eastAsia="仿宋" w:cs="仿宋"/>
          <w:i w:val="0"/>
          <w:caps w:val="0"/>
          <w:color w:val="000000" w:themeColor="text1"/>
          <w:spacing w:val="15"/>
          <w:sz w:val="32"/>
          <w:szCs w:val="32"/>
          <w:lang w:val="en-US" w:eastAsia="zh-CN"/>
          <w14:textFill>
            <w14:solidFill>
              <w14:schemeClr w14:val="tx1"/>
            </w14:solidFill>
          </w14:textFill>
        </w:rPr>
        <w:t>争取鹤城区一事一议大王组人居环境整治项目20万元，争取塘坳组道路改造资金12万元，山林防火道修建资金23万元，</w:t>
      </w:r>
      <w:r>
        <w:rPr>
          <w:rFonts w:hint="eastAsia" w:ascii="仿宋" w:hAnsi="仿宋" w:eastAsia="仿宋" w:cs="仿宋"/>
          <w:color w:val="000000" w:themeColor="text1"/>
          <w:sz w:val="32"/>
          <w:szCs w:val="32"/>
          <w14:textFill>
            <w14:solidFill>
              <w14:schemeClr w14:val="tx1"/>
            </w14:solidFill>
          </w14:textFill>
        </w:rPr>
        <w:t>积极推进</w:t>
      </w:r>
      <w:r>
        <w:rPr>
          <w:rFonts w:hint="eastAsia" w:ascii="仿宋" w:hAnsi="仿宋" w:eastAsia="仿宋" w:cs="仿宋"/>
          <w:color w:val="000000" w:themeColor="text1"/>
          <w:sz w:val="32"/>
          <w:szCs w:val="32"/>
          <w:lang w:eastAsia="zh-CN"/>
          <w14:textFill>
            <w14:solidFill>
              <w14:schemeClr w14:val="tx1"/>
            </w14:solidFill>
          </w14:textFill>
        </w:rPr>
        <w:t>了</w:t>
      </w:r>
      <w:r>
        <w:rPr>
          <w:rFonts w:hint="eastAsia" w:ascii="仿宋" w:hAnsi="仿宋" w:eastAsia="仿宋" w:cs="仿宋"/>
          <w:color w:val="000000" w:themeColor="text1"/>
          <w:sz w:val="32"/>
          <w:szCs w:val="32"/>
          <w14:textFill>
            <w14:solidFill>
              <w14:schemeClr w14:val="tx1"/>
            </w14:solidFill>
          </w14:textFill>
        </w:rPr>
        <w:t>2024年项目建设，为乡村振兴建设添动力</w:t>
      </w:r>
      <w:r>
        <w:rPr>
          <w:rFonts w:hint="eastAsia" w:ascii="仿宋" w:hAnsi="仿宋" w:eastAsia="仿宋" w:cs="仿宋"/>
          <w:color w:val="000000" w:themeColor="text1"/>
          <w:sz w:val="32"/>
          <w:szCs w:val="32"/>
          <w:lang w:eastAsia="zh-CN"/>
          <w14:textFill>
            <w14:solidFill>
              <w14:schemeClr w14:val="tx1"/>
            </w14:solidFill>
          </w14:textFill>
        </w:rPr>
        <w:t>。</w:t>
      </w:r>
    </w:p>
    <w:p w14:paraId="4FCD84E3">
      <w:pPr>
        <w:pStyle w:val="15"/>
        <w:overflowPunct w:val="0"/>
        <w:autoSpaceDE/>
        <w:autoSpaceDN/>
        <w:spacing w:line="600" w:lineRule="exact"/>
        <w:ind w:firstLine="643" w:firstLineChars="200"/>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（三）评价结果应用情况。</w:t>
      </w:r>
    </w:p>
    <w:p w14:paraId="7593E0DF">
      <w:pPr>
        <w:pStyle w:val="15"/>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仿宋_GB2312" w:cs="Times New Roman"/>
          <w:color w:val="auto"/>
          <w:sz w:val="32"/>
          <w:szCs w:val="32"/>
        </w:rPr>
        <w:t>2024年度绩效自评结果</w:t>
      </w:r>
      <w:r>
        <w:rPr>
          <w:rFonts w:hint="eastAsia" w:ascii="Times New Roman" w:hAnsi="Times New Roman" w:eastAsia="仿宋_GB2312" w:cs="Times New Roman"/>
          <w:color w:val="auto"/>
          <w:sz w:val="32"/>
          <w:szCs w:val="32"/>
          <w:lang w:val="en-US" w:eastAsia="zh-CN"/>
        </w:rPr>
        <w:t>良好</w:t>
      </w:r>
      <w:r>
        <w:rPr>
          <w:rFonts w:ascii="Times New Roman" w:hAnsi="Times New Roman" w:eastAsia="仿宋_GB2312" w:cs="Times New Roman"/>
          <w:color w:val="auto"/>
          <w:sz w:val="32"/>
          <w:szCs w:val="32"/>
        </w:rPr>
        <w:t>、部门评价结果、财政评价结果</w:t>
      </w:r>
      <w:r>
        <w:rPr>
          <w:rFonts w:hint="eastAsia" w:ascii="Times New Roman" w:hAnsi="Times New Roman" w:eastAsia="仿宋_GB2312" w:cs="Times New Roman"/>
          <w:color w:val="auto"/>
          <w:sz w:val="32"/>
          <w:szCs w:val="32"/>
          <w:lang w:eastAsia="zh-CN"/>
        </w:rPr>
        <w:t>均为良好。</w:t>
      </w:r>
      <w:r>
        <w:rPr>
          <w:rFonts w:ascii="Times New Roman" w:hAnsi="Times New Roman" w:eastAsia="仿宋_GB2312" w:cs="Times New Roman"/>
          <w:color w:val="auto"/>
          <w:sz w:val="32"/>
          <w:szCs w:val="32"/>
        </w:rPr>
        <w:t>对本部门2025年度预算安排，支出结构调整，资金管理，制度建设等方面结果运用进行简要说明。</w:t>
      </w:r>
    </w:p>
    <w:p w14:paraId="726616C9">
      <w:pPr>
        <w:pStyle w:val="15"/>
        <w:jc w:val="center"/>
        <w:rPr>
          <w:rFonts w:ascii="Times New Roman" w:hAnsi="Times New Roman" w:cs="Times New Roman"/>
          <w:sz w:val="72"/>
          <w:szCs w:val="72"/>
        </w:rPr>
      </w:pPr>
    </w:p>
    <w:p w14:paraId="4E710B6D">
      <w:pPr>
        <w:pStyle w:val="15"/>
        <w:jc w:val="center"/>
        <w:rPr>
          <w:rFonts w:ascii="Times New Roman" w:hAnsi="Times New Roman" w:cs="Times New Roman"/>
          <w:sz w:val="72"/>
          <w:szCs w:val="72"/>
        </w:rPr>
      </w:pPr>
    </w:p>
    <w:p w14:paraId="590A078A">
      <w:pPr>
        <w:pStyle w:val="15"/>
        <w:jc w:val="center"/>
        <w:rPr>
          <w:rFonts w:ascii="Times New Roman" w:hAnsi="Times New Roman" w:cs="Times New Roman"/>
          <w:sz w:val="72"/>
          <w:szCs w:val="72"/>
        </w:rPr>
      </w:pPr>
    </w:p>
    <w:p w14:paraId="1014ADE5">
      <w:pPr>
        <w:pStyle w:val="15"/>
        <w:jc w:val="both"/>
        <w:rPr>
          <w:rFonts w:ascii="Times New Roman" w:hAnsi="Times New Roman" w:cs="Times New Roman"/>
          <w:sz w:val="72"/>
          <w:szCs w:val="72"/>
        </w:rPr>
      </w:pPr>
    </w:p>
    <w:p w14:paraId="3C40AD53">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202A9B0B">
      <w:pPr>
        <w:widowControl/>
        <w:jc w:val="left"/>
        <w:rPr>
          <w:rFonts w:ascii="Times New Roman" w:hAnsi="Times New Roman" w:cs="Times New Roman"/>
          <w:color w:val="000000"/>
          <w:kern w:val="0"/>
          <w:sz w:val="32"/>
          <w:szCs w:val="32"/>
        </w:rPr>
      </w:pPr>
    </w:p>
    <w:p w14:paraId="018F4BD7">
      <w:pPr>
        <w:pStyle w:val="15"/>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一、财政拨款收入：指单位本年度从本级财政部门取得的财政拨款。</w:t>
      </w:r>
    </w:p>
    <w:p w14:paraId="5373C4AE">
      <w:pPr>
        <w:pStyle w:val="15"/>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二、事业收入：指事业单位开展专业业务活动及辅助活动所取得的收入。</w:t>
      </w:r>
    </w:p>
    <w:p w14:paraId="775DB6C2">
      <w:pPr>
        <w:pStyle w:val="15"/>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三、基本支出：指为保障机构正常运转、完成日常工作任务而发生的人员支出（包括基本工资、津贴补贴等）和公用支出（包括办公费、水电费、邮电费、交通费、差旅费等）</w:t>
      </w:r>
    </w:p>
    <w:p w14:paraId="5EEE2723">
      <w:pPr>
        <w:pStyle w:val="15"/>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四、一般公共预算：一般公共预算是对以税收为主体的财政收入，安排用于保障和改善民生、推动经济社会发展、维护国家安全、维持国家机构正常运转等方面的收支预算。  </w:t>
      </w:r>
    </w:p>
    <w:p w14:paraId="2B12BEAE">
      <w:pPr>
        <w:pStyle w:val="15"/>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五、机关运行经费：为保障行政单位（包括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14:paraId="2E575489">
      <w:pPr>
        <w:pStyle w:val="15"/>
        <w:ind w:firstLine="640" w:firstLineChars="200"/>
        <w:rPr>
          <w:rFonts w:ascii="Times New Roman" w:hAnsi="Times New Roman" w:cs="Times New Roman" w:eastAsiaTheme="minorEastAsia"/>
          <w:sz w:val="32"/>
          <w:szCs w:val="32"/>
        </w:rPr>
      </w:pPr>
      <w:r>
        <w:rPr>
          <w:rFonts w:hint="eastAsia" w:ascii="Times New Roman" w:hAnsi="Times New Roman" w:eastAsia="仿宋_GB2312" w:cs="Times New Roman"/>
          <w:color w:val="000000"/>
          <w:kern w:val="0"/>
          <w:sz w:val="32"/>
          <w:szCs w:val="32"/>
        </w:rPr>
        <w:t>六、三公经费：是指财政拨款支出安排的出国（境）费、车辆购置及运行费、公务接待费。</w:t>
      </w:r>
    </w:p>
    <w:p w14:paraId="53753219">
      <w:pPr>
        <w:pStyle w:val="15"/>
        <w:jc w:val="center"/>
        <w:rPr>
          <w:rFonts w:ascii="Times New Roman" w:hAnsi="Times New Roman" w:cs="Times New Roman"/>
          <w:sz w:val="72"/>
          <w:szCs w:val="72"/>
        </w:rPr>
      </w:pPr>
    </w:p>
    <w:p w14:paraId="49A6A224">
      <w:pPr>
        <w:pStyle w:val="15"/>
        <w:jc w:val="both"/>
        <w:rPr>
          <w:rFonts w:ascii="Times New Roman" w:hAnsi="Times New Roman" w:cs="Times New Roman"/>
          <w:sz w:val="72"/>
          <w:szCs w:val="72"/>
        </w:rPr>
      </w:pPr>
    </w:p>
    <w:p w14:paraId="7A023C4A">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3901370E">
      <w:pPr>
        <w:rPr>
          <w:rFonts w:ascii="Times New Roman" w:hAnsi="Times New Roman" w:cs="Times New Roman"/>
          <w:sz w:val="72"/>
          <w:szCs w:val="72"/>
        </w:rPr>
      </w:pPr>
    </w:p>
    <w:p w14:paraId="7D1682C9">
      <w:pPr>
        <w:pStyle w:val="15"/>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14F1131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b/>
          <w:bCs/>
          <w:i w:val="0"/>
          <w:iCs w:val="0"/>
          <w:caps w:val="0"/>
          <w:color w:val="000000"/>
          <w:spacing w:val="0"/>
          <w:sz w:val="32"/>
          <w:szCs w:val="32"/>
        </w:rPr>
      </w:pPr>
      <w:r>
        <w:rPr>
          <w:rFonts w:hint="eastAsia" w:ascii="黑体" w:hAnsi="黑体" w:eastAsia="黑体" w:cs="黑体"/>
          <w:b/>
          <w:bCs/>
          <w:i w:val="0"/>
          <w:iCs w:val="0"/>
          <w:caps w:val="0"/>
          <w:color w:val="000000"/>
          <w:spacing w:val="0"/>
          <w:sz w:val="32"/>
          <w:szCs w:val="32"/>
          <w:shd w:val="clear" w:fill="FFFFFF"/>
        </w:rPr>
        <w:t>一、部门、单位基本情况</w:t>
      </w:r>
    </w:p>
    <w:p w14:paraId="6E95D45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楷体" w:hAnsi="楷体" w:eastAsia="楷体" w:cs="楷体"/>
          <w:b/>
          <w:bCs/>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rPr>
        <w:t>（一）机构设置情况</w:t>
      </w:r>
    </w:p>
    <w:p w14:paraId="3729798F">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怀化市大中坡电视转播台作为二级部门预算单位，内设</w:t>
      </w:r>
      <w:r>
        <w:rPr>
          <w:rFonts w:hint="eastAsia" w:ascii="仿宋" w:hAnsi="仿宋" w:eastAsia="仿宋" w:cs="仿宋"/>
          <w:bCs/>
          <w:kern w:val="0"/>
          <w:sz w:val="32"/>
          <w:szCs w:val="32"/>
        </w:rPr>
        <w:t>机</w:t>
      </w:r>
      <w:r>
        <w:rPr>
          <w:rFonts w:hint="eastAsia" w:ascii="仿宋" w:hAnsi="仿宋" w:eastAsia="仿宋" w:cs="仿宋"/>
          <w:sz w:val="32"/>
          <w:szCs w:val="32"/>
        </w:rPr>
        <w:t>构为:办公室（含财务）、技术部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播出部</w:t>
      </w:r>
      <w:r>
        <w:rPr>
          <w:rFonts w:hint="eastAsia" w:ascii="仿宋" w:hAnsi="仿宋" w:eastAsia="仿宋" w:cs="仿宋"/>
          <w:sz w:val="32"/>
          <w:szCs w:val="32"/>
        </w:rPr>
        <w:t>。</w:t>
      </w:r>
    </w:p>
    <w:p w14:paraId="02F4C9DF">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人员编制情况</w:t>
      </w:r>
    </w:p>
    <w:p w14:paraId="6E90E58F">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年末实有在职人数32</w:t>
      </w:r>
      <w:r>
        <w:rPr>
          <w:rFonts w:hint="eastAsia" w:ascii="仿宋" w:hAnsi="仿宋" w:eastAsia="仿宋" w:cs="仿宋"/>
          <w:sz w:val="32"/>
          <w:szCs w:val="32"/>
        </w:rPr>
        <w:t>人，</w:t>
      </w:r>
      <w:r>
        <w:rPr>
          <w:rFonts w:hint="eastAsia" w:ascii="仿宋" w:hAnsi="仿宋" w:eastAsia="仿宋" w:cs="仿宋"/>
          <w:sz w:val="32"/>
          <w:szCs w:val="32"/>
          <w:lang w:val="en-US" w:eastAsia="zh-CN"/>
        </w:rPr>
        <w:t>其中财政编制29人，聘用人员2人，劳务派遣1人。退休15人</w:t>
      </w:r>
      <w:r>
        <w:rPr>
          <w:rFonts w:hint="eastAsia" w:ascii="仿宋" w:hAnsi="仿宋" w:eastAsia="仿宋" w:cs="仿宋"/>
          <w:sz w:val="32"/>
          <w:szCs w:val="32"/>
        </w:rPr>
        <w:t>。</w:t>
      </w:r>
    </w:p>
    <w:p w14:paraId="365E773A">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楷体" w:hAnsi="楷体" w:eastAsia="楷体" w:cs="楷体"/>
          <w:b/>
          <w:bCs/>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rPr>
        <w:t>主要职能职责</w:t>
      </w:r>
    </w:p>
    <w:p w14:paraId="323337B9">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Chars="0" w:right="0" w:rightChars="0"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rPr>
        <w:t>怀化市大中坡电视转播台是市广播电视台下</w:t>
      </w:r>
      <w:r>
        <w:rPr>
          <w:rFonts w:hint="eastAsia" w:ascii="仿宋" w:hAnsi="仿宋" w:eastAsia="仿宋" w:cs="仿宋"/>
          <w:bCs/>
          <w:kern w:val="0"/>
          <w:sz w:val="32"/>
          <w:szCs w:val="32"/>
          <w:lang w:val="en-US" w:eastAsia="zh-CN"/>
        </w:rPr>
        <w:t>设</w:t>
      </w:r>
      <w:r>
        <w:rPr>
          <w:rFonts w:hint="eastAsia" w:ascii="仿宋" w:hAnsi="仿宋" w:eastAsia="仿宋" w:cs="仿宋"/>
          <w:bCs/>
          <w:kern w:val="0"/>
          <w:sz w:val="32"/>
          <w:szCs w:val="32"/>
        </w:rPr>
        <w:t>的副处级全额拨款事业单位,主要职责:</w:t>
      </w:r>
    </w:p>
    <w:p w14:paraId="4E04DB3B">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Chars="0" w:right="0" w:rightChars="0"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rPr>
        <w:t>1、贯彻执行党和政府关于广播电视工作的路线、方针、政策与国家法律、法规，确保正确的舆论导向，当好党委、政府和人民的喉舌。</w:t>
      </w:r>
    </w:p>
    <w:p w14:paraId="61E77A54">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Chars="0" w:right="0" w:rightChars="0"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rPr>
        <w:t>2、作为湖南省高山台站，承担中央、省、市数字电视、调频广播节目的转播发射和微波信号传输任务，覆盖怀化城区及中方、麻阳、洪江、辰溪等周边地区，有效半径达到65公里，解决怀化城区及周边的近300万没有安装有线电视的群众看好电视、收听广播，丰富广大群众精神文化生活。</w:t>
      </w:r>
    </w:p>
    <w:p w14:paraId="46C23CEC">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Chars="0" w:right="0" w:rightChars="0"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rPr>
        <w:t>3、承担应急广播系统传输任务。</w:t>
      </w:r>
    </w:p>
    <w:p w14:paraId="7D14FAAB">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Chars="0" w:right="0" w:rightChars="0" w:firstLine="640" w:firstLineChars="200"/>
        <w:textAlignment w:val="auto"/>
        <w:rPr>
          <w:rFonts w:hint="eastAsia" w:ascii="宋体" w:hAnsi="宋体" w:eastAsia="宋体" w:cs="宋体"/>
          <w:b/>
          <w:bCs/>
          <w:i w:val="0"/>
          <w:iCs w:val="0"/>
          <w:caps w:val="0"/>
          <w:color w:val="000000"/>
          <w:spacing w:val="0"/>
          <w:sz w:val="28"/>
          <w:szCs w:val="28"/>
          <w:shd w:val="clear" w:fill="FFFFFF"/>
          <w:lang w:val="en-US" w:eastAsia="zh-CN"/>
        </w:rPr>
      </w:pPr>
      <w:r>
        <w:rPr>
          <w:rFonts w:hint="eastAsia" w:ascii="仿宋" w:hAnsi="仿宋" w:eastAsia="仿宋" w:cs="仿宋"/>
          <w:bCs/>
          <w:kern w:val="0"/>
          <w:sz w:val="32"/>
          <w:szCs w:val="32"/>
        </w:rPr>
        <w:t>4、完成市委、市政府和主管部门交办的其他工作。</w:t>
      </w:r>
    </w:p>
    <w:p w14:paraId="3C8638A9">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黑体" w:hAnsi="黑体" w:eastAsia="黑体" w:cs="黑体"/>
          <w:b/>
          <w:bCs/>
          <w:i w:val="0"/>
          <w:iCs w:val="0"/>
          <w:caps w:val="0"/>
          <w:color w:val="000000"/>
          <w:spacing w:val="0"/>
          <w:kern w:val="0"/>
          <w:sz w:val="32"/>
          <w:szCs w:val="32"/>
          <w:shd w:val="clear" w:fill="FFFFFF"/>
          <w:lang w:val="en-US" w:eastAsia="zh-CN" w:bidi="ar"/>
        </w:rPr>
      </w:pPr>
      <w:r>
        <w:rPr>
          <w:rFonts w:hint="eastAsia" w:ascii="黑体" w:hAnsi="黑体" w:eastAsia="黑体" w:cs="黑体"/>
          <w:b/>
          <w:bCs/>
          <w:i w:val="0"/>
          <w:iCs w:val="0"/>
          <w:caps w:val="0"/>
          <w:color w:val="000000"/>
          <w:spacing w:val="0"/>
          <w:kern w:val="0"/>
          <w:sz w:val="32"/>
          <w:szCs w:val="32"/>
          <w:shd w:val="clear" w:fill="FFFFFF"/>
          <w:lang w:val="en-US" w:eastAsia="zh-CN" w:bidi="ar"/>
        </w:rPr>
        <w:t>二、一般公共预算支出情况</w:t>
      </w:r>
    </w:p>
    <w:p w14:paraId="5E01C76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楷体" w:hAnsi="楷体" w:eastAsia="楷体" w:cs="楷体"/>
          <w:b/>
          <w:bCs/>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rPr>
        <w:t>（一）预算执行、使用、管理总体情况。</w:t>
      </w:r>
    </w:p>
    <w:p w14:paraId="3C5FF28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right="0" w:firstLine="640" w:firstLineChars="200"/>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202</w:t>
      </w:r>
      <w:r>
        <w:rPr>
          <w:rFonts w:hint="eastAsia" w:ascii="仿宋" w:hAnsi="仿宋" w:eastAsia="仿宋" w:cs="仿宋"/>
          <w:i w:val="0"/>
          <w:iCs w:val="0"/>
          <w:caps w:val="0"/>
          <w:color w:val="auto"/>
          <w:spacing w:val="0"/>
          <w:sz w:val="32"/>
          <w:szCs w:val="32"/>
          <w:shd w:val="clear" w:fill="FFFFFF"/>
          <w:lang w:val="en-US" w:eastAsia="zh-CN"/>
        </w:rPr>
        <w:t>4</w:t>
      </w:r>
      <w:r>
        <w:rPr>
          <w:rFonts w:hint="eastAsia" w:ascii="仿宋" w:hAnsi="仿宋" w:eastAsia="仿宋" w:cs="仿宋"/>
          <w:i w:val="0"/>
          <w:iCs w:val="0"/>
          <w:caps w:val="0"/>
          <w:color w:val="auto"/>
          <w:spacing w:val="0"/>
          <w:sz w:val="32"/>
          <w:szCs w:val="32"/>
          <w:shd w:val="clear" w:fill="FFFFFF"/>
        </w:rPr>
        <w:t>年总</w:t>
      </w:r>
      <w:r>
        <w:rPr>
          <w:rFonts w:hint="eastAsia" w:ascii="仿宋" w:hAnsi="仿宋" w:eastAsia="仿宋" w:cs="仿宋"/>
          <w:i w:val="0"/>
          <w:iCs w:val="0"/>
          <w:caps w:val="0"/>
          <w:color w:val="auto"/>
          <w:spacing w:val="0"/>
          <w:sz w:val="32"/>
          <w:szCs w:val="32"/>
          <w:shd w:val="clear" w:fill="FFFFFF"/>
          <w:lang w:val="en-US" w:eastAsia="zh-CN"/>
        </w:rPr>
        <w:t>预算722.03万元，实际执行722.03万元，</w:t>
      </w:r>
      <w:r>
        <w:rPr>
          <w:rFonts w:hint="eastAsia" w:ascii="仿宋" w:hAnsi="仿宋" w:eastAsia="仿宋" w:cs="仿宋"/>
          <w:i w:val="0"/>
          <w:iCs w:val="0"/>
          <w:caps w:val="0"/>
          <w:color w:val="auto"/>
          <w:spacing w:val="0"/>
          <w:sz w:val="32"/>
          <w:szCs w:val="32"/>
          <w:shd w:val="clear" w:fill="FFFFFF"/>
        </w:rPr>
        <w:t>预算执行率100%，基本符合预期的各项要求。各项经费的使用严格遵循预算编制的规定，未出现重大的超支或违规使用现象。在重点项目的投入上，资金的到充分保障，有力地推动了相关工作的开展。建立了完善的预算管理制度和流程，明确了各部门在预算管理中的职责和权限。定期开展预算执行情况的监控和分析，及时发现并解决潜在问题。</w:t>
      </w:r>
    </w:p>
    <w:p w14:paraId="6A04658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楷体" w:hAnsi="楷体" w:eastAsia="楷体" w:cs="楷体"/>
          <w:b/>
          <w:bCs/>
          <w:i w:val="0"/>
          <w:iCs w:val="0"/>
          <w:caps w:val="0"/>
          <w:color w:val="000000"/>
          <w:spacing w:val="0"/>
          <w:sz w:val="32"/>
          <w:szCs w:val="32"/>
        </w:rPr>
      </w:pPr>
      <w:r>
        <w:rPr>
          <w:rFonts w:hint="eastAsia" w:ascii="楷体" w:hAnsi="楷体" w:eastAsia="楷体" w:cs="楷体"/>
          <w:b/>
          <w:bCs/>
          <w:i w:val="0"/>
          <w:iCs w:val="0"/>
          <w:caps w:val="0"/>
          <w:color w:val="000000"/>
          <w:spacing w:val="0"/>
          <w:sz w:val="32"/>
          <w:szCs w:val="32"/>
          <w:shd w:val="clear" w:fill="FFFFFF"/>
        </w:rPr>
        <w:t>（二）部门预算执行情况</w:t>
      </w:r>
    </w:p>
    <w:p w14:paraId="3D97C15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640" w:right="0" w:firstLine="0"/>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1.基本支出情况</w:t>
      </w:r>
    </w:p>
    <w:p w14:paraId="4C1D9E5E">
      <w:pPr>
        <w:keepNext w:val="0"/>
        <w:keepLines w:val="0"/>
        <w:pageBreakBefore w:val="0"/>
        <w:widowControl w:val="0"/>
        <w:numPr>
          <w:ilvl w:val="0"/>
          <w:numId w:val="0"/>
        </w:numPr>
        <w:kinsoku/>
        <w:wordWrap/>
        <w:overflowPunct/>
        <w:topLinePunct w:val="0"/>
        <w:autoSpaceDE/>
        <w:autoSpaceDN/>
        <w:bidi w:val="0"/>
        <w:adjustRightInd/>
        <w:snapToGrid w:val="0"/>
        <w:spacing w:line="550" w:lineRule="exact"/>
        <w:ind w:left="0" w:firstLine="640" w:firstLineChars="200"/>
        <w:jc w:val="both"/>
        <w:textAlignment w:val="auto"/>
        <w:rPr>
          <w:rFonts w:hint="eastAsia" w:ascii="仿宋" w:hAnsi="仿宋" w:eastAsia="仿宋" w:cs="仿宋"/>
          <w:i w:val="0"/>
          <w:iCs w:val="0"/>
          <w:caps w:val="0"/>
          <w:color w:val="FF0000"/>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202</w:t>
      </w:r>
      <w:r>
        <w:rPr>
          <w:rFonts w:hint="eastAsia" w:ascii="仿宋" w:hAnsi="仿宋" w:eastAsia="仿宋" w:cs="仿宋"/>
          <w:i w:val="0"/>
          <w:iCs w:val="0"/>
          <w:caps w:val="0"/>
          <w:color w:val="auto"/>
          <w:spacing w:val="0"/>
          <w:sz w:val="32"/>
          <w:szCs w:val="32"/>
          <w:shd w:val="clear" w:fill="FFFFFF"/>
          <w:lang w:val="en-US" w:eastAsia="zh-CN"/>
        </w:rPr>
        <w:t>4</w:t>
      </w:r>
      <w:r>
        <w:rPr>
          <w:rFonts w:hint="eastAsia" w:ascii="仿宋" w:hAnsi="仿宋" w:eastAsia="仿宋" w:cs="仿宋"/>
          <w:i w:val="0"/>
          <w:iCs w:val="0"/>
          <w:caps w:val="0"/>
          <w:color w:val="auto"/>
          <w:spacing w:val="0"/>
          <w:sz w:val="32"/>
          <w:szCs w:val="32"/>
          <w:shd w:val="clear" w:fill="FFFFFF"/>
        </w:rPr>
        <w:t>年基本支出</w:t>
      </w:r>
      <w:r>
        <w:rPr>
          <w:rFonts w:hint="eastAsia" w:ascii="仿宋" w:hAnsi="仿宋" w:eastAsia="仿宋" w:cs="仿宋"/>
          <w:i w:val="0"/>
          <w:iCs w:val="0"/>
          <w:caps w:val="0"/>
          <w:color w:val="auto"/>
          <w:spacing w:val="0"/>
          <w:sz w:val="32"/>
          <w:szCs w:val="32"/>
          <w:shd w:val="clear" w:fill="FFFFFF"/>
          <w:lang w:val="en-US" w:eastAsia="zh-CN"/>
        </w:rPr>
        <w:t>预算585.23万元，实际执行585.23万元</w:t>
      </w:r>
      <w:r>
        <w:rPr>
          <w:rFonts w:hint="eastAsia" w:ascii="仿宋" w:hAnsi="仿宋" w:eastAsia="仿宋" w:cs="仿宋"/>
          <w:i w:val="0"/>
          <w:iCs w:val="0"/>
          <w:caps w:val="0"/>
          <w:color w:val="FF0000"/>
          <w:spacing w:val="0"/>
          <w:sz w:val="32"/>
          <w:szCs w:val="32"/>
          <w:shd w:val="clear" w:fill="FFFFFF"/>
        </w:rPr>
        <w:t>，</w:t>
      </w:r>
      <w:r>
        <w:rPr>
          <w:rFonts w:hint="eastAsia" w:ascii="仿宋" w:hAnsi="仿宋" w:eastAsia="仿宋" w:cs="仿宋"/>
          <w:b w:val="0"/>
          <w:bCs w:val="0"/>
          <w:color w:val="000000" w:themeColor="text1"/>
          <w:spacing w:val="6"/>
          <w:sz w:val="32"/>
          <w:szCs w:val="32"/>
          <w:highlight w:val="none"/>
          <w:lang w:val="en-US" w:eastAsia="zh-CN"/>
          <w14:textFill>
            <w14:solidFill>
              <w14:schemeClr w14:val="tx1"/>
            </w14:solidFill>
          </w14:textFill>
        </w:rPr>
        <w:t>基本支出是指为保障单位机构正常运转、完成日常工作任务而发生的各项支出，</w:t>
      </w:r>
      <w:r>
        <w:rPr>
          <w:rFonts w:hint="eastAsia" w:ascii="仿宋" w:hAnsi="仿宋" w:eastAsia="仿宋" w:cs="仿宋"/>
          <w:b w:val="0"/>
          <w:bCs w:val="0"/>
          <w:color w:val="000000" w:themeColor="text1"/>
          <w:spacing w:val="6"/>
          <w:sz w:val="32"/>
          <w:szCs w:val="32"/>
          <w:highlight w:val="none"/>
          <w:lang w:eastAsia="zh-CN"/>
          <w14:textFill>
            <w14:solidFill>
              <w14:schemeClr w14:val="tx1"/>
            </w14:solidFill>
          </w14:textFill>
        </w:rPr>
        <w:t>全年共计</w:t>
      </w:r>
      <w:r>
        <w:rPr>
          <w:rFonts w:hint="eastAsia" w:ascii="仿宋" w:hAnsi="仿宋" w:eastAsia="仿宋" w:cs="仿宋"/>
          <w:b w:val="0"/>
          <w:bCs w:val="0"/>
          <w:color w:val="000000" w:themeColor="text1"/>
          <w:spacing w:val="6"/>
          <w:sz w:val="32"/>
          <w:szCs w:val="32"/>
          <w:highlight w:val="none"/>
          <w:lang w:val="en-US" w:eastAsia="zh-CN"/>
          <w14:textFill>
            <w14:solidFill>
              <w14:schemeClr w14:val="tx1"/>
            </w14:solidFill>
          </w14:textFill>
        </w:rPr>
        <w:t>585.23</w:t>
      </w:r>
      <w:r>
        <w:rPr>
          <w:rFonts w:hint="eastAsia" w:ascii="仿宋" w:hAnsi="仿宋" w:eastAsia="仿宋" w:cs="仿宋"/>
          <w:b w:val="0"/>
          <w:bCs w:val="0"/>
          <w:color w:val="000000" w:themeColor="text1"/>
          <w:spacing w:val="6"/>
          <w:sz w:val="32"/>
          <w:szCs w:val="32"/>
          <w:highlight w:val="none"/>
          <w:lang w:eastAsia="zh-CN"/>
          <w14:textFill>
            <w14:solidFill>
              <w14:schemeClr w14:val="tx1"/>
            </w14:solidFill>
          </w14:textFill>
        </w:rPr>
        <w:t>万元，</w:t>
      </w:r>
      <w:r>
        <w:rPr>
          <w:rFonts w:hint="eastAsia" w:ascii="仿宋" w:hAnsi="仿宋" w:eastAsia="仿宋" w:cs="仿宋"/>
          <w:b w:val="0"/>
          <w:bCs w:val="0"/>
          <w:color w:val="000000" w:themeColor="text1"/>
          <w:spacing w:val="6"/>
          <w:sz w:val="32"/>
          <w:szCs w:val="32"/>
          <w:highlight w:val="none"/>
          <w:lang w:val="en-US" w:eastAsia="zh-CN"/>
          <w14:textFill>
            <w14:solidFill>
              <w14:schemeClr w14:val="tx1"/>
            </w14:solidFill>
          </w14:textFill>
        </w:rPr>
        <w:t>其中：基本工资</w:t>
      </w:r>
      <w:r>
        <w:rPr>
          <w:rFonts w:hint="eastAsia" w:ascii="仿宋" w:hAnsi="仿宋" w:eastAsia="仿宋" w:cs="仿宋"/>
          <w:b w:val="0"/>
          <w:bCs w:val="0"/>
          <w:color w:val="auto"/>
          <w:spacing w:val="6"/>
          <w:sz w:val="32"/>
          <w:szCs w:val="32"/>
          <w:highlight w:val="none"/>
          <w:lang w:val="en-US" w:eastAsia="zh-CN"/>
        </w:rPr>
        <w:t>164.91万元、津贴补贴161.59万元、奖金28.58万元、</w:t>
      </w:r>
      <w:r>
        <w:rPr>
          <w:rFonts w:hint="eastAsia" w:ascii="仿宋" w:hAnsi="仿宋" w:eastAsia="仿宋" w:cs="仿宋"/>
          <w:b w:val="0"/>
          <w:bCs w:val="0"/>
          <w:color w:val="auto"/>
          <w:spacing w:val="6"/>
          <w:sz w:val="32"/>
          <w:szCs w:val="32"/>
          <w:highlight w:val="none"/>
          <w:lang w:eastAsia="zh-CN"/>
        </w:rPr>
        <w:t>伙食补助费</w:t>
      </w:r>
      <w:r>
        <w:rPr>
          <w:rFonts w:hint="eastAsia" w:ascii="仿宋" w:hAnsi="仿宋" w:eastAsia="仿宋" w:cs="仿宋"/>
          <w:b w:val="0"/>
          <w:bCs w:val="0"/>
          <w:color w:val="auto"/>
          <w:spacing w:val="6"/>
          <w:sz w:val="32"/>
          <w:szCs w:val="32"/>
          <w:highlight w:val="none"/>
          <w:lang w:val="en-US" w:eastAsia="zh-CN"/>
        </w:rPr>
        <w:t>9.27</w:t>
      </w:r>
      <w:r>
        <w:rPr>
          <w:rFonts w:hint="eastAsia" w:ascii="仿宋" w:hAnsi="仿宋" w:eastAsia="仿宋" w:cs="仿宋"/>
          <w:b w:val="0"/>
          <w:bCs w:val="0"/>
          <w:color w:val="auto"/>
          <w:spacing w:val="6"/>
          <w:sz w:val="32"/>
          <w:szCs w:val="32"/>
          <w:highlight w:val="none"/>
          <w:lang w:eastAsia="zh-CN"/>
        </w:rPr>
        <w:t>万元、</w:t>
      </w:r>
      <w:r>
        <w:rPr>
          <w:rFonts w:hint="eastAsia" w:ascii="仿宋" w:hAnsi="仿宋" w:eastAsia="仿宋" w:cs="仿宋"/>
          <w:b w:val="0"/>
          <w:bCs w:val="0"/>
          <w:color w:val="000000" w:themeColor="text1"/>
          <w:spacing w:val="6"/>
          <w:sz w:val="32"/>
          <w:szCs w:val="32"/>
          <w:highlight w:val="none"/>
          <w:lang w:val="en-US" w:eastAsia="zh-CN"/>
          <w14:textFill>
            <w14:solidFill>
              <w14:schemeClr w14:val="tx1"/>
            </w14:solidFill>
          </w14:textFill>
        </w:rPr>
        <w:t>机关事业单位基本养老保险缴费</w:t>
      </w:r>
      <w:r>
        <w:rPr>
          <w:rFonts w:hint="eastAsia" w:ascii="仿宋" w:hAnsi="仿宋" w:eastAsia="仿宋" w:cs="仿宋"/>
          <w:b w:val="0"/>
          <w:bCs w:val="0"/>
          <w:color w:val="auto"/>
          <w:spacing w:val="6"/>
          <w:sz w:val="32"/>
          <w:szCs w:val="32"/>
          <w:highlight w:val="none"/>
          <w:lang w:val="en-US" w:eastAsia="zh-CN"/>
        </w:rPr>
        <w:t>46.97</w:t>
      </w:r>
      <w:r>
        <w:rPr>
          <w:rFonts w:hint="eastAsia" w:ascii="仿宋" w:hAnsi="仿宋" w:eastAsia="仿宋" w:cs="仿宋"/>
          <w:b w:val="0"/>
          <w:bCs w:val="0"/>
          <w:color w:val="000000" w:themeColor="text1"/>
          <w:spacing w:val="6"/>
          <w:sz w:val="32"/>
          <w:szCs w:val="32"/>
          <w:highlight w:val="none"/>
          <w:lang w:eastAsia="zh-CN"/>
          <w14:textFill>
            <w14:solidFill>
              <w14:schemeClr w14:val="tx1"/>
            </w14:solidFill>
          </w14:textFill>
        </w:rPr>
        <w:t>万元、职业年金</w:t>
      </w:r>
      <w:r>
        <w:rPr>
          <w:rFonts w:hint="eastAsia" w:ascii="仿宋" w:hAnsi="仿宋" w:eastAsia="仿宋" w:cs="仿宋"/>
          <w:b w:val="0"/>
          <w:bCs w:val="0"/>
          <w:color w:val="auto"/>
          <w:spacing w:val="11"/>
          <w:sz w:val="32"/>
          <w:szCs w:val="32"/>
          <w:highlight w:val="none"/>
          <w:lang w:val="en-US" w:eastAsia="zh-CN"/>
        </w:rPr>
        <w:t>6.96</w:t>
      </w:r>
      <w:r>
        <w:rPr>
          <w:rFonts w:hint="eastAsia" w:ascii="仿宋" w:hAnsi="仿宋" w:eastAsia="仿宋" w:cs="仿宋"/>
          <w:b w:val="0"/>
          <w:bCs w:val="0"/>
          <w:color w:val="000000" w:themeColor="text1"/>
          <w:spacing w:val="11"/>
          <w:sz w:val="32"/>
          <w:szCs w:val="32"/>
          <w:highlight w:val="none"/>
          <w:lang w:val="en-US" w:eastAsia="zh-CN"/>
          <w14:textFill>
            <w14:solidFill>
              <w14:schemeClr w14:val="tx1"/>
            </w14:solidFill>
          </w14:textFill>
        </w:rPr>
        <w:t>万元、</w:t>
      </w:r>
      <w:r>
        <w:rPr>
          <w:rFonts w:hint="eastAsia" w:ascii="仿宋" w:hAnsi="仿宋" w:eastAsia="仿宋" w:cs="仿宋"/>
          <w:b w:val="0"/>
          <w:bCs w:val="0"/>
          <w:color w:val="000000" w:themeColor="text1"/>
          <w:spacing w:val="6"/>
          <w:sz w:val="32"/>
          <w:szCs w:val="32"/>
          <w:highlight w:val="none"/>
          <w:lang w:val="en-US" w:eastAsia="zh-CN"/>
          <w14:textFill>
            <w14:solidFill>
              <w14:schemeClr w14:val="tx1"/>
            </w14:solidFill>
          </w14:textFill>
        </w:rPr>
        <w:t>职工基</w:t>
      </w:r>
      <w:r>
        <w:rPr>
          <w:rFonts w:hint="eastAsia" w:ascii="仿宋" w:hAnsi="仿宋" w:eastAsia="仿宋" w:cs="仿宋"/>
          <w:b w:val="0"/>
          <w:bCs w:val="0"/>
          <w:color w:val="000000" w:themeColor="text1"/>
          <w:spacing w:val="11"/>
          <w:sz w:val="32"/>
          <w:szCs w:val="32"/>
          <w:highlight w:val="none"/>
          <w:lang w:val="en-US" w:eastAsia="zh-CN"/>
          <w14:textFill>
            <w14:solidFill>
              <w14:schemeClr w14:val="tx1"/>
            </w14:solidFill>
          </w14:textFill>
        </w:rPr>
        <w:t>本医疗保险缴费</w:t>
      </w:r>
      <w:r>
        <w:rPr>
          <w:rFonts w:hint="eastAsia" w:ascii="仿宋" w:hAnsi="仿宋" w:eastAsia="仿宋" w:cs="仿宋"/>
          <w:b w:val="0"/>
          <w:bCs w:val="0"/>
          <w:color w:val="auto"/>
          <w:spacing w:val="11"/>
          <w:sz w:val="32"/>
          <w:szCs w:val="32"/>
          <w:highlight w:val="none"/>
          <w:lang w:val="en-US" w:eastAsia="zh-CN"/>
        </w:rPr>
        <w:t>20.69</w:t>
      </w:r>
      <w:r>
        <w:rPr>
          <w:rFonts w:hint="eastAsia" w:ascii="仿宋" w:hAnsi="仿宋" w:eastAsia="仿宋" w:cs="仿宋"/>
          <w:b w:val="0"/>
          <w:bCs w:val="0"/>
          <w:color w:val="000000" w:themeColor="text1"/>
          <w:spacing w:val="11"/>
          <w:sz w:val="32"/>
          <w:szCs w:val="32"/>
          <w:highlight w:val="none"/>
          <w:lang w:val="en-US" w:eastAsia="zh-CN"/>
          <w14:textFill>
            <w14:solidFill>
              <w14:schemeClr w14:val="tx1"/>
            </w14:solidFill>
          </w14:textFill>
        </w:rPr>
        <w:t>万元、</w:t>
      </w:r>
      <w:r>
        <w:rPr>
          <w:rFonts w:hint="eastAsia" w:ascii="仿宋" w:hAnsi="仿宋" w:eastAsia="仿宋" w:cs="仿宋"/>
          <w:b w:val="0"/>
          <w:bCs w:val="0"/>
          <w:color w:val="000000" w:themeColor="text1"/>
          <w:spacing w:val="11"/>
          <w:sz w:val="32"/>
          <w:szCs w:val="32"/>
          <w:highlight w:val="none"/>
          <w:lang w:eastAsia="zh-CN"/>
          <w14:textFill>
            <w14:solidFill>
              <w14:schemeClr w14:val="tx1"/>
            </w14:solidFill>
          </w14:textFill>
        </w:rPr>
        <w:t>其他社会保障缴费</w:t>
      </w:r>
      <w:r>
        <w:rPr>
          <w:rFonts w:hint="eastAsia" w:ascii="仿宋" w:hAnsi="仿宋" w:eastAsia="仿宋" w:cs="仿宋"/>
          <w:b w:val="0"/>
          <w:bCs w:val="0"/>
          <w:color w:val="auto"/>
          <w:spacing w:val="11"/>
          <w:sz w:val="32"/>
          <w:szCs w:val="32"/>
          <w:highlight w:val="none"/>
          <w:lang w:val="en-US" w:eastAsia="zh-CN"/>
        </w:rPr>
        <w:t>17.52</w:t>
      </w:r>
      <w:r>
        <w:rPr>
          <w:rFonts w:hint="eastAsia" w:ascii="仿宋" w:hAnsi="仿宋" w:eastAsia="仿宋" w:cs="仿宋"/>
          <w:b w:val="0"/>
          <w:bCs w:val="0"/>
          <w:color w:val="000000" w:themeColor="text1"/>
          <w:spacing w:val="11"/>
          <w:sz w:val="32"/>
          <w:szCs w:val="32"/>
          <w:highlight w:val="none"/>
          <w:lang w:eastAsia="zh-CN"/>
          <w14:textFill>
            <w14:solidFill>
              <w14:schemeClr w14:val="tx1"/>
            </w14:solidFill>
          </w14:textFill>
        </w:rPr>
        <w:t>万元、住房公积金缴费</w:t>
      </w:r>
      <w:r>
        <w:rPr>
          <w:rFonts w:hint="eastAsia" w:ascii="仿宋" w:hAnsi="仿宋" w:eastAsia="仿宋" w:cs="仿宋"/>
          <w:b w:val="0"/>
          <w:bCs w:val="0"/>
          <w:color w:val="000000" w:themeColor="text1"/>
          <w:spacing w:val="11"/>
          <w:sz w:val="32"/>
          <w:szCs w:val="32"/>
          <w:highlight w:val="none"/>
          <w:lang w:val="en-US" w:eastAsia="zh-CN"/>
          <w14:textFill>
            <w14:solidFill>
              <w14:schemeClr w14:val="tx1"/>
            </w14:solidFill>
          </w14:textFill>
        </w:rPr>
        <w:t>40.11万元、对个人和家庭的补助</w:t>
      </w:r>
      <w:r>
        <w:rPr>
          <w:rFonts w:hint="eastAsia" w:ascii="仿宋" w:hAnsi="仿宋" w:eastAsia="仿宋" w:cs="仿宋"/>
          <w:b w:val="0"/>
          <w:bCs w:val="0"/>
          <w:color w:val="auto"/>
          <w:spacing w:val="11"/>
          <w:sz w:val="32"/>
          <w:szCs w:val="32"/>
          <w:highlight w:val="none"/>
          <w:lang w:val="en-US" w:eastAsia="zh-CN"/>
        </w:rPr>
        <w:t>21.81</w:t>
      </w:r>
      <w:r>
        <w:rPr>
          <w:rFonts w:hint="eastAsia" w:ascii="仿宋" w:hAnsi="仿宋" w:eastAsia="仿宋" w:cs="仿宋"/>
          <w:b w:val="0"/>
          <w:bCs w:val="0"/>
          <w:color w:val="000000" w:themeColor="text1"/>
          <w:spacing w:val="11"/>
          <w:sz w:val="32"/>
          <w:szCs w:val="32"/>
          <w:highlight w:val="none"/>
          <w:lang w:eastAsia="zh-CN"/>
          <w14:textFill>
            <w14:solidFill>
              <w14:schemeClr w14:val="tx1"/>
            </w14:solidFill>
          </w14:textFill>
        </w:rPr>
        <w:t>万元、</w:t>
      </w:r>
      <w:r>
        <w:rPr>
          <w:rFonts w:hint="eastAsia" w:ascii="仿宋" w:hAnsi="仿宋" w:eastAsia="仿宋" w:cs="仿宋"/>
          <w:b w:val="0"/>
          <w:bCs w:val="0"/>
          <w:color w:val="000000" w:themeColor="text1"/>
          <w:spacing w:val="11"/>
          <w:sz w:val="32"/>
          <w:szCs w:val="32"/>
          <w:highlight w:val="none"/>
          <w:lang w:val="en-US" w:eastAsia="zh-CN"/>
          <w14:textFill>
            <w14:solidFill>
              <w14:schemeClr w14:val="tx1"/>
            </w14:solidFill>
          </w14:textFill>
        </w:rPr>
        <w:t>商品服务支出</w:t>
      </w:r>
      <w:r>
        <w:rPr>
          <w:rFonts w:hint="eastAsia" w:ascii="仿宋" w:hAnsi="仿宋" w:eastAsia="仿宋" w:cs="仿宋"/>
          <w:b w:val="0"/>
          <w:bCs w:val="0"/>
          <w:color w:val="auto"/>
          <w:spacing w:val="11"/>
          <w:sz w:val="32"/>
          <w:szCs w:val="32"/>
          <w:highlight w:val="none"/>
          <w:lang w:val="en-US" w:eastAsia="zh-CN"/>
        </w:rPr>
        <w:t>58.55</w:t>
      </w:r>
      <w:r>
        <w:rPr>
          <w:rFonts w:hint="eastAsia" w:ascii="仿宋" w:hAnsi="仿宋" w:eastAsia="仿宋" w:cs="仿宋"/>
          <w:b w:val="0"/>
          <w:bCs w:val="0"/>
          <w:color w:val="000000" w:themeColor="text1"/>
          <w:spacing w:val="11"/>
          <w:sz w:val="32"/>
          <w:szCs w:val="32"/>
          <w:highlight w:val="none"/>
          <w:lang w:val="en-US" w:eastAsia="zh-CN"/>
          <w14:textFill>
            <w14:solidFill>
              <w14:schemeClr w14:val="tx1"/>
            </w14:solidFill>
          </w14:textFill>
        </w:rPr>
        <w:t>万元等。</w:t>
      </w:r>
    </w:p>
    <w:p w14:paraId="09FF309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640" w:right="0" w:firstLine="0"/>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2.项目支出情况</w:t>
      </w:r>
    </w:p>
    <w:p w14:paraId="0FA25DE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right="0" w:firstLine="640" w:firstLineChars="200"/>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202</w:t>
      </w:r>
      <w:r>
        <w:rPr>
          <w:rFonts w:hint="eastAsia" w:ascii="仿宋" w:hAnsi="仿宋" w:eastAsia="仿宋" w:cs="仿宋"/>
          <w:i w:val="0"/>
          <w:iCs w:val="0"/>
          <w:caps w:val="0"/>
          <w:color w:val="auto"/>
          <w:spacing w:val="0"/>
          <w:sz w:val="32"/>
          <w:szCs w:val="32"/>
          <w:shd w:val="clear" w:fill="FFFFFF"/>
          <w:lang w:val="en-US" w:eastAsia="zh-CN"/>
        </w:rPr>
        <w:t>4</w:t>
      </w:r>
      <w:r>
        <w:rPr>
          <w:rFonts w:hint="eastAsia" w:ascii="仿宋" w:hAnsi="仿宋" w:eastAsia="仿宋" w:cs="仿宋"/>
          <w:i w:val="0"/>
          <w:iCs w:val="0"/>
          <w:caps w:val="0"/>
          <w:color w:val="auto"/>
          <w:spacing w:val="0"/>
          <w:sz w:val="32"/>
          <w:szCs w:val="32"/>
          <w:shd w:val="clear" w:fill="FFFFFF"/>
        </w:rPr>
        <w:t>年项目支出</w:t>
      </w:r>
      <w:r>
        <w:rPr>
          <w:rFonts w:hint="eastAsia" w:ascii="仿宋" w:hAnsi="仿宋" w:eastAsia="仿宋" w:cs="仿宋"/>
          <w:i w:val="0"/>
          <w:iCs w:val="0"/>
          <w:caps w:val="0"/>
          <w:color w:val="auto"/>
          <w:spacing w:val="0"/>
          <w:sz w:val="32"/>
          <w:szCs w:val="32"/>
          <w:shd w:val="clear" w:fill="FFFFFF"/>
          <w:lang w:val="en-US" w:eastAsia="zh-CN"/>
        </w:rPr>
        <w:t>136.80</w:t>
      </w:r>
      <w:r>
        <w:rPr>
          <w:rFonts w:hint="eastAsia" w:ascii="仿宋" w:hAnsi="仿宋" w:eastAsia="仿宋" w:cs="仿宋"/>
          <w:i w:val="0"/>
          <w:iCs w:val="0"/>
          <w:caps w:val="0"/>
          <w:color w:val="auto"/>
          <w:spacing w:val="0"/>
          <w:sz w:val="32"/>
          <w:szCs w:val="32"/>
          <w:shd w:val="clear" w:fill="FFFFFF"/>
        </w:rPr>
        <w:t>万元，主要用于购买设备零件，发射机附属设施维修维护，支付电费，保障供电正常及安全</w:t>
      </w:r>
      <w:r>
        <w:rPr>
          <w:rFonts w:hint="eastAsia" w:ascii="仿宋" w:hAnsi="仿宋" w:eastAsia="仿宋" w:cs="仿宋"/>
          <w:i w:val="0"/>
          <w:iCs w:val="0"/>
          <w:caps w:val="0"/>
          <w:color w:val="auto"/>
          <w:spacing w:val="0"/>
          <w:sz w:val="32"/>
          <w:szCs w:val="32"/>
          <w:shd w:val="clear" w:fill="FFFFFF"/>
          <w:lang w:val="en-US" w:eastAsia="zh-CN"/>
        </w:rPr>
        <w:t>播出</w:t>
      </w:r>
      <w:r>
        <w:rPr>
          <w:rFonts w:hint="eastAsia" w:ascii="仿宋" w:hAnsi="仿宋" w:eastAsia="仿宋" w:cs="仿宋"/>
          <w:i w:val="0"/>
          <w:iCs w:val="0"/>
          <w:caps w:val="0"/>
          <w:color w:val="auto"/>
          <w:spacing w:val="0"/>
          <w:sz w:val="32"/>
          <w:szCs w:val="32"/>
          <w:shd w:val="clear" w:fill="FFFFFF"/>
        </w:rPr>
        <w:t>。</w:t>
      </w:r>
    </w:p>
    <w:p w14:paraId="283D7B82">
      <w:pPr>
        <w:pStyle w:val="9"/>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楷体" w:hAnsi="楷体" w:eastAsia="楷体" w:cs="楷体"/>
          <w:b/>
          <w:bCs/>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rPr>
        <w:t>"三公"经费使用和管理情况</w:t>
      </w:r>
    </w:p>
    <w:p w14:paraId="0DDE9D61">
      <w:pPr>
        <w:keepNext w:val="0"/>
        <w:keepLines w:val="0"/>
        <w:pageBreakBefore w:val="0"/>
        <w:widowControl w:val="0"/>
        <w:numPr>
          <w:ilvl w:val="0"/>
          <w:numId w:val="3"/>
        </w:numPr>
        <w:kinsoku/>
        <w:wordWrap/>
        <w:overflowPunct/>
        <w:topLinePunct w:val="0"/>
        <w:autoSpaceDE/>
        <w:autoSpaceDN/>
        <w:bidi w:val="0"/>
        <w:adjustRightInd/>
        <w:snapToGrid w:val="0"/>
        <w:spacing w:line="550" w:lineRule="exact"/>
        <w:ind w:firstLine="640" w:firstLineChars="200"/>
        <w:jc w:val="both"/>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使用情况：</w:t>
      </w:r>
    </w:p>
    <w:p w14:paraId="1FFC4E03">
      <w:pPr>
        <w:keepNext w:val="0"/>
        <w:keepLines w:val="0"/>
        <w:pageBreakBefore w:val="0"/>
        <w:widowControl w:val="0"/>
        <w:numPr>
          <w:ilvl w:val="0"/>
          <w:numId w:val="0"/>
        </w:numPr>
        <w:kinsoku/>
        <w:wordWrap/>
        <w:overflowPunct/>
        <w:topLinePunct w:val="0"/>
        <w:autoSpaceDE/>
        <w:autoSpaceDN/>
        <w:bidi w:val="0"/>
        <w:adjustRightInd/>
        <w:snapToGrid w:val="0"/>
        <w:spacing w:line="550" w:lineRule="exact"/>
        <w:ind w:firstLine="640" w:firstLineChars="200"/>
        <w:jc w:val="both"/>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202</w:t>
      </w:r>
      <w:r>
        <w:rPr>
          <w:rFonts w:hint="eastAsia" w:ascii="仿宋" w:hAnsi="仿宋" w:eastAsia="仿宋" w:cs="仿宋"/>
          <w:i w:val="0"/>
          <w:iCs w:val="0"/>
          <w:caps w:val="0"/>
          <w:color w:val="auto"/>
          <w:spacing w:val="0"/>
          <w:sz w:val="32"/>
          <w:szCs w:val="32"/>
          <w:shd w:val="clear" w:fill="FFFFFF"/>
          <w:lang w:val="en-US" w:eastAsia="zh-CN"/>
        </w:rPr>
        <w:t>4</w:t>
      </w:r>
      <w:r>
        <w:rPr>
          <w:rFonts w:hint="eastAsia" w:ascii="仿宋" w:hAnsi="仿宋" w:eastAsia="仿宋" w:cs="仿宋"/>
          <w:i w:val="0"/>
          <w:iCs w:val="0"/>
          <w:caps w:val="0"/>
          <w:color w:val="auto"/>
          <w:spacing w:val="0"/>
          <w:sz w:val="32"/>
          <w:szCs w:val="32"/>
          <w:shd w:val="clear" w:fill="FFFFFF"/>
        </w:rPr>
        <w:t>年“三公”经费支出</w:t>
      </w:r>
      <w:r>
        <w:rPr>
          <w:rFonts w:hint="eastAsia" w:ascii="仿宋" w:hAnsi="仿宋" w:eastAsia="仿宋" w:cs="仿宋"/>
          <w:i w:val="0"/>
          <w:iCs w:val="0"/>
          <w:caps w:val="0"/>
          <w:color w:val="auto"/>
          <w:spacing w:val="0"/>
          <w:sz w:val="32"/>
          <w:szCs w:val="32"/>
          <w:shd w:val="clear" w:fill="FFFFFF"/>
          <w:lang w:val="en-US" w:eastAsia="zh-CN"/>
        </w:rPr>
        <w:t>预算3.60</w:t>
      </w:r>
      <w:r>
        <w:rPr>
          <w:rFonts w:hint="eastAsia" w:ascii="仿宋" w:hAnsi="仿宋" w:eastAsia="仿宋" w:cs="仿宋"/>
          <w:i w:val="0"/>
          <w:iCs w:val="0"/>
          <w:caps w:val="0"/>
          <w:color w:val="auto"/>
          <w:spacing w:val="0"/>
          <w:sz w:val="32"/>
          <w:szCs w:val="32"/>
          <w:shd w:val="clear" w:fill="FFFFFF"/>
        </w:rPr>
        <w:t>万元，</w:t>
      </w:r>
      <w:r>
        <w:rPr>
          <w:rFonts w:hint="eastAsia" w:ascii="仿宋" w:hAnsi="仿宋" w:eastAsia="仿宋" w:cs="仿宋"/>
          <w:i w:val="0"/>
          <w:iCs w:val="0"/>
          <w:caps w:val="0"/>
          <w:color w:val="auto"/>
          <w:spacing w:val="0"/>
          <w:sz w:val="32"/>
          <w:szCs w:val="32"/>
          <w:shd w:val="clear" w:fill="FFFFFF"/>
          <w:lang w:val="en-US" w:eastAsia="zh-CN"/>
        </w:rPr>
        <w:t>实际支出2.83万元。</w:t>
      </w:r>
      <w:r>
        <w:rPr>
          <w:rFonts w:hint="eastAsia" w:ascii="仿宋" w:hAnsi="仿宋" w:eastAsia="仿宋" w:cs="仿宋"/>
          <w:b w:val="0"/>
          <w:bCs w:val="0"/>
          <w:color w:val="auto"/>
          <w:spacing w:val="11"/>
          <w:sz w:val="32"/>
          <w:szCs w:val="32"/>
          <w:highlight w:val="none"/>
          <w:lang w:val="en-US" w:eastAsia="zh-CN"/>
        </w:rPr>
        <w:t>其中:因公出国(境)费预算0万元，实际因公出国(境)费0万元，</w:t>
      </w:r>
      <w:r>
        <w:rPr>
          <w:rFonts w:hint="eastAsia" w:ascii="仿宋" w:hAnsi="仿宋" w:eastAsia="仿宋" w:cs="仿宋"/>
          <w:i w:val="0"/>
          <w:iCs w:val="0"/>
          <w:caps w:val="0"/>
          <w:color w:val="auto"/>
          <w:spacing w:val="0"/>
          <w:sz w:val="32"/>
          <w:szCs w:val="32"/>
          <w:shd w:val="clear" w:fill="FFFFFF"/>
        </w:rPr>
        <w:t>车辆运行维护费</w:t>
      </w:r>
      <w:r>
        <w:rPr>
          <w:rFonts w:hint="eastAsia" w:ascii="仿宋" w:hAnsi="仿宋" w:eastAsia="仿宋" w:cs="仿宋"/>
          <w:i w:val="0"/>
          <w:iCs w:val="0"/>
          <w:caps w:val="0"/>
          <w:color w:val="auto"/>
          <w:spacing w:val="0"/>
          <w:sz w:val="32"/>
          <w:szCs w:val="32"/>
          <w:shd w:val="clear" w:fill="FFFFFF"/>
          <w:lang w:val="en-US" w:eastAsia="zh-CN"/>
        </w:rPr>
        <w:t>预算2.7</w:t>
      </w:r>
      <w:r>
        <w:rPr>
          <w:rFonts w:hint="eastAsia" w:ascii="仿宋" w:hAnsi="仿宋" w:eastAsia="仿宋" w:cs="仿宋"/>
          <w:i w:val="0"/>
          <w:iCs w:val="0"/>
          <w:caps w:val="0"/>
          <w:color w:val="auto"/>
          <w:spacing w:val="0"/>
          <w:sz w:val="32"/>
          <w:szCs w:val="32"/>
          <w:shd w:val="clear" w:fill="FFFFFF"/>
        </w:rPr>
        <w:t>万元，</w:t>
      </w:r>
      <w:r>
        <w:rPr>
          <w:rFonts w:hint="eastAsia" w:ascii="仿宋" w:hAnsi="仿宋" w:eastAsia="仿宋" w:cs="仿宋"/>
          <w:i w:val="0"/>
          <w:iCs w:val="0"/>
          <w:caps w:val="0"/>
          <w:color w:val="auto"/>
          <w:spacing w:val="0"/>
          <w:sz w:val="32"/>
          <w:szCs w:val="32"/>
          <w:shd w:val="clear" w:fill="FFFFFF"/>
          <w:lang w:val="en-US" w:eastAsia="zh-CN"/>
        </w:rPr>
        <w:t>实际支出2.7万元</w:t>
      </w:r>
      <w:r>
        <w:rPr>
          <w:rFonts w:hint="eastAsia" w:ascii="仿宋" w:hAnsi="仿宋" w:eastAsia="仿宋" w:cs="仿宋"/>
          <w:b w:val="0"/>
          <w:bCs w:val="0"/>
          <w:color w:val="auto"/>
          <w:spacing w:val="11"/>
          <w:sz w:val="32"/>
          <w:szCs w:val="32"/>
          <w:highlight w:val="none"/>
          <w:lang w:val="en-US" w:eastAsia="zh-CN"/>
        </w:rPr>
        <w:t>公务用车运行维护费比去年增加了0.75万元，主要是因公车使用年限较长，日常维修养护成本增加，以及燃油消耗增加，导致公车运行费较上年增加</w:t>
      </w:r>
      <w:r>
        <w:rPr>
          <w:rFonts w:hint="eastAsia" w:ascii="仿宋" w:hAnsi="仿宋" w:eastAsia="仿宋" w:cs="仿宋"/>
          <w:i w:val="0"/>
          <w:iCs w:val="0"/>
          <w:caps w:val="0"/>
          <w:color w:val="auto"/>
          <w:spacing w:val="0"/>
          <w:sz w:val="32"/>
          <w:szCs w:val="32"/>
          <w:shd w:val="clear" w:fill="FFFFFF"/>
          <w:lang w:val="en-US" w:eastAsia="zh-CN"/>
        </w:rPr>
        <w:t>；</w:t>
      </w:r>
      <w:r>
        <w:rPr>
          <w:rFonts w:hint="eastAsia" w:ascii="仿宋" w:hAnsi="仿宋" w:eastAsia="仿宋" w:cs="仿宋"/>
          <w:i w:val="0"/>
          <w:iCs w:val="0"/>
          <w:caps w:val="0"/>
          <w:color w:val="auto"/>
          <w:spacing w:val="0"/>
          <w:sz w:val="32"/>
          <w:szCs w:val="32"/>
          <w:shd w:val="clear" w:fill="FFFFFF"/>
        </w:rPr>
        <w:t>公务接待费</w:t>
      </w:r>
      <w:r>
        <w:rPr>
          <w:rFonts w:hint="eastAsia" w:ascii="仿宋" w:hAnsi="仿宋" w:eastAsia="仿宋" w:cs="仿宋"/>
          <w:i w:val="0"/>
          <w:iCs w:val="0"/>
          <w:caps w:val="0"/>
          <w:color w:val="auto"/>
          <w:spacing w:val="0"/>
          <w:sz w:val="32"/>
          <w:szCs w:val="32"/>
          <w:shd w:val="clear" w:fill="FFFFFF"/>
          <w:lang w:val="en-US" w:eastAsia="zh-CN"/>
        </w:rPr>
        <w:t>预算0.9</w:t>
      </w:r>
      <w:r>
        <w:rPr>
          <w:rFonts w:hint="eastAsia" w:ascii="仿宋" w:hAnsi="仿宋" w:eastAsia="仿宋" w:cs="仿宋"/>
          <w:i w:val="0"/>
          <w:iCs w:val="0"/>
          <w:caps w:val="0"/>
          <w:color w:val="auto"/>
          <w:spacing w:val="0"/>
          <w:sz w:val="32"/>
          <w:szCs w:val="32"/>
          <w:shd w:val="clear" w:fill="FFFFFF"/>
        </w:rPr>
        <w:t>万元</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lang w:val="en-US" w:eastAsia="zh-CN"/>
        </w:rPr>
        <w:t>实际支出0.13万元</w:t>
      </w:r>
      <w:r>
        <w:rPr>
          <w:rFonts w:hint="eastAsia" w:ascii="仿宋" w:hAnsi="仿宋" w:eastAsia="仿宋" w:cs="仿宋"/>
          <w:i w:val="0"/>
          <w:iCs w:val="0"/>
          <w:caps w:val="0"/>
          <w:color w:val="auto"/>
          <w:spacing w:val="0"/>
          <w:sz w:val="32"/>
          <w:szCs w:val="32"/>
          <w:shd w:val="clear" w:fill="FFFFFF"/>
        </w:rPr>
        <w:t>。</w:t>
      </w:r>
      <w:r>
        <w:rPr>
          <w:rFonts w:hint="eastAsia" w:ascii="仿宋" w:hAnsi="仿宋" w:eastAsia="仿宋" w:cs="仿宋"/>
          <w:b w:val="0"/>
          <w:bCs w:val="0"/>
          <w:color w:val="auto"/>
          <w:spacing w:val="11"/>
          <w:sz w:val="32"/>
          <w:szCs w:val="32"/>
          <w:highlight w:val="none"/>
          <w:lang w:val="en-US" w:eastAsia="zh-CN"/>
        </w:rPr>
        <w:t>比去年节约</w:t>
      </w:r>
      <w:r>
        <w:rPr>
          <w:rFonts w:hint="eastAsia" w:ascii="仿宋" w:hAnsi="仿宋" w:eastAsia="仿宋" w:cs="仿宋"/>
          <w:b w:val="0"/>
          <w:bCs w:val="0"/>
          <w:color w:val="auto"/>
          <w:spacing w:val="11"/>
          <w:sz w:val="32"/>
          <w:szCs w:val="32"/>
          <w:highlight w:val="none"/>
          <w:lang w:eastAsia="zh-CN"/>
        </w:rPr>
        <w:t>0</w:t>
      </w:r>
      <w:r>
        <w:rPr>
          <w:rFonts w:hint="eastAsia" w:ascii="仿宋" w:hAnsi="仿宋" w:eastAsia="仿宋" w:cs="仿宋"/>
          <w:b w:val="0"/>
          <w:bCs w:val="0"/>
          <w:color w:val="auto"/>
          <w:spacing w:val="11"/>
          <w:sz w:val="32"/>
          <w:szCs w:val="32"/>
          <w:highlight w:val="none"/>
          <w:lang w:val="en-US" w:eastAsia="zh-CN"/>
        </w:rPr>
        <w:t>.46万元，主要是厉行节约，严控三公经费，为持续严格执行中央八项规定及相关文件精神。</w:t>
      </w:r>
    </w:p>
    <w:p w14:paraId="47352A4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right="0" w:firstLine="640" w:firstLineChars="200"/>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lang w:val="en-US" w:eastAsia="zh-CN"/>
        </w:rPr>
        <w:t>2、管理情况</w:t>
      </w:r>
      <w:r>
        <w:rPr>
          <w:rFonts w:hint="eastAsia" w:ascii="仿宋" w:hAnsi="仿宋" w:eastAsia="仿宋" w:cs="仿宋"/>
          <w:i w:val="0"/>
          <w:iCs w:val="0"/>
          <w:caps w:val="0"/>
          <w:color w:val="auto"/>
          <w:spacing w:val="0"/>
          <w:sz w:val="32"/>
          <w:szCs w:val="32"/>
          <w:shd w:val="clear" w:fill="FFFFFF"/>
        </w:rPr>
        <w:t>:</w:t>
      </w:r>
    </w:p>
    <w:p w14:paraId="25C10CC2">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right="0" w:rightChars="0" w:firstLine="320" w:firstLineChars="100"/>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lang w:val="en-US" w:eastAsia="zh-CN"/>
        </w:rPr>
        <w:t>1</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rPr>
        <w:t>严格预算编制，强化预算节约:将“三公”经费预算编制细化到具体项目，从严控制预算支出，杜绝无预算和超预算开支，增强预算约束力。</w:t>
      </w:r>
    </w:p>
    <w:p w14:paraId="47558815">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right="0" w:rightChars="0" w:firstLine="320" w:firstLineChars="100"/>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lang w:val="en-US" w:eastAsia="zh-CN"/>
        </w:rPr>
        <w:t>2</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lang w:val="en-US" w:eastAsia="zh-CN"/>
        </w:rPr>
        <w:t>控制</w:t>
      </w:r>
      <w:r>
        <w:rPr>
          <w:rFonts w:hint="eastAsia" w:ascii="仿宋" w:hAnsi="仿宋" w:eastAsia="仿宋" w:cs="仿宋"/>
          <w:i w:val="0"/>
          <w:iCs w:val="0"/>
          <w:caps w:val="0"/>
          <w:color w:val="auto"/>
          <w:spacing w:val="0"/>
          <w:sz w:val="32"/>
          <w:szCs w:val="32"/>
          <w:shd w:val="clear" w:fill="FFFFFF"/>
        </w:rPr>
        <w:t>支出标准，严格执行制度:对公务用车、公务接待等支出</w:t>
      </w:r>
      <w:r>
        <w:rPr>
          <w:rFonts w:hint="eastAsia" w:ascii="仿宋" w:hAnsi="仿宋" w:eastAsia="仿宋" w:cs="仿宋"/>
          <w:i w:val="0"/>
          <w:iCs w:val="0"/>
          <w:caps w:val="0"/>
          <w:color w:val="auto"/>
          <w:spacing w:val="0"/>
          <w:sz w:val="32"/>
          <w:szCs w:val="32"/>
          <w:shd w:val="clear" w:fill="FFFFFF"/>
          <w:lang w:val="en-US" w:eastAsia="zh-CN"/>
        </w:rPr>
        <w:t>严格控制</w:t>
      </w:r>
      <w:r>
        <w:rPr>
          <w:rFonts w:hint="eastAsia" w:ascii="仿宋" w:hAnsi="仿宋" w:eastAsia="仿宋" w:cs="仿宋"/>
          <w:i w:val="0"/>
          <w:iCs w:val="0"/>
          <w:caps w:val="0"/>
          <w:color w:val="auto"/>
          <w:spacing w:val="0"/>
          <w:sz w:val="32"/>
          <w:szCs w:val="32"/>
          <w:shd w:val="clear" w:fill="FFFFFF"/>
        </w:rPr>
        <w:t>，按规定</w:t>
      </w:r>
      <w:r>
        <w:rPr>
          <w:rFonts w:hint="eastAsia" w:ascii="仿宋" w:hAnsi="仿宋" w:eastAsia="仿宋" w:cs="仿宋"/>
          <w:i w:val="0"/>
          <w:iCs w:val="0"/>
          <w:caps w:val="0"/>
          <w:color w:val="auto"/>
          <w:spacing w:val="0"/>
          <w:sz w:val="32"/>
          <w:szCs w:val="32"/>
          <w:shd w:val="clear" w:fill="FFFFFF"/>
          <w:lang w:val="en-US" w:eastAsia="zh-CN"/>
        </w:rPr>
        <w:t>标准</w:t>
      </w:r>
      <w:r>
        <w:rPr>
          <w:rFonts w:hint="eastAsia" w:ascii="仿宋" w:hAnsi="仿宋" w:eastAsia="仿宋" w:cs="仿宋"/>
          <w:i w:val="0"/>
          <w:iCs w:val="0"/>
          <w:caps w:val="0"/>
          <w:color w:val="auto"/>
          <w:spacing w:val="0"/>
          <w:sz w:val="32"/>
          <w:szCs w:val="32"/>
          <w:shd w:val="clear" w:fill="FFFFFF"/>
        </w:rPr>
        <w:t>额度报销，</w:t>
      </w:r>
      <w:r>
        <w:rPr>
          <w:rFonts w:hint="eastAsia" w:ascii="仿宋" w:hAnsi="仿宋" w:eastAsia="仿宋" w:cs="仿宋"/>
          <w:i w:val="0"/>
          <w:iCs w:val="0"/>
          <w:caps w:val="0"/>
          <w:color w:val="auto"/>
          <w:spacing w:val="0"/>
          <w:sz w:val="32"/>
          <w:szCs w:val="32"/>
          <w:shd w:val="clear" w:fill="FFFFFF"/>
          <w:lang w:val="en-US" w:eastAsia="zh-CN"/>
        </w:rPr>
        <w:t>杜绝超支</w:t>
      </w:r>
      <w:r>
        <w:rPr>
          <w:rFonts w:hint="eastAsia" w:ascii="仿宋" w:hAnsi="仿宋" w:eastAsia="仿宋" w:cs="仿宋"/>
          <w:i w:val="0"/>
          <w:iCs w:val="0"/>
          <w:caps w:val="0"/>
          <w:color w:val="auto"/>
          <w:spacing w:val="0"/>
          <w:sz w:val="32"/>
          <w:szCs w:val="32"/>
          <w:shd w:val="clear" w:fill="FFFFFF"/>
        </w:rPr>
        <w:t>。</w:t>
      </w:r>
    </w:p>
    <w:p w14:paraId="5B38D4C3">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right="0" w:rightChars="0" w:firstLine="320" w:firstLineChars="100"/>
        <w:textAlignment w:val="auto"/>
        <w:rPr>
          <w:rFonts w:hint="eastAsia" w:ascii="宋体" w:hAnsi="宋体" w:eastAsia="宋体" w:cs="宋体"/>
          <w:i w:val="0"/>
          <w:iCs w:val="0"/>
          <w:caps w:val="0"/>
          <w:color w:val="auto"/>
          <w:spacing w:val="0"/>
          <w:sz w:val="28"/>
          <w:szCs w:val="28"/>
          <w:shd w:val="clear" w:fill="FFFFFF"/>
        </w:rPr>
      </w:pP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lang w:val="en-US" w:eastAsia="zh-CN"/>
        </w:rPr>
        <w:t>3</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rPr>
        <w:t>规范财务制度，加强日常管理:公务费用支出一律履行报批手续。对接待支出，填写公务接单审批单并控制接待标准及参陪人数。</w:t>
      </w:r>
    </w:p>
    <w:p w14:paraId="5ABC9372">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321" w:firstLineChars="100"/>
        <w:textAlignment w:val="auto"/>
        <w:rPr>
          <w:rFonts w:hint="eastAsia" w:ascii="黑体" w:hAnsi="黑体" w:eastAsia="黑体" w:cs="黑体"/>
          <w:b/>
          <w:bCs/>
          <w:i w:val="0"/>
          <w:iCs w:val="0"/>
          <w:caps w:val="0"/>
          <w:color w:val="000000"/>
          <w:spacing w:val="0"/>
          <w:sz w:val="32"/>
          <w:szCs w:val="32"/>
          <w:shd w:val="clear" w:fill="FFFFFF"/>
          <w:lang w:eastAsia="zh-CN"/>
        </w:rPr>
      </w:pPr>
      <w:r>
        <w:rPr>
          <w:rFonts w:hint="eastAsia" w:ascii="黑体" w:hAnsi="黑体" w:eastAsia="黑体" w:cs="黑体"/>
          <w:b/>
          <w:bCs/>
          <w:i w:val="0"/>
          <w:iCs w:val="0"/>
          <w:caps w:val="0"/>
          <w:color w:val="000000"/>
          <w:spacing w:val="0"/>
          <w:sz w:val="32"/>
          <w:szCs w:val="32"/>
          <w:shd w:val="clear" w:fill="FFFFFF"/>
          <w:lang w:eastAsia="zh-CN"/>
        </w:rPr>
        <w:t>四、资产管理情况</w:t>
      </w:r>
    </w:p>
    <w:p w14:paraId="72C0557C">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41"/>
        <w:textAlignment w:val="auto"/>
        <w:rPr>
          <w:rFonts w:hint="eastAsia" w:ascii="黑体" w:hAnsi="黑体" w:eastAsia="黑体" w:cs="黑体"/>
          <w:b/>
          <w:bCs/>
          <w:i w:val="0"/>
          <w:iCs w:val="0"/>
          <w:caps w:val="0"/>
          <w:color w:val="000000"/>
          <w:spacing w:val="0"/>
          <w:sz w:val="32"/>
          <w:szCs w:val="32"/>
          <w:shd w:val="clear" w:fill="FFFFFF"/>
          <w:lang w:eastAsia="zh-CN"/>
        </w:rPr>
      </w:pPr>
      <w:r>
        <w:rPr>
          <w:rFonts w:hint="eastAsia" w:ascii="仿宋" w:hAnsi="仿宋" w:eastAsia="仿宋" w:cs="仿宋"/>
          <w:color w:val="000000"/>
          <w:kern w:val="0"/>
          <w:sz w:val="32"/>
          <w:szCs w:val="32"/>
          <w:lang w:eastAsia="zh-CN"/>
        </w:rPr>
        <w:t>为了搞好单位资产的配置、管理、处置等特制定了《资产管理制度》，我单位固定资产由办公室统一登记和管理。购置办公用品和设备，需经上级资产相关管理部门审批后，经由单位领导同意后方可采购。办公室定期清点公物，按年度列出清单。做到账账相符、账证相符、账实相符。</w:t>
      </w:r>
    </w:p>
    <w:p w14:paraId="0671E122">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321" w:firstLineChars="1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b/>
          <w:bCs/>
          <w:i w:val="0"/>
          <w:iCs w:val="0"/>
          <w:caps w:val="0"/>
          <w:color w:val="000000"/>
          <w:spacing w:val="0"/>
          <w:sz w:val="32"/>
          <w:szCs w:val="32"/>
          <w:shd w:val="clear" w:fill="FFFFFF"/>
          <w:lang w:eastAsia="zh-CN"/>
        </w:rPr>
        <w:t>五、</w:t>
      </w:r>
      <w:r>
        <w:rPr>
          <w:rFonts w:hint="eastAsia" w:ascii="黑体" w:hAnsi="黑体" w:eastAsia="黑体" w:cs="黑体"/>
          <w:b/>
          <w:bCs/>
          <w:i w:val="0"/>
          <w:iCs w:val="0"/>
          <w:caps w:val="0"/>
          <w:color w:val="000000"/>
          <w:spacing w:val="0"/>
          <w:sz w:val="32"/>
          <w:szCs w:val="32"/>
          <w:shd w:val="clear" w:fill="FFFFFF"/>
        </w:rPr>
        <w:t>政府性基金预算支出情况</w:t>
      </w:r>
    </w:p>
    <w:p w14:paraId="63A87CE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val="0"/>
          <w:caps w:val="0"/>
          <w:color w:val="000000"/>
          <w:spacing w:val="0"/>
          <w:sz w:val="32"/>
          <w:szCs w:val="32"/>
          <w:shd w:val="clear" w:fill="FFFFFF"/>
          <w:lang w:val="en-US" w:eastAsia="zh-CN"/>
        </w:rPr>
      </w:pPr>
      <w:r>
        <w:rPr>
          <w:rFonts w:hint="eastAsia" w:ascii="宋体" w:hAnsi="宋体" w:eastAsia="宋体" w:cs="宋体"/>
          <w:i w:val="0"/>
          <w:iCs w:val="0"/>
          <w:caps w:val="0"/>
          <w:color w:val="000000"/>
          <w:spacing w:val="0"/>
          <w:sz w:val="32"/>
          <w:szCs w:val="32"/>
          <w:shd w:val="clear" w:fill="FFFFFF"/>
          <w:lang w:val="en-US" w:eastAsia="zh-CN"/>
        </w:rPr>
        <w:t xml:space="preserve">  </w:t>
      </w:r>
      <w:r>
        <w:rPr>
          <w:rFonts w:hint="eastAsia" w:ascii="仿宋" w:hAnsi="仿宋" w:eastAsia="仿宋" w:cs="仿宋"/>
          <w:b w:val="0"/>
          <w:bCs w:val="0"/>
          <w:color w:val="000000" w:themeColor="text1"/>
          <w:spacing w:val="11"/>
          <w:sz w:val="32"/>
          <w:szCs w:val="32"/>
          <w:highlight w:val="none"/>
          <w:lang w:eastAsia="zh-CN"/>
          <w14:textFill>
            <w14:solidFill>
              <w14:schemeClr w14:val="tx1"/>
            </w14:solidFill>
          </w14:textFill>
        </w:rPr>
        <w:t>我单位202</w:t>
      </w:r>
      <w:r>
        <w:rPr>
          <w:rFonts w:hint="eastAsia" w:ascii="仿宋" w:hAnsi="仿宋" w:eastAsia="仿宋" w:cs="仿宋"/>
          <w:b w:val="0"/>
          <w:bCs w:val="0"/>
          <w:color w:val="000000" w:themeColor="text1"/>
          <w:spacing w:val="11"/>
          <w:sz w:val="32"/>
          <w:szCs w:val="32"/>
          <w:highlight w:val="none"/>
          <w:lang w:val="en-US" w:eastAsia="zh-CN"/>
          <w14:textFill>
            <w14:solidFill>
              <w14:schemeClr w14:val="tx1"/>
            </w14:solidFill>
          </w14:textFill>
        </w:rPr>
        <w:t>4</w:t>
      </w:r>
      <w:r>
        <w:rPr>
          <w:rFonts w:hint="eastAsia" w:ascii="仿宋" w:hAnsi="仿宋" w:eastAsia="仿宋" w:cs="仿宋"/>
          <w:b w:val="0"/>
          <w:bCs w:val="0"/>
          <w:color w:val="000000" w:themeColor="text1"/>
          <w:spacing w:val="11"/>
          <w:sz w:val="32"/>
          <w:szCs w:val="32"/>
          <w:highlight w:val="none"/>
          <w:lang w:eastAsia="zh-CN"/>
          <w14:textFill>
            <w14:solidFill>
              <w14:schemeClr w14:val="tx1"/>
            </w14:solidFill>
          </w14:textFill>
        </w:rPr>
        <w:t>年无政府性基金预算支出。</w:t>
      </w:r>
    </w:p>
    <w:p w14:paraId="251B8212">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right="0" w:rightChars="0" w:firstLine="321" w:firstLineChars="100"/>
        <w:textAlignment w:val="auto"/>
        <w:rPr>
          <w:rFonts w:hint="eastAsia" w:ascii="黑体" w:hAnsi="黑体" w:eastAsia="黑体" w:cs="黑体"/>
          <w:b/>
          <w:bCs/>
          <w:i w:val="0"/>
          <w:iCs w:val="0"/>
          <w:caps w:val="0"/>
          <w:color w:val="000000"/>
          <w:spacing w:val="0"/>
          <w:sz w:val="32"/>
          <w:szCs w:val="32"/>
          <w:shd w:val="clear" w:fill="FFFFFF"/>
        </w:rPr>
      </w:pPr>
      <w:r>
        <w:rPr>
          <w:rFonts w:hint="eastAsia" w:ascii="黑体" w:hAnsi="黑体" w:eastAsia="黑体" w:cs="黑体"/>
          <w:b/>
          <w:bCs/>
          <w:i w:val="0"/>
          <w:iCs w:val="0"/>
          <w:caps w:val="0"/>
          <w:color w:val="000000"/>
          <w:spacing w:val="0"/>
          <w:sz w:val="32"/>
          <w:szCs w:val="32"/>
          <w:shd w:val="clear" w:fill="FFFFFF"/>
          <w:lang w:eastAsia="zh-CN"/>
        </w:rPr>
        <w:t>六、</w:t>
      </w:r>
      <w:r>
        <w:rPr>
          <w:rFonts w:hint="eastAsia" w:ascii="黑体" w:hAnsi="黑体" w:eastAsia="黑体" w:cs="黑体"/>
          <w:b/>
          <w:bCs/>
          <w:i w:val="0"/>
          <w:iCs w:val="0"/>
          <w:caps w:val="0"/>
          <w:color w:val="000000"/>
          <w:spacing w:val="0"/>
          <w:sz w:val="32"/>
          <w:szCs w:val="32"/>
          <w:shd w:val="clear" w:fill="FFFFFF"/>
        </w:rPr>
        <w:t>国有资本经营预算支出情况</w:t>
      </w:r>
    </w:p>
    <w:p w14:paraId="19DA501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342" w:firstLineChars="100"/>
        <w:jc w:val="both"/>
        <w:textAlignment w:val="auto"/>
        <w:rPr>
          <w:rFonts w:hint="eastAsia" w:ascii="宋体" w:hAnsi="宋体" w:eastAsia="宋体" w:cs="宋体"/>
          <w:i w:val="0"/>
          <w:iCs w:val="0"/>
          <w:caps w:val="0"/>
          <w:color w:val="000000"/>
          <w:spacing w:val="0"/>
          <w:sz w:val="32"/>
          <w:szCs w:val="32"/>
          <w:shd w:val="clear" w:fill="FFFFFF"/>
          <w:lang w:val="en-US" w:eastAsia="zh-CN"/>
        </w:rPr>
      </w:pPr>
      <w:r>
        <w:rPr>
          <w:rFonts w:hint="eastAsia" w:ascii="仿宋" w:hAnsi="仿宋" w:eastAsia="仿宋" w:cs="仿宋"/>
          <w:b w:val="0"/>
          <w:bCs w:val="0"/>
          <w:color w:val="000000" w:themeColor="text1"/>
          <w:spacing w:val="11"/>
          <w:sz w:val="32"/>
          <w:szCs w:val="32"/>
          <w:highlight w:val="none"/>
          <w:lang w:eastAsia="zh-CN"/>
          <w14:textFill>
            <w14:solidFill>
              <w14:schemeClr w14:val="tx1"/>
            </w14:solidFill>
          </w14:textFill>
        </w:rPr>
        <w:t>我单位202</w:t>
      </w:r>
      <w:r>
        <w:rPr>
          <w:rFonts w:hint="eastAsia" w:ascii="仿宋" w:hAnsi="仿宋" w:eastAsia="仿宋" w:cs="仿宋"/>
          <w:b w:val="0"/>
          <w:bCs w:val="0"/>
          <w:color w:val="000000" w:themeColor="text1"/>
          <w:spacing w:val="11"/>
          <w:sz w:val="32"/>
          <w:szCs w:val="32"/>
          <w:highlight w:val="none"/>
          <w:lang w:val="en-US" w:eastAsia="zh-CN"/>
          <w14:textFill>
            <w14:solidFill>
              <w14:schemeClr w14:val="tx1"/>
            </w14:solidFill>
          </w14:textFill>
        </w:rPr>
        <w:t>4</w:t>
      </w:r>
      <w:r>
        <w:rPr>
          <w:rFonts w:hint="eastAsia" w:ascii="仿宋" w:hAnsi="仿宋" w:eastAsia="仿宋" w:cs="仿宋"/>
          <w:b w:val="0"/>
          <w:bCs w:val="0"/>
          <w:color w:val="000000" w:themeColor="text1"/>
          <w:spacing w:val="11"/>
          <w:sz w:val="32"/>
          <w:szCs w:val="32"/>
          <w:highlight w:val="none"/>
          <w:lang w:eastAsia="zh-CN"/>
          <w14:textFill>
            <w14:solidFill>
              <w14:schemeClr w14:val="tx1"/>
            </w14:solidFill>
          </w14:textFill>
        </w:rPr>
        <w:t>年无国有资本经营预算支出。</w:t>
      </w:r>
    </w:p>
    <w:p w14:paraId="79E3A9D4">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Chars="0" w:right="0" w:rightChars="0" w:firstLine="321" w:firstLineChars="100"/>
        <w:textAlignment w:val="auto"/>
        <w:rPr>
          <w:rFonts w:hint="eastAsia" w:ascii="黑体" w:hAnsi="黑体" w:eastAsia="黑体" w:cs="黑体"/>
          <w:b/>
          <w:bCs/>
          <w:i w:val="0"/>
          <w:iCs w:val="0"/>
          <w:caps w:val="0"/>
          <w:color w:val="000000"/>
          <w:spacing w:val="0"/>
          <w:sz w:val="32"/>
          <w:szCs w:val="32"/>
          <w:shd w:val="clear" w:fill="FFFFFF"/>
        </w:rPr>
      </w:pPr>
      <w:r>
        <w:rPr>
          <w:rFonts w:hint="eastAsia" w:ascii="黑体" w:hAnsi="黑体" w:eastAsia="黑体" w:cs="黑体"/>
          <w:b/>
          <w:bCs/>
          <w:i w:val="0"/>
          <w:iCs w:val="0"/>
          <w:caps w:val="0"/>
          <w:color w:val="000000"/>
          <w:spacing w:val="0"/>
          <w:sz w:val="32"/>
          <w:szCs w:val="32"/>
          <w:shd w:val="clear" w:fill="FFFFFF"/>
          <w:lang w:eastAsia="zh-CN"/>
        </w:rPr>
        <w:t>七、</w:t>
      </w:r>
      <w:r>
        <w:rPr>
          <w:rFonts w:hint="eastAsia" w:ascii="黑体" w:hAnsi="黑体" w:eastAsia="黑体" w:cs="黑体"/>
          <w:b/>
          <w:bCs/>
          <w:i w:val="0"/>
          <w:iCs w:val="0"/>
          <w:caps w:val="0"/>
          <w:color w:val="000000"/>
          <w:spacing w:val="0"/>
          <w:sz w:val="32"/>
          <w:szCs w:val="32"/>
          <w:shd w:val="clear" w:fill="FFFFFF"/>
        </w:rPr>
        <w:t>社会保险基金预算支出情况</w:t>
      </w:r>
    </w:p>
    <w:p w14:paraId="2303618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342" w:firstLineChars="100"/>
        <w:jc w:val="both"/>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b w:val="0"/>
          <w:bCs w:val="0"/>
          <w:color w:val="000000" w:themeColor="text1"/>
          <w:spacing w:val="11"/>
          <w:sz w:val="32"/>
          <w:szCs w:val="32"/>
          <w:highlight w:val="none"/>
          <w:lang w:eastAsia="zh-CN"/>
          <w14:textFill>
            <w14:solidFill>
              <w14:schemeClr w14:val="tx1"/>
            </w14:solidFill>
          </w14:textFill>
        </w:rPr>
        <w:t>我单位202</w:t>
      </w:r>
      <w:r>
        <w:rPr>
          <w:rFonts w:hint="eastAsia" w:ascii="仿宋" w:hAnsi="仿宋" w:eastAsia="仿宋" w:cs="仿宋"/>
          <w:b w:val="0"/>
          <w:bCs w:val="0"/>
          <w:color w:val="000000" w:themeColor="text1"/>
          <w:spacing w:val="11"/>
          <w:sz w:val="32"/>
          <w:szCs w:val="32"/>
          <w:highlight w:val="none"/>
          <w:lang w:val="en-US" w:eastAsia="zh-CN"/>
          <w14:textFill>
            <w14:solidFill>
              <w14:schemeClr w14:val="tx1"/>
            </w14:solidFill>
          </w14:textFill>
        </w:rPr>
        <w:t>4</w:t>
      </w:r>
      <w:r>
        <w:rPr>
          <w:rFonts w:hint="eastAsia" w:ascii="仿宋" w:hAnsi="仿宋" w:eastAsia="仿宋" w:cs="仿宋"/>
          <w:b w:val="0"/>
          <w:bCs w:val="0"/>
          <w:color w:val="000000" w:themeColor="text1"/>
          <w:spacing w:val="11"/>
          <w:sz w:val="32"/>
          <w:szCs w:val="32"/>
          <w:highlight w:val="none"/>
          <w:lang w:eastAsia="zh-CN"/>
          <w14:textFill>
            <w14:solidFill>
              <w14:schemeClr w14:val="tx1"/>
            </w14:solidFill>
          </w14:textFill>
        </w:rPr>
        <w:t>年无社会保险基金预算支出。</w:t>
      </w:r>
    </w:p>
    <w:p w14:paraId="748B7E7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right="0" w:firstLine="321" w:firstLineChars="100"/>
        <w:textAlignment w:val="auto"/>
        <w:rPr>
          <w:rFonts w:hint="eastAsia" w:ascii="黑体" w:hAnsi="黑体" w:eastAsia="黑体" w:cs="黑体"/>
          <w:b/>
          <w:bCs/>
          <w:i w:val="0"/>
          <w:iCs w:val="0"/>
          <w:caps w:val="0"/>
          <w:color w:val="000000"/>
          <w:spacing w:val="0"/>
          <w:sz w:val="32"/>
          <w:szCs w:val="32"/>
        </w:rPr>
      </w:pPr>
      <w:r>
        <w:rPr>
          <w:rFonts w:hint="eastAsia" w:ascii="黑体" w:hAnsi="黑体" w:eastAsia="黑体" w:cs="黑体"/>
          <w:b/>
          <w:bCs/>
          <w:i w:val="0"/>
          <w:iCs w:val="0"/>
          <w:caps w:val="0"/>
          <w:color w:val="000000"/>
          <w:spacing w:val="0"/>
          <w:sz w:val="32"/>
          <w:szCs w:val="32"/>
          <w:shd w:val="clear" w:fill="FFFFFF"/>
          <w:lang w:eastAsia="zh-CN"/>
        </w:rPr>
        <w:t>八</w:t>
      </w:r>
      <w:r>
        <w:rPr>
          <w:rFonts w:hint="eastAsia" w:ascii="黑体" w:hAnsi="黑体" w:eastAsia="黑体" w:cs="黑体"/>
          <w:b/>
          <w:bCs/>
          <w:i w:val="0"/>
          <w:iCs w:val="0"/>
          <w:caps w:val="0"/>
          <w:color w:val="000000"/>
          <w:spacing w:val="0"/>
          <w:sz w:val="32"/>
          <w:szCs w:val="32"/>
          <w:shd w:val="clear" w:fill="FFFFFF"/>
        </w:rPr>
        <w:t>、部门整体支出绩效情况</w:t>
      </w:r>
    </w:p>
    <w:p w14:paraId="1E629DA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right="0" w:firstLine="321" w:firstLineChars="100"/>
        <w:textAlignment w:val="auto"/>
        <w:rPr>
          <w:rFonts w:hint="eastAsia" w:ascii="楷体" w:hAnsi="楷体" w:eastAsia="楷体" w:cs="楷体"/>
          <w:b/>
          <w:bCs/>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rPr>
        <w:t>（一）综合评价结论。反映自评得分及评价等级。</w:t>
      </w:r>
    </w:p>
    <w:p w14:paraId="4936703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right="0" w:firstLine="560" w:firstLineChars="200"/>
        <w:textAlignment w:val="auto"/>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202</w:t>
      </w:r>
      <w:r>
        <w:rPr>
          <w:rFonts w:hint="eastAsia" w:ascii="宋体" w:hAnsi="宋体" w:eastAsia="宋体" w:cs="宋体"/>
          <w:i w:val="0"/>
          <w:iCs w:val="0"/>
          <w:caps w:val="0"/>
          <w:color w:val="000000"/>
          <w:spacing w:val="0"/>
          <w:sz w:val="28"/>
          <w:szCs w:val="28"/>
          <w:shd w:val="clear" w:fill="FFFFFF"/>
          <w:lang w:val="en-US" w:eastAsia="zh-CN"/>
        </w:rPr>
        <w:t>4</w:t>
      </w:r>
      <w:r>
        <w:rPr>
          <w:rFonts w:hint="eastAsia" w:ascii="宋体" w:hAnsi="宋体" w:eastAsia="宋体" w:cs="宋体"/>
          <w:i w:val="0"/>
          <w:iCs w:val="0"/>
          <w:caps w:val="0"/>
          <w:color w:val="000000"/>
          <w:spacing w:val="0"/>
          <w:sz w:val="28"/>
          <w:szCs w:val="28"/>
          <w:shd w:val="clear" w:fill="FFFFFF"/>
        </w:rPr>
        <w:t>年部门整体支出绩效综合评价为</w:t>
      </w:r>
      <w:r>
        <w:rPr>
          <w:rFonts w:hint="eastAsia" w:ascii="宋体" w:hAnsi="宋体" w:eastAsia="宋体" w:cs="宋体"/>
          <w:i w:val="0"/>
          <w:iCs w:val="0"/>
          <w:caps w:val="0"/>
          <w:color w:val="000000"/>
          <w:spacing w:val="0"/>
          <w:sz w:val="28"/>
          <w:szCs w:val="28"/>
          <w:shd w:val="clear" w:fill="FFFFFF"/>
          <w:lang w:val="en-US" w:eastAsia="zh-CN"/>
        </w:rPr>
        <w:t>98</w:t>
      </w:r>
      <w:r>
        <w:rPr>
          <w:rFonts w:hint="eastAsia" w:ascii="宋体" w:hAnsi="宋体" w:eastAsia="宋体" w:cs="宋体"/>
          <w:i w:val="0"/>
          <w:iCs w:val="0"/>
          <w:caps w:val="0"/>
          <w:color w:val="000000"/>
          <w:spacing w:val="0"/>
          <w:sz w:val="28"/>
          <w:szCs w:val="28"/>
          <w:shd w:val="clear" w:fill="FFFFFF"/>
        </w:rPr>
        <w:t>分，评价等级为优。</w:t>
      </w:r>
    </w:p>
    <w:p w14:paraId="445CA6D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321" w:firstLineChars="100"/>
        <w:textAlignment w:val="auto"/>
        <w:rPr>
          <w:rFonts w:hint="eastAsia" w:ascii="宋体" w:hAnsi="宋体" w:eastAsia="楷体" w:cs="宋体"/>
          <w:i w:val="0"/>
          <w:iCs w:val="0"/>
          <w:caps w:val="0"/>
          <w:color w:val="000000"/>
          <w:spacing w:val="0"/>
          <w:sz w:val="28"/>
          <w:szCs w:val="28"/>
          <w:shd w:val="clear" w:fill="FFFFFF"/>
          <w:lang w:eastAsia="zh-CN"/>
        </w:rPr>
      </w:pPr>
      <w:r>
        <w:rPr>
          <w:rFonts w:hint="eastAsia" w:ascii="楷体" w:hAnsi="楷体" w:eastAsia="楷体" w:cs="楷体"/>
          <w:b/>
          <w:bCs/>
          <w:i w:val="0"/>
          <w:iCs w:val="0"/>
          <w:caps w:val="0"/>
          <w:color w:val="000000"/>
          <w:spacing w:val="0"/>
          <w:sz w:val="32"/>
          <w:szCs w:val="32"/>
          <w:shd w:val="clear" w:fill="FFFFFF"/>
        </w:rPr>
        <w:t>（二）评价指标分析（或综合评价情况）</w:t>
      </w:r>
      <w:r>
        <w:rPr>
          <w:rFonts w:hint="eastAsia" w:ascii="楷体" w:hAnsi="楷体" w:eastAsia="楷体" w:cs="楷体"/>
          <w:b/>
          <w:bCs/>
          <w:i w:val="0"/>
          <w:iCs w:val="0"/>
          <w:caps w:val="0"/>
          <w:color w:val="000000"/>
          <w:spacing w:val="0"/>
          <w:sz w:val="32"/>
          <w:szCs w:val="32"/>
          <w:shd w:val="clear" w:fill="FFFFFF"/>
          <w:lang w:eastAsia="zh-CN"/>
        </w:rPr>
        <w:t>。</w:t>
      </w:r>
    </w:p>
    <w:p w14:paraId="1B10343F">
      <w:pPr>
        <w:keepNext w:val="0"/>
        <w:keepLines w:val="0"/>
        <w:pageBreakBefore w:val="0"/>
        <w:widowControl/>
        <w:kinsoku/>
        <w:wordWrap/>
        <w:overflowPunct/>
        <w:topLinePunct w:val="0"/>
        <w:autoSpaceDE/>
        <w:autoSpaceDN/>
        <w:bidi w:val="0"/>
        <w:adjustRightInd/>
        <w:snapToGrid/>
        <w:spacing w:line="360" w:lineRule="auto"/>
        <w:ind w:firstLine="646"/>
        <w:jc w:val="left"/>
        <w:textAlignment w:val="auto"/>
        <w:rPr>
          <w:rFonts w:hint="eastAsia" w:ascii="仿宋" w:hAnsi="仿宋" w:eastAsia="仿宋" w:cs="仿宋"/>
          <w:spacing w:val="-2"/>
          <w:sz w:val="32"/>
          <w:szCs w:val="32"/>
        </w:rPr>
      </w:pPr>
      <w:r>
        <w:rPr>
          <w:rFonts w:hint="eastAsia" w:ascii="仿宋" w:hAnsi="仿宋" w:eastAsia="仿宋" w:cs="仿宋"/>
          <w:color w:val="000000"/>
          <w:sz w:val="32"/>
          <w:szCs w:val="32"/>
        </w:rPr>
        <w:t>按照</w:t>
      </w:r>
      <w:r>
        <w:rPr>
          <w:rFonts w:hint="eastAsia" w:ascii="仿宋" w:hAnsi="仿宋" w:eastAsia="仿宋" w:cs="仿宋"/>
          <w:color w:val="000000"/>
          <w:sz w:val="32"/>
          <w:szCs w:val="32"/>
          <w:lang w:eastAsia="zh-CN"/>
        </w:rPr>
        <w:t>怀化市</w:t>
      </w:r>
      <w:r>
        <w:rPr>
          <w:rFonts w:hint="eastAsia" w:ascii="仿宋" w:hAnsi="仿宋" w:eastAsia="仿宋" w:cs="仿宋"/>
          <w:color w:val="000000"/>
          <w:sz w:val="32"/>
          <w:szCs w:val="32"/>
        </w:rPr>
        <w:t>预算绩效管理工作的总体要求，结合我</w:t>
      </w:r>
      <w:r>
        <w:rPr>
          <w:rFonts w:hint="eastAsia" w:ascii="仿宋" w:hAnsi="仿宋" w:eastAsia="仿宋" w:cs="仿宋"/>
          <w:color w:val="000000"/>
          <w:sz w:val="32"/>
          <w:szCs w:val="32"/>
          <w:lang w:eastAsia="zh-CN"/>
        </w:rPr>
        <w:t>单位</w:t>
      </w:r>
      <w:r>
        <w:rPr>
          <w:rFonts w:hint="eastAsia" w:ascii="仿宋" w:hAnsi="仿宋" w:eastAsia="仿宋" w:cs="仿宋"/>
          <w:color w:val="000000"/>
          <w:sz w:val="32"/>
          <w:szCs w:val="32"/>
        </w:rPr>
        <w:t>实际，202</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年设定的管理目标主要是支出规范、专款专用，</w:t>
      </w:r>
      <w:r>
        <w:rPr>
          <w:rFonts w:hint="eastAsia" w:ascii="仿宋" w:hAnsi="仿宋" w:eastAsia="仿宋" w:cs="仿宋"/>
          <w:i w:val="0"/>
          <w:iCs w:val="0"/>
          <w:caps w:val="0"/>
          <w:color w:val="000000"/>
          <w:spacing w:val="0"/>
          <w:sz w:val="32"/>
          <w:szCs w:val="32"/>
          <w:shd w:val="clear" w:fill="FFFFFF"/>
          <w:lang w:val="en-US" w:eastAsia="zh-CN"/>
        </w:rPr>
        <w:t>社会公众</w:t>
      </w:r>
      <w:r>
        <w:rPr>
          <w:rFonts w:hint="eastAsia" w:ascii="仿宋" w:hAnsi="仿宋" w:eastAsia="仿宋" w:cs="仿宋"/>
          <w:sz w:val="32"/>
          <w:szCs w:val="32"/>
        </w:rPr>
        <w:t>满意。</w:t>
      </w:r>
      <w:r>
        <w:rPr>
          <w:rFonts w:hint="eastAsia" w:ascii="仿宋" w:hAnsi="仿宋" w:eastAsia="仿宋" w:cs="仿宋"/>
          <w:color w:val="000000"/>
          <w:sz w:val="32"/>
          <w:szCs w:val="32"/>
        </w:rPr>
        <w:t>我单位202</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年整体支出</w:t>
      </w:r>
      <w:r>
        <w:rPr>
          <w:rFonts w:hint="eastAsia" w:ascii="仿宋" w:hAnsi="仿宋" w:eastAsia="仿宋" w:cs="仿宋"/>
          <w:color w:val="000000"/>
          <w:sz w:val="32"/>
          <w:szCs w:val="32"/>
          <w:lang w:val="en-US" w:eastAsia="zh-CN"/>
        </w:rPr>
        <w:t>722.03</w:t>
      </w:r>
      <w:r>
        <w:rPr>
          <w:rFonts w:hint="eastAsia" w:ascii="仿宋" w:hAnsi="仿宋" w:eastAsia="仿宋" w:cs="仿宋"/>
          <w:color w:val="000000"/>
          <w:sz w:val="32"/>
          <w:szCs w:val="32"/>
        </w:rPr>
        <w:t>万元，全部实现了整体支出绩效管理目标。</w:t>
      </w:r>
    </w:p>
    <w:p w14:paraId="3CEE181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right="0" w:firstLine="640" w:firstLineChars="20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1、整体绩效完成率100%自评得分10分。</w:t>
      </w:r>
    </w:p>
    <w:p w14:paraId="5D1325D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right="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2</w:t>
      </w:r>
      <w:r>
        <w:rPr>
          <w:rFonts w:hint="eastAsia" w:ascii="仿宋" w:hAnsi="仿宋" w:eastAsia="仿宋" w:cs="仿宋"/>
          <w:i w:val="0"/>
          <w:iCs w:val="0"/>
          <w:caps w:val="0"/>
          <w:color w:val="000000"/>
          <w:spacing w:val="0"/>
          <w:sz w:val="32"/>
          <w:szCs w:val="32"/>
          <w:shd w:val="clear" w:fill="FFFFFF"/>
        </w:rPr>
        <w:t>、产出指标:满功率度</w:t>
      </w:r>
      <w:r>
        <w:rPr>
          <w:rFonts w:hint="eastAsia" w:ascii="仿宋" w:hAnsi="仿宋" w:eastAsia="仿宋" w:cs="仿宋"/>
          <w:i w:val="0"/>
          <w:iCs w:val="0"/>
          <w:caps w:val="0"/>
          <w:color w:val="000000"/>
          <w:spacing w:val="0"/>
          <w:sz w:val="32"/>
          <w:szCs w:val="32"/>
          <w:shd w:val="clear" w:fill="FFFFFF"/>
          <w:lang w:val="en-US" w:eastAsia="zh-CN"/>
        </w:rPr>
        <w:t>指标</w:t>
      </w:r>
      <w:r>
        <w:rPr>
          <w:rFonts w:hint="eastAsia" w:ascii="仿宋" w:hAnsi="仿宋" w:eastAsia="仿宋" w:cs="仿宋"/>
          <w:i w:val="0"/>
          <w:iCs w:val="0"/>
          <w:caps w:val="0"/>
          <w:color w:val="000000"/>
          <w:spacing w:val="0"/>
          <w:sz w:val="32"/>
          <w:szCs w:val="32"/>
          <w:shd w:val="clear" w:fill="FFFFFF"/>
        </w:rPr>
        <w:t>，考核发射机</w:t>
      </w:r>
      <w:r>
        <w:rPr>
          <w:rFonts w:hint="eastAsia" w:ascii="仿宋" w:hAnsi="仿宋" w:eastAsia="仿宋" w:cs="仿宋"/>
          <w:i w:val="0"/>
          <w:iCs w:val="0"/>
          <w:caps w:val="0"/>
          <w:color w:val="000000"/>
          <w:spacing w:val="0"/>
          <w:sz w:val="32"/>
          <w:szCs w:val="32"/>
          <w:shd w:val="clear" w:fill="FFFFFF"/>
          <w:lang w:val="en-US" w:eastAsia="zh-CN"/>
        </w:rPr>
        <w:t>播出功率，自评得分10分</w:t>
      </w:r>
      <w:r>
        <w:rPr>
          <w:rFonts w:hint="eastAsia" w:ascii="仿宋" w:hAnsi="仿宋" w:eastAsia="仿宋" w:cs="仿宋"/>
          <w:i w:val="0"/>
          <w:iCs w:val="0"/>
          <w:caps w:val="0"/>
          <w:color w:val="000000"/>
          <w:spacing w:val="0"/>
          <w:sz w:val="32"/>
          <w:szCs w:val="32"/>
          <w:shd w:val="clear" w:fill="FFFFFF"/>
        </w:rPr>
        <w:t>;发射机及附属设备完好率</w:t>
      </w:r>
      <w:r>
        <w:rPr>
          <w:rFonts w:hint="eastAsia" w:ascii="仿宋" w:hAnsi="仿宋" w:eastAsia="仿宋" w:cs="仿宋"/>
          <w:i w:val="0"/>
          <w:iCs w:val="0"/>
          <w:caps w:val="0"/>
          <w:color w:val="000000"/>
          <w:spacing w:val="0"/>
          <w:sz w:val="32"/>
          <w:szCs w:val="32"/>
          <w:shd w:val="clear" w:fill="FFFFFF"/>
          <w:lang w:val="en-US" w:eastAsia="zh-CN"/>
        </w:rPr>
        <w:t>指标，</w:t>
      </w:r>
      <w:r>
        <w:rPr>
          <w:rFonts w:hint="eastAsia" w:ascii="仿宋" w:hAnsi="仿宋" w:eastAsia="仿宋" w:cs="仿宋"/>
          <w:i w:val="0"/>
          <w:iCs w:val="0"/>
          <w:caps w:val="0"/>
          <w:color w:val="000000"/>
          <w:spacing w:val="0"/>
          <w:sz w:val="32"/>
          <w:szCs w:val="32"/>
          <w:shd w:val="clear" w:fill="FFFFFF"/>
        </w:rPr>
        <w:t>满时间度</w:t>
      </w:r>
      <w:r>
        <w:rPr>
          <w:rFonts w:hint="eastAsia" w:ascii="仿宋" w:hAnsi="仿宋" w:eastAsia="仿宋" w:cs="仿宋"/>
          <w:i w:val="0"/>
          <w:iCs w:val="0"/>
          <w:caps w:val="0"/>
          <w:color w:val="000000"/>
          <w:spacing w:val="0"/>
          <w:sz w:val="32"/>
          <w:szCs w:val="32"/>
          <w:shd w:val="clear" w:fill="FFFFFF"/>
          <w:lang w:val="en-US" w:eastAsia="zh-CN"/>
        </w:rPr>
        <w:t>指标</w:t>
      </w:r>
      <w:r>
        <w:rPr>
          <w:rFonts w:hint="eastAsia" w:ascii="仿宋" w:hAnsi="仿宋" w:eastAsia="仿宋" w:cs="仿宋"/>
          <w:i w:val="0"/>
          <w:iCs w:val="0"/>
          <w:caps w:val="0"/>
          <w:color w:val="000000"/>
          <w:spacing w:val="0"/>
          <w:sz w:val="32"/>
          <w:szCs w:val="32"/>
          <w:shd w:val="clear" w:fill="FFFFFF"/>
        </w:rPr>
        <w:t>，考核广播电视节目播放时长</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自评得分10分；维护费支出率</w:t>
      </w:r>
      <w:r>
        <w:rPr>
          <w:rFonts w:hint="eastAsia" w:ascii="仿宋" w:hAnsi="仿宋" w:eastAsia="仿宋" w:cs="仿宋"/>
          <w:i w:val="0"/>
          <w:iCs w:val="0"/>
          <w:caps w:val="0"/>
          <w:color w:val="000000"/>
          <w:spacing w:val="0"/>
          <w:sz w:val="32"/>
          <w:szCs w:val="32"/>
          <w:shd w:val="clear" w:fill="FFFFFF"/>
        </w:rPr>
        <w:t>，考核项目实施过程中对成本的控制情况</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自评得分10分</w:t>
      </w:r>
    </w:p>
    <w:p w14:paraId="26F8ADC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right="0" w:firstLine="320" w:firstLineChars="1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3</w:t>
      </w:r>
      <w:r>
        <w:rPr>
          <w:rFonts w:hint="eastAsia" w:ascii="仿宋" w:hAnsi="仿宋" w:eastAsia="仿宋" w:cs="仿宋"/>
          <w:i w:val="0"/>
          <w:iCs w:val="0"/>
          <w:caps w:val="0"/>
          <w:color w:val="000000"/>
          <w:spacing w:val="0"/>
          <w:sz w:val="32"/>
          <w:szCs w:val="32"/>
          <w:shd w:val="clear" w:fill="FFFFFF"/>
        </w:rPr>
        <w:t>、效益指标:资金到位率</w:t>
      </w:r>
      <w:r>
        <w:rPr>
          <w:rFonts w:hint="eastAsia" w:ascii="仿宋" w:hAnsi="仿宋" w:eastAsia="仿宋" w:cs="仿宋"/>
          <w:i w:val="0"/>
          <w:iCs w:val="0"/>
          <w:caps w:val="0"/>
          <w:color w:val="000000"/>
          <w:spacing w:val="0"/>
          <w:sz w:val="32"/>
          <w:szCs w:val="32"/>
          <w:shd w:val="clear" w:fill="FFFFFF"/>
          <w:lang w:val="en-US" w:eastAsia="zh-CN"/>
        </w:rPr>
        <w:t>指标</w:t>
      </w:r>
      <w:r>
        <w:rPr>
          <w:rFonts w:hint="eastAsia" w:ascii="仿宋" w:hAnsi="仿宋" w:eastAsia="仿宋" w:cs="仿宋"/>
          <w:i w:val="0"/>
          <w:iCs w:val="0"/>
          <w:caps w:val="0"/>
          <w:color w:val="000000"/>
          <w:spacing w:val="0"/>
          <w:sz w:val="32"/>
          <w:szCs w:val="32"/>
          <w:shd w:val="clear" w:fill="FFFFFF"/>
        </w:rPr>
        <w:t>，考核资金使用</w:t>
      </w:r>
      <w:r>
        <w:rPr>
          <w:rFonts w:hint="eastAsia" w:ascii="仿宋" w:hAnsi="仿宋" w:eastAsia="仿宋" w:cs="仿宋"/>
          <w:i w:val="0"/>
          <w:iCs w:val="0"/>
          <w:caps w:val="0"/>
          <w:color w:val="000000"/>
          <w:spacing w:val="0"/>
          <w:sz w:val="32"/>
          <w:szCs w:val="32"/>
          <w:shd w:val="clear" w:fill="FFFFFF"/>
          <w:lang w:val="en-US" w:eastAsia="zh-CN"/>
        </w:rPr>
        <w:t>效益</w:t>
      </w:r>
      <w:r>
        <w:rPr>
          <w:rFonts w:hint="eastAsia" w:ascii="仿宋" w:hAnsi="仿宋" w:eastAsia="仿宋" w:cs="仿宋"/>
          <w:i w:val="0"/>
          <w:iCs w:val="0"/>
          <w:caps w:val="0"/>
          <w:color w:val="000000"/>
          <w:spacing w:val="0"/>
          <w:sz w:val="32"/>
          <w:szCs w:val="32"/>
          <w:shd w:val="clear" w:fill="FFFFFF"/>
        </w:rPr>
        <w:t>情况</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自评得分10分</w:t>
      </w:r>
      <w:r>
        <w:rPr>
          <w:rFonts w:hint="eastAsia" w:ascii="仿宋" w:hAnsi="仿宋" w:eastAsia="仿宋" w:cs="仿宋"/>
          <w:i w:val="0"/>
          <w:iCs w:val="0"/>
          <w:caps w:val="0"/>
          <w:color w:val="000000"/>
          <w:spacing w:val="0"/>
          <w:sz w:val="32"/>
          <w:szCs w:val="32"/>
          <w:shd w:val="clear" w:fill="FFFFFF"/>
        </w:rPr>
        <w:t>;社会效益</w:t>
      </w:r>
      <w:r>
        <w:rPr>
          <w:rFonts w:hint="eastAsia" w:ascii="仿宋" w:hAnsi="仿宋" w:eastAsia="仿宋" w:cs="仿宋"/>
          <w:i w:val="0"/>
          <w:iCs w:val="0"/>
          <w:caps w:val="0"/>
          <w:color w:val="000000"/>
          <w:spacing w:val="0"/>
          <w:sz w:val="32"/>
          <w:szCs w:val="32"/>
          <w:shd w:val="clear" w:fill="FFFFFF"/>
          <w:lang w:val="en-US" w:eastAsia="zh-CN"/>
        </w:rPr>
        <w:t>情况指标</w:t>
      </w:r>
      <w:r>
        <w:rPr>
          <w:rFonts w:hint="eastAsia" w:ascii="仿宋" w:hAnsi="仿宋" w:eastAsia="仿宋" w:cs="仿宋"/>
          <w:i w:val="0"/>
          <w:iCs w:val="0"/>
          <w:caps w:val="0"/>
          <w:color w:val="000000"/>
          <w:spacing w:val="0"/>
          <w:sz w:val="32"/>
          <w:szCs w:val="32"/>
          <w:shd w:val="clear" w:fill="FFFFFF"/>
        </w:rPr>
        <w:t>，考核项目实施对社会效益的影响情况</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自评得分5分</w:t>
      </w:r>
      <w:r>
        <w:rPr>
          <w:rFonts w:hint="eastAsia" w:ascii="仿宋" w:hAnsi="仿宋" w:eastAsia="仿宋" w:cs="仿宋"/>
          <w:i w:val="0"/>
          <w:iCs w:val="0"/>
          <w:caps w:val="0"/>
          <w:color w:val="000000"/>
          <w:spacing w:val="0"/>
          <w:sz w:val="32"/>
          <w:szCs w:val="32"/>
          <w:shd w:val="clear" w:fill="FFFFFF"/>
        </w:rPr>
        <w:t>;生态效益</w:t>
      </w:r>
      <w:r>
        <w:rPr>
          <w:rFonts w:hint="eastAsia" w:ascii="仿宋" w:hAnsi="仿宋" w:eastAsia="仿宋" w:cs="仿宋"/>
          <w:i w:val="0"/>
          <w:iCs w:val="0"/>
          <w:caps w:val="0"/>
          <w:color w:val="000000"/>
          <w:spacing w:val="0"/>
          <w:sz w:val="32"/>
          <w:szCs w:val="32"/>
          <w:shd w:val="clear" w:fill="FFFFFF"/>
          <w:lang w:val="en-US" w:eastAsia="zh-CN"/>
        </w:rPr>
        <w:t>情况指标</w:t>
      </w:r>
      <w:r>
        <w:rPr>
          <w:rFonts w:hint="eastAsia" w:ascii="仿宋" w:hAnsi="仿宋" w:eastAsia="仿宋" w:cs="仿宋"/>
          <w:i w:val="0"/>
          <w:iCs w:val="0"/>
          <w:caps w:val="0"/>
          <w:color w:val="000000"/>
          <w:spacing w:val="0"/>
          <w:sz w:val="32"/>
          <w:szCs w:val="32"/>
          <w:shd w:val="clear" w:fill="FFFFFF"/>
        </w:rPr>
        <w:t>，考核项目实施对生态环境所带来的直接或间接影响</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自评得分4分</w:t>
      </w:r>
      <w:r>
        <w:rPr>
          <w:rFonts w:hint="eastAsia" w:ascii="仿宋" w:hAnsi="仿宋" w:eastAsia="仿宋" w:cs="仿宋"/>
          <w:i w:val="0"/>
          <w:iCs w:val="0"/>
          <w:caps w:val="0"/>
          <w:color w:val="000000"/>
          <w:spacing w:val="0"/>
          <w:sz w:val="32"/>
          <w:szCs w:val="32"/>
          <w:shd w:val="clear" w:fill="FFFFFF"/>
        </w:rPr>
        <w:t>;可持续影响</w:t>
      </w:r>
      <w:r>
        <w:rPr>
          <w:rFonts w:hint="eastAsia" w:ascii="仿宋" w:hAnsi="仿宋" w:eastAsia="仿宋" w:cs="仿宋"/>
          <w:i w:val="0"/>
          <w:iCs w:val="0"/>
          <w:caps w:val="0"/>
          <w:color w:val="000000"/>
          <w:spacing w:val="0"/>
          <w:sz w:val="32"/>
          <w:szCs w:val="32"/>
          <w:shd w:val="clear" w:fill="FFFFFF"/>
          <w:lang w:val="en-US" w:eastAsia="zh-CN"/>
        </w:rPr>
        <w:t>情况指标</w:t>
      </w:r>
      <w:r>
        <w:rPr>
          <w:rFonts w:hint="eastAsia" w:ascii="仿宋" w:hAnsi="仿宋" w:eastAsia="仿宋" w:cs="仿宋"/>
          <w:i w:val="0"/>
          <w:iCs w:val="0"/>
          <w:caps w:val="0"/>
          <w:color w:val="000000"/>
          <w:spacing w:val="0"/>
          <w:sz w:val="32"/>
          <w:szCs w:val="32"/>
          <w:shd w:val="clear" w:fill="FFFFFF"/>
        </w:rPr>
        <w:t>，考核项目对可持续发展所带来的直接或间接影响情况</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自评得分9分</w:t>
      </w:r>
      <w:r>
        <w:rPr>
          <w:rFonts w:hint="eastAsia" w:ascii="仿宋" w:hAnsi="仿宋" w:eastAsia="仿宋" w:cs="仿宋"/>
          <w:i w:val="0"/>
          <w:iCs w:val="0"/>
          <w:caps w:val="0"/>
          <w:color w:val="000000"/>
          <w:spacing w:val="0"/>
          <w:sz w:val="32"/>
          <w:szCs w:val="32"/>
          <w:shd w:val="clear" w:fill="FFFFFF"/>
        </w:rPr>
        <w:t>。</w:t>
      </w:r>
    </w:p>
    <w:p w14:paraId="0DE94E2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right="0" w:firstLine="320" w:firstLineChars="10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4、满意度指标：社会公众满意度指标，考核服务对象满意度，自评得分10分。</w:t>
      </w:r>
    </w:p>
    <w:p w14:paraId="7A8D628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right="0" w:firstLine="320" w:firstLineChars="100"/>
        <w:textAlignment w:val="auto"/>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5、成本指标：经济成本指标，</w:t>
      </w:r>
      <w:r>
        <w:rPr>
          <w:rFonts w:hint="eastAsia" w:ascii="仿宋" w:hAnsi="仿宋" w:eastAsia="仿宋" w:cs="仿宋"/>
          <w:i w:val="0"/>
          <w:iCs w:val="0"/>
          <w:caps w:val="0"/>
          <w:color w:val="000000"/>
          <w:spacing w:val="0"/>
          <w:sz w:val="32"/>
          <w:szCs w:val="32"/>
          <w:shd w:val="clear" w:fill="FFFFFF"/>
        </w:rPr>
        <w:t>考核</w:t>
      </w:r>
      <w:r>
        <w:rPr>
          <w:rFonts w:hint="eastAsia" w:ascii="仿宋" w:hAnsi="仿宋" w:eastAsia="仿宋" w:cs="仿宋"/>
          <w:i w:val="0"/>
          <w:iCs w:val="0"/>
          <w:caps w:val="0"/>
          <w:color w:val="000000"/>
          <w:spacing w:val="0"/>
          <w:sz w:val="32"/>
          <w:szCs w:val="32"/>
          <w:shd w:val="clear" w:fill="FFFFFF"/>
          <w:lang w:val="en-US" w:eastAsia="zh-CN"/>
        </w:rPr>
        <w:t>成本控制率自评得分10分</w:t>
      </w:r>
      <w:r>
        <w:rPr>
          <w:rFonts w:hint="eastAsia" w:ascii="仿宋" w:hAnsi="仿宋" w:eastAsia="仿宋" w:cs="仿宋"/>
          <w:i w:val="0"/>
          <w:iCs w:val="0"/>
          <w:caps w:val="0"/>
          <w:color w:val="000000"/>
          <w:spacing w:val="0"/>
          <w:sz w:val="32"/>
          <w:szCs w:val="32"/>
          <w:shd w:val="clear" w:fill="FFFFFF"/>
        </w:rPr>
        <w:t>;社会</w:t>
      </w:r>
      <w:r>
        <w:rPr>
          <w:rFonts w:hint="eastAsia" w:ascii="仿宋" w:hAnsi="仿宋" w:eastAsia="仿宋" w:cs="仿宋"/>
          <w:i w:val="0"/>
          <w:iCs w:val="0"/>
          <w:caps w:val="0"/>
          <w:color w:val="000000"/>
          <w:spacing w:val="0"/>
          <w:sz w:val="32"/>
          <w:szCs w:val="32"/>
          <w:shd w:val="clear" w:fill="FFFFFF"/>
          <w:lang w:val="en-US" w:eastAsia="zh-CN"/>
        </w:rPr>
        <w:t>成本指标</w:t>
      </w:r>
      <w:r>
        <w:rPr>
          <w:rFonts w:hint="eastAsia" w:ascii="仿宋" w:hAnsi="仿宋" w:eastAsia="仿宋" w:cs="仿宋"/>
          <w:i w:val="0"/>
          <w:iCs w:val="0"/>
          <w:caps w:val="0"/>
          <w:color w:val="000000"/>
          <w:spacing w:val="0"/>
          <w:sz w:val="32"/>
          <w:szCs w:val="32"/>
          <w:shd w:val="clear" w:fill="FFFFFF"/>
        </w:rPr>
        <w:t>，考核社会</w:t>
      </w:r>
      <w:r>
        <w:rPr>
          <w:rFonts w:hint="eastAsia" w:ascii="仿宋" w:hAnsi="仿宋" w:eastAsia="仿宋" w:cs="仿宋"/>
          <w:i w:val="0"/>
          <w:iCs w:val="0"/>
          <w:caps w:val="0"/>
          <w:color w:val="000000"/>
          <w:spacing w:val="0"/>
          <w:sz w:val="32"/>
          <w:szCs w:val="32"/>
          <w:shd w:val="clear" w:fill="FFFFFF"/>
          <w:lang w:val="en-US" w:eastAsia="zh-CN"/>
        </w:rPr>
        <w:t>成本节约率</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自评得分5分</w:t>
      </w:r>
      <w:r>
        <w:rPr>
          <w:rFonts w:hint="eastAsia" w:ascii="仿宋" w:hAnsi="仿宋" w:eastAsia="仿宋" w:cs="仿宋"/>
          <w:i w:val="0"/>
          <w:iCs w:val="0"/>
          <w:caps w:val="0"/>
          <w:color w:val="000000"/>
          <w:spacing w:val="0"/>
          <w:sz w:val="32"/>
          <w:szCs w:val="32"/>
          <w:shd w:val="clear" w:fill="FFFFFF"/>
        </w:rPr>
        <w:t>;生态</w:t>
      </w:r>
      <w:r>
        <w:rPr>
          <w:rFonts w:hint="eastAsia" w:ascii="仿宋" w:hAnsi="仿宋" w:eastAsia="仿宋" w:cs="仿宋"/>
          <w:i w:val="0"/>
          <w:iCs w:val="0"/>
          <w:caps w:val="0"/>
          <w:color w:val="000000"/>
          <w:spacing w:val="0"/>
          <w:sz w:val="32"/>
          <w:szCs w:val="32"/>
          <w:shd w:val="clear" w:fill="FFFFFF"/>
          <w:lang w:val="en-US" w:eastAsia="zh-CN"/>
        </w:rPr>
        <w:t>成本指标</w:t>
      </w:r>
      <w:r>
        <w:rPr>
          <w:rFonts w:hint="eastAsia"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val="en-US" w:eastAsia="zh-CN"/>
        </w:rPr>
        <w:t>考核生态环境成本节约，自评得分5分</w:t>
      </w:r>
    </w:p>
    <w:p w14:paraId="08FA27D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right="0" w:firstLine="342" w:firstLineChars="10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11"/>
          <w:kern w:val="0"/>
          <w:sz w:val="32"/>
          <w:szCs w:val="32"/>
          <w:shd w:val="clear" w:color="auto" w:fill="FFFFFF"/>
          <w:lang w:val="en-US" w:eastAsia="zh-CN" w:bidi="ar"/>
        </w:rPr>
        <w:t>综上所述，我单位通过一系列的操作和策略，实现了社会效益、经济效益和可持续效益的多重提升，效果明显。</w:t>
      </w:r>
    </w:p>
    <w:p w14:paraId="6ABF504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321" w:firstLineChars="100"/>
        <w:textAlignment w:val="auto"/>
        <w:rPr>
          <w:rFonts w:hint="eastAsia" w:ascii="宋体" w:hAnsi="宋体" w:eastAsia="宋体" w:cs="宋体"/>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rPr>
        <w:t>（</w:t>
      </w:r>
      <w:r>
        <w:rPr>
          <w:rFonts w:hint="eastAsia" w:ascii="楷体" w:hAnsi="楷体" w:eastAsia="楷体" w:cs="楷体"/>
          <w:b/>
          <w:bCs/>
          <w:i w:val="0"/>
          <w:iCs w:val="0"/>
          <w:caps w:val="0"/>
          <w:color w:val="000000"/>
          <w:spacing w:val="0"/>
          <w:sz w:val="32"/>
          <w:szCs w:val="32"/>
          <w:shd w:val="clear" w:fill="FFFFFF"/>
          <w:lang w:eastAsia="zh-CN"/>
        </w:rPr>
        <w:t>三</w:t>
      </w:r>
      <w:r>
        <w:rPr>
          <w:rFonts w:hint="eastAsia" w:ascii="楷体" w:hAnsi="楷体" w:eastAsia="楷体" w:cs="楷体"/>
          <w:b/>
          <w:bCs/>
          <w:i w:val="0"/>
          <w:iCs w:val="0"/>
          <w:caps w:val="0"/>
          <w:color w:val="000000"/>
          <w:spacing w:val="0"/>
          <w:sz w:val="32"/>
          <w:szCs w:val="32"/>
          <w:shd w:val="clear" w:fill="FFFFFF"/>
        </w:rPr>
        <w:t>）</w:t>
      </w:r>
      <w:r>
        <w:rPr>
          <w:rFonts w:hint="eastAsia" w:ascii="楷体" w:hAnsi="楷体" w:eastAsia="楷体" w:cs="楷体"/>
          <w:b/>
          <w:bCs/>
          <w:i w:val="0"/>
          <w:iCs w:val="0"/>
          <w:caps w:val="0"/>
          <w:color w:val="000000"/>
          <w:spacing w:val="0"/>
          <w:sz w:val="32"/>
          <w:szCs w:val="32"/>
          <w:shd w:val="clear" w:fill="FFFFFF"/>
          <w:lang w:eastAsia="zh-CN"/>
        </w:rPr>
        <w:t>取得效益</w:t>
      </w:r>
      <w:r>
        <w:rPr>
          <w:rFonts w:hint="eastAsia" w:ascii="楷体" w:hAnsi="楷体" w:eastAsia="楷体" w:cs="楷体"/>
          <w:b/>
          <w:bCs/>
          <w:i w:val="0"/>
          <w:iCs w:val="0"/>
          <w:caps w:val="0"/>
          <w:color w:val="000000"/>
          <w:spacing w:val="0"/>
          <w:sz w:val="32"/>
          <w:szCs w:val="32"/>
          <w:shd w:val="clear" w:fill="FFFFFF"/>
        </w:rPr>
        <w:t>。</w:t>
      </w:r>
    </w:p>
    <w:p w14:paraId="41B04C25">
      <w:pPr>
        <w:keepNext w:val="0"/>
        <w:keepLines w:val="0"/>
        <w:pageBreakBefore w:val="0"/>
        <w:numPr>
          <w:ilvl w:val="0"/>
          <w:numId w:val="0"/>
        </w:numPr>
        <w:kinsoku/>
        <w:wordWrap/>
        <w:overflowPunct/>
        <w:topLinePunct w:val="0"/>
        <w:autoSpaceDE/>
        <w:autoSpaceDN/>
        <w:bidi w:val="0"/>
        <w:adjustRightInd/>
        <w:snapToGrid/>
        <w:spacing w:afterAutospacing="0" w:line="360" w:lineRule="auto"/>
        <w:ind w:firstLine="643" w:firstLineChars="200"/>
        <w:jc w:val="left"/>
        <w:textAlignment w:val="auto"/>
        <w:rPr>
          <w:rFonts w:hint="eastAsia" w:ascii="仿宋" w:hAnsi="仿宋" w:eastAsia="仿宋" w:cs="仿宋"/>
          <w:b w:val="0"/>
          <w:bCs w:val="0"/>
          <w:i w:val="0"/>
          <w:iCs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bCs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b/>
          <w:bCs w:val="0"/>
          <w:caps w:val="0"/>
          <w:color w:val="000000" w:themeColor="text1"/>
          <w:spacing w:val="0"/>
          <w:sz w:val="32"/>
          <w:szCs w:val="32"/>
          <w:lang w:val="en-US" w:eastAsia="zh-CN"/>
          <w14:textFill>
            <w14:solidFill>
              <w14:schemeClr w14:val="tx1"/>
            </w14:solidFill>
          </w14:textFill>
        </w:rPr>
        <w:t>一</w:t>
      </w:r>
      <w:r>
        <w:rPr>
          <w:rFonts w:hint="eastAsia" w:ascii="仿宋" w:hAnsi="仿宋" w:eastAsia="仿宋" w:cs="仿宋"/>
          <w:b/>
          <w:bCs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b/>
          <w:bCs w:val="0"/>
          <w:caps w:val="0"/>
          <w:color w:val="000000" w:themeColor="text1"/>
          <w:spacing w:val="0"/>
          <w:sz w:val="32"/>
          <w:szCs w:val="32"/>
          <w14:textFill>
            <w14:solidFill>
              <w14:schemeClr w14:val="tx1"/>
            </w14:solidFill>
          </w14:textFill>
        </w:rPr>
        <w:t>坚持党建引领，强化队伍建设</w:t>
      </w:r>
      <w:r>
        <w:rPr>
          <w:rFonts w:hint="eastAsia" w:ascii="仿宋" w:hAnsi="仿宋" w:eastAsia="仿宋" w:cs="仿宋"/>
          <w:b/>
          <w:bCs w:val="0"/>
          <w:caps w:val="0"/>
          <w:color w:val="000000" w:themeColor="text1"/>
          <w:spacing w:val="0"/>
          <w:sz w:val="32"/>
          <w:szCs w:val="32"/>
          <w:lang w:eastAsia="zh-CN"/>
          <w14:textFill>
            <w14:solidFill>
              <w14:schemeClr w14:val="tx1"/>
            </w14:solidFill>
          </w14:textFill>
        </w:rPr>
        <w:t>。</w:t>
      </w:r>
    </w:p>
    <w:p w14:paraId="62CF8D89">
      <w:pPr>
        <w:keepNext w:val="0"/>
        <w:keepLines w:val="0"/>
        <w:pageBreakBefore w:val="0"/>
        <w:numPr>
          <w:ilvl w:val="0"/>
          <w:numId w:val="0"/>
        </w:numPr>
        <w:kinsoku/>
        <w:wordWrap/>
        <w:overflowPunct/>
        <w:topLinePunct w:val="0"/>
        <w:autoSpaceDE/>
        <w:autoSpaceDN/>
        <w:bidi w:val="0"/>
        <w:adjustRightInd/>
        <w:snapToGrid/>
        <w:spacing w:afterAutospacing="0" w:line="360" w:lineRule="auto"/>
        <w:ind w:firstLine="640" w:firstLineChars="200"/>
        <w:jc w:val="left"/>
        <w:textAlignment w:val="auto"/>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一是强化组织引领作用。切实发挥党组织战斗堡垒作用，始终将增强政治功能深透到日常业务发展中</w:t>
      </w:r>
      <w:r>
        <w:rPr>
          <w:rFonts w:hint="eastAsia" w:ascii="仿宋" w:hAnsi="仿宋" w:eastAsia="仿宋" w:cs="仿宋"/>
          <w:b w:val="0"/>
          <w:bCs w:val="0"/>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32"/>
          <w:szCs w:val="32"/>
          <w:shd w:val="clear" w:fill="FFFFFF"/>
          <w:lang w:val="en-US" w:eastAsia="zh-CN"/>
          <w14:textFill>
            <w14:solidFill>
              <w14:schemeClr w14:val="tx1"/>
            </w14:solidFill>
          </w14:textFill>
        </w:rPr>
        <w:t>严格执行“三会一课”学习教育制度，认真</w:t>
      </w:r>
      <w:r>
        <w:rPr>
          <w:rFonts w:hint="eastAsia" w:ascii="仿宋" w:hAnsi="仿宋" w:eastAsia="仿宋" w:cs="仿宋"/>
          <w:color w:val="000000" w:themeColor="text1"/>
          <w:sz w:val="32"/>
          <w:szCs w:val="32"/>
          <w:lang w:val="en-US" w:eastAsia="zh-CN"/>
          <w14:textFill>
            <w14:solidFill>
              <w14:schemeClr w14:val="tx1"/>
            </w14:solidFill>
          </w14:textFill>
        </w:rPr>
        <w:t>开展</w:t>
      </w:r>
      <w:r>
        <w:rPr>
          <w:rFonts w:hint="eastAsia" w:ascii="仿宋" w:hAnsi="仿宋" w:eastAsia="仿宋" w:cs="仿宋"/>
          <w:color w:val="000000" w:themeColor="text1"/>
          <w:sz w:val="32"/>
          <w:szCs w:val="32"/>
          <w14:textFill>
            <w14:solidFill>
              <w14:schemeClr w14:val="tx1"/>
            </w14:solidFill>
          </w14:textFill>
        </w:rPr>
        <w:t>党纪学习教育</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在全</w:t>
      </w:r>
      <w:r>
        <w:rPr>
          <w:rFonts w:hint="eastAsia" w:ascii="仿宋" w:hAnsi="仿宋" w:eastAsia="仿宋" w:cs="仿宋"/>
          <w:color w:val="000000" w:themeColor="text1"/>
          <w:sz w:val="32"/>
          <w:szCs w:val="32"/>
          <w:lang w:val="en-US" w:eastAsia="zh-CN"/>
          <w14:textFill>
            <w14:solidFill>
              <w14:schemeClr w14:val="tx1"/>
            </w14:solidFill>
          </w14:textFill>
        </w:rPr>
        <w:t>台</w:t>
      </w:r>
      <w:r>
        <w:rPr>
          <w:rFonts w:hint="eastAsia" w:ascii="仿宋" w:hAnsi="仿宋" w:eastAsia="仿宋" w:cs="仿宋"/>
          <w:color w:val="000000" w:themeColor="text1"/>
          <w:sz w:val="32"/>
          <w:szCs w:val="32"/>
          <w14:textFill>
            <w14:solidFill>
              <w14:schemeClr w14:val="tx1"/>
            </w14:solidFill>
          </w14:textFill>
        </w:rPr>
        <w:t>营造党员干部学纪、知纪、明纪、守纪的浓厚氛围</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通过书记讲党课、</w:t>
      </w:r>
      <w:r>
        <w:rPr>
          <w:rFonts w:hint="eastAsia" w:ascii="仿宋" w:hAnsi="仿宋" w:eastAsia="仿宋" w:cs="仿宋"/>
          <w:b w:val="0"/>
          <w:bCs w:val="0"/>
          <w:i w:val="0"/>
          <w:iCs w:val="0"/>
          <w:caps w:val="0"/>
          <w:color w:val="000000" w:themeColor="text1"/>
          <w:spacing w:val="0"/>
          <w:sz w:val="32"/>
          <w:szCs w:val="32"/>
          <w:shd w:val="clear" w:fill="FFFFFF"/>
          <w:lang w:val="en-US" w:eastAsia="zh-CN"/>
          <w14:textFill>
            <w14:solidFill>
              <w14:schemeClr w14:val="tx1"/>
            </w14:solidFill>
          </w14:textFill>
        </w:rPr>
        <w:t>组织生活</w:t>
      </w:r>
      <w:r>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会等多种活动形式，进一步激励</w:t>
      </w:r>
      <w:r>
        <w:rPr>
          <w:rFonts w:hint="eastAsia" w:ascii="仿宋" w:hAnsi="仿宋" w:eastAsia="仿宋" w:cs="仿宋"/>
          <w:b w:val="0"/>
          <w:bCs w:val="0"/>
          <w:i w:val="0"/>
          <w:iCs w:val="0"/>
          <w:caps w:val="0"/>
          <w:color w:val="000000" w:themeColor="text1"/>
          <w:spacing w:val="0"/>
          <w:sz w:val="32"/>
          <w:szCs w:val="32"/>
          <w:shd w:val="clear" w:fill="FFFFFF"/>
          <w:lang w:eastAsia="zh-CN"/>
          <w14:textFill>
            <w14:solidFill>
              <w14:schemeClr w14:val="tx1"/>
            </w14:solidFill>
          </w14:textFill>
        </w:rPr>
        <w:t>干部职工</w:t>
      </w:r>
      <w:r>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在本职工作争当岗位先锋。</w:t>
      </w:r>
    </w:p>
    <w:p w14:paraId="3CAC8411">
      <w:pPr>
        <w:keepNext w:val="0"/>
        <w:keepLines w:val="0"/>
        <w:pageBreakBefore w:val="0"/>
        <w:numPr>
          <w:ilvl w:val="0"/>
          <w:numId w:val="0"/>
        </w:numPr>
        <w:kinsoku/>
        <w:wordWrap/>
        <w:overflowPunct/>
        <w:topLinePunct w:val="0"/>
        <w:autoSpaceDE/>
        <w:autoSpaceDN/>
        <w:bidi w:val="0"/>
        <w:adjustRightInd/>
        <w:snapToGrid/>
        <w:spacing w:afterAutospacing="0" w:line="360" w:lineRule="auto"/>
        <w:ind w:firstLine="640" w:firstLineChars="200"/>
        <w:jc w:val="left"/>
        <w:textAlignment w:val="auto"/>
        <w:rPr>
          <w:rFonts w:hint="eastAsia" w:ascii="仿宋" w:hAnsi="仿宋" w:eastAsia="仿宋" w:cs="仿宋"/>
          <w:b w:val="0"/>
          <w:bCs w:val="0"/>
          <w:i w:val="0"/>
          <w:iCs w:val="0"/>
          <w:caps w:val="0"/>
          <w:color w:val="000000" w:themeColor="text1"/>
          <w:spacing w:val="0"/>
          <w:sz w:val="32"/>
          <w:szCs w:val="32"/>
          <w:shd w:val="clear" w:fill="FFFFFF"/>
          <w:lang w:eastAsia="zh-CN"/>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二是</w:t>
      </w:r>
      <w:r>
        <w:rPr>
          <w:rStyle w:val="12"/>
          <w:rFonts w:hint="eastAsia" w:ascii="仿宋" w:hAnsi="仿宋" w:eastAsia="仿宋" w:cs="仿宋"/>
          <w:b w:val="0"/>
          <w:bCs w:val="0"/>
          <w:i w:val="0"/>
          <w:caps w:val="0"/>
          <w:color w:val="000000" w:themeColor="text1"/>
          <w:spacing w:val="0"/>
          <w:sz w:val="32"/>
          <w:szCs w:val="32"/>
          <w:shd w:val="clear" w:fill="FFFFFF"/>
          <w:lang w:val="en-US" w:eastAsia="zh-CN"/>
          <w14:textFill>
            <w14:solidFill>
              <w14:schemeClr w14:val="tx1"/>
            </w14:solidFill>
          </w14:textFill>
        </w:rPr>
        <w:t>增强廉洁从业意识。</w:t>
      </w:r>
      <w:r>
        <w:rPr>
          <w:rFonts w:hint="eastAsia" w:ascii="仿宋" w:hAnsi="仿宋" w:eastAsia="仿宋" w:cs="仿宋"/>
          <w:color w:val="000000" w:themeColor="text1"/>
          <w:sz w:val="32"/>
          <w:szCs w:val="32"/>
          <w:lang w:val="en-US" w:eastAsia="zh-CN"/>
          <w14:textFill>
            <w14:solidFill>
              <w14:schemeClr w14:val="tx1"/>
            </w14:solidFill>
          </w14:textFill>
        </w:rPr>
        <w:t>组织党员干部前往怀化市清廉文化教育馆、</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安江农校杂交水稻纪念园</w:t>
      </w:r>
      <w:r>
        <w:rPr>
          <w:rFonts w:hint="eastAsia" w:ascii="仿宋" w:hAnsi="仿宋" w:eastAsia="仿宋" w:cs="仿宋"/>
          <w:color w:val="000000" w:themeColor="text1"/>
          <w:sz w:val="32"/>
          <w:szCs w:val="32"/>
          <w:lang w:val="en-US" w:eastAsia="zh-CN"/>
          <w14:textFill>
            <w14:solidFill>
              <w14:schemeClr w14:val="tx1"/>
            </w14:solidFill>
          </w14:textFill>
        </w:rPr>
        <w:t>开展</w:t>
      </w:r>
      <w:r>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主题党日活动</w:t>
      </w:r>
      <w:r>
        <w:rPr>
          <w:rFonts w:hint="eastAsia" w:ascii="仿宋" w:hAnsi="仿宋" w:eastAsia="仿宋" w:cs="仿宋"/>
          <w:b w:val="0"/>
          <w:bCs w:val="0"/>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让党员干部在看、听、感、悟中接受廉政教育和</w:t>
      </w:r>
      <w:r>
        <w:rPr>
          <w:rFonts w:hint="eastAsia" w:ascii="仿宋" w:hAnsi="仿宋" w:eastAsia="仿宋" w:cs="仿宋"/>
          <w:i w:val="0"/>
          <w:caps w:val="0"/>
          <w:color w:val="000000" w:themeColor="text1"/>
          <w:spacing w:val="0"/>
          <w:sz w:val="32"/>
          <w:szCs w:val="32"/>
          <w14:textFill>
            <w14:solidFill>
              <w14:schemeClr w14:val="tx1"/>
            </w14:solidFill>
          </w14:textFill>
        </w:rPr>
        <w:t>切身感受“杂交水稻之父”袁隆平“愿天下人都有饱饭吃、将饭碗牢牢端在中国人手中、杂交水稻造福世界人民”的责任与担当</w:t>
      </w:r>
      <w:r>
        <w:rPr>
          <w:rFonts w:hint="eastAsia" w:ascii="仿宋" w:hAnsi="仿宋" w:eastAsia="仿宋" w:cs="仿宋"/>
          <w:color w:val="000000" w:themeColor="text1"/>
          <w:sz w:val="32"/>
          <w:szCs w:val="32"/>
          <w:lang w:val="en-US" w:eastAsia="zh-CN"/>
          <w14:textFill>
            <w14:solidFill>
              <w14:schemeClr w14:val="tx1"/>
            </w14:solidFill>
          </w14:textFill>
        </w:rPr>
        <w:t>，教育引导党员干部增强廉洁自律意识，</w:t>
      </w:r>
      <w:r>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促进提升党建教育实效</w:t>
      </w:r>
      <w:r>
        <w:rPr>
          <w:rFonts w:hint="eastAsia" w:ascii="仿宋" w:hAnsi="仿宋" w:eastAsia="仿宋" w:cs="仿宋"/>
          <w:b w:val="0"/>
          <w:bCs w:val="0"/>
          <w:i w:val="0"/>
          <w:iCs w:val="0"/>
          <w:caps w:val="0"/>
          <w:color w:val="000000" w:themeColor="text1"/>
          <w:spacing w:val="0"/>
          <w:sz w:val="32"/>
          <w:szCs w:val="32"/>
          <w:shd w:val="clear" w:fill="FFFFFF"/>
          <w:lang w:eastAsia="zh-CN"/>
          <w14:textFill>
            <w14:solidFill>
              <w14:schemeClr w14:val="tx1"/>
            </w14:solidFill>
          </w14:textFill>
        </w:rPr>
        <w:t>。</w:t>
      </w:r>
    </w:p>
    <w:p w14:paraId="2CF7B4A1">
      <w:pPr>
        <w:keepNext w:val="0"/>
        <w:keepLines w:val="0"/>
        <w:pageBreakBefore w:val="0"/>
        <w:numPr>
          <w:ilvl w:val="0"/>
          <w:numId w:val="0"/>
        </w:numPr>
        <w:kinsoku/>
        <w:wordWrap/>
        <w:overflowPunct/>
        <w:topLinePunct w:val="0"/>
        <w:autoSpaceDE/>
        <w:autoSpaceDN/>
        <w:bidi w:val="0"/>
        <w:adjustRightInd/>
        <w:snapToGrid/>
        <w:spacing w:afterAutospacing="0" w:line="360" w:lineRule="auto"/>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lang w:eastAsia="zh-CN"/>
          <w14:textFill>
            <w14:solidFill>
              <w14:schemeClr w14:val="tx1"/>
            </w14:solidFill>
          </w14:textFill>
        </w:rPr>
        <w:t>三</w:t>
      </w:r>
      <w:r>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是强化队伍管理促成长。组织开展谈心谈话、</w:t>
      </w:r>
      <w:r>
        <w:rPr>
          <w:rFonts w:hint="eastAsia" w:ascii="仿宋" w:hAnsi="仿宋" w:eastAsia="仿宋" w:cs="仿宋"/>
          <w:b w:val="0"/>
          <w:bCs w:val="0"/>
          <w:i w:val="0"/>
          <w:iCs w:val="0"/>
          <w:caps w:val="0"/>
          <w:color w:val="000000" w:themeColor="text1"/>
          <w:spacing w:val="0"/>
          <w:sz w:val="32"/>
          <w:szCs w:val="32"/>
          <w:shd w:val="clear" w:fill="FFFFFF"/>
          <w:lang w:eastAsia="zh-CN"/>
          <w14:textFill>
            <w14:solidFill>
              <w14:schemeClr w14:val="tx1"/>
            </w14:solidFill>
          </w14:textFill>
        </w:rPr>
        <w:t>月度积分考核</w:t>
      </w:r>
      <w:r>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等，落实</w:t>
      </w:r>
      <w:r>
        <w:rPr>
          <w:rFonts w:hint="eastAsia" w:ascii="仿宋" w:hAnsi="仿宋" w:eastAsia="仿宋" w:cs="仿宋"/>
          <w:b w:val="0"/>
          <w:bCs w:val="0"/>
          <w:i w:val="0"/>
          <w:iCs w:val="0"/>
          <w:caps w:val="0"/>
          <w:color w:val="000000" w:themeColor="text1"/>
          <w:spacing w:val="0"/>
          <w:sz w:val="32"/>
          <w:szCs w:val="32"/>
          <w:shd w:val="clear" w:fill="FFFFFF"/>
          <w:lang w:eastAsia="zh-CN"/>
          <w14:textFill>
            <w14:solidFill>
              <w14:schemeClr w14:val="tx1"/>
            </w14:solidFill>
          </w14:textFill>
        </w:rPr>
        <w:t>职</w:t>
      </w:r>
      <w:r>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工日常行为管理监督，及时掌握了解</w:t>
      </w:r>
      <w:r>
        <w:rPr>
          <w:rFonts w:hint="eastAsia" w:ascii="仿宋" w:hAnsi="仿宋" w:eastAsia="仿宋" w:cs="仿宋"/>
          <w:b w:val="0"/>
          <w:bCs w:val="0"/>
          <w:i w:val="0"/>
          <w:iCs w:val="0"/>
          <w:caps w:val="0"/>
          <w:color w:val="000000" w:themeColor="text1"/>
          <w:spacing w:val="0"/>
          <w:sz w:val="32"/>
          <w:szCs w:val="32"/>
          <w:shd w:val="clear" w:fill="FFFFFF"/>
          <w:lang w:eastAsia="zh-CN"/>
          <w14:textFill>
            <w14:solidFill>
              <w14:schemeClr w14:val="tx1"/>
            </w14:solidFill>
          </w14:textFill>
        </w:rPr>
        <w:t>职工</w:t>
      </w:r>
      <w:r>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思想动态，对出现的苗头性、倾向性问题早提醒、早纠正，引导培养纪律观念强、规矩意识强的队伍。</w:t>
      </w:r>
      <w:r>
        <w:rPr>
          <w:rFonts w:hint="eastAsia" w:ascii="仿宋" w:hAnsi="仿宋" w:eastAsia="仿宋" w:cs="仿宋"/>
          <w:color w:val="000000" w:themeColor="text1"/>
          <w:sz w:val="32"/>
          <w:szCs w:val="32"/>
          <w14:textFill>
            <w14:solidFill>
              <w14:schemeClr w14:val="tx1"/>
            </w14:solidFill>
          </w14:textFill>
        </w:rPr>
        <w:t>进一步加强党员及职工的教育管理，逐步形成科学、完善的考核评价体系，对全台积分管理制度进行完善修订，解决了部分同志</w:t>
      </w:r>
      <w:r>
        <w:rPr>
          <w:rFonts w:hint="eastAsia" w:ascii="仿宋" w:hAnsi="仿宋" w:eastAsia="仿宋" w:cs="仿宋"/>
          <w:color w:val="000000" w:themeColor="text1"/>
          <w:sz w:val="32"/>
          <w:szCs w:val="32"/>
          <w:lang w:eastAsia="zh-CN"/>
          <w14:textFill>
            <w14:solidFill>
              <w14:schemeClr w14:val="tx1"/>
            </w14:solidFill>
          </w14:textFill>
        </w:rPr>
        <w:t>在工作</w:t>
      </w:r>
      <w:r>
        <w:rPr>
          <w:rFonts w:hint="eastAsia" w:ascii="仿宋" w:hAnsi="仿宋" w:eastAsia="仿宋" w:cs="仿宋"/>
          <w:color w:val="000000" w:themeColor="text1"/>
          <w:sz w:val="32"/>
          <w:szCs w:val="32"/>
          <w14:textFill>
            <w14:solidFill>
              <w14:schemeClr w14:val="tx1"/>
            </w14:solidFill>
          </w14:textFill>
        </w:rPr>
        <w:t>中存在的党性意识不强、组织纪律观念差、作用发挥不好等问题，并采取定性评价与量化考评相结合的方式，实现日常管理服务的科学化、精细化，激励全台党员及职工做到政治合格、执行纪律合格、品德合格、发挥作用合格，落实好各项工作的规范化和制度化管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充分调动广大职工的积极性和创造性，保障了我台各项工作平稳有序开展。</w:t>
      </w:r>
    </w:p>
    <w:p w14:paraId="2998FE38">
      <w:pPr>
        <w:keepNext w:val="0"/>
        <w:keepLines w:val="0"/>
        <w:pageBreakBefore w:val="0"/>
        <w:numPr>
          <w:ilvl w:val="0"/>
          <w:numId w:val="0"/>
        </w:numPr>
        <w:kinsoku/>
        <w:wordWrap/>
        <w:overflowPunct/>
        <w:topLinePunct w:val="0"/>
        <w:autoSpaceDE/>
        <w:autoSpaceDN/>
        <w:bidi w:val="0"/>
        <w:adjustRightInd/>
        <w:snapToGrid/>
        <w:spacing w:afterAutospacing="0" w:line="360" w:lineRule="auto"/>
        <w:ind w:firstLine="643" w:firstLineChars="200"/>
        <w:jc w:val="left"/>
        <w:textAlignment w:val="auto"/>
        <w:rPr>
          <w:rFonts w:hint="eastAsia" w:ascii="仿宋" w:hAnsi="仿宋" w:eastAsia="仿宋" w:cs="仿宋"/>
          <w:b/>
          <w:bCs/>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（二）加强领导，责任落实</w:t>
      </w:r>
      <w:r>
        <w:rPr>
          <w:rFonts w:hint="eastAsia" w:ascii="仿宋" w:hAnsi="仿宋" w:eastAsia="仿宋" w:cs="仿宋"/>
          <w:b/>
          <w:bCs/>
          <w:color w:val="000000" w:themeColor="text1"/>
          <w:sz w:val="32"/>
          <w:szCs w:val="32"/>
          <w14:textFill>
            <w14:solidFill>
              <w14:schemeClr w14:val="tx1"/>
            </w14:solidFill>
          </w14:textFill>
        </w:rPr>
        <w:t>，</w:t>
      </w:r>
      <w:r>
        <w:rPr>
          <w:rFonts w:hint="eastAsia" w:ascii="仿宋" w:hAnsi="仿宋" w:eastAsia="仿宋" w:cs="仿宋"/>
          <w:b/>
          <w:bCs/>
          <w:color w:val="000000" w:themeColor="text1"/>
          <w:sz w:val="32"/>
          <w:szCs w:val="32"/>
          <w:lang w:val="en-US" w:eastAsia="zh-CN"/>
          <w14:textFill>
            <w14:solidFill>
              <w14:schemeClr w14:val="tx1"/>
            </w14:solidFill>
          </w14:textFill>
        </w:rPr>
        <w:t>确保</w:t>
      </w:r>
      <w:r>
        <w:rPr>
          <w:rFonts w:hint="eastAsia" w:ascii="仿宋" w:hAnsi="仿宋" w:eastAsia="仿宋" w:cs="仿宋"/>
          <w:b/>
          <w:bCs/>
          <w:color w:val="000000" w:themeColor="text1"/>
          <w:sz w:val="32"/>
          <w:szCs w:val="32"/>
          <w14:textFill>
            <w14:solidFill>
              <w14:schemeClr w14:val="tx1"/>
            </w14:solidFill>
          </w14:textFill>
        </w:rPr>
        <w:t>广播电视安全播出</w:t>
      </w:r>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为确保广播电视安全播出，我台成立了以台长为组长，副台长为副组长，部门负责人为成员的安全播出领导小组，先后多次召开了广播电视安全播出保障工作会议，对发射基地广播电视安全播出工作存在的短板弱项进行分析和全面安排部署。特别就恶劣天气基地人员换班交通安全、设备器材备份、后勤保障工作做了强调，要求带班主任主动作为、提前预判。要求全体干部职工要提高政治站位，进一步压实意识形态工作责任制，全力守好意识形态传播主阵地，转播好党的声音。主动瞄准公益属性，认真践行习总书记“以人民为中心”的理念，确保让老百姓看好电视、听好广播，进一步增强人民群众的获得感、幸福感、安全感。把广播电视安全保障工作抓实抓细，认真抓好人防物防技防工作。基地技术人员要勇于担当搞好防范，备份器材准备到位，搞好技术保障能力，不能凭经验办事和决断。只有扎实搞好自查整改，才能保障和提高广播电视安全播出工作。</w:t>
      </w:r>
    </w:p>
    <w:p w14:paraId="567EF67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（三）严格管理，加强培训，全面提高安全播出工作水平。</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为了让</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职</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工提升团队协作能力、增强个人技能素质，</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先后选派二批技术骨干到北京、长沙学习广播电视传输发射及安全播出管理、湖南广播电视技术能手职业技能竞赛等培训学习；与兄弟单位相互学习促提升，</w:t>
      </w:r>
      <w:r>
        <w:rPr>
          <w:rFonts w:hint="eastAsia" w:ascii="仿宋" w:hAnsi="仿宋" w:eastAsia="仿宋" w:cs="仿宋"/>
          <w:b w:val="0"/>
          <w:color w:val="000000" w:themeColor="text1"/>
          <w:sz w:val="32"/>
          <w:szCs w:val="32"/>
          <w:lang w:val="en-US" w:eastAsia="zh-CN"/>
          <w14:textFill>
            <w14:solidFill>
              <w14:schemeClr w14:val="tx1"/>
            </w14:solidFill>
          </w14:textFill>
        </w:rPr>
        <w:t>就高山台现状、怎样加强业务培训提升队伍素质</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的难点和问题进行沟通探讨</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；邀请设备器材厂家技术人员现场讲课，讲解设备器材性能和故障处理办法，提升技术人员处理设备故障能力；</w:t>
      </w:r>
      <w:r>
        <w:rPr>
          <w:rFonts w:hint="eastAsia" w:ascii="仿宋" w:hAnsi="仿宋" w:eastAsia="仿宋" w:cs="仿宋"/>
          <w:color w:val="000000" w:themeColor="text1"/>
          <w:sz w:val="32"/>
          <w:szCs w:val="32"/>
          <w14:textFill>
            <w14:solidFill>
              <w14:schemeClr w14:val="tx1"/>
            </w14:solidFill>
          </w14:textFill>
        </w:rPr>
        <w:t>多次组织</w:t>
      </w:r>
      <w:r>
        <w:rPr>
          <w:rFonts w:hint="eastAsia" w:ascii="仿宋" w:hAnsi="仿宋" w:eastAsia="仿宋" w:cs="仿宋"/>
          <w:color w:val="000000" w:themeColor="text1"/>
          <w:sz w:val="32"/>
          <w:szCs w:val="32"/>
          <w:lang w:val="en-US" w:eastAsia="zh-CN"/>
          <w14:textFill>
            <w14:solidFill>
              <w14:schemeClr w14:val="tx1"/>
            </w14:solidFill>
          </w14:textFill>
        </w:rPr>
        <w:t>发射基地</w:t>
      </w:r>
      <w:r>
        <w:rPr>
          <w:rFonts w:hint="eastAsia" w:ascii="仿宋" w:hAnsi="仿宋" w:eastAsia="仿宋" w:cs="仿宋"/>
          <w:color w:val="000000" w:themeColor="text1"/>
          <w:sz w:val="32"/>
          <w:szCs w:val="32"/>
          <w14:textFill>
            <w14:solidFill>
              <w14:schemeClr w14:val="tx1"/>
            </w14:solidFill>
          </w14:textFill>
        </w:rPr>
        <w:t>工作人员学习安全播出管理的各项规章制度和操作规程，组织应对安全播出应急突发事件的模拟演练，以此促进机房工作的规范化、制度化，更好的完成安全优质播出任务。</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通过采取走出去、请进来的学习培训方式，有效提高了职工的业务技能素质。</w:t>
      </w:r>
    </w:p>
    <w:p w14:paraId="262E5CEF">
      <w:pPr>
        <w:keepNext w:val="0"/>
        <w:keepLines w:val="0"/>
        <w:pageBreakBefore w:val="0"/>
        <w:kinsoku/>
        <w:wordWrap/>
        <w:overflowPunct/>
        <w:topLinePunct w:val="0"/>
        <w:autoSpaceDE/>
        <w:autoSpaceDN/>
        <w:bidi w:val="0"/>
        <w:adjustRightInd/>
        <w:snapToGrid/>
        <w:spacing w:afterAutospacing="0" w:line="360" w:lineRule="auto"/>
        <w:ind w:firstLine="56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（四）</w:t>
      </w:r>
      <w:r>
        <w:rPr>
          <w:rFonts w:hint="eastAsia" w:ascii="仿宋" w:hAnsi="仿宋" w:eastAsia="仿宋" w:cs="仿宋"/>
          <w:b/>
          <w:color w:val="000000" w:themeColor="text1"/>
          <w:sz w:val="32"/>
          <w:szCs w:val="32"/>
          <w14:textFill>
            <w14:solidFill>
              <w14:schemeClr w14:val="tx1"/>
            </w14:solidFill>
          </w14:textFill>
        </w:rPr>
        <w:t>加强</w:t>
      </w:r>
      <w:r>
        <w:rPr>
          <w:rFonts w:hint="eastAsia" w:ascii="仿宋" w:hAnsi="仿宋" w:eastAsia="仿宋" w:cs="仿宋"/>
          <w:b/>
          <w:color w:val="000000" w:themeColor="text1"/>
          <w:sz w:val="32"/>
          <w:szCs w:val="32"/>
          <w:lang w:val="en-US" w:eastAsia="zh-CN"/>
          <w14:textFill>
            <w14:solidFill>
              <w14:schemeClr w14:val="tx1"/>
            </w14:solidFill>
          </w14:textFill>
        </w:rPr>
        <w:t>协作</w:t>
      </w:r>
      <w:r>
        <w:rPr>
          <w:rFonts w:hint="eastAsia" w:ascii="仿宋" w:hAnsi="仿宋" w:eastAsia="仿宋" w:cs="仿宋"/>
          <w:b/>
          <w:color w:val="000000" w:themeColor="text1"/>
          <w:sz w:val="32"/>
          <w:szCs w:val="32"/>
          <w14:textFill>
            <w14:solidFill>
              <w14:schemeClr w14:val="tx1"/>
            </w14:solidFill>
          </w14:textFill>
        </w:rPr>
        <w:t>，保障</w:t>
      </w:r>
      <w:r>
        <w:rPr>
          <w:rFonts w:hint="eastAsia" w:ascii="仿宋" w:hAnsi="仿宋" w:eastAsia="仿宋" w:cs="仿宋"/>
          <w:b/>
          <w:color w:val="000000" w:themeColor="text1"/>
          <w:sz w:val="32"/>
          <w:szCs w:val="32"/>
          <w:lang w:val="en-US" w:eastAsia="zh-CN"/>
          <w14:textFill>
            <w14:solidFill>
              <w14:schemeClr w14:val="tx1"/>
            </w14:solidFill>
          </w14:textFill>
        </w:rPr>
        <w:t>广播电视信号</w:t>
      </w:r>
      <w:r>
        <w:rPr>
          <w:rFonts w:hint="eastAsia" w:ascii="仿宋" w:hAnsi="仿宋" w:eastAsia="仿宋" w:cs="仿宋"/>
          <w:b/>
          <w:color w:val="000000" w:themeColor="text1"/>
          <w:sz w:val="32"/>
          <w:szCs w:val="32"/>
          <w14:textFill>
            <w14:solidFill>
              <w14:schemeClr w14:val="tx1"/>
            </w14:solidFill>
          </w14:textFill>
        </w:rPr>
        <w:t>安全</w:t>
      </w:r>
      <w:r>
        <w:rPr>
          <w:rFonts w:hint="eastAsia" w:ascii="仿宋" w:hAnsi="仿宋" w:eastAsia="仿宋" w:cs="仿宋"/>
          <w:b/>
          <w:color w:val="000000" w:themeColor="text1"/>
          <w:sz w:val="32"/>
          <w:szCs w:val="32"/>
          <w:lang w:val="en-US" w:eastAsia="zh-CN"/>
          <w14:textFill>
            <w14:solidFill>
              <w14:schemeClr w14:val="tx1"/>
            </w14:solidFill>
          </w14:textFill>
        </w:rPr>
        <w:t>优质</w:t>
      </w:r>
      <w:r>
        <w:rPr>
          <w:rFonts w:hint="eastAsia" w:ascii="仿宋" w:hAnsi="仿宋" w:eastAsia="仿宋" w:cs="仿宋"/>
          <w:b/>
          <w:color w:val="000000" w:themeColor="text1"/>
          <w:sz w:val="32"/>
          <w:szCs w:val="32"/>
          <w14:textFill>
            <w14:solidFill>
              <w14:schemeClr w14:val="tx1"/>
            </w14:solidFill>
          </w14:textFill>
        </w:rPr>
        <w:t>播出</w:t>
      </w:r>
      <w:r>
        <w:rPr>
          <w:rFonts w:hint="eastAsia" w:ascii="仿宋" w:hAnsi="仿宋" w:eastAsia="仿宋" w:cs="仿宋"/>
          <w:b/>
          <w:color w:val="000000" w:themeColor="text1"/>
          <w:sz w:val="32"/>
          <w:szCs w:val="32"/>
          <w:lang w:eastAsia="zh-CN"/>
          <w14:textFill>
            <w14:solidFill>
              <w14:schemeClr w14:val="tx1"/>
            </w14:solidFill>
          </w14:textFill>
        </w:rPr>
        <w:t>。</w:t>
      </w:r>
      <w:r>
        <w:rPr>
          <w:rFonts w:hint="eastAsia" w:ascii="仿宋" w:hAnsi="仿宋" w:eastAsia="仿宋" w:cs="仿宋"/>
          <w:b w:val="0"/>
          <w:bCs/>
          <w:color w:val="000000" w:themeColor="text1"/>
          <w:sz w:val="32"/>
          <w:szCs w:val="32"/>
          <w:lang w:val="en-US" w:eastAsia="zh-CN"/>
          <w14:textFill>
            <w14:solidFill>
              <w14:schemeClr w14:val="tx1"/>
            </w14:solidFill>
          </w14:textFill>
        </w:rPr>
        <w:t>一是</w:t>
      </w:r>
      <w:r>
        <w:rPr>
          <w:rFonts w:hint="eastAsia" w:ascii="仿宋" w:hAnsi="仿宋" w:eastAsia="仿宋" w:cs="仿宋"/>
          <w:color w:val="000000" w:themeColor="text1"/>
          <w:sz w:val="32"/>
          <w:szCs w:val="32"/>
          <w14:textFill>
            <w14:solidFill>
              <w14:schemeClr w14:val="tx1"/>
            </w14:solidFill>
          </w14:textFill>
        </w:rPr>
        <w:t>组织对播出设备、天线、电源、播出前端进行防雷检测，各个设备符合防雷技术要求。同时，与电力部门签订电</w:t>
      </w:r>
      <w:r>
        <w:rPr>
          <w:rFonts w:hint="eastAsia" w:ascii="仿宋" w:hAnsi="仿宋" w:eastAsia="仿宋" w:cs="仿宋"/>
          <w:color w:val="000000" w:themeColor="text1"/>
          <w:sz w:val="32"/>
          <w:szCs w:val="32"/>
          <w:lang w:val="en-US" w:eastAsia="zh-CN"/>
          <w14:textFill>
            <w14:solidFill>
              <w14:schemeClr w14:val="tx1"/>
            </w14:solidFill>
          </w14:textFill>
        </w:rPr>
        <w:t>力</w:t>
      </w:r>
      <w:r>
        <w:rPr>
          <w:rFonts w:hint="eastAsia" w:ascii="仿宋" w:hAnsi="仿宋" w:eastAsia="仿宋" w:cs="仿宋"/>
          <w:color w:val="000000" w:themeColor="text1"/>
          <w:sz w:val="32"/>
          <w:szCs w:val="32"/>
          <w14:textFill>
            <w14:solidFill>
              <w14:schemeClr w14:val="tx1"/>
            </w14:solidFill>
          </w14:textFill>
        </w:rPr>
        <w:t>维护合同，保证台内电源安全，消除了电源变压器、稳压器的隐患。</w:t>
      </w:r>
    </w:p>
    <w:p w14:paraId="00C4804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二是</w:t>
      </w:r>
      <w:r>
        <w:rPr>
          <w:rFonts w:hint="eastAsia" w:ascii="仿宋" w:hAnsi="仿宋" w:eastAsia="仿宋" w:cs="仿宋"/>
          <w:b w:val="0"/>
          <w:bCs w:val="0"/>
          <w:i w:val="0"/>
          <w:caps w:val="0"/>
          <w:color w:val="000000" w:themeColor="text1"/>
          <w:spacing w:val="0"/>
          <w:sz w:val="32"/>
          <w:szCs w:val="32"/>
          <w:shd w:val="clear" w:fill="FFFFFF"/>
          <w14:textFill>
            <w14:solidFill>
              <w14:schemeClr w14:val="tx1"/>
            </w14:solidFill>
          </w14:textFill>
        </w:rPr>
        <w:t>强化应急演练</w:t>
      </w:r>
      <w:r>
        <w:rPr>
          <w:rFonts w:hint="eastAsia" w:ascii="仿宋" w:hAnsi="仿宋" w:eastAsia="仿宋" w:cs="仿宋"/>
          <w:b w:val="0"/>
          <w:bCs w:val="0"/>
          <w:i w:val="0"/>
          <w:caps w:val="0"/>
          <w:color w:val="000000" w:themeColor="text1"/>
          <w:spacing w:val="0"/>
          <w:sz w:val="32"/>
          <w:szCs w:val="32"/>
          <w:shd w:val="clear" w:fill="FFFFFF"/>
          <w:lang w:eastAsia="zh-CN"/>
          <w14:textFill>
            <w14:solidFill>
              <w14:schemeClr w14:val="tx1"/>
            </w14:solidFill>
          </w14:textFill>
        </w:rPr>
        <w:t>，</w:t>
      </w:r>
      <w:r>
        <w:rPr>
          <w:rFonts w:hint="eastAsia" w:ascii="仿宋" w:hAnsi="仿宋" w:eastAsia="仿宋" w:cs="仿宋"/>
          <w:b w:val="0"/>
          <w:bCs w:val="0"/>
          <w:i w:val="0"/>
          <w:caps w:val="0"/>
          <w:color w:val="000000" w:themeColor="text1"/>
          <w:spacing w:val="0"/>
          <w:sz w:val="32"/>
          <w:szCs w:val="32"/>
          <w:shd w:val="clear" w:fill="FFFFFF"/>
          <w14:textFill>
            <w14:solidFill>
              <w14:schemeClr w14:val="tx1"/>
            </w14:solidFill>
          </w14:textFill>
        </w:rPr>
        <w:t>提升处置能力</w:t>
      </w:r>
      <w:r>
        <w:rPr>
          <w:rFonts w:hint="eastAsia" w:ascii="仿宋" w:hAnsi="仿宋" w:eastAsia="仿宋" w:cs="仿宋"/>
          <w:b w:val="0"/>
          <w:bCs w:val="0"/>
          <w:i w:val="0"/>
          <w:caps w:val="0"/>
          <w:color w:val="000000" w:themeColor="text1"/>
          <w:spacing w:val="0"/>
          <w:sz w:val="32"/>
          <w:szCs w:val="32"/>
          <w:shd w:val="clear" w:fill="FFFFFF"/>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制定播出突发事件应急预案，加强突发事故应急预案演练，做好发射机维护、信号接收、设备检修，铁塔区的检查及配电电源部分的维护工作。</w:t>
      </w:r>
      <w:r>
        <w:rPr>
          <w:rFonts w:hint="eastAsia" w:ascii="仿宋" w:hAnsi="仿宋" w:eastAsia="仿宋" w:cs="仿宋"/>
          <w:color w:val="000000" w:themeColor="text1"/>
          <w:sz w:val="32"/>
          <w:szCs w:val="32"/>
          <w:lang w:val="en-US" w:eastAsia="zh-CN"/>
          <w14:textFill>
            <w14:solidFill>
              <w14:schemeClr w14:val="tx1"/>
            </w14:solidFill>
          </w14:textFill>
        </w:rPr>
        <w:t>按照要求重新更换维护了动环监测系统。</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为有效预防、积极应对安全突发事件，进一步提高</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职工</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的应急协同处置能力，</w:t>
      </w:r>
      <w:r>
        <w:rPr>
          <w:rFonts w:hint="eastAsia" w:ascii="仿宋" w:hAnsi="仿宋" w:eastAsia="仿宋" w:cs="仿宋"/>
          <w:color w:val="000000" w:themeColor="text1"/>
          <w:sz w:val="32"/>
          <w:szCs w:val="32"/>
          <w:lang w:val="en-US" w:eastAsia="zh-CN"/>
          <w14:textFill>
            <w14:solidFill>
              <w14:schemeClr w14:val="tx1"/>
            </w14:solidFill>
          </w14:textFill>
        </w:rPr>
        <w:t>在全国两会和新中国成立75周年广播电视安全播出期间，我台先后</w:t>
      </w:r>
      <w:r>
        <w:rPr>
          <w:rFonts w:hint="eastAsia" w:ascii="仿宋" w:hAnsi="仿宋" w:eastAsia="仿宋" w:cs="仿宋"/>
          <w:color w:val="000000" w:themeColor="text1"/>
          <w:sz w:val="32"/>
          <w:szCs w:val="32"/>
          <w14:textFill>
            <w14:solidFill>
              <w14:schemeClr w14:val="tx1"/>
            </w14:solidFill>
          </w14:textFill>
        </w:rPr>
        <w:t>组织了</w:t>
      </w:r>
      <w:r>
        <w:rPr>
          <w:rFonts w:hint="eastAsia" w:ascii="仿宋" w:hAnsi="仿宋" w:eastAsia="仿宋" w:cs="仿宋"/>
          <w:color w:val="000000" w:themeColor="text1"/>
          <w:sz w:val="32"/>
          <w:szCs w:val="32"/>
          <w:lang w:val="en-US" w:eastAsia="zh-CN"/>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次</w:t>
      </w:r>
      <w:r>
        <w:rPr>
          <w:rFonts w:hint="eastAsia" w:ascii="仿宋" w:hAnsi="仿宋" w:eastAsia="仿宋" w:cs="仿宋"/>
          <w:color w:val="000000" w:themeColor="text1"/>
          <w:sz w:val="32"/>
          <w:szCs w:val="32"/>
          <w:lang w:val="en-US" w:eastAsia="zh-CN"/>
          <w14:textFill>
            <w14:solidFill>
              <w14:schemeClr w14:val="tx1"/>
            </w14:solidFill>
          </w14:textFill>
        </w:rPr>
        <w:t>模拟广播电视信源故障、播控机房火灾事故和发射基地防暴应急演练。</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演练过程中，全体参演人员按照应急处突预案，行动迅速，配合默契，各处置环节衔接紧密，圆满完成了各类应急演练项目。通过全方位、实战化的应急演练，切实增强了</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全台干部职工</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的安全意识和责任意识，进一步提升了应急处突能力和综合能力</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w:t>
      </w:r>
    </w:p>
    <w:p w14:paraId="116B8CE8">
      <w:pPr>
        <w:keepNext w:val="0"/>
        <w:keepLines w:val="0"/>
        <w:pageBreakBefore w:val="0"/>
        <w:kinsoku/>
        <w:wordWrap/>
        <w:overflowPunct/>
        <w:topLinePunct w:val="0"/>
        <w:autoSpaceDE/>
        <w:autoSpaceDN/>
        <w:bidi w:val="0"/>
        <w:adjustRightInd/>
        <w:snapToGrid/>
        <w:spacing w:afterAutospacing="0" w:line="360" w:lineRule="auto"/>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三是</w:t>
      </w:r>
      <w:r>
        <w:rPr>
          <w:rFonts w:hint="eastAsia" w:ascii="仿宋" w:hAnsi="仿宋" w:eastAsia="仿宋" w:cs="仿宋"/>
          <w:b w:val="0"/>
          <w:bCs w:val="0"/>
          <w:color w:val="000000" w:themeColor="text1"/>
          <w:sz w:val="32"/>
          <w:szCs w:val="32"/>
          <w14:textFill>
            <w14:solidFill>
              <w14:schemeClr w14:val="tx1"/>
            </w14:solidFill>
          </w14:textFill>
        </w:rPr>
        <w:t>搞好部门联动协作，严防死守，确保广播电视安全播出。先后</w:t>
      </w:r>
      <w:r>
        <w:rPr>
          <w:rFonts w:hint="eastAsia" w:ascii="仿宋" w:hAnsi="仿宋" w:eastAsia="仿宋" w:cs="仿宋"/>
          <w:color w:val="000000" w:themeColor="text1"/>
          <w:sz w:val="32"/>
          <w:szCs w:val="32"/>
          <w14:textFill>
            <w14:solidFill>
              <w14:schemeClr w14:val="tx1"/>
            </w14:solidFill>
          </w14:textFill>
        </w:rPr>
        <w:t>与公安部门、电力部门、无委、消防等12个单位部门合作，就保障广播电视安全播出工作进行协调</w:t>
      </w:r>
      <w:r>
        <w:rPr>
          <w:rFonts w:hint="eastAsia" w:ascii="仿宋" w:hAnsi="仿宋" w:eastAsia="仿宋" w:cs="仿宋"/>
          <w:color w:val="000000" w:themeColor="text1"/>
          <w:sz w:val="32"/>
          <w:szCs w:val="32"/>
          <w:lang w:eastAsia="zh-CN"/>
          <w14:textFill>
            <w14:solidFill>
              <w14:schemeClr w14:val="tx1"/>
            </w14:solidFill>
          </w14:textFill>
        </w:rPr>
        <w:t>沟通</w:t>
      </w:r>
      <w:r>
        <w:rPr>
          <w:rFonts w:hint="eastAsia" w:ascii="仿宋" w:hAnsi="仿宋" w:eastAsia="仿宋" w:cs="仿宋"/>
          <w:color w:val="000000" w:themeColor="text1"/>
          <w:sz w:val="32"/>
          <w:szCs w:val="32"/>
          <w14:textFill>
            <w14:solidFill>
              <w14:schemeClr w14:val="tx1"/>
            </w14:solidFill>
          </w14:textFill>
        </w:rPr>
        <w:t>，并确定相应的联系责任人。</w:t>
      </w:r>
    </w:p>
    <w:p w14:paraId="47A30634">
      <w:pPr>
        <w:keepNext w:val="0"/>
        <w:keepLines w:val="0"/>
        <w:pageBreakBefore w:val="0"/>
        <w:kinsoku/>
        <w:wordWrap/>
        <w:overflowPunct/>
        <w:topLinePunct w:val="0"/>
        <w:autoSpaceDE/>
        <w:autoSpaceDN/>
        <w:bidi w:val="0"/>
        <w:adjustRightInd/>
        <w:snapToGrid/>
        <w:spacing w:afterAutospacing="0" w:line="360" w:lineRule="auto"/>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四是</w:t>
      </w:r>
      <w:r>
        <w:rPr>
          <w:rFonts w:hint="eastAsia" w:ascii="仿宋" w:hAnsi="仿宋" w:eastAsia="仿宋" w:cs="仿宋"/>
          <w:color w:val="000000" w:themeColor="text1"/>
          <w:sz w:val="32"/>
          <w:szCs w:val="32"/>
          <w:lang w:eastAsia="zh-CN"/>
          <w14:textFill>
            <w14:solidFill>
              <w14:schemeClr w14:val="tx1"/>
            </w14:solidFill>
          </w14:textFill>
        </w:rPr>
        <w:t>认真搞好传输、接收设备的检查维修维护。全年进行了</w:t>
      </w:r>
      <w:r>
        <w:rPr>
          <w:rFonts w:hint="eastAsia" w:ascii="仿宋" w:hAnsi="仿宋" w:eastAsia="仿宋" w:cs="仿宋"/>
          <w:color w:val="000000" w:themeColor="text1"/>
          <w:sz w:val="32"/>
          <w:szCs w:val="32"/>
          <w:lang w:val="en-US" w:eastAsia="zh-CN"/>
          <w14:textFill>
            <w14:solidFill>
              <w14:schemeClr w14:val="tx1"/>
            </w14:solidFill>
          </w14:textFill>
        </w:rPr>
        <w:t>4次季检和8次月检，发现隐患及时排除，真正让设备故障消除在萌芽状态；先后4次</w:t>
      </w:r>
      <w:r>
        <w:rPr>
          <w:rFonts w:hint="eastAsia" w:ascii="仿宋" w:hAnsi="仿宋" w:eastAsia="仿宋" w:cs="仿宋"/>
          <w:color w:val="000000" w:themeColor="text1"/>
          <w:sz w:val="32"/>
          <w:szCs w:val="32"/>
          <w14:textFill>
            <w14:solidFill>
              <w14:schemeClr w14:val="tx1"/>
            </w14:solidFill>
          </w14:textFill>
        </w:rPr>
        <w:t>深入中方、鹤城、芷江等广播电视覆盖区域，对我台发射的广播电视信号进行检测，并对信号干扰情况进行会商，找出最佳解决方法，让广播电视信号清晰地传送到千家万户。</w:t>
      </w:r>
    </w:p>
    <w:p w14:paraId="26DB3185">
      <w:pPr>
        <w:keepNext w:val="0"/>
        <w:keepLines w:val="0"/>
        <w:pageBreakBefore w:val="0"/>
        <w:widowControl/>
        <w:shd w:val="clear" w:color="auto" w:fill="FFFFFF"/>
        <w:kinsoku/>
        <w:wordWrap/>
        <w:overflowPunct/>
        <w:topLinePunct w:val="0"/>
        <w:autoSpaceDE/>
        <w:autoSpaceDN/>
        <w:bidi w:val="0"/>
        <w:adjustRightInd/>
        <w:snapToGrid/>
        <w:spacing w:afterAutospacing="0" w:line="360" w:lineRule="auto"/>
        <w:ind w:firstLine="640" w:firstLineChars="200"/>
        <w:jc w:val="left"/>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全国“两会”</w:t>
      </w:r>
      <w:r>
        <w:rPr>
          <w:rFonts w:hint="eastAsia" w:ascii="仿宋" w:hAnsi="仿宋" w:eastAsia="仿宋" w:cs="仿宋"/>
          <w:color w:val="000000" w:themeColor="text1"/>
          <w:kern w:val="0"/>
          <w:sz w:val="32"/>
          <w:szCs w:val="32"/>
          <w:lang w:eastAsia="zh-CN"/>
          <w14:textFill>
            <w14:solidFill>
              <w14:schemeClr w14:val="tx1"/>
            </w14:solidFill>
          </w14:textFill>
        </w:rPr>
        <w:t>和</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迎接新中国成立 75 周年</w:t>
      </w:r>
      <w:r>
        <w:rPr>
          <w:rFonts w:hint="eastAsia" w:ascii="仿宋" w:hAnsi="仿宋" w:eastAsia="仿宋" w:cs="仿宋"/>
          <w:color w:val="000000" w:themeColor="text1"/>
          <w:kern w:val="0"/>
          <w:sz w:val="32"/>
          <w:szCs w:val="32"/>
          <w:lang w:eastAsia="zh-CN"/>
          <w14:textFill>
            <w14:solidFill>
              <w14:schemeClr w14:val="tx1"/>
            </w14:solidFill>
          </w14:textFill>
        </w:rPr>
        <w:t>等重要播出</w:t>
      </w:r>
      <w:r>
        <w:rPr>
          <w:rFonts w:hint="eastAsia" w:ascii="仿宋" w:hAnsi="仿宋" w:eastAsia="仿宋" w:cs="仿宋"/>
          <w:color w:val="000000" w:themeColor="text1"/>
          <w:kern w:val="0"/>
          <w:sz w:val="32"/>
          <w:szCs w:val="32"/>
          <w14:textFill>
            <w14:solidFill>
              <w14:schemeClr w14:val="tx1"/>
            </w14:solidFill>
          </w14:textFill>
        </w:rPr>
        <w:t>期间，台领导带班靠前指挥，增加双岗值班值守人员，加大对重点部位的值班巡查力度，加强监听监控，严格零报告制度，确保了</w:t>
      </w:r>
      <w:r>
        <w:rPr>
          <w:rFonts w:hint="eastAsia" w:ascii="仿宋" w:hAnsi="仿宋" w:eastAsia="仿宋" w:cs="仿宋"/>
          <w:color w:val="000000" w:themeColor="text1"/>
          <w:kern w:val="0"/>
          <w:sz w:val="32"/>
          <w:szCs w:val="32"/>
          <w:lang w:eastAsia="zh-CN"/>
          <w14:textFill>
            <w14:solidFill>
              <w14:schemeClr w14:val="tx1"/>
            </w14:solidFill>
          </w14:textFill>
        </w:rPr>
        <w:t>重要播出</w:t>
      </w:r>
      <w:r>
        <w:rPr>
          <w:rFonts w:hint="eastAsia" w:ascii="仿宋" w:hAnsi="仿宋" w:eastAsia="仿宋" w:cs="仿宋"/>
          <w:color w:val="000000" w:themeColor="text1"/>
          <w:kern w:val="0"/>
          <w:sz w:val="32"/>
          <w:szCs w:val="32"/>
          <w14:textFill>
            <w14:solidFill>
              <w14:schemeClr w14:val="tx1"/>
            </w14:solidFill>
          </w14:textFill>
        </w:rPr>
        <w:t>期间广播电视安全播出零中断。</w:t>
      </w:r>
    </w:p>
    <w:p w14:paraId="684CF83F">
      <w:pPr>
        <w:keepNext w:val="0"/>
        <w:keepLines w:val="0"/>
        <w:pageBreakBefore w:val="0"/>
        <w:widowControl/>
        <w:shd w:val="clear" w:color="auto" w:fill="FFFFFF"/>
        <w:kinsoku/>
        <w:wordWrap/>
        <w:overflowPunct/>
        <w:topLinePunct w:val="0"/>
        <w:autoSpaceDE/>
        <w:autoSpaceDN/>
        <w:bidi w:val="0"/>
        <w:adjustRightInd/>
        <w:snapToGrid/>
        <w:spacing w:afterAutospacing="0" w:line="360" w:lineRule="auto"/>
        <w:ind w:firstLine="640" w:firstLineChars="200"/>
        <w:jc w:val="left"/>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一年来，广播电视节目信号播出、传输、接收设备在技术人员精心呵护下，数字电视、调频广播安全播出正常，做到了全年安全播出零事故、零失误。</w:t>
      </w:r>
    </w:p>
    <w:p w14:paraId="49E4AB1E">
      <w:pPr>
        <w:pStyle w:val="2"/>
        <w:keepNext w:val="0"/>
        <w:keepLines w:val="0"/>
        <w:pageBreakBefore w:val="0"/>
        <w:widowControl w:val="0"/>
        <w:numPr>
          <w:ilvl w:val="0"/>
          <w:numId w:val="0"/>
        </w:numPr>
        <w:kinsoku/>
        <w:wordWrap/>
        <w:overflowPunct/>
        <w:topLinePunct w:val="0"/>
        <w:autoSpaceDE/>
        <w:autoSpaceDN/>
        <w:bidi w:val="0"/>
        <w:adjustRightInd/>
        <w:snapToGrid/>
        <w:spacing w:after="0" w:afterAutospacing="0" w:line="360" w:lineRule="auto"/>
        <w:ind w:firstLine="643"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（五）积极争取上级专项资金，加快设备更新换代步伐，为安全优质播出奠定坚实基础。</w:t>
      </w:r>
      <w:r>
        <w:rPr>
          <w:rFonts w:hint="eastAsia" w:ascii="仿宋" w:hAnsi="仿宋" w:eastAsia="仿宋" w:cs="仿宋"/>
          <w:color w:val="000000" w:themeColor="text1"/>
          <w:sz w:val="32"/>
          <w:szCs w:val="32"/>
          <w14:textFill>
            <w14:solidFill>
              <w14:schemeClr w14:val="tx1"/>
            </w14:solidFill>
          </w14:textFill>
        </w:rPr>
        <w:t>台监测系统于2016年建设，至今已运行8年时间，已超系统正常的寿命周期，加上高山特殊的气候环境，目前设备均已老化，服务器死机频繁，设备故障频发，已无法保障对</w:t>
      </w:r>
      <w:r>
        <w:rPr>
          <w:rFonts w:hint="eastAsia" w:ascii="仿宋" w:hAnsi="仿宋" w:eastAsia="仿宋" w:cs="仿宋"/>
          <w:color w:val="000000" w:themeColor="text1"/>
          <w:sz w:val="32"/>
          <w:szCs w:val="32"/>
          <w:lang w:val="en-US" w:eastAsia="zh-CN"/>
          <w14:textFill>
            <w14:solidFill>
              <w14:schemeClr w14:val="tx1"/>
            </w14:solidFill>
          </w14:textFill>
        </w:rPr>
        <w:t>传输</w:t>
      </w:r>
      <w:r>
        <w:rPr>
          <w:rFonts w:hint="eastAsia" w:ascii="仿宋" w:hAnsi="仿宋" w:eastAsia="仿宋" w:cs="仿宋"/>
          <w:color w:val="000000" w:themeColor="text1"/>
          <w:sz w:val="32"/>
          <w:szCs w:val="32"/>
          <w14:textFill>
            <w14:solidFill>
              <w14:schemeClr w14:val="tx1"/>
            </w14:solidFill>
          </w14:textFill>
        </w:rPr>
        <w:t>信号、系统设备运行状态、电力和环境等进行正常的集中监测，严重影响到广播电视的安全播出。随着行业的发展趋势，信源IP化和设备IP化将是整个技术的主流方向，搭建起一个符合当前工作需要的全新IP化架构的信号传输与监测监管的安播保障体系</w:t>
      </w:r>
      <w:r>
        <w:rPr>
          <w:rFonts w:hint="eastAsia" w:ascii="仿宋" w:hAnsi="仿宋" w:eastAsia="仿宋" w:cs="仿宋"/>
          <w:color w:val="000000" w:themeColor="text1"/>
          <w:sz w:val="32"/>
          <w:szCs w:val="32"/>
          <w:lang w:val="en-US" w:eastAsia="zh-CN"/>
          <w14:textFill>
            <w14:solidFill>
              <w14:schemeClr w14:val="tx1"/>
            </w14:solidFill>
          </w14:textFill>
        </w:rPr>
        <w:t>迫在眉睫。为此，我台积极向市文旅广体局、市广播电视台、省广电局汇报，争取到了50万元数智台站建设改造专项资金，目前数智化台站建设基础部分IP化传输监测平台已改造完成。</w:t>
      </w:r>
    </w:p>
    <w:p w14:paraId="13E0242C">
      <w:pPr>
        <w:pStyle w:val="2"/>
        <w:keepNext w:val="0"/>
        <w:keepLines w:val="0"/>
        <w:pageBreakBefore w:val="0"/>
        <w:kinsoku/>
        <w:wordWrap/>
        <w:overflowPunct/>
        <w:topLinePunct w:val="0"/>
        <w:autoSpaceDE/>
        <w:autoSpaceDN/>
        <w:bidi w:val="0"/>
        <w:adjustRightInd/>
        <w:snapToGrid/>
        <w:spacing w:after="0" w:afterAutospacing="0" w:line="360" w:lineRule="auto"/>
        <w:ind w:firstLine="64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争取市财政40万基础设施改造专项资金，对发射基地基础设施进行维修维护，改造院落锌钢护栏130米，解除了原围墙面临倒塌隐患；播控机房吊顶、宿舍墙面防水等进行了全面更新处理；山脚下的水泵房电力设施、抽水设备进行技改，彻底解决了基地生活用水时有时无的困扰。</w:t>
      </w:r>
    </w:p>
    <w:p w14:paraId="0539026A">
      <w:pPr>
        <w:pStyle w:val="2"/>
        <w:keepNext w:val="0"/>
        <w:keepLines w:val="0"/>
        <w:pageBreakBefore w:val="0"/>
        <w:kinsoku/>
        <w:wordWrap/>
        <w:overflowPunct/>
        <w:topLinePunct w:val="0"/>
        <w:autoSpaceDE/>
        <w:autoSpaceDN/>
        <w:bidi w:val="0"/>
        <w:adjustRightInd/>
        <w:snapToGrid/>
        <w:spacing w:after="0" w:afterAutospacing="0" w:line="360" w:lineRule="auto"/>
        <w:ind w:firstLine="64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争取市财政30万元房屋加固工程专项资金</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对办公用房和发射基地二楼设备机房房屋安全隐患项目进行加固改造，彻底排除了建筑房屋安全隐患。</w:t>
      </w:r>
    </w:p>
    <w:p w14:paraId="7EF35AF0">
      <w:pPr>
        <w:keepNext w:val="0"/>
        <w:keepLines w:val="0"/>
        <w:pageBreakBefore w:val="0"/>
        <w:widowControl w:val="0"/>
        <w:kinsoku/>
        <w:wordWrap/>
        <w:overflowPunct/>
        <w:topLinePunct w:val="0"/>
        <w:autoSpaceDE/>
        <w:autoSpaceDN/>
        <w:bidi w:val="0"/>
        <w:adjustRightInd/>
        <w:snapToGrid/>
        <w:spacing w:afterAutospacing="0" w:line="360" w:lineRule="auto"/>
        <w:ind w:firstLine="64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目前发射基地面貌焕然一新，切实提升了广播电视基础设施作为公共文化设施的有效配置。</w:t>
      </w:r>
    </w:p>
    <w:p w14:paraId="037F74B0">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3" w:firstLineChars="200"/>
        <w:jc w:val="left"/>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b/>
          <w:bCs w:val="0"/>
          <w:color w:val="000000" w:themeColor="text1"/>
          <w:sz w:val="32"/>
          <w:szCs w:val="32"/>
          <w:lang w:val="en-US" w:eastAsia="zh-CN"/>
          <w14:textFill>
            <w14:solidFill>
              <w14:schemeClr w14:val="tx1"/>
            </w14:solidFill>
          </w14:textFill>
        </w:rPr>
        <w:t>（六）扎实做好</w:t>
      </w:r>
      <w:r>
        <w:rPr>
          <w:rFonts w:hint="eastAsia" w:ascii="仿宋" w:hAnsi="仿宋" w:eastAsia="仿宋" w:cs="仿宋"/>
          <w:b/>
          <w:bCs w:val="0"/>
          <w:color w:val="000000" w:themeColor="text1"/>
          <w:sz w:val="32"/>
          <w:szCs w:val="32"/>
          <w14:textFill>
            <w14:solidFill>
              <w14:schemeClr w14:val="tx1"/>
            </w14:solidFill>
          </w14:textFill>
        </w:rPr>
        <w:t>乡村振兴</w:t>
      </w:r>
      <w:r>
        <w:rPr>
          <w:rFonts w:hint="eastAsia" w:ascii="仿宋" w:hAnsi="仿宋" w:eastAsia="仿宋" w:cs="仿宋"/>
          <w:b/>
          <w:bCs w:val="0"/>
          <w:color w:val="000000" w:themeColor="text1"/>
          <w:sz w:val="32"/>
          <w:szCs w:val="32"/>
          <w:lang w:val="en-US" w:eastAsia="zh-CN"/>
          <w14:textFill>
            <w14:solidFill>
              <w14:schemeClr w14:val="tx1"/>
            </w14:solidFill>
          </w14:textFill>
        </w:rPr>
        <w:t>工作。</w:t>
      </w:r>
      <w:r>
        <w:rPr>
          <w:rFonts w:hint="eastAsia" w:ascii="仿宋" w:hAnsi="仿宋" w:eastAsia="仿宋" w:cs="仿宋"/>
          <w:color w:val="000000" w:themeColor="text1"/>
          <w:sz w:val="32"/>
          <w:szCs w:val="32"/>
          <w:lang w:val="en-US" w:eastAsia="zh-CN"/>
          <w14:textFill>
            <w14:solidFill>
              <w14:schemeClr w14:val="tx1"/>
            </w14:solidFill>
          </w14:textFill>
        </w:rPr>
        <w:t>2024年</w:t>
      </w:r>
      <w:r>
        <w:rPr>
          <w:rFonts w:hint="eastAsia" w:ascii="仿宋" w:hAnsi="仿宋" w:eastAsia="仿宋" w:cs="仿宋"/>
          <w:color w:val="000000" w:themeColor="text1"/>
          <w:sz w:val="32"/>
          <w:szCs w:val="32"/>
          <w14:textFill>
            <w14:solidFill>
              <w14:schemeClr w14:val="tx1"/>
            </w14:solidFill>
          </w14:textFill>
        </w:rPr>
        <w:t>我台派了一名工作队员</w:t>
      </w:r>
      <w:r>
        <w:rPr>
          <w:rFonts w:hint="eastAsia" w:ascii="仿宋" w:hAnsi="仿宋" w:eastAsia="仿宋" w:cs="仿宋"/>
          <w:color w:val="000000" w:themeColor="text1"/>
          <w:sz w:val="32"/>
          <w:szCs w:val="32"/>
          <w:lang w:val="en-US" w:eastAsia="zh-CN"/>
          <w14:textFill>
            <w14:solidFill>
              <w14:schemeClr w14:val="tx1"/>
            </w14:solidFill>
          </w14:textFill>
        </w:rPr>
        <w:t>驻村</w:t>
      </w:r>
      <w:r>
        <w:rPr>
          <w:rFonts w:hint="eastAsia" w:ascii="仿宋" w:hAnsi="仿宋" w:eastAsia="仿宋" w:cs="仿宋"/>
          <w:color w:val="000000" w:themeColor="text1"/>
          <w:sz w:val="32"/>
          <w:szCs w:val="32"/>
          <w14:textFill>
            <w14:solidFill>
              <w14:schemeClr w14:val="tx1"/>
            </w14:solidFill>
          </w14:textFill>
        </w:rPr>
        <w:t>到鹤城区黄金坳长潭村，进驻联系村后与其他工作队员一道，深入调查摸底，吃透村情民意，巩固脱贫攻坚成果，大力推动村级产业发展，助力乡村振兴。同时，台领导定期到联系点走访调研，与乡村振兴驻村队员、村委会干部进行座谈交流，详细询问村集体经济、群众生产生活、人居环境整治和基础设施建设等情况，要求单位驻村队员积极为村里乡村振兴想办法、出点子，因地制宜，用心用情搞好乡村振兴，提高村民满意度。</w:t>
      </w:r>
      <w:r>
        <w:rPr>
          <w:rFonts w:hint="eastAsia" w:ascii="仿宋" w:hAnsi="仿宋" w:eastAsia="仿宋" w:cs="仿宋"/>
          <w:color w:val="000000" w:themeColor="text1"/>
          <w:sz w:val="32"/>
          <w:szCs w:val="32"/>
          <w:lang w:val="en-US" w:eastAsia="zh-CN"/>
          <w14:textFill>
            <w14:solidFill>
              <w14:schemeClr w14:val="tx1"/>
            </w14:solidFill>
          </w14:textFill>
        </w:rPr>
        <w:t>驻村工作队</w:t>
      </w:r>
      <w:r>
        <w:rPr>
          <w:rFonts w:hint="eastAsia" w:ascii="仿宋" w:hAnsi="仿宋" w:eastAsia="仿宋" w:cs="仿宋"/>
          <w:color w:val="000000" w:themeColor="text1"/>
          <w:sz w:val="32"/>
          <w:szCs w:val="32"/>
          <w14:textFill>
            <w14:solidFill>
              <w14:schemeClr w14:val="tx1"/>
            </w14:solidFill>
          </w14:textFill>
        </w:rPr>
        <w:t>牢固树立</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发展为要、项目为王、实干为先</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理念，立足全局、统筹谋划、争取资金支持，并结合当地实际，积极主动向上</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跑项目争资金</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，围绕特色产业、基础民生、</w:t>
      </w:r>
      <w:r>
        <w:rPr>
          <w:rFonts w:hint="eastAsia" w:ascii="仿宋" w:hAnsi="仿宋" w:eastAsia="仿宋" w:cs="仿宋"/>
          <w:color w:val="000000" w:themeColor="text1"/>
          <w:sz w:val="32"/>
          <w:szCs w:val="32"/>
          <w:lang w:val="en-US" w:eastAsia="zh-CN"/>
          <w14:textFill>
            <w14:solidFill>
              <w14:schemeClr w14:val="tx1"/>
            </w14:solidFill>
          </w14:textFill>
        </w:rPr>
        <w:t>人居环境</w:t>
      </w:r>
      <w:r>
        <w:rPr>
          <w:rFonts w:hint="eastAsia" w:ascii="仿宋" w:hAnsi="仿宋" w:eastAsia="仿宋" w:cs="仿宋"/>
          <w:color w:val="000000" w:themeColor="text1"/>
          <w:sz w:val="32"/>
          <w:szCs w:val="32"/>
          <w14:textFill>
            <w14:solidFill>
              <w14:schemeClr w14:val="tx1"/>
            </w14:solidFill>
          </w14:textFill>
        </w:rPr>
        <w:t>等领域，积极申请财政衔接资金。</w:t>
      </w:r>
      <w:r>
        <w:rPr>
          <w:rFonts w:hint="eastAsia" w:ascii="仿宋" w:hAnsi="仿宋" w:eastAsia="仿宋" w:cs="仿宋"/>
          <w:color w:val="000000" w:themeColor="text1"/>
          <w:sz w:val="32"/>
          <w:szCs w:val="32"/>
          <w:lang w:val="en-US" w:eastAsia="zh-CN"/>
          <w14:textFill>
            <w14:solidFill>
              <w14:schemeClr w14:val="tx1"/>
            </w14:solidFill>
          </w14:textFill>
        </w:rPr>
        <w:t>2024年</w:t>
      </w:r>
      <w:r>
        <w:rPr>
          <w:rFonts w:hint="eastAsia" w:ascii="仿宋" w:hAnsi="仿宋" w:eastAsia="仿宋" w:cs="仿宋"/>
          <w:color w:val="000000" w:themeColor="text1"/>
          <w:sz w:val="32"/>
          <w:szCs w:val="32"/>
          <w14:textFill>
            <w14:solidFill>
              <w14:schemeClr w14:val="tx1"/>
            </w14:solidFill>
          </w14:textFill>
        </w:rPr>
        <w:t>争取</w:t>
      </w:r>
      <w:r>
        <w:rPr>
          <w:rFonts w:hint="eastAsia" w:ascii="仿宋" w:hAnsi="仿宋" w:eastAsia="仿宋" w:cs="仿宋"/>
          <w:i w:val="0"/>
          <w:caps w:val="0"/>
          <w:color w:val="000000" w:themeColor="text1"/>
          <w:spacing w:val="15"/>
          <w:sz w:val="32"/>
          <w:szCs w:val="32"/>
          <w14:textFill>
            <w14:solidFill>
              <w14:schemeClr w14:val="tx1"/>
            </w14:solidFill>
          </w14:textFill>
        </w:rPr>
        <w:t>村主干道提质改造工程项目</w:t>
      </w:r>
      <w:r>
        <w:rPr>
          <w:rFonts w:hint="eastAsia" w:ascii="仿宋" w:hAnsi="仿宋" w:eastAsia="仿宋" w:cs="仿宋"/>
          <w:i w:val="0"/>
          <w:caps w:val="0"/>
          <w:color w:val="000000" w:themeColor="text1"/>
          <w:spacing w:val="15"/>
          <w:sz w:val="32"/>
          <w:szCs w:val="32"/>
          <w:lang w:eastAsia="zh-CN"/>
          <w14:textFill>
            <w14:solidFill>
              <w14:schemeClr w14:val="tx1"/>
            </w14:solidFill>
          </w14:textFill>
        </w:rPr>
        <w:t>，</w:t>
      </w:r>
      <w:r>
        <w:rPr>
          <w:rFonts w:hint="eastAsia" w:ascii="仿宋" w:hAnsi="仿宋" w:eastAsia="仿宋" w:cs="仿宋"/>
          <w:i w:val="0"/>
          <w:caps w:val="0"/>
          <w:color w:val="000000" w:themeColor="text1"/>
          <w:spacing w:val="15"/>
          <w:sz w:val="32"/>
          <w:szCs w:val="32"/>
          <w14:textFill>
            <w14:solidFill>
              <w14:schemeClr w14:val="tx1"/>
            </w14:solidFill>
          </w14:textFill>
        </w:rPr>
        <w:t>该项目属以工代赈示范工程中央预算内投资项目，项目总投资</w:t>
      </w:r>
      <w:r>
        <w:rPr>
          <w:rFonts w:hint="eastAsia" w:ascii="仿宋" w:hAnsi="仿宋" w:eastAsia="仿宋" w:cs="仿宋"/>
          <w:i w:val="0"/>
          <w:caps w:val="0"/>
          <w:color w:val="000000" w:themeColor="text1"/>
          <w:spacing w:val="15"/>
          <w:sz w:val="32"/>
          <w:szCs w:val="32"/>
          <w:lang w:val="en-US" w:eastAsia="zh-CN"/>
          <w14:textFill>
            <w14:solidFill>
              <w14:schemeClr w14:val="tx1"/>
            </w14:solidFill>
          </w14:textFill>
        </w:rPr>
        <w:t>102</w:t>
      </w:r>
      <w:r>
        <w:rPr>
          <w:rFonts w:hint="eastAsia" w:ascii="仿宋" w:hAnsi="仿宋" w:eastAsia="仿宋" w:cs="仿宋"/>
          <w:i w:val="0"/>
          <w:caps w:val="0"/>
          <w:color w:val="000000" w:themeColor="text1"/>
          <w:spacing w:val="15"/>
          <w:sz w:val="32"/>
          <w:szCs w:val="32"/>
          <w14:textFill>
            <w14:solidFill>
              <w14:schemeClr w14:val="tx1"/>
            </w14:solidFill>
          </w14:textFill>
        </w:rPr>
        <w:t>万元，全长</w:t>
      </w:r>
      <w:r>
        <w:rPr>
          <w:rFonts w:hint="eastAsia" w:ascii="仿宋" w:hAnsi="仿宋" w:eastAsia="仿宋" w:cs="仿宋"/>
          <w:i w:val="0"/>
          <w:caps w:val="0"/>
          <w:color w:val="000000" w:themeColor="text1"/>
          <w:spacing w:val="15"/>
          <w:sz w:val="32"/>
          <w:szCs w:val="32"/>
          <w:lang w:val="en-US" w:eastAsia="zh-CN"/>
          <w14:textFill>
            <w14:solidFill>
              <w14:schemeClr w14:val="tx1"/>
            </w14:solidFill>
          </w14:textFill>
        </w:rPr>
        <w:t>300</w:t>
      </w:r>
      <w:r>
        <w:rPr>
          <w:rFonts w:hint="eastAsia" w:ascii="仿宋" w:hAnsi="仿宋" w:eastAsia="仿宋" w:cs="仿宋"/>
          <w:i w:val="0"/>
          <w:caps w:val="0"/>
          <w:color w:val="000000" w:themeColor="text1"/>
          <w:spacing w:val="15"/>
          <w:sz w:val="32"/>
          <w:szCs w:val="32"/>
          <w14:textFill>
            <w14:solidFill>
              <w14:schemeClr w14:val="tx1"/>
            </w14:solidFill>
          </w14:textFill>
        </w:rPr>
        <w:t>0米，采取村民自建方式进行建设和管理</w:t>
      </w:r>
      <w:r>
        <w:rPr>
          <w:rFonts w:hint="eastAsia" w:ascii="仿宋" w:hAnsi="仿宋" w:eastAsia="仿宋" w:cs="仿宋"/>
          <w:i w:val="0"/>
          <w:caps w:val="0"/>
          <w:color w:val="000000" w:themeColor="text1"/>
          <w:spacing w:val="15"/>
          <w:sz w:val="32"/>
          <w:szCs w:val="32"/>
          <w:lang w:eastAsia="zh-CN"/>
          <w14:textFill>
            <w14:solidFill>
              <w14:schemeClr w14:val="tx1"/>
            </w14:solidFill>
          </w14:textFill>
        </w:rPr>
        <w:t>，</w:t>
      </w:r>
      <w:r>
        <w:rPr>
          <w:rFonts w:hint="eastAsia" w:ascii="仿宋" w:hAnsi="仿宋" w:eastAsia="仿宋" w:cs="仿宋"/>
          <w:i w:val="0"/>
          <w:caps w:val="0"/>
          <w:color w:val="000000" w:themeColor="text1"/>
          <w:spacing w:val="15"/>
          <w:sz w:val="32"/>
          <w:szCs w:val="32"/>
          <w:lang w:val="en-US" w:eastAsia="zh-CN"/>
          <w14:textFill>
            <w14:solidFill>
              <w14:schemeClr w14:val="tx1"/>
            </w14:solidFill>
          </w14:textFill>
        </w:rPr>
        <w:t>预计</w:t>
      </w:r>
      <w:r>
        <w:rPr>
          <w:rFonts w:hint="eastAsia" w:ascii="仿宋" w:hAnsi="仿宋" w:eastAsia="仿宋" w:cs="仿宋"/>
          <w:i w:val="0"/>
          <w:caps w:val="0"/>
          <w:color w:val="000000" w:themeColor="text1"/>
          <w:spacing w:val="15"/>
          <w:sz w:val="32"/>
          <w:szCs w:val="32"/>
          <w14:textFill>
            <w14:solidFill>
              <w14:schemeClr w14:val="tx1"/>
            </w14:solidFill>
          </w14:textFill>
        </w:rPr>
        <w:t>发放</w:t>
      </w:r>
      <w:r>
        <w:rPr>
          <w:rFonts w:hint="eastAsia" w:ascii="仿宋" w:hAnsi="仿宋" w:eastAsia="仿宋" w:cs="仿宋"/>
          <w:i w:val="0"/>
          <w:caps w:val="0"/>
          <w:color w:val="000000" w:themeColor="text1"/>
          <w:spacing w:val="15"/>
          <w:sz w:val="32"/>
          <w:szCs w:val="32"/>
          <w:lang w:val="en-US" w:eastAsia="zh-CN"/>
          <w14:textFill>
            <w14:solidFill>
              <w14:schemeClr w14:val="tx1"/>
            </w14:solidFill>
          </w14:textFill>
        </w:rPr>
        <w:t>村民</w:t>
      </w:r>
      <w:r>
        <w:rPr>
          <w:rFonts w:hint="eastAsia" w:ascii="仿宋" w:hAnsi="仿宋" w:eastAsia="仿宋" w:cs="仿宋"/>
          <w:i w:val="0"/>
          <w:caps w:val="0"/>
          <w:color w:val="000000" w:themeColor="text1"/>
          <w:spacing w:val="15"/>
          <w:sz w:val="32"/>
          <w:szCs w:val="32"/>
          <w14:textFill>
            <w14:solidFill>
              <w14:schemeClr w14:val="tx1"/>
            </w14:solidFill>
          </w14:textFill>
        </w:rPr>
        <w:t>劳务报酬将达</w:t>
      </w:r>
      <w:r>
        <w:rPr>
          <w:rFonts w:hint="eastAsia" w:ascii="仿宋" w:hAnsi="仿宋" w:eastAsia="仿宋" w:cs="仿宋"/>
          <w:i w:val="0"/>
          <w:caps w:val="0"/>
          <w:color w:val="000000" w:themeColor="text1"/>
          <w:spacing w:val="15"/>
          <w:sz w:val="32"/>
          <w:szCs w:val="32"/>
          <w:lang w:val="en-US" w:eastAsia="zh-CN"/>
          <w14:textFill>
            <w14:solidFill>
              <w14:schemeClr w14:val="tx1"/>
            </w14:solidFill>
          </w14:textFill>
        </w:rPr>
        <w:t>27</w:t>
      </w:r>
      <w:r>
        <w:rPr>
          <w:rFonts w:hint="eastAsia" w:ascii="仿宋" w:hAnsi="仿宋" w:eastAsia="仿宋" w:cs="仿宋"/>
          <w:i w:val="0"/>
          <w:caps w:val="0"/>
          <w:color w:val="000000" w:themeColor="text1"/>
          <w:spacing w:val="15"/>
          <w:sz w:val="32"/>
          <w:szCs w:val="32"/>
          <w14:textFill>
            <w14:solidFill>
              <w14:schemeClr w14:val="tx1"/>
            </w14:solidFill>
          </w14:textFill>
        </w:rPr>
        <w:t>万元，实现村民家门口就业增收。</w:t>
      </w:r>
      <w:r>
        <w:rPr>
          <w:rFonts w:hint="eastAsia" w:ascii="仿宋" w:hAnsi="仿宋" w:eastAsia="仿宋" w:cs="仿宋"/>
          <w:i w:val="0"/>
          <w:caps w:val="0"/>
          <w:color w:val="000000" w:themeColor="text1"/>
          <w:spacing w:val="15"/>
          <w:sz w:val="32"/>
          <w:szCs w:val="32"/>
          <w:lang w:val="en-US" w:eastAsia="zh-CN"/>
          <w14:textFill>
            <w14:solidFill>
              <w14:schemeClr w14:val="tx1"/>
            </w14:solidFill>
          </w14:textFill>
        </w:rPr>
        <w:t>争取鹤城区一事一议大王组人居环境整治项目20万元，争取塘坳组道路改造资金12万元，山林防火道修建资金23万元，</w:t>
      </w:r>
      <w:r>
        <w:rPr>
          <w:rFonts w:hint="eastAsia" w:ascii="仿宋" w:hAnsi="仿宋" w:eastAsia="仿宋" w:cs="仿宋"/>
          <w:color w:val="000000" w:themeColor="text1"/>
          <w:sz w:val="32"/>
          <w:szCs w:val="32"/>
          <w14:textFill>
            <w14:solidFill>
              <w14:schemeClr w14:val="tx1"/>
            </w14:solidFill>
          </w14:textFill>
        </w:rPr>
        <w:t>积极推进</w:t>
      </w:r>
      <w:r>
        <w:rPr>
          <w:rFonts w:hint="eastAsia" w:ascii="仿宋" w:hAnsi="仿宋" w:eastAsia="仿宋" w:cs="仿宋"/>
          <w:color w:val="000000" w:themeColor="text1"/>
          <w:sz w:val="32"/>
          <w:szCs w:val="32"/>
          <w:lang w:eastAsia="zh-CN"/>
          <w14:textFill>
            <w14:solidFill>
              <w14:schemeClr w14:val="tx1"/>
            </w14:solidFill>
          </w14:textFill>
        </w:rPr>
        <w:t>了</w:t>
      </w:r>
      <w:r>
        <w:rPr>
          <w:rFonts w:hint="eastAsia" w:ascii="仿宋" w:hAnsi="仿宋" w:eastAsia="仿宋" w:cs="仿宋"/>
          <w:color w:val="000000" w:themeColor="text1"/>
          <w:sz w:val="32"/>
          <w:szCs w:val="32"/>
          <w14:textFill>
            <w14:solidFill>
              <w14:schemeClr w14:val="tx1"/>
            </w14:solidFill>
          </w14:textFill>
        </w:rPr>
        <w:t>2024年项目建设，为乡村振兴建设添动力</w:t>
      </w:r>
      <w:r>
        <w:rPr>
          <w:rFonts w:hint="eastAsia" w:ascii="仿宋" w:hAnsi="仿宋" w:eastAsia="仿宋" w:cs="仿宋"/>
          <w:color w:val="000000" w:themeColor="text1"/>
          <w:sz w:val="32"/>
          <w:szCs w:val="32"/>
          <w:lang w:eastAsia="zh-CN"/>
          <w14:textFill>
            <w14:solidFill>
              <w14:schemeClr w14:val="tx1"/>
            </w14:solidFill>
          </w14:textFill>
        </w:rPr>
        <w:t>。</w:t>
      </w:r>
    </w:p>
    <w:p w14:paraId="7CF423B3">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黑体" w:hAnsi="黑体" w:eastAsia="黑体" w:cs="黑体"/>
          <w:b/>
          <w:bCs/>
          <w:i w:val="0"/>
          <w:iCs w:val="0"/>
          <w:caps w:val="0"/>
          <w:color w:val="000000"/>
          <w:spacing w:val="0"/>
          <w:sz w:val="32"/>
          <w:szCs w:val="32"/>
          <w:shd w:val="clear" w:fill="FFFFFF"/>
        </w:rPr>
      </w:pPr>
      <w:r>
        <w:rPr>
          <w:rFonts w:hint="eastAsia" w:ascii="黑体" w:hAnsi="黑体" w:eastAsia="黑体" w:cs="黑体"/>
          <w:b/>
          <w:bCs/>
          <w:i w:val="0"/>
          <w:iCs w:val="0"/>
          <w:caps w:val="0"/>
          <w:color w:val="000000"/>
          <w:spacing w:val="0"/>
          <w:sz w:val="32"/>
          <w:szCs w:val="32"/>
          <w:shd w:val="clear" w:fill="FFFFFF"/>
          <w:lang w:val="en-US" w:eastAsia="zh-CN"/>
        </w:rPr>
        <w:t>九、</w:t>
      </w:r>
      <w:r>
        <w:rPr>
          <w:rFonts w:hint="eastAsia" w:ascii="黑体" w:hAnsi="黑体" w:eastAsia="黑体" w:cs="黑体"/>
          <w:b/>
          <w:bCs/>
          <w:i w:val="0"/>
          <w:iCs w:val="0"/>
          <w:caps w:val="0"/>
          <w:color w:val="000000"/>
          <w:spacing w:val="0"/>
          <w:sz w:val="32"/>
          <w:szCs w:val="32"/>
          <w:shd w:val="clear" w:fill="FFFFFF"/>
        </w:rPr>
        <w:t>存在的问题及原因分析</w:t>
      </w:r>
    </w:p>
    <w:p w14:paraId="3C1DCD4D">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sz w:val="32"/>
          <w:szCs w:val="32"/>
          <w:lang w:val="en-US" w:eastAsia="zh-CN"/>
        </w:rPr>
        <w:t>质量指标中发射机及附属设备年度完成值为98%，原因分析在于资金总量不足，基础设施维修维护资金缺口较大，附属设备维修困难。</w:t>
      </w:r>
    </w:p>
    <w:p w14:paraId="593D0CBC">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黑体" w:hAnsi="黑体" w:eastAsia="黑体" w:cs="黑体"/>
          <w:b/>
          <w:bCs/>
          <w:i w:val="0"/>
          <w:iCs w:val="0"/>
          <w:caps w:val="0"/>
          <w:color w:val="000000"/>
          <w:spacing w:val="0"/>
          <w:sz w:val="32"/>
          <w:szCs w:val="32"/>
          <w:shd w:val="clear" w:fill="FFFFFF"/>
        </w:rPr>
      </w:pPr>
      <w:r>
        <w:rPr>
          <w:rFonts w:hint="eastAsia" w:ascii="黑体" w:hAnsi="黑体" w:eastAsia="黑体" w:cs="黑体"/>
          <w:b/>
          <w:bCs/>
          <w:i w:val="0"/>
          <w:iCs w:val="0"/>
          <w:caps w:val="0"/>
          <w:color w:val="000000"/>
          <w:spacing w:val="0"/>
          <w:sz w:val="32"/>
          <w:szCs w:val="32"/>
          <w:shd w:val="clear" w:fill="FFFFFF"/>
          <w:lang w:eastAsia="zh-CN"/>
        </w:rPr>
        <w:t>十、</w:t>
      </w:r>
      <w:r>
        <w:rPr>
          <w:rFonts w:hint="eastAsia" w:ascii="黑体" w:hAnsi="黑体" w:eastAsia="黑体" w:cs="黑体"/>
          <w:b/>
          <w:bCs/>
          <w:i w:val="0"/>
          <w:iCs w:val="0"/>
          <w:caps w:val="0"/>
          <w:color w:val="000000"/>
          <w:spacing w:val="0"/>
          <w:sz w:val="32"/>
          <w:szCs w:val="32"/>
          <w:shd w:val="clear" w:fill="FFFFFF"/>
        </w:rPr>
        <w:t>下一步改进措施</w:t>
      </w:r>
    </w:p>
    <w:p w14:paraId="77691F88">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针对基础设施维修维护资金缺口较大的问题，改进措施是在合理利用现有资金的基础上，积极争取项目资金，强化资金管理，进一步完善台区基础设施及附属设备的维修维护工作，提升广播电视传输服务能力，保障安全播出任务。</w:t>
      </w:r>
    </w:p>
    <w:p w14:paraId="12145ACB">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黑体" w:hAnsi="黑体" w:eastAsia="黑体" w:cs="黑体"/>
          <w:b/>
          <w:bCs/>
          <w:i w:val="0"/>
          <w:iCs w:val="0"/>
          <w:caps w:val="0"/>
          <w:color w:val="000000"/>
          <w:spacing w:val="0"/>
          <w:sz w:val="32"/>
          <w:szCs w:val="32"/>
          <w:shd w:val="clear" w:fill="FFFFFF"/>
          <w:lang w:eastAsia="zh-CN"/>
        </w:rPr>
      </w:pPr>
      <w:r>
        <w:rPr>
          <w:rFonts w:hint="eastAsia" w:ascii="黑体" w:hAnsi="黑体" w:eastAsia="黑体" w:cs="黑体"/>
          <w:b/>
          <w:bCs/>
          <w:i w:val="0"/>
          <w:iCs w:val="0"/>
          <w:caps w:val="0"/>
          <w:color w:val="000000"/>
          <w:spacing w:val="0"/>
          <w:sz w:val="32"/>
          <w:szCs w:val="32"/>
          <w:shd w:val="clear" w:fill="FFFFFF"/>
          <w:lang w:eastAsia="zh-CN"/>
        </w:rPr>
        <w:t>十一、绩效自评结果拟应用和公开情况</w:t>
      </w:r>
    </w:p>
    <w:p w14:paraId="134F32FD">
      <w:pPr>
        <w:widowControl w:val="0"/>
        <w:kinsoku/>
        <w:autoSpaceDE/>
        <w:autoSpaceDN/>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2024年度我单位整体支出</w:t>
      </w:r>
      <w:r>
        <w:rPr>
          <w:rFonts w:hint="eastAsia" w:ascii="仿宋" w:hAnsi="仿宋" w:eastAsia="仿宋" w:cs="仿宋"/>
          <w:sz w:val="32"/>
          <w:szCs w:val="32"/>
          <w:lang w:eastAsia="zh-CN"/>
        </w:rPr>
        <w:t>达到预期绩效目标。</w:t>
      </w:r>
    </w:p>
    <w:p w14:paraId="754068E7">
      <w:pPr>
        <w:widowControl w:val="0"/>
        <w:kinsoku/>
        <w:autoSpaceDE/>
        <w:autoSpaceDN/>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sz w:val="32"/>
          <w:szCs w:val="32"/>
          <w:lang w:eastAsia="zh-CN"/>
        </w:rPr>
        <w:t>建议：</w:t>
      </w:r>
      <w:r>
        <w:rPr>
          <w:rFonts w:hint="eastAsia" w:ascii="仿宋" w:hAnsi="仿宋" w:eastAsia="仿宋" w:cs="仿宋"/>
          <w:bCs/>
          <w:sz w:val="32"/>
          <w:szCs w:val="32"/>
          <w:lang w:eastAsia="zh-CN"/>
        </w:rPr>
        <w:t>绩效自评结果作为我单位改进管理，安排以后年度预算的重要参考依据，把绩效自评结果依法予以公开。</w:t>
      </w:r>
    </w:p>
    <w:p w14:paraId="528B2221">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黑体" w:hAnsi="黑体" w:eastAsia="黑体" w:cs="黑体"/>
          <w:i w:val="0"/>
          <w:iCs w:val="0"/>
          <w:caps w:val="0"/>
          <w:color w:val="000000"/>
          <w:spacing w:val="0"/>
          <w:sz w:val="32"/>
          <w:szCs w:val="32"/>
          <w:shd w:val="clear" w:fill="FFFFFF"/>
          <w:lang w:eastAsia="zh-CN"/>
        </w:rPr>
      </w:pPr>
      <w:r>
        <w:rPr>
          <w:rFonts w:hint="eastAsia" w:ascii="黑体" w:hAnsi="黑体" w:eastAsia="黑体" w:cs="黑体"/>
          <w:b/>
          <w:bCs/>
          <w:i w:val="0"/>
          <w:iCs w:val="0"/>
          <w:caps w:val="0"/>
          <w:color w:val="000000"/>
          <w:spacing w:val="0"/>
          <w:sz w:val="32"/>
          <w:szCs w:val="32"/>
          <w:shd w:val="clear" w:fill="FFFFFF"/>
          <w:lang w:eastAsia="zh-CN"/>
        </w:rPr>
        <w:t>十二、</w:t>
      </w:r>
      <w:r>
        <w:rPr>
          <w:rFonts w:hint="eastAsia" w:ascii="黑体" w:hAnsi="黑体" w:eastAsia="黑体" w:cs="黑体"/>
          <w:b/>
          <w:bCs/>
          <w:i w:val="0"/>
          <w:iCs w:val="0"/>
          <w:caps w:val="0"/>
          <w:color w:val="000000"/>
          <w:spacing w:val="0"/>
          <w:sz w:val="32"/>
          <w:szCs w:val="32"/>
          <w:shd w:val="clear" w:fill="FFFFFF"/>
        </w:rPr>
        <w:t>其他需要说明的情况</w:t>
      </w:r>
      <w:r>
        <w:rPr>
          <w:rFonts w:hint="eastAsia" w:ascii="黑体" w:hAnsi="黑体" w:eastAsia="黑体" w:cs="黑体"/>
          <w:b/>
          <w:bCs/>
          <w:i w:val="0"/>
          <w:iCs w:val="0"/>
          <w:caps w:val="0"/>
          <w:color w:val="000000"/>
          <w:spacing w:val="0"/>
          <w:sz w:val="32"/>
          <w:szCs w:val="32"/>
          <w:shd w:val="clear" w:fill="FFFFFF"/>
          <w:lang w:eastAsia="zh-CN"/>
        </w:rPr>
        <w:t>：</w:t>
      </w:r>
    </w:p>
    <w:p w14:paraId="2844629C">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960" w:firstLineChars="300"/>
        <w:textAlignment w:val="auto"/>
        <w:rPr>
          <w:rFonts w:hint="eastAsia" w:ascii="宋体" w:hAnsi="宋体" w:eastAsia="宋体" w:cs="宋体"/>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32"/>
          <w:szCs w:val="32"/>
          <w:lang w:val="en-US" w:eastAsia="zh-CN"/>
        </w:rPr>
        <w:t>无。</w:t>
      </w:r>
    </w:p>
    <w:p w14:paraId="2E30114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 xml:space="preserve">   </w:t>
      </w:r>
    </w:p>
    <w:p w14:paraId="7303134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宋体" w:hAnsi="宋体" w:eastAsia="宋体" w:cs="宋体"/>
          <w:i w:val="0"/>
          <w:iCs w:val="0"/>
          <w:caps w:val="0"/>
          <w:color w:val="000000"/>
          <w:spacing w:val="0"/>
          <w:sz w:val="28"/>
          <w:szCs w:val="28"/>
          <w:lang w:val="en-US" w:eastAsia="zh-CN"/>
        </w:rPr>
      </w:pPr>
    </w:p>
    <w:p w14:paraId="587AE1D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000000"/>
          <w:spacing w:val="0"/>
          <w:sz w:val="28"/>
          <w:szCs w:val="28"/>
          <w:lang w:val="en-US" w:eastAsia="zh-CN"/>
        </w:rPr>
      </w:pPr>
    </w:p>
    <w:p w14:paraId="255F1AB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Theme="minorEastAsia" w:hAnsiTheme="minorEastAsia" w:eastAsiaTheme="minorEastAsia" w:cstheme="minorEastAsia"/>
          <w:sz w:val="28"/>
          <w:szCs w:val="28"/>
          <w:lang w:val="en-US" w:eastAsia="zh-CN"/>
        </w:rPr>
      </w:pPr>
      <w:r>
        <w:rPr>
          <w:rFonts w:hint="eastAsia" w:ascii="宋体" w:hAnsi="宋体" w:eastAsia="宋体" w:cs="宋体"/>
          <w:i w:val="0"/>
          <w:iCs w:val="0"/>
          <w:caps w:val="0"/>
          <w:color w:val="000000"/>
          <w:spacing w:val="0"/>
          <w:sz w:val="28"/>
          <w:szCs w:val="28"/>
          <w:lang w:val="en-US" w:eastAsia="zh-CN"/>
        </w:rPr>
        <w:t xml:space="preserve">                             </w:t>
      </w:r>
      <w:r>
        <w:rPr>
          <w:rFonts w:hint="eastAsia" w:asciiTheme="minorEastAsia" w:hAnsiTheme="minorEastAsia" w:eastAsiaTheme="minorEastAsia" w:cstheme="minorEastAsia"/>
          <w:i w:val="0"/>
          <w:iCs w:val="0"/>
          <w:caps w:val="0"/>
          <w:color w:val="000000"/>
          <w:spacing w:val="0"/>
          <w:sz w:val="28"/>
          <w:szCs w:val="28"/>
          <w:lang w:val="en-US" w:eastAsia="zh-CN"/>
        </w:rPr>
        <w:t xml:space="preserve"> </w:t>
      </w:r>
      <w:r>
        <w:rPr>
          <w:rFonts w:hint="eastAsia" w:asciiTheme="minorEastAsia" w:hAnsiTheme="minorEastAsia" w:eastAsiaTheme="minorEastAsia" w:cstheme="minorEastAsia"/>
          <w:sz w:val="28"/>
          <w:szCs w:val="28"/>
          <w:lang w:val="en-US" w:eastAsia="zh-CN"/>
        </w:rPr>
        <w:t>怀化市大中坡电视转播台</w:t>
      </w:r>
    </w:p>
    <w:p w14:paraId="22F699B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lang w:val="en-US" w:eastAsia="zh-CN"/>
        </w:rPr>
        <w:t>年</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lang w:val="en-US" w:eastAsia="zh-CN"/>
        </w:rPr>
        <w:t>月2</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lang w:val="en-US" w:eastAsia="zh-CN"/>
        </w:rPr>
        <w:t>日</w:t>
      </w:r>
    </w:p>
    <w:p w14:paraId="6E88004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000000"/>
          <w:spacing w:val="0"/>
          <w:sz w:val="28"/>
          <w:szCs w:val="28"/>
        </w:rPr>
      </w:pPr>
    </w:p>
    <w:p w14:paraId="2055913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000000"/>
          <w:spacing w:val="0"/>
          <w:sz w:val="28"/>
          <w:szCs w:val="28"/>
        </w:rPr>
      </w:pPr>
    </w:p>
    <w:p w14:paraId="39D77A2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000000"/>
          <w:spacing w:val="0"/>
          <w:sz w:val="28"/>
          <w:szCs w:val="28"/>
        </w:rPr>
      </w:pPr>
    </w:p>
    <w:p w14:paraId="57B34D0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r>
        <w:rPr>
          <w:rFonts w:hint="eastAsia" w:ascii="仿宋" w:hAnsi="仿宋" w:eastAsia="仿宋" w:cs="仿宋"/>
          <w:i w:val="0"/>
          <w:iCs w:val="0"/>
          <w:caps w:val="0"/>
          <w:color w:val="000000"/>
          <w:spacing w:val="0"/>
          <w:sz w:val="32"/>
          <w:szCs w:val="32"/>
          <w:lang w:eastAsia="zh-CN"/>
        </w:rPr>
        <w:t>整体支出报告需要以下附件：</w:t>
      </w:r>
    </w:p>
    <w:p w14:paraId="0C4D77C1">
      <w:pPr>
        <w:pStyle w:val="9"/>
        <w:keepNext w:val="0"/>
        <w:keepLines w:val="0"/>
        <w:pageBreakBefore w:val="0"/>
        <w:shd w:val="clear" w:color="auto" w:fill="FFFFFF"/>
        <w:kinsoku/>
        <w:wordWrap/>
        <w:overflowPunct/>
        <w:topLinePunct w:val="0"/>
        <w:autoSpaceDE/>
        <w:autoSpaceDN/>
        <w:bidi w:val="0"/>
        <w:adjustRightInd/>
        <w:spacing w:before="0" w:beforeAutospacing="0" w:after="0" w:afterAutospacing="0" w:line="580" w:lineRule="exact"/>
        <w:jc w:val="both"/>
        <w:textAlignment w:val="auto"/>
        <w:rPr>
          <w:rFonts w:hint="eastAsia" w:ascii="仿宋" w:hAnsi="仿宋" w:eastAsia="仿宋" w:cs="仿宋"/>
          <w:b w:val="0"/>
          <w:bCs w:val="0"/>
          <w:color w:val="000000" w:themeColor="text1"/>
          <w:spacing w:val="11"/>
          <w:sz w:val="32"/>
          <w:szCs w:val="32"/>
          <w14:textFill>
            <w14:solidFill>
              <w14:schemeClr w14:val="tx1"/>
            </w14:solidFill>
          </w14:textFill>
        </w:rPr>
      </w:pPr>
      <w:r>
        <w:rPr>
          <w:rFonts w:hint="eastAsia" w:ascii="仿宋" w:hAnsi="仿宋" w:eastAsia="仿宋" w:cs="仿宋"/>
          <w:b w:val="0"/>
          <w:bCs w:val="0"/>
          <w:color w:val="000000" w:themeColor="text1"/>
          <w:spacing w:val="11"/>
          <w:sz w:val="32"/>
          <w:szCs w:val="32"/>
          <w14:textFill>
            <w14:solidFill>
              <w14:schemeClr w14:val="tx1"/>
            </w14:solidFill>
          </w14:textFill>
        </w:rPr>
        <w:t>附件：1</w:t>
      </w:r>
      <w:r>
        <w:rPr>
          <w:rFonts w:hint="eastAsia" w:ascii="仿宋" w:hAnsi="仿宋" w:eastAsia="仿宋" w:cs="仿宋"/>
          <w:b w:val="0"/>
          <w:bCs w:val="0"/>
          <w:color w:val="000000" w:themeColor="text1"/>
          <w:spacing w:val="11"/>
          <w:sz w:val="32"/>
          <w:szCs w:val="32"/>
          <w:lang w:val="en-US" w:eastAsia="zh-CN"/>
          <w14:textFill>
            <w14:solidFill>
              <w14:schemeClr w14:val="tx1"/>
            </w14:solidFill>
          </w14:textFill>
        </w:rPr>
        <w:t>.</w:t>
      </w:r>
      <w:r>
        <w:rPr>
          <w:rFonts w:hint="eastAsia" w:ascii="仿宋" w:hAnsi="仿宋" w:eastAsia="仿宋" w:cs="仿宋"/>
          <w:b w:val="0"/>
          <w:bCs w:val="0"/>
          <w:color w:val="000000" w:themeColor="text1"/>
          <w:spacing w:val="11"/>
          <w:sz w:val="32"/>
          <w:szCs w:val="32"/>
          <w14:textFill>
            <w14:solidFill>
              <w14:schemeClr w14:val="tx1"/>
            </w14:solidFill>
          </w14:textFill>
        </w:rPr>
        <w:t>部门整体支出绩效评价基础数据表</w:t>
      </w:r>
    </w:p>
    <w:p w14:paraId="5EEB23BA">
      <w:pPr>
        <w:pStyle w:val="9"/>
        <w:keepNext w:val="0"/>
        <w:keepLines w:val="0"/>
        <w:pageBreakBefore w:val="0"/>
        <w:numPr>
          <w:ilvl w:val="0"/>
          <w:numId w:val="0"/>
        </w:numPr>
        <w:shd w:val="clear" w:color="auto" w:fill="FFFFFF"/>
        <w:kinsoku/>
        <w:wordWrap/>
        <w:overflowPunct/>
        <w:topLinePunct w:val="0"/>
        <w:autoSpaceDE/>
        <w:autoSpaceDN/>
        <w:bidi w:val="0"/>
        <w:adjustRightInd/>
        <w:spacing w:before="0" w:beforeAutospacing="0" w:after="0" w:afterAutospacing="0" w:line="580" w:lineRule="exact"/>
        <w:ind w:leftChars="500" w:right="0" w:rightChars="0"/>
        <w:jc w:val="both"/>
        <w:textAlignment w:val="auto"/>
        <w:rPr>
          <w:rFonts w:hint="eastAsia" w:ascii="仿宋" w:hAnsi="仿宋" w:eastAsia="仿宋" w:cs="仿宋"/>
          <w:b w:val="0"/>
          <w:bCs w:val="0"/>
          <w:color w:val="000000" w:themeColor="text1"/>
          <w:spacing w:val="11"/>
          <w:sz w:val="32"/>
          <w:szCs w:val="32"/>
          <w14:textFill>
            <w14:solidFill>
              <w14:schemeClr w14:val="tx1"/>
            </w14:solidFill>
          </w14:textFill>
        </w:rPr>
      </w:pPr>
      <w:r>
        <w:rPr>
          <w:rFonts w:hint="eastAsia" w:ascii="仿宋" w:hAnsi="仿宋" w:eastAsia="仿宋" w:cs="仿宋"/>
          <w:b w:val="0"/>
          <w:bCs w:val="0"/>
          <w:color w:val="000000" w:themeColor="text1"/>
          <w:spacing w:val="11"/>
          <w:sz w:val="32"/>
          <w:szCs w:val="32"/>
          <w:lang w:val="en-US" w:eastAsia="zh-CN"/>
          <w14:textFill>
            <w14:solidFill>
              <w14:schemeClr w14:val="tx1"/>
            </w14:solidFill>
          </w14:textFill>
        </w:rPr>
        <w:t>2.</w:t>
      </w:r>
      <w:r>
        <w:rPr>
          <w:rFonts w:hint="eastAsia" w:ascii="仿宋" w:hAnsi="仿宋" w:eastAsia="仿宋" w:cs="仿宋"/>
          <w:b w:val="0"/>
          <w:bCs w:val="0"/>
          <w:color w:val="000000" w:themeColor="text1"/>
          <w:spacing w:val="11"/>
          <w:sz w:val="32"/>
          <w:szCs w:val="32"/>
          <w14:textFill>
            <w14:solidFill>
              <w14:schemeClr w14:val="tx1"/>
            </w14:solidFill>
          </w14:textFill>
        </w:rPr>
        <w:t>部门整体支出绩效自评表</w:t>
      </w:r>
    </w:p>
    <w:p w14:paraId="6F0E2CE7">
      <w:pPr>
        <w:pStyle w:val="9"/>
        <w:keepNext w:val="0"/>
        <w:keepLines w:val="0"/>
        <w:pageBreakBefore w:val="0"/>
        <w:numPr>
          <w:ilvl w:val="0"/>
          <w:numId w:val="0"/>
        </w:numPr>
        <w:shd w:val="clear" w:color="auto" w:fill="FFFFFF"/>
        <w:kinsoku/>
        <w:wordWrap/>
        <w:overflowPunct/>
        <w:topLinePunct w:val="0"/>
        <w:autoSpaceDE/>
        <w:autoSpaceDN/>
        <w:bidi w:val="0"/>
        <w:adjustRightInd/>
        <w:spacing w:before="0" w:beforeAutospacing="0" w:after="0" w:afterAutospacing="0" w:line="580" w:lineRule="exact"/>
        <w:ind w:leftChars="500" w:right="0" w:rightChars="0"/>
        <w:jc w:val="both"/>
        <w:textAlignment w:val="auto"/>
        <w:rPr>
          <w:rFonts w:hint="eastAsia" w:ascii="仿宋" w:hAnsi="仿宋" w:eastAsia="仿宋" w:cs="仿宋"/>
          <w:b w:val="0"/>
          <w:bCs w:val="0"/>
          <w:color w:val="000000" w:themeColor="text1"/>
          <w:spacing w:val="11"/>
          <w:sz w:val="32"/>
          <w:szCs w:val="32"/>
          <w14:textFill>
            <w14:solidFill>
              <w14:schemeClr w14:val="tx1"/>
            </w14:solidFill>
          </w14:textFill>
        </w:rPr>
      </w:pPr>
      <w:r>
        <w:rPr>
          <w:rFonts w:hint="eastAsia" w:ascii="仿宋" w:hAnsi="仿宋" w:eastAsia="仿宋" w:cs="仿宋"/>
          <w:b w:val="0"/>
          <w:bCs w:val="0"/>
          <w:color w:val="000000" w:themeColor="text1"/>
          <w:spacing w:val="11"/>
          <w:sz w:val="32"/>
          <w:szCs w:val="32"/>
          <w:lang w:val="en-US" w:eastAsia="zh-CN"/>
          <w14:textFill>
            <w14:solidFill>
              <w14:schemeClr w14:val="tx1"/>
            </w14:solidFill>
          </w14:textFill>
        </w:rPr>
        <w:t>3.</w:t>
      </w:r>
      <w:r>
        <w:rPr>
          <w:rFonts w:hint="eastAsia" w:ascii="仿宋" w:hAnsi="仿宋" w:eastAsia="仿宋" w:cs="仿宋"/>
          <w:b w:val="0"/>
          <w:bCs w:val="0"/>
          <w:color w:val="000000" w:themeColor="text1"/>
          <w:spacing w:val="11"/>
          <w:sz w:val="32"/>
          <w:szCs w:val="32"/>
          <w:lang w:eastAsia="zh-CN"/>
          <w14:textFill>
            <w14:solidFill>
              <w14:schemeClr w14:val="tx1"/>
            </w14:solidFill>
          </w14:textFill>
        </w:rPr>
        <w:t>项目支出绩效自评表（每个一级项目支出一张表）</w:t>
      </w:r>
    </w:p>
    <w:p w14:paraId="2B8092B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 xml:space="preserve">      如有政府性基金预算、</w:t>
      </w:r>
      <w:r>
        <w:rPr>
          <w:rFonts w:hint="eastAsia" w:ascii="仿宋" w:hAnsi="仿宋" w:eastAsia="仿宋" w:cs="仿宋"/>
          <w:b w:val="0"/>
          <w:bCs w:val="0"/>
          <w:i w:val="0"/>
          <w:iCs w:val="0"/>
          <w:caps w:val="0"/>
          <w:color w:val="000000" w:themeColor="text1"/>
          <w:spacing w:val="11"/>
          <w:sz w:val="32"/>
          <w:szCs w:val="32"/>
          <w:shd w:val="clear" w:fill="FFFFFF"/>
          <w14:textFill>
            <w14:solidFill>
              <w14:schemeClr w14:val="tx1"/>
            </w14:solidFill>
          </w14:textFill>
        </w:rPr>
        <w:t>国有资本经营预算</w:t>
      </w:r>
      <w:r>
        <w:rPr>
          <w:rFonts w:hint="eastAsia" w:ascii="仿宋" w:hAnsi="仿宋" w:eastAsia="仿宋" w:cs="仿宋"/>
          <w:b w:val="0"/>
          <w:bCs w:val="0"/>
          <w:i w:val="0"/>
          <w:iCs w:val="0"/>
          <w:caps w:val="0"/>
          <w:color w:val="000000" w:themeColor="text1"/>
          <w:spacing w:val="11"/>
          <w:sz w:val="32"/>
          <w:szCs w:val="32"/>
          <w:shd w:val="clear" w:fill="FFFFFF"/>
          <w:lang w:eastAsia="zh-CN"/>
          <w14:textFill>
            <w14:solidFill>
              <w14:schemeClr w14:val="tx1"/>
            </w14:solidFill>
          </w14:textFill>
        </w:rPr>
        <w:t>和社会保险基金预算支出，还需对应提供以下附件：</w:t>
      </w:r>
    </w:p>
    <w:p w14:paraId="5CB4A1BB">
      <w:pPr>
        <w:ind w:firstLine="960" w:firstLineChars="300"/>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4.政府性基金预算支出情况表</w:t>
      </w:r>
    </w:p>
    <w:p w14:paraId="42EF0D66">
      <w:pPr>
        <w:ind w:firstLine="960" w:firstLineChars="300"/>
        <w:rPr>
          <w:rFonts w:hint="eastAsia" w:ascii="仿宋" w:hAnsi="仿宋" w:eastAsia="仿宋" w:cs="仿宋"/>
          <w:b w:val="0"/>
          <w:bCs w:val="0"/>
          <w:i w:val="0"/>
          <w:iCs w:val="0"/>
          <w:caps w:val="0"/>
          <w:color w:val="000000" w:themeColor="text1"/>
          <w:spacing w:val="11"/>
          <w:sz w:val="32"/>
          <w:szCs w:val="32"/>
          <w:shd w:val="clear" w:fill="FFFFFF"/>
          <w:lang w:eastAsia="zh-CN"/>
          <w14:textFill>
            <w14:solidFill>
              <w14:schemeClr w14:val="tx1"/>
            </w14:solidFill>
          </w14:textFill>
        </w:rPr>
      </w:pPr>
      <w:r>
        <w:rPr>
          <w:rFonts w:hint="eastAsia" w:ascii="仿宋" w:hAnsi="仿宋" w:eastAsia="仿宋" w:cs="仿宋"/>
          <w:i w:val="0"/>
          <w:iCs w:val="0"/>
          <w:caps w:val="0"/>
          <w:color w:val="000000"/>
          <w:spacing w:val="0"/>
          <w:sz w:val="32"/>
          <w:szCs w:val="32"/>
          <w:shd w:val="clear" w:fill="FFFFFF"/>
          <w:lang w:val="en-US" w:eastAsia="zh-CN"/>
        </w:rPr>
        <w:t>5.</w:t>
      </w:r>
      <w:r>
        <w:rPr>
          <w:rFonts w:hint="eastAsia" w:ascii="仿宋" w:hAnsi="仿宋" w:eastAsia="仿宋" w:cs="仿宋"/>
          <w:b w:val="0"/>
          <w:bCs w:val="0"/>
          <w:i w:val="0"/>
          <w:iCs w:val="0"/>
          <w:caps w:val="0"/>
          <w:color w:val="000000" w:themeColor="text1"/>
          <w:spacing w:val="11"/>
          <w:sz w:val="32"/>
          <w:szCs w:val="32"/>
          <w:shd w:val="clear" w:fill="FFFFFF"/>
          <w14:textFill>
            <w14:solidFill>
              <w14:schemeClr w14:val="tx1"/>
            </w14:solidFill>
          </w14:textFill>
        </w:rPr>
        <w:t>国有资本经营预算</w:t>
      </w:r>
      <w:r>
        <w:rPr>
          <w:rFonts w:hint="eastAsia" w:ascii="仿宋" w:hAnsi="仿宋" w:eastAsia="仿宋" w:cs="仿宋"/>
          <w:b w:val="0"/>
          <w:bCs w:val="0"/>
          <w:i w:val="0"/>
          <w:iCs w:val="0"/>
          <w:caps w:val="0"/>
          <w:color w:val="000000" w:themeColor="text1"/>
          <w:spacing w:val="11"/>
          <w:sz w:val="32"/>
          <w:szCs w:val="32"/>
          <w:shd w:val="clear" w:fill="FFFFFF"/>
          <w:lang w:eastAsia="zh-CN"/>
          <w14:textFill>
            <w14:solidFill>
              <w14:schemeClr w14:val="tx1"/>
            </w14:solidFill>
          </w14:textFill>
        </w:rPr>
        <w:t>支出情况表</w:t>
      </w:r>
    </w:p>
    <w:p w14:paraId="0FB30156">
      <w:pPr>
        <w:ind w:firstLine="1026" w:firstLineChars="300"/>
        <w:rPr>
          <w:rFonts w:hint="eastAsia" w:ascii="仿宋" w:hAnsi="仿宋" w:eastAsia="仿宋" w:cs="仿宋"/>
          <w:b w:val="0"/>
          <w:bCs w:val="0"/>
          <w:i w:val="0"/>
          <w:iCs w:val="0"/>
          <w:caps w:val="0"/>
          <w:color w:val="000000" w:themeColor="text1"/>
          <w:spacing w:val="11"/>
          <w:sz w:val="32"/>
          <w:szCs w:val="32"/>
          <w:shd w:val="clear" w:fill="FFFFFF"/>
          <w:lang w:eastAsia="zh-CN"/>
          <w14:textFill>
            <w14:solidFill>
              <w14:schemeClr w14:val="tx1"/>
            </w14:solidFill>
          </w14:textFill>
        </w:rPr>
        <w:sectPr>
          <w:headerReference r:id="rId7" w:type="default"/>
          <w:footerReference r:id="rId8" w:type="default"/>
          <w:pgSz w:w="11906" w:h="16838"/>
          <w:pgMar w:top="2098" w:right="1800" w:bottom="1984" w:left="1587" w:header="851" w:footer="992" w:gutter="0"/>
          <w:pgNumType w:fmt="numberInDash"/>
          <w:cols w:space="425" w:num="1"/>
          <w:docGrid w:type="lines" w:linePitch="312" w:charSpace="0"/>
        </w:sectPr>
      </w:pPr>
      <w:r>
        <w:rPr>
          <w:rFonts w:hint="eastAsia" w:ascii="仿宋" w:hAnsi="仿宋" w:eastAsia="仿宋" w:cs="仿宋"/>
          <w:b w:val="0"/>
          <w:bCs w:val="0"/>
          <w:i w:val="0"/>
          <w:iCs w:val="0"/>
          <w:caps w:val="0"/>
          <w:color w:val="000000" w:themeColor="text1"/>
          <w:spacing w:val="11"/>
          <w:sz w:val="32"/>
          <w:szCs w:val="32"/>
          <w:shd w:val="clear" w:fill="FFFFFF"/>
          <w:lang w:val="en-US" w:eastAsia="zh-CN"/>
          <w14:textFill>
            <w14:solidFill>
              <w14:schemeClr w14:val="tx1"/>
            </w14:solidFill>
          </w14:textFill>
        </w:rPr>
        <w:t>6.</w:t>
      </w:r>
      <w:r>
        <w:rPr>
          <w:rFonts w:hint="eastAsia" w:ascii="仿宋" w:hAnsi="仿宋" w:eastAsia="仿宋" w:cs="仿宋"/>
          <w:b w:val="0"/>
          <w:bCs w:val="0"/>
          <w:i w:val="0"/>
          <w:iCs w:val="0"/>
          <w:caps w:val="0"/>
          <w:color w:val="000000" w:themeColor="text1"/>
          <w:spacing w:val="11"/>
          <w:sz w:val="32"/>
          <w:szCs w:val="32"/>
          <w:shd w:val="clear" w:fill="FFFFFF"/>
          <w:lang w:eastAsia="zh-CN"/>
          <w14:textFill>
            <w14:solidFill>
              <w14:schemeClr w14:val="tx1"/>
            </w14:solidFill>
          </w14:textFill>
        </w:rPr>
        <w:t>社会保险基金预算支出情况</w:t>
      </w:r>
      <w:bookmarkStart w:id="3" w:name="_GoBack"/>
      <w:bookmarkEnd w:id="3"/>
    </w:p>
    <w:p w14:paraId="6E614A28">
      <w:pPr>
        <w:pStyle w:val="15"/>
        <w:spacing w:line="600" w:lineRule="exact"/>
        <w:rPr>
          <w:rFonts w:ascii="Times New Roman" w:hAnsi="Times New Roman" w:eastAsia="仿宋_GB2312" w:cs="Times New Roman"/>
          <w:sz w:val="32"/>
          <w:szCs w:val="32"/>
        </w:rPr>
      </w:pPr>
    </w:p>
    <w:p w14:paraId="36113D1B">
      <w:pPr>
        <w:pStyle w:val="15"/>
        <w:ind w:firstLine="1280" w:firstLineChars="400"/>
        <w:rPr>
          <w:rFonts w:ascii="Times New Roman" w:hAnsi="Times New Roman" w:eastAsia="仿宋_GB2312" w:cs="Times New Roman"/>
          <w:sz w:val="32"/>
          <w:szCs w:val="32"/>
        </w:rPr>
      </w:pPr>
    </w:p>
    <w:p w14:paraId="64458BE4">
      <w:pPr>
        <w:pStyle w:val="15"/>
        <w:spacing w:line="600" w:lineRule="exact"/>
        <w:ind w:firstLine="640" w:firstLineChars="200"/>
        <w:rPr>
          <w:rFonts w:ascii="Times New Roman" w:hAnsi="Times New Roman" w:eastAsia="仿宋_GB2312" w:cs="Times New Roman"/>
          <w:sz w:val="32"/>
          <w:szCs w:val="32"/>
        </w:rPr>
      </w:pPr>
    </w:p>
    <w:p w14:paraId="61854EFB">
      <w:pPr>
        <w:pStyle w:val="15"/>
        <w:jc w:val="center"/>
        <w:rPr>
          <w:rFonts w:ascii="Times New Roman" w:hAnsi="Times New Roman" w:cs="Times New Roman"/>
          <w:sz w:val="72"/>
          <w:szCs w:val="72"/>
        </w:rPr>
      </w:pPr>
    </w:p>
    <w:p w14:paraId="79E90BE8">
      <w:pPr>
        <w:pStyle w:val="15"/>
        <w:jc w:val="center"/>
        <w:rPr>
          <w:rFonts w:ascii="Times New Roman" w:hAnsi="Times New Roman" w:cs="Times New Roman"/>
          <w:sz w:val="72"/>
          <w:szCs w:val="72"/>
        </w:rPr>
      </w:pPr>
    </w:p>
    <w:p w14:paraId="46B1317B">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宋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E630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9EF49">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DBBF9">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36812">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F52C11">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2F52C11">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4714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899C35">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7899C35">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4765F">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C4AF89"/>
    <w:multiLevelType w:val="singleLevel"/>
    <w:tmpl w:val="ACC4AF89"/>
    <w:lvl w:ilvl="0" w:tentative="0">
      <w:start w:val="3"/>
      <w:numFmt w:val="chineseCounting"/>
      <w:suff w:val="nothing"/>
      <w:lvlText w:val="（%1）"/>
      <w:lvlJc w:val="left"/>
      <w:rPr>
        <w:rFonts w:hint="eastAsia"/>
      </w:rPr>
    </w:lvl>
  </w:abstractNum>
  <w:abstractNum w:abstractNumId="1">
    <w:nsid w:val="041DB84B"/>
    <w:multiLevelType w:val="singleLevel"/>
    <w:tmpl w:val="041DB84B"/>
    <w:lvl w:ilvl="0" w:tentative="0">
      <w:start w:val="2"/>
      <w:numFmt w:val="chineseCounting"/>
      <w:suff w:val="nothing"/>
      <w:lvlText w:val="（%1）"/>
      <w:lvlJc w:val="left"/>
      <w:rPr>
        <w:rFonts w:hint="eastAsia"/>
      </w:rPr>
    </w:lvl>
  </w:abstractNum>
  <w:abstractNum w:abstractNumId="2">
    <w:nsid w:val="30CBB8EA"/>
    <w:multiLevelType w:val="singleLevel"/>
    <w:tmpl w:val="30CBB8EA"/>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kMDM1YjkxYjZhZjdlM2NjODVmMzBjMTliNWY2NWQ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4392AE9"/>
    <w:rsid w:val="084C5DB7"/>
    <w:rsid w:val="0A6630BA"/>
    <w:rsid w:val="0AF6628B"/>
    <w:rsid w:val="18426093"/>
    <w:rsid w:val="1D97DEFF"/>
    <w:rsid w:val="1DBC6D70"/>
    <w:rsid w:val="1DFF72E5"/>
    <w:rsid w:val="1EFC6F07"/>
    <w:rsid w:val="24D35B15"/>
    <w:rsid w:val="28171D16"/>
    <w:rsid w:val="2FDF85B8"/>
    <w:rsid w:val="2FFFEE04"/>
    <w:rsid w:val="34DF85B0"/>
    <w:rsid w:val="3AB84E9F"/>
    <w:rsid w:val="3B8F36BC"/>
    <w:rsid w:val="491FF225"/>
    <w:rsid w:val="4BF76EAF"/>
    <w:rsid w:val="4E9D4C4A"/>
    <w:rsid w:val="4FFD214C"/>
    <w:rsid w:val="5777D4F5"/>
    <w:rsid w:val="58865242"/>
    <w:rsid w:val="5890556F"/>
    <w:rsid w:val="58D1157B"/>
    <w:rsid w:val="59DD8326"/>
    <w:rsid w:val="5C147466"/>
    <w:rsid w:val="5DEF592A"/>
    <w:rsid w:val="5FC6BB1E"/>
    <w:rsid w:val="5FF720F1"/>
    <w:rsid w:val="67FF5C0B"/>
    <w:rsid w:val="6B9D308C"/>
    <w:rsid w:val="6EFC0924"/>
    <w:rsid w:val="6FB74722"/>
    <w:rsid w:val="6FEF8B7E"/>
    <w:rsid w:val="70B637F2"/>
    <w:rsid w:val="718F5E66"/>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99"/>
    <w:pPr>
      <w:spacing w:after="100" w:afterAutospacing="1"/>
    </w:pPr>
    <w:rPr>
      <w:rFonts w:ascii="Arial" w:hAnsi="Arial"/>
      <w:sz w:val="24"/>
      <w:szCs w:val="24"/>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7"/>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qFormat/>
    <w:uiPriority w:val="0"/>
    <w:rPr>
      <w:sz w:val="24"/>
    </w:rPr>
  </w:style>
  <w:style w:type="character" w:styleId="12">
    <w:name w:val="Strong"/>
    <w:basedOn w:val="11"/>
    <w:qFormat/>
    <w:uiPriority w:val="22"/>
    <w:rPr>
      <w:b/>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1"/>
    <w:link w:val="5"/>
    <w:semiHidden/>
    <w:qFormat/>
    <w:uiPriority w:val="99"/>
    <w:rPr>
      <w:sz w:val="18"/>
      <w:szCs w:val="18"/>
    </w:rPr>
  </w:style>
  <w:style w:type="character" w:customStyle="1" w:styleId="18">
    <w:name w:val="font01"/>
    <w:basedOn w:val="11"/>
    <w:qFormat/>
    <w:uiPriority w:val="0"/>
    <w:rPr>
      <w:rFonts w:hint="eastAsia" w:ascii="宋体" w:hAnsi="宋体" w:eastAsia="宋体" w:cs="宋体"/>
      <w:color w:val="000000"/>
      <w:sz w:val="22"/>
      <w:szCs w:val="22"/>
      <w:u w:val="none"/>
    </w:rPr>
  </w:style>
  <w:style w:type="character" w:customStyle="1" w:styleId="19">
    <w:name w:val="font21"/>
    <w:basedOn w:val="11"/>
    <w:qFormat/>
    <w:uiPriority w:val="0"/>
    <w:rPr>
      <w:rFonts w:hint="eastAsia" w:ascii="宋体" w:hAnsi="宋体" w:eastAsia="宋体" w:cs="宋体"/>
      <w:color w:val="000000"/>
      <w:sz w:val="24"/>
      <w:szCs w:val="24"/>
      <w:u w:val="none"/>
    </w:rPr>
  </w:style>
  <w:style w:type="character" w:customStyle="1" w:styleId="20">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1602</Words>
  <Characters>2299</Characters>
  <Lines>69</Lines>
  <Paragraphs>19</Paragraphs>
  <TotalTime>0</TotalTime>
  <ScaleCrop>false</ScaleCrop>
  <LinksUpToDate>false</LinksUpToDate>
  <CharactersWithSpaces>2644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WPS_1480859360</cp:lastModifiedBy>
  <cp:lastPrinted>2024-08-08T18:20:00Z</cp:lastPrinted>
  <dcterms:modified xsi:type="dcterms:W3CDTF">2025-09-23T08:38:12Z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7B83F34B54CB43FFBDBDC46B89E48CC2</vt:lpwstr>
  </property>
  <property fmtid="{D5CDD505-2E9C-101B-9397-08002B2CF9AE}" pid="4" name="KSOTemplateDocerSaveRecord">
    <vt:lpwstr>eyJoZGlkIjoiZDA5ZTBiYTEwZTExZjBmNDFkMjNjNTdhMTRhN2Y3MTQiLCJ1c2VySWQiOiIxNDgwODU5MzYwIn0=</vt:lpwstr>
  </property>
</Properties>
</file>