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B13F8">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default" w:ascii="方正公文仿宋" w:hAnsi="方正公文仿宋" w:eastAsia="方正公文仿宋" w:cs="方正公文仿宋"/>
          <w:sz w:val="32"/>
          <w:szCs w:val="32"/>
          <w:lang w:val="en-US" w:eastAsia="zh-CN"/>
        </w:rPr>
      </w:pPr>
      <w:r>
        <w:rPr>
          <w:rFonts w:hint="eastAsia" w:ascii="方正公文仿宋" w:hAnsi="方正公文仿宋" w:eastAsia="方正公文仿宋" w:cs="方正公文仿宋"/>
          <w:sz w:val="32"/>
          <w:szCs w:val="32"/>
          <w:lang w:val="en-US" w:eastAsia="zh-CN"/>
        </w:rPr>
        <w:t>附件1：</w:t>
      </w:r>
      <w:bookmarkStart w:id="0" w:name="_GoBack"/>
      <w:bookmarkEnd w:id="0"/>
    </w:p>
    <w:p w14:paraId="067B51A3">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公文仿宋" w:hAnsi="方正公文仿宋" w:eastAsia="方正公文仿宋" w:cs="方正公文仿宋"/>
          <w:sz w:val="32"/>
          <w:szCs w:val="32"/>
        </w:rPr>
      </w:pPr>
    </w:p>
    <w:p w14:paraId="120F8F76">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公文仿宋" w:hAnsi="方正公文仿宋" w:eastAsia="方正公文仿宋" w:cs="方正公文仿宋"/>
          <w:sz w:val="32"/>
          <w:szCs w:val="32"/>
        </w:rPr>
      </w:pPr>
    </w:p>
    <w:p w14:paraId="2296D468">
      <w:pPr>
        <w:keepNext w:val="0"/>
        <w:keepLines w:val="0"/>
        <w:pageBreakBefore w:val="0"/>
        <w:widowControl w:val="0"/>
        <w:kinsoku/>
        <w:wordWrap/>
        <w:overflowPunct/>
        <w:topLinePunct w:val="0"/>
        <w:autoSpaceDE/>
        <w:autoSpaceDN/>
        <w:bidi w:val="0"/>
        <w:adjustRightInd/>
        <w:snapToGrid/>
        <w:spacing w:line="820" w:lineRule="exact"/>
        <w:ind w:left="0" w:leftChars="0" w:firstLine="0" w:firstLineChars="0"/>
        <w:jc w:val="center"/>
        <w:textAlignment w:val="auto"/>
        <w:rPr>
          <w:rFonts w:hint="eastAsia" w:ascii="方正小标宋简体" w:hAnsi="方正小标宋简体" w:eastAsia="方正小标宋简体" w:cs="方正小标宋简体"/>
          <w:b w:val="0"/>
          <w:bCs w:val="0"/>
          <w:sz w:val="52"/>
          <w:szCs w:val="52"/>
        </w:rPr>
      </w:pPr>
      <w:r>
        <w:rPr>
          <w:rFonts w:hint="eastAsia" w:ascii="方正小标宋简体" w:hAnsi="方正小标宋简体" w:eastAsia="方正小标宋简体" w:cs="方正小标宋简体"/>
          <w:b w:val="0"/>
          <w:bCs w:val="0"/>
          <w:sz w:val="52"/>
          <w:szCs w:val="52"/>
        </w:rPr>
        <w:t>2025年度怀化市档案馆整体支出</w:t>
      </w:r>
    </w:p>
    <w:p w14:paraId="22204B95">
      <w:pPr>
        <w:keepNext w:val="0"/>
        <w:keepLines w:val="0"/>
        <w:pageBreakBefore w:val="0"/>
        <w:widowControl w:val="0"/>
        <w:kinsoku/>
        <w:wordWrap/>
        <w:overflowPunct/>
        <w:topLinePunct w:val="0"/>
        <w:autoSpaceDE/>
        <w:autoSpaceDN/>
        <w:bidi w:val="0"/>
        <w:adjustRightInd/>
        <w:snapToGrid/>
        <w:spacing w:line="820" w:lineRule="exact"/>
        <w:ind w:left="0" w:leftChars="0" w:firstLine="0" w:firstLineChars="0"/>
        <w:jc w:val="center"/>
        <w:textAlignment w:val="auto"/>
        <w:rPr>
          <w:rFonts w:hint="eastAsia" w:ascii="方正小标宋简体" w:hAnsi="方正小标宋简体" w:eastAsia="方正小标宋简体" w:cs="方正小标宋简体"/>
          <w:b w:val="0"/>
          <w:bCs w:val="0"/>
          <w:sz w:val="52"/>
          <w:szCs w:val="52"/>
        </w:rPr>
      </w:pPr>
      <w:r>
        <w:rPr>
          <w:rFonts w:hint="eastAsia" w:ascii="方正小标宋简体" w:hAnsi="方正小标宋简体" w:eastAsia="方正小标宋简体" w:cs="方正小标宋简体"/>
          <w:b w:val="0"/>
          <w:bCs w:val="0"/>
          <w:sz w:val="52"/>
          <w:szCs w:val="52"/>
        </w:rPr>
        <w:t>绩效自评报告</w:t>
      </w:r>
    </w:p>
    <w:p w14:paraId="6466C95D">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公文仿宋" w:hAnsi="方正公文仿宋" w:eastAsia="方正公文仿宋" w:cs="方正公文仿宋"/>
          <w:sz w:val="32"/>
          <w:szCs w:val="32"/>
        </w:rPr>
      </w:pPr>
    </w:p>
    <w:p w14:paraId="0FDB2A22">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公文仿宋" w:hAnsi="方正公文仿宋" w:eastAsia="方正公文仿宋" w:cs="方正公文仿宋"/>
          <w:sz w:val="32"/>
          <w:szCs w:val="32"/>
        </w:rPr>
      </w:pPr>
    </w:p>
    <w:p w14:paraId="1A9B3585">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公文仿宋" w:hAnsi="方正公文仿宋" w:eastAsia="方正公文仿宋" w:cs="方正公文仿宋"/>
          <w:sz w:val="32"/>
          <w:szCs w:val="32"/>
        </w:rPr>
      </w:pPr>
    </w:p>
    <w:p w14:paraId="2C48AD94">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公文仿宋" w:hAnsi="方正公文仿宋" w:eastAsia="方正公文仿宋" w:cs="方正公文仿宋"/>
          <w:sz w:val="32"/>
          <w:szCs w:val="32"/>
        </w:rPr>
      </w:pPr>
    </w:p>
    <w:p w14:paraId="28EE3655">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公文仿宋" w:hAnsi="方正公文仿宋" w:eastAsia="方正公文仿宋" w:cs="方正公文仿宋"/>
          <w:sz w:val="32"/>
          <w:szCs w:val="32"/>
        </w:rPr>
      </w:pPr>
    </w:p>
    <w:p w14:paraId="649FEA81">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公文仿宋" w:hAnsi="方正公文仿宋" w:eastAsia="方正公文仿宋" w:cs="方正公文仿宋"/>
          <w:sz w:val="32"/>
          <w:szCs w:val="32"/>
        </w:rPr>
      </w:pPr>
    </w:p>
    <w:p w14:paraId="6B762850">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公文仿宋" w:hAnsi="方正公文仿宋" w:eastAsia="方正公文仿宋" w:cs="方正公文仿宋"/>
          <w:sz w:val="32"/>
          <w:szCs w:val="32"/>
        </w:rPr>
      </w:pPr>
    </w:p>
    <w:p w14:paraId="126E4DC8">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单位名称：怀化市档案馆（盖章）</w:t>
      </w:r>
    </w:p>
    <w:p w14:paraId="7FE7273E">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2026年6月</w:t>
      </w:r>
    </w:p>
    <w:p w14:paraId="6DA9F6CE">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方正公文仿宋" w:hAnsi="方正公文仿宋" w:eastAsia="方正公文仿宋" w:cs="方正公文仿宋"/>
          <w:sz w:val="32"/>
          <w:szCs w:val="32"/>
        </w:rPr>
      </w:pPr>
    </w:p>
    <w:p w14:paraId="509245F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p>
    <w:p w14:paraId="50105E7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p>
    <w:p w14:paraId="4CD00EA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p>
    <w:p w14:paraId="014870B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p>
    <w:p w14:paraId="620DC7A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p>
    <w:p w14:paraId="34E0AD4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p>
    <w:p w14:paraId="76A4787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p>
    <w:p w14:paraId="318DA2F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p>
    <w:p w14:paraId="58B1AFB0">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2025年度怀化市档案馆整体支出</w:t>
      </w:r>
    </w:p>
    <w:p w14:paraId="62263263">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绩效自评报告</w:t>
      </w:r>
    </w:p>
    <w:p w14:paraId="6618759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p>
    <w:p w14:paraId="11B4267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p>
    <w:p w14:paraId="61E2773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小标宋简体" w:hAnsi="方正小标宋简体" w:eastAsia="方正小标宋简体" w:cs="方正小标宋简体"/>
          <w:sz w:val="32"/>
          <w:szCs w:val="32"/>
        </w:rPr>
        <w:t>一、部门概况</w:t>
      </w:r>
    </w:p>
    <w:p w14:paraId="6739845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（一）部门（单位）基本情况</w:t>
      </w:r>
    </w:p>
    <w:p w14:paraId="47FD179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怀化市档案馆作为一级部门预算单位，是参照公务员法管理的行政类事业单位。内设科室为：办公室、管理利用部、编研和征收鉴定部、科技信息部。主要职能职责是负责收集、征集和接收本馆保管范围内按规定移交进馆的各类档案资料，以及对全市30万余卷（册）档案资料的保管保护、对馆藏档案严格按照规定进行科学整理、编目、鉴定、数字化、技术保护及开发利用等职能。</w:t>
      </w:r>
    </w:p>
    <w:p w14:paraId="14287EA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2025年度，怀化市档案馆三定方案编制人员为19人，实有在职人员1</w:t>
      </w:r>
      <w:r>
        <w:rPr>
          <w:rFonts w:hint="eastAsia" w:ascii="方正公文仿宋" w:hAnsi="方正公文仿宋" w:eastAsia="方正公文仿宋" w:cs="方正公文仿宋"/>
          <w:sz w:val="32"/>
          <w:szCs w:val="32"/>
          <w:lang w:val="en-US" w:eastAsia="zh-CN"/>
        </w:rPr>
        <w:t>8</w:t>
      </w:r>
      <w:r>
        <w:rPr>
          <w:rFonts w:hint="eastAsia" w:ascii="方正公文仿宋" w:hAnsi="方正公文仿宋" w:eastAsia="方正公文仿宋" w:cs="方正公文仿宋"/>
          <w:sz w:val="32"/>
          <w:szCs w:val="32"/>
        </w:rPr>
        <w:t>人，离退休人员15人。全馆干部职工始终坚持以习近平新时代中国特色社会主义思想为指导，全面贯彻党的二十大和二十届二中、三中、四中全会精神，深入学习习近平总书记对档案工作的重要指示批示精神，认真贯彻落实中央决策部署和省委、市委工作要求，开拓进取、积极作为，不断推动档案事业高质量发展取得新进展。</w:t>
      </w:r>
    </w:p>
    <w:p w14:paraId="2D70DD9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（二）部门（单位）整体支出规模、使用方向和主要内容、涉及范围等</w:t>
      </w:r>
    </w:p>
    <w:p w14:paraId="4ADFF55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按照市本级预算绩效管理工作的总体要求，2025年度我单位整体支出379.46万元，全部实行整体支出绩效目标管理。年初预算332.49万元，全年预算数473.51万元。编报绩效目标的项目1个，涉及项目支出30.00万元，为“档案日常管理和征集费”，全部实行项目支出绩效目标管理。</w:t>
      </w:r>
    </w:p>
    <w:p w14:paraId="6454255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p>
    <w:p w14:paraId="5E0D321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二、一般公共预算支出情况</w:t>
      </w:r>
    </w:p>
    <w:p w14:paraId="49100C9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（一）基本支出</w:t>
      </w:r>
    </w:p>
    <w:p w14:paraId="169067B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2025年年初预算302.49万元，全年预算数437.91万元，实际支出358.28万元。基本支出是指为保障单位机构正常运转、完成日常工作任务而发生的各项支出，其中：</w:t>
      </w:r>
    </w:p>
    <w:p w14:paraId="37954C5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人员经费支出330.07万元，主要包括：基本工资102.63万元、津贴补贴46.46万元、奖金74.74万元、机关事业单位基本养老保险缴费28.46万元、职工基本医疗保险缴费21.76万元、其他社会保障缴费1.68万元、住房公积金25.08万元、其他工资福利支出19.20万元、生活补助28.51万元、奖励金0.76万元。</w:t>
      </w:r>
    </w:p>
    <w:p w14:paraId="20DB36B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公用经费支出28.21万元，主要包括：办公费0.11万元、邮电费0.78万元、差旅费3.05万元、公务接待费0.11万元、劳务费1.34万元、工会经费7.46万元、福利费1.05万元、公务用车运行维护费1.79万元、其他交通费用16.14万元、其他商品和服务支出0.13万元。</w:t>
      </w:r>
    </w:p>
    <w:p w14:paraId="7DC5C9C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2025年我单位“三公”经费年初预算2.40万元，全年预算数1.90万元，实际支出数为1.89万元，预算执行率99.47%。其中：公务接待费0.11万元（年初预算0.40万元），公务用车运行维护费1.79万元（年初预算2.00万元），因公出国（境）费0万元。2025年“三公”经费较上年减少2.04万元，下降51.8%，主要原因是厉行节约、减少开支。</w:t>
      </w:r>
    </w:p>
    <w:p w14:paraId="62C0322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（二）项目支出</w:t>
      </w:r>
    </w:p>
    <w:p w14:paraId="01E9975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1. 项目资金（包括财政资金、自筹资金等）安排落实、总投入等情况分析</w:t>
      </w:r>
    </w:p>
    <w:p w14:paraId="7FC14FB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2025年年初预算项目支出30.00万元，全年预算35.60万元，实际支出21.18万元。项目支出是指单位为完成特定行政工作任务或事业发展目标而发生的支出。2025年项目为“档案日常管理和征集费”，主要用于保障档案日常保管和查阅利用正常运转、档案资料征集及档案日常管理维护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2F44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46F32678">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一级项目名称</w:t>
            </w:r>
          </w:p>
        </w:tc>
        <w:tc>
          <w:tcPr>
            <w:tcW w:w="2130" w:type="dxa"/>
            <w:vAlign w:val="center"/>
          </w:tcPr>
          <w:p w14:paraId="4E3AF6D4">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rPr>
            </w:pPr>
            <w:r>
              <w:rPr>
                <w:rFonts w:hint="eastAsia" w:ascii="方正公文仿宋" w:hAnsi="方正公文仿宋" w:eastAsia="方正公文仿宋" w:cs="方正公文仿宋"/>
                <w:sz w:val="28"/>
                <w:szCs w:val="28"/>
              </w:rPr>
              <w:t>年初预算数</w:t>
            </w:r>
          </w:p>
          <w:p w14:paraId="579075D8">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（万元）</w:t>
            </w:r>
          </w:p>
        </w:tc>
        <w:tc>
          <w:tcPr>
            <w:tcW w:w="2131" w:type="dxa"/>
            <w:vAlign w:val="center"/>
          </w:tcPr>
          <w:p w14:paraId="3E23FEFD">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rPr>
            </w:pPr>
            <w:r>
              <w:rPr>
                <w:rFonts w:hint="eastAsia" w:ascii="方正公文仿宋" w:hAnsi="方正公文仿宋" w:eastAsia="方正公文仿宋" w:cs="方正公文仿宋"/>
                <w:sz w:val="28"/>
                <w:szCs w:val="28"/>
              </w:rPr>
              <w:t>全年预算数</w:t>
            </w:r>
          </w:p>
          <w:p w14:paraId="3C67F8E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（万元）</w:t>
            </w:r>
          </w:p>
        </w:tc>
        <w:tc>
          <w:tcPr>
            <w:tcW w:w="2131" w:type="dxa"/>
            <w:vAlign w:val="center"/>
          </w:tcPr>
          <w:p w14:paraId="4F2F709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rPr>
            </w:pPr>
            <w:r>
              <w:rPr>
                <w:rFonts w:hint="eastAsia" w:ascii="方正公文仿宋" w:hAnsi="方正公文仿宋" w:eastAsia="方正公文仿宋" w:cs="方正公文仿宋"/>
                <w:sz w:val="28"/>
                <w:szCs w:val="28"/>
              </w:rPr>
              <w:t>实际支出数</w:t>
            </w:r>
          </w:p>
          <w:p w14:paraId="674E076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（万元）</w:t>
            </w:r>
          </w:p>
        </w:tc>
      </w:tr>
      <w:tr w14:paraId="74D76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1B1C0207">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档案日常管理和征集费</w:t>
            </w:r>
          </w:p>
        </w:tc>
        <w:tc>
          <w:tcPr>
            <w:tcW w:w="2130" w:type="dxa"/>
            <w:vAlign w:val="center"/>
          </w:tcPr>
          <w:p w14:paraId="652F8CB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30.00</w:t>
            </w:r>
          </w:p>
        </w:tc>
        <w:tc>
          <w:tcPr>
            <w:tcW w:w="2131" w:type="dxa"/>
            <w:vAlign w:val="center"/>
          </w:tcPr>
          <w:p w14:paraId="77CA181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35.60</w:t>
            </w:r>
          </w:p>
        </w:tc>
        <w:tc>
          <w:tcPr>
            <w:tcW w:w="2131" w:type="dxa"/>
            <w:vAlign w:val="center"/>
          </w:tcPr>
          <w:p w14:paraId="58105DD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公文仿宋" w:hAnsi="方正公文仿宋" w:eastAsia="方正公文仿宋" w:cs="方正公文仿宋"/>
                <w:sz w:val="28"/>
                <w:szCs w:val="28"/>
                <w:vertAlign w:val="baseline"/>
              </w:rPr>
            </w:pPr>
            <w:r>
              <w:rPr>
                <w:rFonts w:hint="eastAsia" w:ascii="方正公文仿宋" w:hAnsi="方正公文仿宋" w:eastAsia="方正公文仿宋" w:cs="方正公文仿宋"/>
                <w:sz w:val="28"/>
                <w:szCs w:val="28"/>
              </w:rPr>
              <w:t>21.18</w:t>
            </w:r>
          </w:p>
        </w:tc>
      </w:tr>
    </w:tbl>
    <w:p w14:paraId="606F20A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 项目资金（主要指财政资金）实际使用情况分析</w:t>
      </w:r>
    </w:p>
    <w:p w14:paraId="6C9EEDB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2025年项目支出21.18万元，全部为商品和服务支出。具体包括：办公费0.11万元、邮电费0.78万元、差旅费2.85万元、劳务费4.45万元、委托业务费3.01万元、福利费6.54万元、其他交通费用0万元、其他商品和服务支出3.44万元。</w:t>
      </w:r>
    </w:p>
    <w:p w14:paraId="6B224F1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3. 项目资金管理情况分析</w:t>
      </w:r>
    </w:p>
    <w:p w14:paraId="2E2B4BB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我单位严格按照财政制度相关要求，坚持专款专用，按项目核算，严格按照规定的范围、标准和程序，加强专项资金的使用管理，确保了专项资金使用管理的规范性、安全性和有效性。在项目实施过程中，遵循“实事求是、尊重客观、力求精准”的原则，努力使项目资金落到实处。</w:t>
      </w:r>
    </w:p>
    <w:p w14:paraId="45D56DF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p>
    <w:p w14:paraId="30DAC60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三、项目组织实施情况</w:t>
      </w:r>
    </w:p>
    <w:p w14:paraId="27FCFA0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我单位在项目组织实施管理方面取得了显著成效。通过构建完善的项目组织体系、明确职责分工与协调机制、加强进度管理和质量管理等措施，确保了项目的顺利实施和高效推进。同时，我单位不断优化和完善项目实施管理的各个环节，增强档案馆项目资金使用效率。</w:t>
      </w:r>
    </w:p>
    <w:p w14:paraId="1E58354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在资金使用和管理方面，我单位严格执行财务管理制度，账务处理及时，会计核算规范。严格落实内控制度，严肃执行“三重一大”的原则，保障项目在公开、公平、公正的监督环境中实施，有效节约项目资金。</w:t>
      </w:r>
    </w:p>
    <w:p w14:paraId="34562F0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p>
    <w:p w14:paraId="1413221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四、资产管理情况</w:t>
      </w:r>
    </w:p>
    <w:p w14:paraId="189A6EA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2025年，我单位资产状况良好。截至2025年末，车辆保有量1辆。由于单位是零余额账户，单位基本无流动资产，资产质量良好。</w:t>
      </w:r>
    </w:p>
    <w:p w14:paraId="1463439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（一）固定资产管理情况</w:t>
      </w:r>
    </w:p>
    <w:p w14:paraId="7597C61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我单位对固定资产建立了台账，对固定资产进行了分类清查和盘点，确保资产的真实性和准确性，同时加强了固定资产的维护和保养工作，提高了固定资产的使用寿命和价值。增减固定资产，严格按照机关事务局及财政局的规定和要求办理审批手续。车辆原值20.97万元。</w:t>
      </w:r>
    </w:p>
    <w:p w14:paraId="50DF597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（二）流动资产管理情况</w:t>
      </w:r>
    </w:p>
    <w:p w14:paraId="5204869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对于流动资产，我单位建立了严格的采购、使用和报废制度，由于单位是零余额账户，单位无现金，单位加强对存货和应收款项的监管和管理，确保了资金的安全和有效利用。</w:t>
      </w:r>
    </w:p>
    <w:p w14:paraId="7CD9D8C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五、政府性基金预算支出情况</w:t>
      </w:r>
    </w:p>
    <w:p w14:paraId="161A8A6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2025年无政府性基金预算支出。</w:t>
      </w:r>
    </w:p>
    <w:p w14:paraId="0B14C04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六、国有资本经营预算支出情况</w:t>
      </w:r>
    </w:p>
    <w:p w14:paraId="6BF09D3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2025年无国有资本经营预算支出。</w:t>
      </w:r>
    </w:p>
    <w:p w14:paraId="64CA027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七、社会保险基金预算支出情况</w:t>
      </w:r>
    </w:p>
    <w:p w14:paraId="633E5C9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2025年无社会保险基金预算支出。</w:t>
      </w:r>
    </w:p>
    <w:p w14:paraId="115E1E4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八、部门整体支出绩效情况</w:t>
      </w:r>
    </w:p>
    <w:p w14:paraId="0F4669B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（一）综合评价结论</w:t>
      </w:r>
    </w:p>
    <w:p w14:paraId="6E85503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根据部门整体支出绩效评价指标规定的内容，经我单位认真自评，2025年度部门整体绩效自评总分为98.01分。我单位按照市级部门预决算编制通知和有关要求，按时完成预决算编制工作，并及时在网上进行预决算公开。部门整体绩效目标编制完整、合理，项目绩效目标编制明确、量化。按要求严格预算执行管理，及时足额将专项资金按指标拨付。严格执行“三公经费”预算，按要求及时公开预算、决算、绩效等信息。按要求及时、准确、全面开展资产清查工作，上报国有资产报表数据真实、准确、全面。内部控制制度健全完整并执行良好，在本年度内未出现廉政风险。</w:t>
      </w:r>
    </w:p>
    <w:p w14:paraId="2F93694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（二）评价指标分析</w:t>
      </w:r>
    </w:p>
    <w:p w14:paraId="15F3941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我单位围绕部门职责、行业发展规划，以预算资金管理为主线，从整体绩效目标设定、预算配置、预算执行、预算管理、资产管理、职责履行、履职效益等方面综合分析。总结归纳本部门支出的绩效目标完成情况。</w:t>
      </w:r>
    </w:p>
    <w:p w14:paraId="0DD6755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1. 预算执行情况分析</w:t>
      </w:r>
    </w:p>
    <w:p w14:paraId="63FB081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2025年度，我单位整体支出379.46万元，年初预算332.49万元，预算执行率114.12%；全年预算473.51万元，预算执行率80.13%。基本支出358.28万元，执行率81.81%；项目支出21.18万元，执行率59.49%。项目支出执行率偏低的主要原因是“档案日常管理和征集费”项目根据实际工作需要，在保障档案日常保管和查阅利用正常运转的前提下，厉行节约，部分工作通过优化内部资源配置完成，减少了对外委托和采购支出。</w:t>
      </w:r>
    </w:p>
    <w:p w14:paraId="5E9351C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从预决算差异来看，财政拨款收入预决算差异率为14.13%，人员经费预决算差异率为27.36%，主要原因是年中追加了人员经费指标；公用经费预决算差异率为-34.88%，“三公”经费支出预决算差异率为-20.98%，体现了厉行节约的工作成效。</w:t>
      </w:r>
    </w:p>
    <w:p w14:paraId="48D6E2A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 以政治建设为统领，持续强化理论武装</w:t>
      </w:r>
    </w:p>
    <w:p w14:paraId="3F19AAC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（1）政治建设统领全局。 一是坚持把党的政治建设放在首位，把“第一议题”制度的贯彻落实与中心工作相融合，及时跟进学习习近平总书记最新重要讲话指示批示精神和党的二十大及二十届历次全会精神，并紧密结合档案工作实际谈感想抓落实。2025年，组织召开党组会议24次、党组理论学习中心组及中心组（扩大）学习12次。二是全面贯彻落实意识形态工作责任制，将意识形态工作纳入重要议事日程，全年进行专题研究2次，开展分析研判4次。严格落实信息发布“三审制”，有效防控意识形态风险，未出现任何负面舆情。</w:t>
      </w:r>
    </w:p>
    <w:p w14:paraId="28475A3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（2）扎实推进深入贯彻中央八项规定精神学习教育工作。 一是高起点开展学习教育，第一时间召开动员部署会议。二是高标准落实学习教育任务，开展馆党组理论学习中心组（扩大）学习研讨4次，举办学习教育读书班1次，党支部依托“一月一课一片一实践”主题党日活动开展学习研讨4次。三是高效率查摆问题，馆领导班子共查摆问题22个，班子成员共查摆问题33个，其他干部共查摆问题70余个。四是抓好集中整治，共梳理出6个方面11个集中整治问题，逐项制定整改措施。五是坚持开门教育，收集群众意见建议2条，帮助群众解决难题10余个。六是不断完善制度机制，推动完善制度4个。</w:t>
      </w:r>
    </w:p>
    <w:p w14:paraId="62773C9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（3）常态化开展好“走找想促”活动。 馆领导班子带头走好新时代党的群众路线，认真落实“四下基层”制度，深入驻村帮扶联系点、帮扶社区、档案查阅利用一线开展调研，报送调研信息24条，报送“金点子”25条。</w:t>
      </w:r>
    </w:p>
    <w:p w14:paraId="1765CD2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3. 坚守职责使命，助力档案事业不断取得新发展</w:t>
      </w:r>
    </w:p>
    <w:p w14:paraId="0136CD8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（1）规范管理，档案接收工作有力有序推进。 积极发挥与市档案行政主管部门的联动机制，聚焦到期及机构改革撤并的单位，全面启动档案接收专项行动。创新实施“一对一”精准指导机制，以部室为责任单元，组建专业指导团队深入各立档单位，开展全流程跟踪服务。2025年，已顺利完成34家单位4211卷51319件档案的接收进馆工作，并同步对其电子档案进行验收，验收进馆数字化档案目录48120条共164.98G。</w:t>
      </w:r>
    </w:p>
    <w:p w14:paraId="28CDEFF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（2）深耕服务，档案查阅利用效能显著提升。 一是档案查阅利用服务展现新活力。于4月正式接入全国档案查询服务利用平台，在5月与邵阳市档案馆签订《民生档案跨馆利用服务协议书》，构建起“线上+线下”“本地+异地”的立体化查档体系。全年累计接待查档群众2735人次，调阅档案8271卷、9651件，复制档案18922页，查阅资料317人次、469册、复制542页，130余人次通过全国平台查询我馆馆藏民生档案共658卷293件。二是助力重大项目申报。调阅查询相关档案资料329卷，收集复印42卷档案82条目录，精准提取袁隆平杂交水稻相关珍贵史料，为省档案馆“湖南杂交水稻档案文献”成功入选第六批《中国档案文献遗产名录》提供关键支撑。三是档案赋能旅发大会。累计调阅档案史料共283卷（件），最终确定收集65件（张）极具历史价值的档案史料，其中35件被纳入正式展陈。</w:t>
      </w:r>
    </w:p>
    <w:p w14:paraId="453BD9C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（3）拓宽渠道，档案资料征集成效显著。 一是加强名人档案征集，征集到袁隆平各时期照片400余张，视频（含口述档案）78G。二是加强红色档案征集，征集到抗美援朝老战士口述档案视频5人；征集到离休老干部一人一档139件，口述档案36段，照片300余张，共8G；征集抗战档案电子版81件共3.7G。三是加强重大活动的档案征集和服务指导，征集到第三届旅发大会和全球湘商大会纸质档案220件，实物档案11件。四是加强民俗风情档案征集，征集到我市187个传统村落档案共100G。五是加强艺术档案征集，征集到怀化本土艺术家书画作品35件。六是加强电子档案征集，征集到《湖南通志》（光绪版、嘉靖版）电子版共468卷共12.3G、《大公报（长沙）》1915年至1919年电子版11240页共14.2G；征集到怀化日报1989年至今的报纸数字化扫描件共2T。还征集到书籍1000册。</w:t>
      </w:r>
    </w:p>
    <w:p w14:paraId="1B6B4F1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（4）深挖细掘，档案资政育人作用不断彰显。 一是创新档案宣传方式。持续在公众号和视频号推出《怀化档案馆藏珍品》栏目，目前已推出16期，点击浏览量总计61838个。参加省档案局档案文创竞赛，报送文创产品2个。二是更新固定展厅资料，补充完善了福地怀化、国家荣誉、年度统计数据等资料9处。三是开展形式多样档案宣传活动。联合市档案局开展了2025年“6·9”国际档案日系列宣传活动，制作了《看乡村美景 游福地怀化——怀化市中国传统村落档案图片掠影展》图片展，在市委大院、市政中心广场、怀化学院、怀化职业技术学校、湖南医药学院开展档案进机关、进校园巡展活动。组织高校学生200余人开展了档案法实施条例颁布1周年试题答题活动，3000余人参观展览。怀化新闻网连续2次刊发活动情况。四是积极推动档案学术研究，报送档案学术论文23篇参加省档案学会第33次论文评选，7篇获奖（1个二等奖、3个三等奖、3个优秀奖），我馆被评为优秀组织奖。</w:t>
      </w:r>
    </w:p>
    <w:p w14:paraId="288D911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（5）全力推进，档案项目建设取得较大进展。 一是全力推进数字档案馆建设，目前该项目已完成财评，进入招投标阶段。二是扎实推进档案库房消防改造项目，已完成初步设计方案。三是积极进行项目申报，上报了《湖南省重点档案保护开展项目》，申报资金17万元。四是积极参与国家级档案科技项目，成为全省三个市馆之一，参与国家档案局“档案库房害虫动态监测与风险防控策略研究——烟草甲监测与精准防控技术开发”科研项目。</w:t>
      </w:r>
    </w:p>
    <w:p w14:paraId="7D804CE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4. 强化底线思维，不断筑牢安全防线</w:t>
      </w:r>
    </w:p>
    <w:p w14:paraId="7372F68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（1）不断筑牢档案安全防线。 始终将安全作为档案工作生命线，全年研究、分析研判安全生产和消防安全4次，组织消防安全专题培训3次、演练2次。严格落实档案库房“九防”标准，细化库房管理制度，规范档案出入库流程。建立健全馆库安全管理长效机制，修订完善突发事件应急预案。执行每日库房巡查制度，在极端天气及重要节假日期间，由领导班子带队开展重点安全检查。</w:t>
      </w:r>
    </w:p>
    <w:p w14:paraId="3F4A1A3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（2）增强保密意识，筑牢保密防线。 始终将保密工作作为重要责任，严格遵守保密相关纪律，强化保密意识与风险防范能力。规范涉密资料管理，加强办公设备及网络安全防护，定期排查风险隐患。充分利用保密宣传月等契机，开展保密宣传。</w:t>
      </w:r>
    </w:p>
    <w:p w14:paraId="34BDD3C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（3）扎实推进平安建设。 馆党组聚焦平安建设重点任务，扎实推进各项工作。强化风险排查防控，全年对综治和维稳形势进行分析研判4次，积极为信访诉求、土地纠纷、养老保险、工龄认定等问题提供档案依据。加强禁毒宣传教育。</w:t>
      </w:r>
    </w:p>
    <w:p w14:paraId="61EE285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5. 压实党建主体责任，不断夯实基层党组织建设</w:t>
      </w:r>
    </w:p>
    <w:p w14:paraId="4E89C7C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（1）严格履行党建主体责任。 馆党组先后4次召开党组会专题研究党建工作，坚持党建与业务同谋划、同部署、同落实，不断压实党组书记第一责任人职责和班子成员“一岗双责”。</w:t>
      </w:r>
    </w:p>
    <w:p w14:paraId="154D373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（2）不断提升党建工作质量。 以标准化规范化建设为抓手，严格落实民主生活会、组织生活会、民主评议党员等制度。深化“四强”党支部建设，按照“党建带档建，档建服务党建”的工作思路，积极推进“兰台初心”党建品牌创建。</w:t>
      </w:r>
    </w:p>
    <w:p w14:paraId="5DD5825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（3）加强党员教育管理监督。 结合“立足岗位作贡献”活动和“五溪先锋”志愿服务活动等，积极组织党员开展志愿服务。同时建立“党员示范岗”，在档案查阅利用服务、档案数字化、档案征集编研等岗位设立党员先锋岗。培养入党积极分子1名，1名年轻干部递交了入党申请书。</w:t>
      </w:r>
    </w:p>
    <w:p w14:paraId="30979F3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6. 深化作风建设，持续推动正风肃纪反腐</w:t>
      </w:r>
    </w:p>
    <w:p w14:paraId="63459ED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（1）强化责任落实。 馆党组严格落实全面从严治党主体责任，专题研究和分析研判党风廉政建设和反腐败工作4次。认真落实民主集中制、“三重一大”等决策制度。2025年，我馆干部职工未出现违纪违法行为。</w:t>
      </w:r>
    </w:p>
    <w:p w14:paraId="3416244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（2）深入开展警示教育和专项整治行动。 以深入贯彻中央八项规定精神学习教育为契机，持续抓好干部廉政教育和警示教育。深入开展集中整治违规吃喝专项行动。根据要求开展以案促改工作和领导干部及配偶、子女及其配偶违规经商办企业问题专项整治工作。</w:t>
      </w:r>
    </w:p>
    <w:p w14:paraId="36AAC56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（3）扎实做好巡察整改“后半篇文章”。 馆党组坚持把巡察反馈意见整改作为重大政治任务和主要工作内容，扎实推进各项整改任务落实落细，在市委巡察整改评估中被评为“好”等次。</w:t>
      </w:r>
    </w:p>
    <w:p w14:paraId="23A15D3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7. 激发人才活力，着力抓好干部队伍建设</w:t>
      </w:r>
    </w:p>
    <w:p w14:paraId="3D9247F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（1）树立正确选人用人导向。 坚持党管干部原则，严格履行干部选拔任用有关程序。2025年，提拔1名科级干部担任副处级领导职务，提拔1名干部担任内设机构正职领导职务、1名干部担任内设机构副职领导职务，职级晋升二级调研员1人、三级调研员1人、四级调研员1人、三级主任科员2人。</w:t>
      </w:r>
    </w:p>
    <w:p w14:paraId="68B77B7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（2）加快专业人才培养。 加大教育培训力度，积极选派干部职工参加省、市各类培训10余人次。注重提升干部档案学术研究水平。助力提升全市档案人才业务水平，协助市档案局举办了2025年度档案业务培训班，我馆3名业务骨干在培训班上进行了授课。</w:t>
      </w:r>
    </w:p>
    <w:p w14:paraId="7B77395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（3）全力服务全市重点工作。 积极配合第五届湖南旅游发展大会后勤筹备组及第十八届黄埔论坛会议筹备组，根据需要选派3名优秀干部协助第五届旅发大会后勤筹备组开展相关工作。</w:t>
      </w:r>
    </w:p>
    <w:p w14:paraId="337ED04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8. 提升法治意识，助力法治建设提质增效</w:t>
      </w:r>
    </w:p>
    <w:p w14:paraId="4407944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注重提升干部职工法治意识，充分利用每月集中学习的契机，组织全体干部职工认真学习法律法规相关知识。充分利用“宪法宣传周”、“6·9”国际档案日等平台，自觉宣传法治思想、宪法、其他党内法律法规。认真组织开展普法学习，全馆干部职工均达到规定学时，普法考试合格率达100%。</w:t>
      </w:r>
    </w:p>
    <w:p w14:paraId="39B2A14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9. 践行新时代统战使命，助力民族宗教工作高质量发展</w:t>
      </w:r>
    </w:p>
    <w:p w14:paraId="0CAFA54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强化政治引领，将习近平总书记关于统战工作、民族和宗教工作的重要论述及相关法律法规等纳入党组理论学习中心组集体学习。压实工作责任，明确分管领导及科室，将统战工作纳入年度工作要点。强化宣传教育，充分利用电子显示屏等进行民族团结标语及视频宣传。</w:t>
      </w:r>
    </w:p>
    <w:p w14:paraId="33DE1DE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10. 夯实数据管理，提高统计工作精准性</w:t>
      </w:r>
    </w:p>
    <w:p w14:paraId="3696F90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提高思想认识，及时组织传达学习习近平总书记关于统计工作重要讲话重要指示批示和系列重要文件精神。严格落实统计监督相关要求，聚焦日常数据报送、信息核查等基础工作，认真核对数据真实性、完整性，确保统计数据准确，完成了《全国档案事业统计调查报表》填报工作。</w:t>
      </w:r>
    </w:p>
    <w:p w14:paraId="1EE8FD8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p>
    <w:p w14:paraId="5D5CC29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九、存在的问题及原因分析</w:t>
      </w:r>
    </w:p>
    <w:p w14:paraId="18EFED9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1. 理论学习成效不够突出。 理论学习不够深入，缺乏系统性规划，碎片化学习居多，形式不够丰富，浮于表面，学习成果转化不够充分，尤其是在传达学习上级文件精神时联系档案工作实际进行研讨不够深入。对档案工作相关的政策法规学习不够深入系统，存在一知半解、浅尝辄止的情况。</w:t>
      </w:r>
    </w:p>
    <w:p w14:paraId="7F6E634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 创造性开展工作能力有待加强。 开拓创新能力有待进一步提升，工作中习惯于按部就班，大胆创新不够，遵循固有的工作方式和方法。比如档案数字化进程较慢，馆藏数字化率较低；档案资源开发利用不足，对馆藏档案的挖掘不够深入，未能充分发挥档案在资政育人等方面的作用；档案征集范围不够广泛，一些具有特色和价值的档案资料未能纳入馆藏。</w:t>
      </w:r>
    </w:p>
    <w:p w14:paraId="329201F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3. 档案人才队伍建设存在短板。 目前，我馆档案干部队伍在年龄结构、知识储备和专业水平等方面与新时期对档案工作人员的要求存在一定的差距，档案队伍建设有待进一步加强。</w:t>
      </w:r>
    </w:p>
    <w:p w14:paraId="611F021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4. 项目支出预算执行率偏低。 2025年项目支出执行率为59.49%，主要原因是项目支出根据实际工作需要，在保障档案日常保管和查阅利用正常运转的前提下厉行节约，部分工作通过优化内部资源配置完成。今后应进一步细化项目预算编制，提高预算编制的科学性和精准性。</w:t>
      </w:r>
    </w:p>
    <w:p w14:paraId="6FBDAB4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p>
    <w:p w14:paraId="26F098C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十、下一步改进措施</w:t>
      </w:r>
    </w:p>
    <w:p w14:paraId="19290A3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1. 持续深化理论武装。 始终把强化创新理论学习摆在首位，常态化开展集中学习与个人自学，要求党员干部坚持读原著、学原文、悟原理，紧扣核心理论深钻细研，精准把握精神实质，坚持以理论指导实践。</w:t>
      </w:r>
    </w:p>
    <w:p w14:paraId="141758C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 不断提升业务水平。 在提升创新意识上持续用力，聚焦职责使命，拓宽档案收集渠道，加快档案数字化步伐，深入挖掘馆藏档案资源，加强档案资源开发利用，不断提升档案业务水平和社会影响力，更好地服务中心大局。</w:t>
      </w:r>
    </w:p>
    <w:p w14:paraId="1622CE5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3. 加强干部队伍建设。 不断优化档案干部队伍结构，加强老中青结合的梯队培养，积极组织干部职工参加各类业务培训，大力培养干部专业能力，努力造就一支政治强、业务精、作风硬、纪律严的高素质档案干部队伍。</w:t>
      </w:r>
    </w:p>
    <w:p w14:paraId="5136D4A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4. 强化预算绩效管理。 更加全面、细致地制定绩效目标，进一步严肃财经纪律，在实施过程中遵循“实事求是、尊重客观、力求精准”的原则。落实内控制度，严肃执行“三重一大”的原则。加强对财政资金的拨付和使用管理，加强对财务干部职工的业务培训，强化预算管理意识，严格执行预算，做到按项目核算，确保专款专用。</w:t>
      </w:r>
    </w:p>
    <w:p w14:paraId="1CB1EB5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p>
    <w:p w14:paraId="4BC9209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十一、绩效自评结果拟应用和公开情况</w:t>
      </w:r>
    </w:p>
    <w:p w14:paraId="6108F16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我单位将针对绩效自评中发现的问题，加强与相关业务部门的沟通协调，采取切实可行的整改举措并落实到位，进一步重视绩效考核激励作用，扎实做好绩效评价工作，提高财政资金的使用效益。将绩效自评结果作为本单位完善政策和改进管理的重要依据，将绩效结果与预算安排挂钩，真正体现奖优罚劣的绩效导向。同时，按照统一部署，除涉密事项外，于6月30日前将绩效自评报告在门户网站公开，接受社会监督。</w:t>
      </w:r>
    </w:p>
    <w:p w14:paraId="5714211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p>
    <w:p w14:paraId="39D3219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十二、其他需要说明的情况</w:t>
      </w:r>
    </w:p>
    <w:p w14:paraId="76EA6AC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自评报告的数据来源于2025年度账务和决算报表。2025年我单位无政府性基金预算支出、国有资本经营预算支出和社会保险基金预算支出。</w:t>
      </w:r>
    </w:p>
    <w:p w14:paraId="38E6647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报告包括以下附件：</w:t>
      </w:r>
    </w:p>
    <w:p w14:paraId="04BE7B6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1. 部门整体支出绩效评价基础数据表</w:t>
      </w:r>
    </w:p>
    <w:p w14:paraId="4EF796A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2. 部门整体支出绩效自评表</w:t>
      </w:r>
    </w:p>
    <w:p w14:paraId="61BABC5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公文仿宋" w:hAnsi="方正公文仿宋" w:eastAsia="方正公文仿宋" w:cs="方正公文仿宋"/>
          <w:sz w:val="32"/>
          <w:szCs w:val="32"/>
        </w:rPr>
      </w:pPr>
      <w:r>
        <w:rPr>
          <w:rFonts w:hint="eastAsia" w:ascii="方正公文仿宋" w:hAnsi="方正公文仿宋" w:eastAsia="方正公文仿宋" w:cs="方正公文仿宋"/>
          <w:sz w:val="32"/>
          <w:szCs w:val="32"/>
        </w:rPr>
        <w:t>3. 项目支出绩效自评表</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AC65FC2-99A8-4DDE-AA5E-96479467E6F7}"/>
  </w:font>
  <w:font w:name="方正公文仿宋">
    <w:panose1 w:val="02000500000000000000"/>
    <w:charset w:val="86"/>
    <w:family w:val="auto"/>
    <w:pitch w:val="default"/>
    <w:sig w:usb0="A00002BF" w:usb1="38CF7CFA" w:usb2="00000016" w:usb3="00000000" w:csb0="00040001" w:csb1="00000000"/>
    <w:embedRegular r:id="rId2" w:fontKey="{8DE9DF9B-09BE-4D46-8822-46F3BFBA7CEB}"/>
  </w:font>
  <w:font w:name="方正小标宋简体">
    <w:panose1 w:val="03000509000000000000"/>
    <w:charset w:val="86"/>
    <w:family w:val="auto"/>
    <w:pitch w:val="default"/>
    <w:sig w:usb0="00000001" w:usb1="080E0000" w:usb2="00000000" w:usb3="00000000" w:csb0="00040000" w:csb1="00000000"/>
    <w:embedRegular r:id="rId3" w:fontKey="{0952184B-62AE-40F6-877F-89603F646B8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1B97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94BC01">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94BC01">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0B32F6"/>
    <w:rsid w:val="039E565E"/>
    <w:rsid w:val="2F857104"/>
    <w:rsid w:val="43872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51</Words>
  <Characters>60</Characters>
  <Lines>0</Lines>
  <Paragraphs>0</Paragraphs>
  <TotalTime>35</TotalTime>
  <ScaleCrop>false</ScaleCrop>
  <LinksUpToDate>false</LinksUpToDate>
  <CharactersWithSpaces>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2026-06-29T13:01:00Z</dcterms:created>
  <dc:creator>a</dc:creator>
  <cp:lastModifiedBy>道银平</cp:lastModifiedBy>
  <dcterms:modified xsi:type="dcterms:W3CDTF">2026-09-29T09:09:25Z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eyJoZGlkIjoiMzJkNTlmMzIxYmIzYTI2NGU1ODEyNjEyMDhjZDkxYTEiLCJ1c2VySWQiOiIyNTg0MTYzMDIifQ==</vt:lpwstr>
  </property>
  <property fmtid="{D5CDD505-2E9C-101B-9397-08002B2CF9AE}" pid="4" name="ICV">
    <vt:lpwstr>6AC32B4DF641462A954556DAFC0CD3E5_12</vt:lpwstr>
  </property>
</Properties>
</file>