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0388B2">
      <w:pPr>
        <w:pStyle w:val="16"/>
        <w:jc w:val="center"/>
        <w:rPr>
          <w:sz w:val="56"/>
          <w:szCs w:val="56"/>
        </w:rPr>
      </w:pPr>
      <w:r>
        <w:rPr>
          <w:sz w:val="56"/>
        </w:rPr>
        <mc:AlternateContent>
          <mc:Choice Requires="wps">
            <w:drawing>
              <wp:anchor distT="0" distB="0" distL="114300" distR="114300" simplePos="0" relativeHeight="251659264" behindDoc="0" locked="0" layoutInCell="1" allowOverlap="1">
                <wp:simplePos x="0" y="0"/>
                <wp:positionH relativeFrom="column">
                  <wp:posOffset>-236220</wp:posOffset>
                </wp:positionH>
                <wp:positionV relativeFrom="paragraph">
                  <wp:posOffset>-297180</wp:posOffset>
                </wp:positionV>
                <wp:extent cx="1523365" cy="517525"/>
                <wp:effectExtent l="0" t="0" r="635" b="15875"/>
                <wp:wrapNone/>
                <wp:docPr id="1" name="文本框 1"/>
                <wp:cNvGraphicFramePr/>
                <a:graphic xmlns:a="http://schemas.openxmlformats.org/drawingml/2006/main">
                  <a:graphicData uri="http://schemas.microsoft.com/office/word/2010/wordprocessingShape">
                    <wps:wsp>
                      <wps:cNvSpPr txBox="1"/>
                      <wps:spPr>
                        <a:xfrm>
                          <a:off x="1799590" y="935990"/>
                          <a:ext cx="1523365" cy="5175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04B7B0FD">
                            <w:pPr>
                              <w:rPr>
                                <w:rFonts w:ascii="楷体" w:hAnsi="楷体" w:eastAsia="楷体" w:cs="楷体"/>
                                <w:sz w:val="30"/>
                                <w:szCs w:val="30"/>
                              </w:rPr>
                            </w:pPr>
                            <w:r>
                              <w:rPr>
                                <w:rFonts w:hint="eastAsia" w:ascii="楷体" w:hAnsi="楷体" w:eastAsia="楷体" w:cs="楷体"/>
                                <w:sz w:val="30"/>
                                <w:szCs w:val="30"/>
                              </w:rPr>
                              <w:t>附件1：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6pt;margin-top:-23.4pt;height:40.75pt;width:119.95pt;z-index:251659264;mso-width-relative:page;mso-height-relative:page;" fillcolor="#FFFFFF [3201]" filled="t" stroked="f" coordsize="21600,21600" o:gfxdata="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cvAmUNYAAAAK&#10;AQAADwAAAAAAAAABACAAAAAiAAAAZHJzL2Rvd25yZXYueG1sUEsBAhQAFAAAAAgAh07iQEe/k8dX&#10;AgAAmgQAAA4AAAAAAAAAAQAgAAAAJQEAAGRycy9lMm9Eb2MueG1sUEsFBgAAAAAGAAYAWQEAAO4F&#10;AAAAAA==&#10;">
                <v:fill on="t" focussize="0,0"/>
                <v:stroke on="f" weight="0.5pt"/>
                <v:imagedata o:title=""/>
                <o:lock v:ext="edit" aspectratio="f"/>
                <v:textbox>
                  <w:txbxContent>
                    <w:p w14:paraId="04B7B0FD">
                      <w:pPr>
                        <w:rPr>
                          <w:rFonts w:ascii="楷体" w:hAnsi="楷体" w:eastAsia="楷体" w:cs="楷体"/>
                          <w:sz w:val="30"/>
                          <w:szCs w:val="30"/>
                        </w:rPr>
                      </w:pPr>
                      <w:r>
                        <w:rPr>
                          <w:rFonts w:hint="eastAsia" w:ascii="楷体" w:hAnsi="楷体" w:eastAsia="楷体" w:cs="楷体"/>
                          <w:sz w:val="30"/>
                          <w:szCs w:val="30"/>
                        </w:rPr>
                        <w:t>附件1：</w:t>
                      </w:r>
                    </w:p>
                  </w:txbxContent>
                </v:textbox>
              </v:shape>
            </w:pict>
          </mc:Fallback>
        </mc:AlternateContent>
      </w:r>
    </w:p>
    <w:p w14:paraId="79D8C33B">
      <w:pPr>
        <w:pStyle w:val="16"/>
        <w:jc w:val="center"/>
        <w:rPr>
          <w:sz w:val="56"/>
          <w:szCs w:val="56"/>
        </w:rPr>
      </w:pPr>
    </w:p>
    <w:p w14:paraId="584C1EC2">
      <w:pPr>
        <w:pStyle w:val="16"/>
        <w:jc w:val="center"/>
        <w:rPr>
          <w:sz w:val="84"/>
          <w:szCs w:val="84"/>
        </w:rPr>
      </w:pPr>
    </w:p>
    <w:p w14:paraId="3DE07D5D">
      <w:pPr>
        <w:pStyle w:val="16"/>
        <w:jc w:val="center"/>
        <w:rPr>
          <w:sz w:val="84"/>
          <w:szCs w:val="84"/>
        </w:rPr>
      </w:pPr>
    </w:p>
    <w:p w14:paraId="648F609F">
      <w:pPr>
        <w:pStyle w:val="16"/>
        <w:jc w:val="center"/>
        <w:rPr>
          <w:rFonts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lang w:eastAsia="zh-CN"/>
        </w:rPr>
        <w:t>2025</w:t>
      </w:r>
      <w:r>
        <w:rPr>
          <w:rFonts w:hint="eastAsia" w:ascii="方正小标宋_GBK" w:hAnsi="方正小标宋_GBK" w:eastAsia="方正小标宋_GBK" w:cs="方正小标宋_GBK"/>
          <w:sz w:val="72"/>
          <w:szCs w:val="72"/>
        </w:rPr>
        <w:t>年度</w:t>
      </w:r>
    </w:p>
    <w:p w14:paraId="70030B76">
      <w:pPr>
        <w:pStyle w:val="16"/>
        <w:jc w:val="center"/>
        <w:rPr>
          <w:rFonts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怀化市文学艺术界联合会</w:t>
      </w:r>
    </w:p>
    <w:p w14:paraId="50F584A8">
      <w:pPr>
        <w:pStyle w:val="16"/>
        <w:jc w:val="center"/>
        <w:rPr>
          <w:rFonts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部门决算</w:t>
      </w:r>
    </w:p>
    <w:p w14:paraId="24198C82">
      <w:pPr>
        <w:pStyle w:val="16"/>
        <w:jc w:val="center"/>
        <w:rPr>
          <w:rFonts w:ascii="方正小标宋_GBK" w:hAnsi="方正小标宋_GBK" w:eastAsia="方正小标宋_GBK" w:cs="方正小标宋_GBK"/>
          <w:sz w:val="56"/>
          <w:szCs w:val="56"/>
        </w:rPr>
      </w:pPr>
    </w:p>
    <w:p w14:paraId="6F87BD64">
      <w:pPr>
        <w:pStyle w:val="16"/>
        <w:jc w:val="center"/>
        <w:rPr>
          <w:sz w:val="56"/>
          <w:szCs w:val="56"/>
        </w:rPr>
      </w:pPr>
    </w:p>
    <w:p w14:paraId="07466CBE">
      <w:pPr>
        <w:pStyle w:val="16"/>
        <w:jc w:val="center"/>
        <w:rPr>
          <w:sz w:val="56"/>
          <w:szCs w:val="56"/>
        </w:rPr>
      </w:pPr>
    </w:p>
    <w:p w14:paraId="10AF6468">
      <w:pPr>
        <w:pStyle w:val="16"/>
        <w:jc w:val="center"/>
        <w:rPr>
          <w:sz w:val="56"/>
          <w:szCs w:val="56"/>
        </w:rPr>
      </w:pPr>
    </w:p>
    <w:p w14:paraId="6875B4EA">
      <w:pPr>
        <w:pStyle w:val="16"/>
        <w:jc w:val="center"/>
        <w:rPr>
          <w:sz w:val="32"/>
          <w:szCs w:val="32"/>
        </w:rPr>
      </w:pPr>
    </w:p>
    <w:p w14:paraId="5864B1C9">
      <w:pPr>
        <w:pStyle w:val="16"/>
        <w:jc w:val="center"/>
        <w:rPr>
          <w:sz w:val="32"/>
          <w:szCs w:val="32"/>
        </w:rPr>
      </w:pPr>
    </w:p>
    <w:p w14:paraId="3750460B">
      <w:pPr>
        <w:pStyle w:val="16"/>
        <w:jc w:val="center"/>
        <w:rPr>
          <w:sz w:val="32"/>
          <w:szCs w:val="32"/>
        </w:rPr>
      </w:pPr>
    </w:p>
    <w:p w14:paraId="52E09387">
      <w:pPr>
        <w:pStyle w:val="16"/>
        <w:jc w:val="center"/>
        <w:rPr>
          <w:sz w:val="32"/>
          <w:szCs w:val="32"/>
        </w:rPr>
      </w:pPr>
    </w:p>
    <w:p w14:paraId="5F1AB037">
      <w:pPr>
        <w:pStyle w:val="16"/>
        <w:jc w:val="center"/>
        <w:rPr>
          <w:sz w:val="32"/>
          <w:szCs w:val="32"/>
        </w:rPr>
      </w:pPr>
    </w:p>
    <w:p w14:paraId="3B753A04">
      <w:pPr>
        <w:pStyle w:val="16"/>
        <w:spacing w:line="540" w:lineRule="exact"/>
        <w:jc w:val="center"/>
        <w:rPr>
          <w:sz w:val="56"/>
          <w:szCs w:val="56"/>
        </w:rPr>
      </w:pPr>
    </w:p>
    <w:p w14:paraId="700E9BE4">
      <w:pPr>
        <w:pStyle w:val="16"/>
        <w:spacing w:line="500" w:lineRule="exact"/>
        <w:jc w:val="center"/>
        <w:rPr>
          <w:b/>
          <w:sz w:val="36"/>
          <w:szCs w:val="28"/>
        </w:rPr>
      </w:pPr>
      <w:r>
        <w:rPr>
          <w:rFonts w:hint="eastAsia"/>
          <w:b/>
          <w:sz w:val="36"/>
          <w:szCs w:val="28"/>
        </w:rPr>
        <w:t>目录</w:t>
      </w:r>
    </w:p>
    <w:p w14:paraId="1D777514">
      <w:pPr>
        <w:pStyle w:val="16"/>
        <w:spacing w:line="500" w:lineRule="exact"/>
        <w:rPr>
          <w:rFonts w:hAnsi="黑体"/>
          <w:bCs/>
          <w:sz w:val="28"/>
          <w:szCs w:val="28"/>
        </w:rPr>
      </w:pPr>
      <w:r>
        <w:rPr>
          <w:rFonts w:hint="eastAsia" w:hAnsi="黑体"/>
          <w:bCs/>
          <w:sz w:val="28"/>
          <w:szCs w:val="28"/>
        </w:rPr>
        <w:t>第一部分 怀化市文学艺术界联合会概况</w:t>
      </w:r>
    </w:p>
    <w:p w14:paraId="41020476">
      <w:pPr>
        <w:pStyle w:val="16"/>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14:paraId="41B2642D">
      <w:pPr>
        <w:pStyle w:val="16"/>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二、机构设置</w:t>
      </w:r>
    </w:p>
    <w:p w14:paraId="50009E9D">
      <w:pPr>
        <w:pStyle w:val="16"/>
        <w:spacing w:line="500" w:lineRule="exact"/>
        <w:rPr>
          <w:rFonts w:hAnsi="黑体"/>
          <w:bCs/>
          <w:sz w:val="28"/>
          <w:szCs w:val="28"/>
        </w:rPr>
      </w:pPr>
      <w:r>
        <w:rPr>
          <w:rFonts w:hint="eastAsia" w:hAnsi="黑体"/>
          <w:bCs/>
          <w:sz w:val="28"/>
          <w:szCs w:val="28"/>
        </w:rPr>
        <w:t>第二部分 部门决算表</w:t>
      </w:r>
    </w:p>
    <w:p w14:paraId="4771E003">
      <w:pPr>
        <w:pStyle w:val="16"/>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14:paraId="14D64A61">
      <w:pPr>
        <w:pStyle w:val="16"/>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14:paraId="65F116E4">
      <w:pPr>
        <w:pStyle w:val="16"/>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14:paraId="24F41025">
      <w:pPr>
        <w:pStyle w:val="16"/>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14:paraId="23867C15">
      <w:pPr>
        <w:pStyle w:val="16"/>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14:paraId="6239FA00">
      <w:pPr>
        <w:pStyle w:val="16"/>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14:paraId="034F5EC0">
      <w:pPr>
        <w:pStyle w:val="16"/>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14:paraId="15AF8A16">
      <w:pPr>
        <w:pStyle w:val="16"/>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14:paraId="437D336A">
      <w:pPr>
        <w:pStyle w:val="16"/>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14:paraId="451AF11C">
      <w:pPr>
        <w:pStyle w:val="16"/>
        <w:spacing w:line="500" w:lineRule="exact"/>
        <w:rPr>
          <w:rFonts w:hAnsi="黑体"/>
          <w:bCs/>
          <w:sz w:val="28"/>
          <w:szCs w:val="28"/>
        </w:rPr>
      </w:pPr>
      <w:r>
        <w:rPr>
          <w:rFonts w:hint="eastAsia" w:hAnsi="黑体"/>
          <w:bCs/>
          <w:sz w:val="28"/>
          <w:szCs w:val="28"/>
        </w:rPr>
        <w:t>第三部分 部门决算情况说明</w:t>
      </w:r>
    </w:p>
    <w:p w14:paraId="4E54DD40">
      <w:pPr>
        <w:pStyle w:val="16"/>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14:paraId="0748A463">
      <w:pPr>
        <w:spacing w:line="500" w:lineRule="exact"/>
        <w:ind w:firstLine="700" w:firstLineChars="25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14:paraId="1025ED95">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14:paraId="759D9F56">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14:paraId="40D61B88">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14:paraId="348E1625">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14:paraId="0BDE55C5">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七、财政拨款三公经费支出决算情况说明</w:t>
      </w:r>
    </w:p>
    <w:p w14:paraId="509B54AE">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八、政府性基金预算收入支出决算情况</w:t>
      </w:r>
    </w:p>
    <w:p w14:paraId="4DE2C9E4">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lang w:eastAsia="zh-CN"/>
        </w:rPr>
      </w:pPr>
      <w:r>
        <w:rPr>
          <w:rFonts w:hint="eastAsia" w:ascii="仿宋_GB2312" w:hAnsi="仿宋_GB2312" w:eastAsia="仿宋_GB2312" w:cs="仿宋_GB2312"/>
          <w:color w:val="000000"/>
          <w:kern w:val="0"/>
          <w:sz w:val="28"/>
          <w:szCs w:val="28"/>
          <w:lang w:eastAsia="zh-CN"/>
        </w:rPr>
        <w:t>九、</w:t>
      </w:r>
      <w:r>
        <w:rPr>
          <w:rFonts w:hint="eastAsia" w:ascii="仿宋_GB2312" w:hAnsi="仿宋_GB2312" w:eastAsia="仿宋_GB2312" w:cs="仿宋_GB2312"/>
          <w:color w:val="000000"/>
          <w:kern w:val="0"/>
          <w:sz w:val="28"/>
          <w:szCs w:val="28"/>
          <w:lang w:val="en-US" w:eastAsia="zh-CN"/>
        </w:rPr>
        <w:t>国有资本经营预算收入支出决算情况</w:t>
      </w:r>
    </w:p>
    <w:p w14:paraId="538F5E6B">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eastAsia="zh-CN"/>
        </w:rPr>
        <w:t>十</w:t>
      </w:r>
      <w:r>
        <w:rPr>
          <w:rFonts w:hint="eastAsia" w:ascii="仿宋_GB2312" w:hAnsi="仿宋_GB2312" w:eastAsia="仿宋_GB2312" w:cs="仿宋_GB2312"/>
          <w:color w:val="000000"/>
          <w:kern w:val="0"/>
          <w:sz w:val="28"/>
          <w:szCs w:val="28"/>
        </w:rPr>
        <w:t>、关于机关运行经费支出说明</w:t>
      </w:r>
    </w:p>
    <w:p w14:paraId="4A4F4CF0">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w:t>
      </w:r>
      <w:r>
        <w:rPr>
          <w:rFonts w:hint="eastAsia" w:ascii="仿宋_GB2312" w:hAnsi="仿宋_GB2312" w:eastAsia="仿宋_GB2312" w:cs="仿宋_GB2312"/>
          <w:color w:val="000000"/>
          <w:kern w:val="0"/>
          <w:sz w:val="28"/>
          <w:szCs w:val="28"/>
          <w:lang w:eastAsia="zh-CN"/>
        </w:rPr>
        <w:t>一</w:t>
      </w:r>
      <w:r>
        <w:rPr>
          <w:rFonts w:hint="eastAsia" w:ascii="仿宋_GB2312" w:hAnsi="仿宋_GB2312" w:eastAsia="仿宋_GB2312" w:cs="仿宋_GB2312"/>
          <w:color w:val="000000"/>
          <w:kern w:val="0"/>
          <w:sz w:val="28"/>
          <w:szCs w:val="28"/>
        </w:rPr>
        <w:t>、一般性支出情况说明</w:t>
      </w:r>
    </w:p>
    <w:p w14:paraId="2051E4D8">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w:t>
      </w:r>
      <w:r>
        <w:rPr>
          <w:rFonts w:hint="eastAsia" w:ascii="仿宋_GB2312" w:hAnsi="仿宋_GB2312" w:eastAsia="仿宋_GB2312" w:cs="仿宋_GB2312"/>
          <w:color w:val="000000"/>
          <w:kern w:val="0"/>
          <w:sz w:val="28"/>
          <w:szCs w:val="28"/>
          <w:lang w:eastAsia="zh-CN"/>
        </w:rPr>
        <w:t>二</w:t>
      </w:r>
      <w:r>
        <w:rPr>
          <w:rFonts w:hint="eastAsia" w:ascii="仿宋_GB2312" w:hAnsi="仿宋_GB2312" w:eastAsia="仿宋_GB2312" w:cs="仿宋_GB2312"/>
          <w:color w:val="000000"/>
          <w:kern w:val="0"/>
          <w:sz w:val="28"/>
          <w:szCs w:val="28"/>
        </w:rPr>
        <w:t>、关于政府采购支出说明</w:t>
      </w:r>
    </w:p>
    <w:p w14:paraId="19362E55">
      <w:pPr>
        <w:pStyle w:val="16"/>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十</w:t>
      </w:r>
      <w:r>
        <w:rPr>
          <w:rFonts w:hint="eastAsia" w:ascii="仿宋_GB2312" w:hAnsi="仿宋_GB2312" w:eastAsia="仿宋_GB2312" w:cs="仿宋_GB2312"/>
          <w:sz w:val="28"/>
          <w:szCs w:val="28"/>
          <w:lang w:eastAsia="zh-CN"/>
        </w:rPr>
        <w:t>三</w:t>
      </w:r>
      <w:r>
        <w:rPr>
          <w:rFonts w:hint="eastAsia" w:ascii="仿宋_GB2312" w:hAnsi="仿宋_GB2312" w:eastAsia="仿宋_GB2312" w:cs="仿宋_GB2312"/>
          <w:sz w:val="28"/>
          <w:szCs w:val="28"/>
        </w:rPr>
        <w:t>、关于国有资产占用情况说明</w:t>
      </w:r>
    </w:p>
    <w:p w14:paraId="169FF677">
      <w:pPr>
        <w:pStyle w:val="16"/>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十</w:t>
      </w:r>
      <w:r>
        <w:rPr>
          <w:rFonts w:hint="eastAsia" w:ascii="仿宋_GB2312" w:hAnsi="仿宋_GB2312" w:eastAsia="仿宋_GB2312" w:cs="仿宋_GB2312"/>
          <w:sz w:val="28"/>
          <w:szCs w:val="28"/>
          <w:lang w:eastAsia="zh-CN"/>
        </w:rPr>
        <w:t>四</w:t>
      </w:r>
      <w:r>
        <w:rPr>
          <w:rFonts w:hint="eastAsia" w:ascii="仿宋_GB2312" w:hAnsi="仿宋_GB2312" w:eastAsia="仿宋_GB2312" w:cs="仿宋_GB2312"/>
          <w:sz w:val="28"/>
          <w:szCs w:val="28"/>
        </w:rPr>
        <w:t>、关于</w:t>
      </w:r>
      <w:r>
        <w:rPr>
          <w:rFonts w:hint="eastAsia" w:ascii="Times New Roman" w:hAnsi="Times New Roman" w:eastAsia="仿宋_GB2312" w:cs="Times New Roman"/>
          <w:sz w:val="28"/>
          <w:szCs w:val="28"/>
          <w:lang w:eastAsia="zh-CN"/>
        </w:rPr>
        <w:t>2025</w:t>
      </w:r>
      <w:r>
        <w:rPr>
          <w:rFonts w:hint="eastAsia" w:ascii="仿宋_GB2312" w:hAnsi="仿宋_GB2312" w:eastAsia="仿宋_GB2312" w:cs="仿宋_GB2312"/>
          <w:sz w:val="28"/>
          <w:szCs w:val="28"/>
        </w:rPr>
        <w:t>年度预算绩效情况的说明</w:t>
      </w:r>
    </w:p>
    <w:p w14:paraId="0A232D02">
      <w:pPr>
        <w:pStyle w:val="16"/>
        <w:spacing w:line="500" w:lineRule="exact"/>
        <w:rPr>
          <w:rFonts w:hAnsi="黑体"/>
          <w:bCs/>
          <w:sz w:val="28"/>
          <w:szCs w:val="28"/>
        </w:rPr>
      </w:pPr>
      <w:r>
        <w:rPr>
          <w:rFonts w:hint="eastAsia" w:hAnsi="黑体"/>
          <w:bCs/>
          <w:sz w:val="28"/>
          <w:szCs w:val="28"/>
        </w:rPr>
        <w:t>第四部分 名词解释</w:t>
      </w:r>
    </w:p>
    <w:p w14:paraId="4196435B">
      <w:pPr>
        <w:pStyle w:val="16"/>
        <w:spacing w:line="500" w:lineRule="exact"/>
        <w:rPr>
          <w:rFonts w:hAnsi="黑体"/>
          <w:bCs/>
          <w:sz w:val="28"/>
          <w:szCs w:val="28"/>
        </w:rPr>
      </w:pPr>
      <w:r>
        <w:rPr>
          <w:rFonts w:hint="eastAsia" w:hAnsi="黑体"/>
          <w:bCs/>
          <w:sz w:val="28"/>
          <w:szCs w:val="28"/>
        </w:rPr>
        <w:t>第五部分 附件</w:t>
      </w:r>
    </w:p>
    <w:p w14:paraId="75286504">
      <w:pPr>
        <w:pStyle w:val="16"/>
        <w:spacing w:line="500" w:lineRule="exact"/>
        <w:rPr>
          <w:rFonts w:hAnsi="黑体"/>
          <w:bCs/>
          <w:sz w:val="28"/>
          <w:szCs w:val="28"/>
        </w:rPr>
      </w:pPr>
    </w:p>
    <w:p w14:paraId="4DA5259B">
      <w:pPr>
        <w:jc w:val="center"/>
        <w:rPr>
          <w:sz w:val="72"/>
          <w:szCs w:val="72"/>
        </w:rPr>
      </w:pPr>
    </w:p>
    <w:p w14:paraId="292417E5">
      <w:pPr>
        <w:pStyle w:val="8"/>
      </w:pPr>
    </w:p>
    <w:p w14:paraId="606E1E5E">
      <w:pPr>
        <w:pStyle w:val="4"/>
        <w:ind w:firstLine="480"/>
      </w:pPr>
    </w:p>
    <w:p w14:paraId="024FB921"/>
    <w:p w14:paraId="5E3618CE">
      <w:pPr>
        <w:pStyle w:val="8"/>
      </w:pPr>
    </w:p>
    <w:p w14:paraId="05C1B52A">
      <w:pPr>
        <w:pStyle w:val="4"/>
        <w:ind w:firstLine="480"/>
      </w:pPr>
    </w:p>
    <w:p w14:paraId="6B3C782A"/>
    <w:p w14:paraId="17D98B9F">
      <w:pPr>
        <w:pStyle w:val="8"/>
      </w:pPr>
    </w:p>
    <w:p w14:paraId="6AA01E92">
      <w:pPr>
        <w:pStyle w:val="4"/>
        <w:ind w:firstLine="480"/>
      </w:pPr>
    </w:p>
    <w:p w14:paraId="51E49F9F"/>
    <w:p w14:paraId="5E078B17">
      <w:pPr>
        <w:pStyle w:val="8"/>
      </w:pPr>
    </w:p>
    <w:p w14:paraId="581B7B49">
      <w:pPr>
        <w:pStyle w:val="4"/>
        <w:ind w:firstLine="480"/>
      </w:pPr>
    </w:p>
    <w:p w14:paraId="59EC91B8"/>
    <w:p w14:paraId="78501588">
      <w:pPr>
        <w:pStyle w:val="8"/>
      </w:pPr>
    </w:p>
    <w:p w14:paraId="42303F33">
      <w:pPr>
        <w:pStyle w:val="4"/>
        <w:ind w:firstLine="480"/>
      </w:pPr>
    </w:p>
    <w:p w14:paraId="0BC4B745"/>
    <w:p w14:paraId="09D87D0E">
      <w:pPr>
        <w:pStyle w:val="8"/>
      </w:pPr>
    </w:p>
    <w:p w14:paraId="0FA0C34D">
      <w:pPr>
        <w:pStyle w:val="16"/>
        <w:jc w:val="center"/>
        <w:rPr>
          <w:rFonts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 xml:space="preserve">第一部分 </w:t>
      </w:r>
    </w:p>
    <w:p w14:paraId="3B89A7E6">
      <w:pPr>
        <w:pStyle w:val="16"/>
        <w:jc w:val="center"/>
        <w:rPr>
          <w:rFonts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怀化市文学艺术界联合会概况</w:t>
      </w:r>
    </w:p>
    <w:p w14:paraId="42B5E37E">
      <w:pPr>
        <w:jc w:val="center"/>
        <w:rPr>
          <w:sz w:val="72"/>
          <w:szCs w:val="72"/>
        </w:rPr>
      </w:pPr>
    </w:p>
    <w:p w14:paraId="6768B47D">
      <w:pPr>
        <w:pStyle w:val="8"/>
      </w:pPr>
    </w:p>
    <w:p w14:paraId="6DAB840A">
      <w:pPr>
        <w:pStyle w:val="4"/>
        <w:ind w:firstLine="480"/>
      </w:pPr>
    </w:p>
    <w:p w14:paraId="70923ABD"/>
    <w:p w14:paraId="3395C211">
      <w:pPr>
        <w:pStyle w:val="8"/>
      </w:pPr>
    </w:p>
    <w:p w14:paraId="6948589D">
      <w:pPr>
        <w:pStyle w:val="4"/>
        <w:ind w:firstLine="480"/>
      </w:pPr>
    </w:p>
    <w:p w14:paraId="233B5F8E"/>
    <w:p w14:paraId="6B39006C">
      <w:pPr>
        <w:pStyle w:val="8"/>
      </w:pPr>
    </w:p>
    <w:p w14:paraId="3FA1B7B5">
      <w:pPr>
        <w:pStyle w:val="4"/>
        <w:ind w:firstLine="480"/>
      </w:pPr>
    </w:p>
    <w:p w14:paraId="15E090E8"/>
    <w:p w14:paraId="3D01B068">
      <w:pPr>
        <w:pStyle w:val="8"/>
      </w:pPr>
    </w:p>
    <w:p w14:paraId="0B6473FC">
      <w:pPr>
        <w:pStyle w:val="16"/>
        <w:bidi w:val="0"/>
      </w:pPr>
    </w:p>
    <w:p w14:paraId="0F6D5871"/>
    <w:p w14:paraId="5CD13064">
      <w:pPr>
        <w:pStyle w:val="8"/>
        <w:rPr>
          <w:rFonts w:hint="eastAsia"/>
        </w:rPr>
      </w:pPr>
    </w:p>
    <w:p w14:paraId="436C42D4">
      <w:pPr>
        <w:pStyle w:val="17"/>
        <w:numPr>
          <w:ilvl w:val="0"/>
          <w:numId w:val="1"/>
        </w:numPr>
        <w:ind w:firstLineChars="0"/>
        <w:jc w:val="left"/>
        <w:rPr>
          <w:rFonts w:ascii="黑体" w:hAnsi="黑体" w:eastAsia="黑体" w:cs="黑体"/>
          <w:sz w:val="32"/>
          <w:szCs w:val="32"/>
        </w:rPr>
      </w:pPr>
      <w:r>
        <w:rPr>
          <w:rFonts w:hint="eastAsia" w:ascii="黑体" w:hAnsi="黑体" w:eastAsia="黑体" w:cs="黑体"/>
          <w:sz w:val="32"/>
          <w:szCs w:val="32"/>
        </w:rPr>
        <w:t>部门职责</w:t>
      </w:r>
    </w:p>
    <w:p w14:paraId="2B9F2706">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怀化市文学艺术界联合会是党委政府联系文艺家的群众团体，按照科学发展观的要求，坚持文艺“为人民服务，为社会主义服务”的方向和“百花齐放，百家争鸣”的方针，充分发挥文联“团结引导、联络协调、服务管理、自律维权”的职能，着力发挥好党委政府和文艺家之间的桥梁纽带作用，不断探索新形势下文学艺术创作的新途径，积极组织全市文艺工作者开展文艺创作，文艺演出、展览、评奖、研讨和交流等活动，激发文艺工作者的创作热情，做好各个艺术门类及各艺术类别的联络、协调、服务指导工作。进一步拓展服务基层的渠道，提高服务群众的水平，繁荣我市文艺事业.</w:t>
      </w:r>
    </w:p>
    <w:p w14:paraId="5BB3B63E">
      <w:pPr>
        <w:widowControl/>
        <w:spacing w:line="600" w:lineRule="exact"/>
        <w:rPr>
          <w:rFonts w:ascii="黑体" w:hAnsi="黑体" w:eastAsia="黑体" w:cs="黑体"/>
          <w:bCs/>
          <w:kern w:val="0"/>
          <w:sz w:val="32"/>
          <w:szCs w:val="32"/>
        </w:rPr>
      </w:pPr>
      <w:r>
        <w:rPr>
          <w:rFonts w:hint="eastAsia" w:ascii="黑体" w:hAnsi="黑体" w:eastAsia="黑体" w:cs="黑体"/>
          <w:bCs/>
          <w:kern w:val="0"/>
          <w:sz w:val="32"/>
          <w:szCs w:val="32"/>
        </w:rPr>
        <w:t>二、机构设置及决算单位构成</w:t>
      </w:r>
    </w:p>
    <w:p w14:paraId="58ECCFE4">
      <w:pPr>
        <w:widowControl/>
        <w:rPr>
          <w:rFonts w:hint="eastAsia" w:ascii="Times New Roman" w:hAnsi="Times New Roman" w:eastAsia="仿宋_GB2312" w:cs="黑体"/>
          <w:color w:val="000000"/>
          <w:kern w:val="0"/>
          <w:sz w:val="32"/>
          <w:szCs w:val="32"/>
          <w:lang w:val="en-US" w:eastAsia="zh-CN" w:bidi="ar-SA"/>
        </w:rPr>
      </w:pPr>
      <w:r>
        <w:rPr>
          <w:rFonts w:ascii="Times New Roman" w:hAnsi="Times New Roman" w:eastAsia="宋体" w:cs="Times New Roman"/>
          <w:color w:val="000000"/>
          <w:kern w:val="0"/>
          <w:sz w:val="32"/>
          <w:szCs w:val="32"/>
        </w:rPr>
        <w:t>（一）内设机构设置。</w:t>
      </w:r>
      <w:r>
        <w:rPr>
          <w:rFonts w:hint="eastAsia" w:ascii="仿宋" w:hAnsi="仿宋" w:eastAsia="仿宋" w:cs="宋体"/>
          <w:color w:val="000000"/>
          <w:kern w:val="0"/>
          <w:sz w:val="32"/>
          <w:szCs w:val="32"/>
        </w:rPr>
        <w:t>怀</w:t>
      </w:r>
      <w:r>
        <w:rPr>
          <w:rFonts w:hint="eastAsia" w:ascii="Times New Roman" w:hAnsi="Times New Roman" w:eastAsia="仿宋_GB2312" w:cs="黑体"/>
          <w:color w:val="000000"/>
          <w:kern w:val="0"/>
          <w:sz w:val="32"/>
          <w:szCs w:val="32"/>
          <w:lang w:val="en-US" w:eastAsia="zh-CN" w:bidi="ar-SA"/>
        </w:rPr>
        <w:t>化市文学艺术界联合会作为一级预算单位，内设机构包括：办公室、组织联络科。二级部门预算单位：怀化文艺创作服务中心(无内设机构、财务未独立核算)</w:t>
      </w:r>
    </w:p>
    <w:p w14:paraId="2D32034C">
      <w:pPr>
        <w:widowControl/>
        <w:jc w:val="left"/>
        <w:rPr>
          <w:rFonts w:hint="eastAsia" w:ascii="Times New Roman" w:hAnsi="Times New Roman" w:eastAsia="仿宋_GB2312" w:cs="黑体"/>
          <w:color w:val="000000"/>
          <w:kern w:val="0"/>
          <w:sz w:val="32"/>
          <w:szCs w:val="32"/>
          <w:lang w:val="en-US" w:eastAsia="zh-CN" w:bidi="ar-SA"/>
        </w:rPr>
      </w:pPr>
      <w:r>
        <w:rPr>
          <w:rFonts w:ascii="Times New Roman" w:hAnsi="Times New Roman" w:eastAsia="宋体" w:cs="Times New Roman"/>
          <w:color w:val="000000"/>
          <w:kern w:val="0"/>
          <w:sz w:val="32"/>
          <w:szCs w:val="32"/>
        </w:rPr>
        <w:t>（二）决算单位构成。</w:t>
      </w:r>
      <w:r>
        <w:rPr>
          <w:rFonts w:hint="eastAsia" w:ascii="Times New Roman" w:hAnsi="Times New Roman" w:eastAsia="仿宋_GB2312" w:cs="黑体"/>
          <w:color w:val="000000"/>
          <w:kern w:val="0"/>
          <w:sz w:val="32"/>
          <w:szCs w:val="32"/>
          <w:lang w:val="en-US" w:eastAsia="zh-CN" w:bidi="ar-SA"/>
        </w:rPr>
        <w:t>怀化市文学艺术界联合会2025年部门决算汇总公开单位构成包括：怀化市文学艺术界联合会本级以及怀化文艺创作服务中心。</w:t>
      </w:r>
    </w:p>
    <w:p w14:paraId="1E035BBD">
      <w:pPr>
        <w:jc w:val="center"/>
        <w:rPr>
          <w:rFonts w:ascii="仿宋" w:hAnsi="仿宋" w:eastAsia="仿宋" w:cs="宋体"/>
          <w:color w:val="000000"/>
          <w:kern w:val="0"/>
          <w:sz w:val="32"/>
          <w:szCs w:val="32"/>
        </w:rPr>
      </w:pPr>
    </w:p>
    <w:p w14:paraId="740D29EF">
      <w:pPr>
        <w:jc w:val="center"/>
        <w:rPr>
          <w:rFonts w:ascii="黑体" w:hAnsi="黑体" w:eastAsia="黑体"/>
          <w:sz w:val="28"/>
          <w:szCs w:val="28"/>
        </w:rPr>
      </w:pPr>
    </w:p>
    <w:p w14:paraId="7F07845F">
      <w:pPr>
        <w:jc w:val="center"/>
        <w:rPr>
          <w:rFonts w:ascii="黑体" w:hAnsi="黑体" w:eastAsia="黑体"/>
          <w:sz w:val="28"/>
          <w:szCs w:val="28"/>
        </w:rPr>
      </w:pPr>
    </w:p>
    <w:p w14:paraId="27720706">
      <w:pPr>
        <w:jc w:val="center"/>
        <w:rPr>
          <w:rFonts w:ascii="黑体" w:hAnsi="黑体" w:eastAsia="黑体"/>
          <w:sz w:val="28"/>
          <w:szCs w:val="28"/>
        </w:rPr>
      </w:pPr>
    </w:p>
    <w:p w14:paraId="620AED25">
      <w:pPr>
        <w:jc w:val="center"/>
        <w:rPr>
          <w:rFonts w:ascii="黑体" w:hAnsi="黑体" w:eastAsia="黑体"/>
          <w:sz w:val="28"/>
          <w:szCs w:val="28"/>
        </w:rPr>
      </w:pPr>
    </w:p>
    <w:p w14:paraId="74235384">
      <w:pPr>
        <w:jc w:val="center"/>
        <w:rPr>
          <w:rFonts w:ascii="黑体" w:hAnsi="黑体" w:eastAsia="黑体"/>
          <w:sz w:val="28"/>
          <w:szCs w:val="28"/>
        </w:rPr>
      </w:pPr>
    </w:p>
    <w:p w14:paraId="226EA98A">
      <w:pPr>
        <w:jc w:val="center"/>
        <w:rPr>
          <w:rFonts w:ascii="黑体" w:hAnsi="黑体" w:eastAsia="黑体"/>
          <w:sz w:val="28"/>
          <w:szCs w:val="28"/>
        </w:rPr>
      </w:pPr>
    </w:p>
    <w:p w14:paraId="1EC044FE">
      <w:pPr>
        <w:jc w:val="center"/>
        <w:rPr>
          <w:rFonts w:ascii="黑体" w:hAnsi="黑体" w:eastAsia="黑体"/>
          <w:sz w:val="28"/>
          <w:szCs w:val="28"/>
        </w:rPr>
      </w:pPr>
    </w:p>
    <w:p w14:paraId="0CE15701">
      <w:pPr>
        <w:jc w:val="center"/>
        <w:rPr>
          <w:rFonts w:ascii="黑体" w:hAnsi="黑体" w:eastAsia="黑体"/>
          <w:sz w:val="28"/>
          <w:szCs w:val="28"/>
        </w:rPr>
      </w:pPr>
    </w:p>
    <w:p w14:paraId="5AF98DCA">
      <w:pPr>
        <w:jc w:val="center"/>
        <w:rPr>
          <w:rFonts w:ascii="黑体" w:hAnsi="黑体" w:eastAsia="黑体"/>
          <w:sz w:val="28"/>
          <w:szCs w:val="28"/>
        </w:rPr>
      </w:pPr>
    </w:p>
    <w:p w14:paraId="60146038">
      <w:pPr>
        <w:pStyle w:val="16"/>
        <w:jc w:val="center"/>
        <w:rPr>
          <w:rFonts w:ascii="方正小标宋_GBK" w:hAnsi="方正小标宋_GBK" w:eastAsia="方正小标宋_GBK" w:cs="方正小标宋_GBK"/>
          <w:sz w:val="84"/>
          <w:szCs w:val="84"/>
        </w:rPr>
      </w:pPr>
    </w:p>
    <w:p w14:paraId="290F1B4D">
      <w:pPr>
        <w:pStyle w:val="16"/>
        <w:jc w:val="center"/>
        <w:rPr>
          <w:rFonts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14:paraId="2C3F83D4">
      <w:pPr>
        <w:pStyle w:val="16"/>
        <w:jc w:val="center"/>
        <w:rPr>
          <w:rFonts w:ascii="方正小标宋_GBK" w:hAnsi="方正小标宋_GBK" w:eastAsia="方正小标宋_GBK" w:cs="方正小标宋_GBK"/>
          <w:sz w:val="84"/>
          <w:szCs w:val="84"/>
        </w:rPr>
      </w:pPr>
    </w:p>
    <w:p w14:paraId="674290B2">
      <w:pPr>
        <w:pStyle w:val="16"/>
        <w:jc w:val="center"/>
        <w:rPr>
          <w:rFonts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14:paraId="319A542A">
      <w:pPr>
        <w:jc w:val="center"/>
        <w:rPr>
          <w:sz w:val="72"/>
          <w:szCs w:val="72"/>
        </w:rPr>
      </w:pPr>
    </w:p>
    <w:p w14:paraId="72765BA0">
      <w:pPr>
        <w:jc w:val="center"/>
        <w:rPr>
          <w:sz w:val="72"/>
          <w:szCs w:val="72"/>
        </w:rPr>
      </w:pPr>
    </w:p>
    <w:p w14:paraId="6058826A">
      <w:pPr>
        <w:jc w:val="center"/>
        <w:rPr>
          <w:sz w:val="72"/>
          <w:szCs w:val="72"/>
        </w:rPr>
      </w:pPr>
    </w:p>
    <w:p w14:paraId="192B655A">
      <w:pPr>
        <w:jc w:val="center"/>
        <w:rPr>
          <w:sz w:val="72"/>
          <w:szCs w:val="72"/>
        </w:rPr>
      </w:pPr>
    </w:p>
    <w:p w14:paraId="76D922D8">
      <w:pPr>
        <w:jc w:val="center"/>
        <w:rPr>
          <w:sz w:val="72"/>
          <w:szCs w:val="72"/>
        </w:rPr>
      </w:pPr>
    </w:p>
    <w:p w14:paraId="7367F1D5">
      <w:pPr>
        <w:jc w:val="center"/>
        <w:rPr>
          <w:sz w:val="72"/>
          <w:szCs w:val="72"/>
        </w:rPr>
      </w:pPr>
    </w:p>
    <w:p w14:paraId="77A6935F">
      <w:pPr>
        <w:jc w:val="left"/>
        <w:rPr>
          <w:sz w:val="32"/>
          <w:szCs w:val="32"/>
        </w:rPr>
      </w:pPr>
    </w:p>
    <w:p w14:paraId="45859575">
      <w:pPr>
        <w:jc w:val="left"/>
        <w:rPr>
          <w:rFonts w:asciiTheme="minorEastAsia" w:hAnsiTheme="minorEastAsia"/>
          <w:sz w:val="32"/>
          <w:szCs w:val="32"/>
        </w:rPr>
        <w:sectPr>
          <w:pgSz w:w="11906" w:h="16838"/>
          <w:pgMar w:top="720" w:right="720" w:bottom="720" w:left="720" w:header="851" w:footer="992" w:gutter="0"/>
          <w:cols w:space="425" w:num="1"/>
          <w:docGrid w:type="lines" w:linePitch="312" w:charSpace="0"/>
        </w:sectPr>
      </w:pPr>
    </w:p>
    <w:p w14:paraId="13290D08">
      <w:r>
        <w:drawing>
          <wp:inline distT="0" distB="0" distL="114300" distR="114300">
            <wp:extent cx="8733790" cy="6903720"/>
            <wp:effectExtent l="0" t="0" r="10160" b="11430"/>
            <wp:docPr id="1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
                    <pic:cNvPicPr>
                      <a:picLocks noChangeAspect="1"/>
                    </pic:cNvPicPr>
                  </pic:nvPicPr>
                  <pic:blipFill>
                    <a:blip r:embed="rId4"/>
                    <a:stretch>
                      <a:fillRect/>
                    </a:stretch>
                  </pic:blipFill>
                  <pic:spPr>
                    <a:xfrm>
                      <a:off x="0" y="0"/>
                      <a:ext cx="8733790" cy="6903720"/>
                    </a:xfrm>
                    <a:prstGeom prst="rect">
                      <a:avLst/>
                    </a:prstGeom>
                    <a:noFill/>
                    <a:ln>
                      <a:noFill/>
                    </a:ln>
                  </pic:spPr>
                </pic:pic>
              </a:graphicData>
            </a:graphic>
          </wp:inline>
        </w:drawing>
      </w:r>
    </w:p>
    <w:p w14:paraId="3747EA9C"/>
    <w:p w14:paraId="78A380FA">
      <w:r>
        <w:drawing>
          <wp:inline distT="0" distB="0" distL="114300" distR="114300">
            <wp:extent cx="9776460" cy="6038215"/>
            <wp:effectExtent l="0" t="0" r="15240" b="635"/>
            <wp:docPr id="1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3"/>
                    <pic:cNvPicPr>
                      <a:picLocks noChangeAspect="1"/>
                    </pic:cNvPicPr>
                  </pic:nvPicPr>
                  <pic:blipFill>
                    <a:blip r:embed="rId5"/>
                    <a:stretch>
                      <a:fillRect/>
                    </a:stretch>
                  </pic:blipFill>
                  <pic:spPr>
                    <a:xfrm>
                      <a:off x="0" y="0"/>
                      <a:ext cx="9776460" cy="6038215"/>
                    </a:xfrm>
                    <a:prstGeom prst="rect">
                      <a:avLst/>
                    </a:prstGeom>
                    <a:noFill/>
                    <a:ln>
                      <a:noFill/>
                    </a:ln>
                  </pic:spPr>
                </pic:pic>
              </a:graphicData>
            </a:graphic>
          </wp:inline>
        </w:drawing>
      </w:r>
    </w:p>
    <w:p w14:paraId="0275289F"/>
    <w:p w14:paraId="5634C50C">
      <w:r>
        <w:drawing>
          <wp:inline distT="0" distB="0" distL="114300" distR="114300">
            <wp:extent cx="9772015" cy="6725920"/>
            <wp:effectExtent l="0" t="0" r="635" b="17780"/>
            <wp:docPr id="1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4"/>
                    <pic:cNvPicPr>
                      <a:picLocks noChangeAspect="1"/>
                    </pic:cNvPicPr>
                  </pic:nvPicPr>
                  <pic:blipFill>
                    <a:blip r:embed="rId6"/>
                    <a:stretch>
                      <a:fillRect/>
                    </a:stretch>
                  </pic:blipFill>
                  <pic:spPr>
                    <a:xfrm>
                      <a:off x="0" y="0"/>
                      <a:ext cx="9772015" cy="6725920"/>
                    </a:xfrm>
                    <a:prstGeom prst="rect">
                      <a:avLst/>
                    </a:prstGeom>
                    <a:noFill/>
                    <a:ln>
                      <a:noFill/>
                    </a:ln>
                  </pic:spPr>
                </pic:pic>
              </a:graphicData>
            </a:graphic>
          </wp:inline>
        </w:drawing>
      </w:r>
    </w:p>
    <w:p w14:paraId="687334EE">
      <w:r>
        <w:drawing>
          <wp:inline distT="0" distB="0" distL="114300" distR="114300">
            <wp:extent cx="9556115" cy="6845935"/>
            <wp:effectExtent l="0" t="0" r="6985" b="12065"/>
            <wp:docPr id="1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5"/>
                    <pic:cNvPicPr>
                      <a:picLocks noChangeAspect="1"/>
                    </pic:cNvPicPr>
                  </pic:nvPicPr>
                  <pic:blipFill>
                    <a:blip r:embed="rId7"/>
                    <a:stretch>
                      <a:fillRect/>
                    </a:stretch>
                  </pic:blipFill>
                  <pic:spPr>
                    <a:xfrm>
                      <a:off x="0" y="0"/>
                      <a:ext cx="9556115" cy="6845935"/>
                    </a:xfrm>
                    <a:prstGeom prst="rect">
                      <a:avLst/>
                    </a:prstGeom>
                    <a:noFill/>
                    <a:ln>
                      <a:noFill/>
                    </a:ln>
                  </pic:spPr>
                </pic:pic>
              </a:graphicData>
            </a:graphic>
          </wp:inline>
        </w:drawing>
      </w:r>
    </w:p>
    <w:p w14:paraId="3479D1F8">
      <w:r>
        <w:drawing>
          <wp:inline distT="0" distB="0" distL="114300" distR="114300">
            <wp:extent cx="10181590" cy="4784090"/>
            <wp:effectExtent l="0" t="0" r="10160" b="16510"/>
            <wp:docPr id="1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7"/>
                    <pic:cNvPicPr>
                      <a:picLocks noChangeAspect="1"/>
                    </pic:cNvPicPr>
                  </pic:nvPicPr>
                  <pic:blipFill>
                    <a:blip r:embed="rId8"/>
                    <a:stretch>
                      <a:fillRect/>
                    </a:stretch>
                  </pic:blipFill>
                  <pic:spPr>
                    <a:xfrm>
                      <a:off x="0" y="0"/>
                      <a:ext cx="10181590" cy="4784090"/>
                    </a:xfrm>
                    <a:prstGeom prst="rect">
                      <a:avLst/>
                    </a:prstGeom>
                    <a:noFill/>
                    <a:ln>
                      <a:noFill/>
                    </a:ln>
                  </pic:spPr>
                </pic:pic>
              </a:graphicData>
            </a:graphic>
          </wp:inline>
        </w:drawing>
      </w:r>
    </w:p>
    <w:p w14:paraId="08B4BCF6"/>
    <w:p w14:paraId="09AFEF07"/>
    <w:p w14:paraId="228D4523"/>
    <w:p w14:paraId="105F3C1D">
      <w:r>
        <w:br w:type="page"/>
      </w:r>
    </w:p>
    <w:p w14:paraId="1CBE7AEE">
      <w:pPr>
        <w:widowControl/>
        <w:jc w:val="left"/>
      </w:pPr>
      <w:r>
        <w:drawing>
          <wp:inline distT="0" distB="0" distL="114300" distR="114300">
            <wp:extent cx="9766935" cy="6045835"/>
            <wp:effectExtent l="0" t="0" r="5715" b="12065"/>
            <wp:docPr id="2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8"/>
                    <pic:cNvPicPr>
                      <a:picLocks noChangeAspect="1"/>
                    </pic:cNvPicPr>
                  </pic:nvPicPr>
                  <pic:blipFill>
                    <a:blip r:embed="rId9"/>
                    <a:stretch>
                      <a:fillRect/>
                    </a:stretch>
                  </pic:blipFill>
                  <pic:spPr>
                    <a:xfrm>
                      <a:off x="0" y="0"/>
                      <a:ext cx="9766935" cy="6045835"/>
                    </a:xfrm>
                    <a:prstGeom prst="rect">
                      <a:avLst/>
                    </a:prstGeom>
                    <a:noFill/>
                    <a:ln>
                      <a:noFill/>
                    </a:ln>
                  </pic:spPr>
                </pic:pic>
              </a:graphicData>
            </a:graphic>
          </wp:inline>
        </w:drawing>
      </w:r>
      <w:r>
        <w:br w:type="page"/>
      </w:r>
    </w:p>
    <w:p w14:paraId="762E109D"/>
    <w:p w14:paraId="426D55B6">
      <w:pPr>
        <w:widowControl/>
        <w:jc w:val="left"/>
      </w:pPr>
      <w:r>
        <w:drawing>
          <wp:inline distT="0" distB="0" distL="114300" distR="114300">
            <wp:extent cx="9761220" cy="2075815"/>
            <wp:effectExtent l="0" t="0" r="11430" b="635"/>
            <wp:docPr id="2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9"/>
                    <pic:cNvPicPr>
                      <a:picLocks noChangeAspect="1"/>
                    </pic:cNvPicPr>
                  </pic:nvPicPr>
                  <pic:blipFill>
                    <a:blip r:embed="rId10"/>
                    <a:stretch>
                      <a:fillRect/>
                    </a:stretch>
                  </pic:blipFill>
                  <pic:spPr>
                    <a:xfrm>
                      <a:off x="0" y="0"/>
                      <a:ext cx="9761220" cy="2075815"/>
                    </a:xfrm>
                    <a:prstGeom prst="rect">
                      <a:avLst/>
                    </a:prstGeom>
                    <a:noFill/>
                    <a:ln>
                      <a:noFill/>
                    </a:ln>
                  </pic:spPr>
                </pic:pic>
              </a:graphicData>
            </a:graphic>
          </wp:inline>
        </w:drawing>
      </w:r>
    </w:p>
    <w:p w14:paraId="3F08B173">
      <w:pPr>
        <w:jc w:val="center"/>
      </w:pPr>
    </w:p>
    <w:p w14:paraId="23F7B07F">
      <w:pPr>
        <w:widowControl/>
        <w:jc w:val="left"/>
        <w:rPr>
          <w:rFonts w:hint="default" w:eastAsiaTheme="minorEastAsia"/>
          <w:lang w:val="en-US" w:eastAsia="zh-CN"/>
        </w:rPr>
      </w:pPr>
      <w:r>
        <w:rPr>
          <w:rFonts w:hint="eastAsia"/>
          <w:lang w:eastAsia="zh-CN"/>
        </w:rPr>
        <w:t>说明：我单位没有政府性基金收入，也没有使用政府性基金安排的支出，故本表无数据。</w:t>
      </w:r>
    </w:p>
    <w:p w14:paraId="1316986E">
      <w:pPr>
        <w:pStyle w:val="2"/>
      </w:pPr>
    </w:p>
    <w:p w14:paraId="3D7023EC">
      <w:pPr>
        <w:pStyle w:val="2"/>
      </w:pPr>
      <w:r>
        <w:drawing>
          <wp:inline distT="0" distB="0" distL="114300" distR="114300">
            <wp:extent cx="9775825" cy="3016885"/>
            <wp:effectExtent l="0" t="0" r="15875" b="12065"/>
            <wp:docPr id="2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0"/>
                    <pic:cNvPicPr>
                      <a:picLocks noChangeAspect="1"/>
                    </pic:cNvPicPr>
                  </pic:nvPicPr>
                  <pic:blipFill>
                    <a:blip r:embed="rId11"/>
                    <a:stretch>
                      <a:fillRect/>
                    </a:stretch>
                  </pic:blipFill>
                  <pic:spPr>
                    <a:xfrm>
                      <a:off x="0" y="0"/>
                      <a:ext cx="9775825" cy="3016885"/>
                    </a:xfrm>
                    <a:prstGeom prst="rect">
                      <a:avLst/>
                    </a:prstGeom>
                    <a:noFill/>
                    <a:ln>
                      <a:noFill/>
                    </a:ln>
                  </pic:spPr>
                </pic:pic>
              </a:graphicData>
            </a:graphic>
          </wp:inline>
        </w:drawing>
      </w:r>
    </w:p>
    <w:p w14:paraId="4DFE692C">
      <w:pPr>
        <w:widowControl/>
        <w:jc w:val="left"/>
        <w:rPr>
          <w:rFonts w:hint="default" w:eastAsiaTheme="minorEastAsia"/>
          <w:lang w:val="en-US" w:eastAsia="zh-CN"/>
        </w:rPr>
      </w:pPr>
      <w:r>
        <w:rPr>
          <w:rFonts w:hint="eastAsia"/>
          <w:lang w:eastAsia="zh-CN"/>
        </w:rPr>
        <w:t>说明：我单位没有使用国有资本经营预算安排的支出，故本表无数据。</w:t>
      </w:r>
    </w:p>
    <w:p w14:paraId="3F22B4F4"/>
    <w:p w14:paraId="26DE024F">
      <w:pPr>
        <w:widowControl/>
        <w:jc w:val="left"/>
      </w:pPr>
    </w:p>
    <w:p w14:paraId="4CC65154">
      <w:pPr>
        <w:pStyle w:val="2"/>
      </w:pPr>
    </w:p>
    <w:p w14:paraId="47669960"/>
    <w:p w14:paraId="13854CE8">
      <w:pPr>
        <w:pStyle w:val="2"/>
      </w:pPr>
    </w:p>
    <w:p w14:paraId="33D39B87"/>
    <w:p w14:paraId="4317406B">
      <w:pPr>
        <w:pStyle w:val="2"/>
      </w:pPr>
      <w:r>
        <w:drawing>
          <wp:inline distT="0" distB="0" distL="114300" distR="114300">
            <wp:extent cx="10172700" cy="1625600"/>
            <wp:effectExtent l="0" t="0" r="0" b="12700"/>
            <wp:docPr id="2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1"/>
                    <pic:cNvPicPr>
                      <a:picLocks noChangeAspect="1"/>
                    </pic:cNvPicPr>
                  </pic:nvPicPr>
                  <pic:blipFill>
                    <a:blip r:embed="rId12"/>
                    <a:stretch>
                      <a:fillRect/>
                    </a:stretch>
                  </pic:blipFill>
                  <pic:spPr>
                    <a:xfrm>
                      <a:off x="0" y="0"/>
                      <a:ext cx="10172700" cy="1625600"/>
                    </a:xfrm>
                    <a:prstGeom prst="rect">
                      <a:avLst/>
                    </a:prstGeom>
                    <a:noFill/>
                    <a:ln>
                      <a:noFill/>
                    </a:ln>
                  </pic:spPr>
                </pic:pic>
              </a:graphicData>
            </a:graphic>
          </wp:inline>
        </w:drawing>
      </w:r>
    </w:p>
    <w:p w14:paraId="0642CFD3">
      <w:pPr>
        <w:widowControl/>
        <w:jc w:val="left"/>
        <w:rPr>
          <w:rFonts w:hint="eastAsia"/>
        </w:rPr>
      </w:pPr>
    </w:p>
    <w:p w14:paraId="285652CF">
      <w:pPr>
        <w:widowControl/>
        <w:rPr>
          <w:sz w:val="72"/>
          <w:szCs w:val="72"/>
        </w:rPr>
        <w:sectPr>
          <w:pgSz w:w="16838" w:h="11906" w:orient="landscape"/>
          <w:pgMar w:top="720" w:right="720" w:bottom="720" w:left="720" w:header="851" w:footer="992" w:gutter="0"/>
          <w:cols w:space="425" w:num="1"/>
          <w:docGrid w:type="lines" w:linePitch="312" w:charSpace="0"/>
        </w:sectPr>
      </w:pPr>
      <w:r>
        <w:rPr>
          <w:rFonts w:ascii="黑体" w:hAnsi="黑体" w:eastAsia="黑体"/>
          <w:szCs w:val="21"/>
        </w:rPr>
        <w:br w:type="page"/>
      </w:r>
    </w:p>
    <w:p w14:paraId="0045C147">
      <w:pPr>
        <w:pStyle w:val="16"/>
        <w:rPr>
          <w:sz w:val="72"/>
          <w:szCs w:val="72"/>
        </w:rPr>
      </w:pPr>
    </w:p>
    <w:p w14:paraId="6953A1D2">
      <w:pPr>
        <w:pStyle w:val="16"/>
        <w:rPr>
          <w:sz w:val="72"/>
          <w:szCs w:val="72"/>
        </w:rPr>
      </w:pPr>
    </w:p>
    <w:p w14:paraId="0A65E275">
      <w:pPr>
        <w:pStyle w:val="16"/>
        <w:rPr>
          <w:sz w:val="72"/>
          <w:szCs w:val="72"/>
        </w:rPr>
      </w:pPr>
    </w:p>
    <w:p w14:paraId="424BF5E8">
      <w:pPr>
        <w:pStyle w:val="16"/>
        <w:rPr>
          <w:sz w:val="72"/>
          <w:szCs w:val="72"/>
        </w:rPr>
      </w:pPr>
    </w:p>
    <w:p w14:paraId="54B1EEFE">
      <w:pPr>
        <w:pStyle w:val="16"/>
        <w:jc w:val="center"/>
        <w:rPr>
          <w:sz w:val="72"/>
          <w:szCs w:val="72"/>
        </w:rPr>
      </w:pPr>
    </w:p>
    <w:p w14:paraId="56DD85A0">
      <w:pPr>
        <w:pStyle w:val="16"/>
        <w:jc w:val="center"/>
        <w:rPr>
          <w:rFonts w:ascii="方正小标宋_GBK" w:hAnsi="方正小标宋_GBK" w:eastAsia="方正小标宋_GBK" w:cs="方正小标宋_GBK"/>
          <w:sz w:val="72"/>
          <w:szCs w:val="72"/>
        </w:rPr>
      </w:pPr>
    </w:p>
    <w:p w14:paraId="01E11FE0">
      <w:pPr>
        <w:pStyle w:val="16"/>
        <w:jc w:val="center"/>
        <w:rPr>
          <w:rFonts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14:paraId="77C592B8">
      <w:pPr>
        <w:pStyle w:val="16"/>
        <w:jc w:val="center"/>
        <w:rPr>
          <w:rFonts w:ascii="方正小标宋_GBK" w:hAnsi="方正小标宋_GBK" w:eastAsia="方正小标宋_GBK" w:cs="方正小标宋_GBK"/>
          <w:sz w:val="70"/>
          <w:szCs w:val="70"/>
        </w:rPr>
      </w:pPr>
    </w:p>
    <w:p w14:paraId="359F6FA6">
      <w:pPr>
        <w:pStyle w:val="16"/>
        <w:jc w:val="center"/>
        <w:rPr>
          <w:rFonts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lang w:eastAsia="zh-CN"/>
        </w:rPr>
        <w:t>2025</w:t>
      </w:r>
      <w:r>
        <w:rPr>
          <w:rFonts w:hint="eastAsia" w:ascii="方正小标宋_GBK" w:hAnsi="方正小标宋_GBK" w:eastAsia="方正小标宋_GBK" w:cs="方正小标宋_GBK"/>
          <w:sz w:val="70"/>
          <w:szCs w:val="70"/>
        </w:rPr>
        <w:t>年度部门决算情况说明</w:t>
      </w:r>
    </w:p>
    <w:p w14:paraId="39B71333">
      <w:pPr>
        <w:widowControl/>
        <w:jc w:val="left"/>
        <w:rPr>
          <w:rFonts w:asciiTheme="minorEastAsia" w:hAnsiTheme="minorEastAsia"/>
          <w:sz w:val="32"/>
          <w:szCs w:val="32"/>
        </w:rPr>
      </w:pPr>
      <w:r>
        <w:rPr>
          <w:rFonts w:hint="eastAsia" w:ascii="方正小标宋_GBK" w:hAnsi="方正小标宋_GBK" w:eastAsia="方正小标宋_GBK" w:cs="方正小标宋_GBK"/>
          <w:sz w:val="70"/>
          <w:szCs w:val="70"/>
        </w:rPr>
        <w:br w:type="page"/>
      </w:r>
    </w:p>
    <w:p w14:paraId="385D6F05">
      <w:pPr>
        <w:pStyle w:val="16"/>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一、收入支出决算总体情况说明</w:t>
      </w:r>
    </w:p>
    <w:p w14:paraId="3C6BADC1">
      <w:pPr>
        <w:pStyle w:val="16"/>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2025 年度收、支总计 330.37 万元。与上年相比，减少 16.36 万元，减少 4.7%，主要是因为项目经费减少。</w:t>
      </w:r>
    </w:p>
    <w:p w14:paraId="728D105F">
      <w:pPr>
        <w:pStyle w:val="16"/>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二、收入决算情况说明</w:t>
      </w:r>
    </w:p>
    <w:p w14:paraId="44B451DC">
      <w:pPr>
        <w:pStyle w:val="16"/>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2025 年度收入合计 330.37 万元，其中：财政拨款收入 330.37 万元，占 100%；上级补助收入 0 万元，占 0%；事业收入 0 万元，占 0%；经营收入 0 万元，占 0%；附属单位上缴收入 0 万元，占 0%；其他收入 0 万元，占 0%。</w:t>
      </w:r>
    </w:p>
    <w:p w14:paraId="0AB48626">
      <w:pPr>
        <w:pStyle w:val="16"/>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三、支出决算情况说明</w:t>
      </w:r>
    </w:p>
    <w:p w14:paraId="376A601D">
      <w:pPr>
        <w:pStyle w:val="16"/>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2025 年度支出合计 330.37 万元，其中：基本支出 230.54 万元，占 70%；项目支出 99.83 万元，占 30%；上缴上级支出 0 万元，占 0%；经营支出 0 万元，占 0%；对附属单位补助支出 0 万元，占 0%。</w:t>
      </w:r>
    </w:p>
    <w:p w14:paraId="12E301FA">
      <w:pPr>
        <w:pStyle w:val="16"/>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四、财政拨款收入支出决算总体情况说明</w:t>
      </w:r>
    </w:p>
    <w:p w14:paraId="3971E5F7">
      <w:pPr>
        <w:pStyle w:val="16"/>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2025 年度财政拨款收、支总计 330.37 万元，与上年相比，减少 16.36 万元，减少 4.7%，主要是因为项目经费减少。</w:t>
      </w:r>
    </w:p>
    <w:p w14:paraId="1AA46F90">
      <w:pPr>
        <w:pStyle w:val="16"/>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五、一般公共预算财政拨款支出决算情况说明</w:t>
      </w:r>
    </w:p>
    <w:p w14:paraId="06786277">
      <w:pPr>
        <w:pStyle w:val="16"/>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（一）一般公共预算财政拨款支出决算总体情况</w:t>
      </w:r>
    </w:p>
    <w:p w14:paraId="335836BE">
      <w:pPr>
        <w:pStyle w:val="16"/>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2025 年度财政拨款支出 330.37 万元，占本年支出合计的 100%，与上年相比，财政拨款支出减少 11.36 万元，减少 3.3%，主要是因为项目经费减少。</w:t>
      </w:r>
    </w:p>
    <w:p w14:paraId="0EC40CA5">
      <w:pPr>
        <w:pStyle w:val="16"/>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（二）一般公共预算财政拨款支出决算结构情况</w:t>
      </w:r>
    </w:p>
    <w:p w14:paraId="464AA9F0">
      <w:pPr>
        <w:pStyle w:val="16"/>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2025 年度财政拨款支出 330.37 万元，主要用于以下方面：一般公共服务（类）支出 227.24 万元，占 69%；文化旅游体育与传媒支出（类）支出 48.83 万元，占 15%；社会保障和就业支出 44.86 万元，占 14%；卫生健康支出 9.03 万元，占 3%；住房保障支出 0.41 万元，占 0%。</w:t>
      </w:r>
    </w:p>
    <w:p w14:paraId="5984B73D">
      <w:pPr>
        <w:pStyle w:val="16"/>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（三）一般公共预算财政拨款支出决算具体情况</w:t>
      </w:r>
    </w:p>
    <w:p w14:paraId="15389327">
      <w:pPr>
        <w:pStyle w:val="16"/>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2025 年度财政拨款支出年初预算数为</w:t>
      </w:r>
      <w:r>
        <w:rPr>
          <w:rFonts w:hint="eastAsia" w:ascii="Times New Roman" w:hAnsi="Times New Roman" w:eastAsia="仿宋_GB2312"/>
          <w:sz w:val="32"/>
          <w:szCs w:val="32"/>
          <w:lang w:val="en-US" w:eastAsia="zh-CN"/>
        </w:rPr>
        <w:t>288.83</w:t>
      </w:r>
      <w:r>
        <w:rPr>
          <w:rFonts w:hint="eastAsia" w:ascii="Times New Roman" w:hAnsi="Times New Roman" w:eastAsia="仿宋_GB2312"/>
          <w:sz w:val="32"/>
          <w:szCs w:val="32"/>
        </w:rPr>
        <w:t>万元，支出决算数为 330.37 万元，完成年初预算的</w:t>
      </w:r>
      <w:r>
        <w:rPr>
          <w:rFonts w:hint="eastAsia" w:ascii="Times New Roman" w:hAnsi="Times New Roman" w:eastAsia="仿宋_GB2312"/>
          <w:sz w:val="32"/>
          <w:szCs w:val="32"/>
          <w:lang w:val="en-US" w:eastAsia="zh-CN"/>
        </w:rPr>
        <w:t>114</w:t>
      </w:r>
      <w:r>
        <w:rPr>
          <w:rFonts w:hint="eastAsia" w:ascii="Times New Roman" w:hAnsi="Times New Roman" w:eastAsia="仿宋_GB2312"/>
          <w:sz w:val="32"/>
          <w:szCs w:val="32"/>
        </w:rPr>
        <w:t>%，调整预算追加</w:t>
      </w:r>
      <w:r>
        <w:rPr>
          <w:rFonts w:hint="eastAsia" w:ascii="Times New Roman" w:hAnsi="Times New Roman" w:eastAsia="仿宋_GB2312"/>
          <w:sz w:val="32"/>
          <w:szCs w:val="32"/>
          <w:lang w:val="en-US" w:eastAsia="zh-CN"/>
        </w:rPr>
        <w:t>41.54</w:t>
      </w:r>
      <w:r>
        <w:rPr>
          <w:rFonts w:hint="eastAsia" w:ascii="Times New Roman" w:hAnsi="Times New Roman" w:eastAsia="仿宋_GB2312"/>
          <w:sz w:val="32"/>
          <w:szCs w:val="32"/>
        </w:rPr>
        <w:t>万元，其中（项级科目按 2025 年度决算批复表列示）：</w:t>
      </w:r>
    </w:p>
    <w:p w14:paraId="09840653">
      <w:pPr>
        <w:pStyle w:val="16"/>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1、一般公共服务（类）群众团体事务（款）行政运行（项）。</w:t>
      </w:r>
    </w:p>
    <w:p w14:paraId="4721B823">
      <w:pPr>
        <w:pStyle w:val="16"/>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235.59</w:t>
      </w:r>
      <w:r>
        <w:rPr>
          <w:rFonts w:hint="eastAsia" w:ascii="Times New Roman" w:hAnsi="Times New Roman" w:eastAsia="仿宋_GB2312"/>
          <w:sz w:val="32"/>
          <w:szCs w:val="32"/>
        </w:rPr>
        <w:t>万元，支出决算为 167.24 万元，完成年初预算的</w:t>
      </w:r>
      <w:r>
        <w:rPr>
          <w:rFonts w:hint="eastAsia" w:ascii="Times New Roman" w:hAnsi="Times New Roman" w:eastAsia="仿宋_GB2312"/>
          <w:sz w:val="32"/>
          <w:szCs w:val="32"/>
          <w:lang w:val="en-US" w:eastAsia="zh-CN"/>
        </w:rPr>
        <w:t>71</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小</w:t>
      </w:r>
      <w:r>
        <w:rPr>
          <w:rFonts w:hint="eastAsia" w:ascii="Times New Roman" w:hAnsi="Times New Roman" w:eastAsia="仿宋_GB2312"/>
          <w:sz w:val="32"/>
          <w:szCs w:val="32"/>
        </w:rPr>
        <w:t>于年初预算数的主要原因是：</w:t>
      </w:r>
      <w:r>
        <w:rPr>
          <w:rFonts w:hint="eastAsia" w:ascii="Times New Roman" w:hAnsi="Times New Roman" w:eastAsia="仿宋_GB2312"/>
          <w:sz w:val="32"/>
          <w:szCs w:val="32"/>
          <w:lang w:eastAsia="zh-CN"/>
        </w:rPr>
        <w:t>决算开支调整</w:t>
      </w:r>
    </w:p>
    <w:p w14:paraId="4085F9CD">
      <w:pPr>
        <w:pStyle w:val="16"/>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2、一般公共服务（类）群众团体事务（款）其他群众团体事务支出（项）。</w:t>
      </w:r>
    </w:p>
    <w:p w14:paraId="5FBCFE89">
      <w:pPr>
        <w:pStyle w:val="16"/>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 47 万元</w:t>
      </w:r>
      <w:r>
        <w:rPr>
          <w:rFonts w:hint="eastAsia" w:ascii="Times New Roman" w:hAnsi="Times New Roman" w:eastAsia="仿宋_GB2312"/>
          <w:sz w:val="32"/>
          <w:szCs w:val="32"/>
          <w:lang w:eastAsia="zh-CN"/>
        </w:rPr>
        <w:t>。主要原因是：决算开支调整</w:t>
      </w:r>
    </w:p>
    <w:p w14:paraId="344E20CA">
      <w:pPr>
        <w:pStyle w:val="16"/>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3、一般公共服务（类）其他一般公共服务支出（款）其他一般公共服务支出（项）。</w:t>
      </w:r>
    </w:p>
    <w:p w14:paraId="14E430BF">
      <w:pPr>
        <w:pStyle w:val="16"/>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 13 万元，</w:t>
      </w:r>
      <w:r>
        <w:rPr>
          <w:rFonts w:hint="eastAsia" w:ascii="Times New Roman" w:hAnsi="Times New Roman" w:eastAsia="仿宋_GB2312"/>
          <w:sz w:val="32"/>
          <w:szCs w:val="32"/>
          <w:lang w:eastAsia="zh-CN"/>
        </w:rPr>
        <w:t>主要原因是：决算开支调整</w:t>
      </w:r>
      <w:r>
        <w:rPr>
          <w:rFonts w:hint="eastAsia" w:ascii="Times New Roman" w:hAnsi="Times New Roman" w:eastAsia="仿宋_GB2312"/>
          <w:sz w:val="32"/>
          <w:szCs w:val="32"/>
        </w:rPr>
        <w:t>。</w:t>
      </w:r>
    </w:p>
    <w:p w14:paraId="7E68B6AA">
      <w:pPr>
        <w:pStyle w:val="16"/>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六、一般公共预算财政拨款基本支出决算情况说明</w:t>
      </w:r>
    </w:p>
    <w:p w14:paraId="1F58BE06">
      <w:pPr>
        <w:pStyle w:val="16"/>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2025 年度财政拨款基本支出 230.54 万元，其中：</w:t>
      </w:r>
    </w:p>
    <w:p w14:paraId="54E22859">
      <w:pPr>
        <w:pStyle w:val="16"/>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人员经费 210.81 万元，占基本支出的 91%，主要包括基本工资、津贴补贴、奖金、机关事业单位基本养老保险缴费、职工基本医疗保险缴费、其他社会保障缴费、住房公积金、对个人和家庭的补助、生活补助、医疗费补助、奖励金等。</w:t>
      </w:r>
    </w:p>
    <w:p w14:paraId="341F9A42">
      <w:pPr>
        <w:pStyle w:val="16"/>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公用经费 19.74 万元，占基本支出的 9%，主要包括办公费、邮电费、差旅费、维修（护）费、培训费、委托业务费、工会经费、福利费、其他交通费用、其他商品和服务支出等。</w:t>
      </w:r>
    </w:p>
    <w:p w14:paraId="75CEFE1F">
      <w:pPr>
        <w:pStyle w:val="16"/>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七、财政拨款三公经费支出决算情况说明</w:t>
      </w:r>
    </w:p>
    <w:p w14:paraId="21D3F776">
      <w:pPr>
        <w:pStyle w:val="16"/>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（一）“三公” 经费财政拨款支出决算总体情况说明</w:t>
      </w:r>
    </w:p>
    <w:p w14:paraId="7B45F0FB">
      <w:pPr>
        <w:pStyle w:val="16"/>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2025 年度 “三公” 经费财政拨款支出预算为</w:t>
      </w:r>
      <w:r>
        <w:rPr>
          <w:rFonts w:hint="eastAsia" w:ascii="Times New Roman" w:hAnsi="Times New Roman" w:eastAsia="仿宋_GB2312"/>
          <w:sz w:val="32"/>
          <w:szCs w:val="32"/>
          <w:lang w:val="en-US" w:eastAsia="zh-CN"/>
        </w:rPr>
        <w:t>0.36</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eastAsia="zh-CN"/>
        </w:rPr>
        <w:t>0</w:t>
      </w:r>
      <w:r>
        <w:rPr>
          <w:rFonts w:hint="eastAsia" w:ascii="Times New Roman" w:hAnsi="Times New Roman" w:eastAsia="仿宋_GB2312"/>
          <w:sz w:val="32"/>
          <w:szCs w:val="32"/>
        </w:rPr>
        <w:t>%，决算数小于（大于）预算数的主要原因是：</w:t>
      </w:r>
      <w:r>
        <w:rPr>
          <w:rFonts w:hint="eastAsia" w:ascii="Times New Roman" w:hAnsi="Times New Roman" w:eastAsia="仿宋_GB2312"/>
          <w:sz w:val="32"/>
          <w:szCs w:val="32"/>
          <w:lang w:eastAsia="zh-CN"/>
        </w:rPr>
        <w:t>厉行节约，缩减三公经费</w:t>
      </w:r>
      <w:r>
        <w:rPr>
          <w:rFonts w:hint="eastAsia" w:ascii="Times New Roman" w:hAnsi="Times New Roman" w:eastAsia="仿宋_GB2312"/>
          <w:sz w:val="32"/>
          <w:szCs w:val="32"/>
          <w:lang w:val="en-US" w:eastAsia="zh-CN"/>
        </w:rPr>
        <w:t>。</w:t>
      </w:r>
      <w:r>
        <w:rPr>
          <w:rFonts w:hint="eastAsia" w:ascii="Times New Roman" w:hAnsi="Times New Roman" w:eastAsia="仿宋_GB2312"/>
          <w:sz w:val="32"/>
          <w:szCs w:val="32"/>
        </w:rPr>
        <w:t>与上年相比。其中：</w:t>
      </w:r>
    </w:p>
    <w:p w14:paraId="2EB57D8A">
      <w:pPr>
        <w:pStyle w:val="16"/>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因公出国（境）费支出预算为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p>
    <w:p w14:paraId="00976A8E">
      <w:pPr>
        <w:pStyle w:val="16"/>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公务接待费支出预算为</w:t>
      </w:r>
      <w:r>
        <w:rPr>
          <w:rFonts w:hint="eastAsia" w:ascii="Times New Roman" w:hAnsi="Times New Roman" w:eastAsia="仿宋_GB2312"/>
          <w:sz w:val="32"/>
          <w:szCs w:val="32"/>
          <w:lang w:val="en-US" w:eastAsia="zh-CN"/>
        </w:rPr>
        <w:t>0.36</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eastAsia="zh-CN"/>
        </w:rPr>
        <w:t>0</w:t>
      </w:r>
      <w:r>
        <w:rPr>
          <w:rFonts w:hint="eastAsia" w:ascii="Times New Roman" w:hAnsi="Times New Roman" w:eastAsia="仿宋_GB2312"/>
          <w:sz w:val="32"/>
          <w:szCs w:val="32"/>
        </w:rPr>
        <w:t>%。</w:t>
      </w:r>
    </w:p>
    <w:p w14:paraId="184B336F">
      <w:pPr>
        <w:pStyle w:val="16"/>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公务用车购置费支出预算为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p>
    <w:p w14:paraId="34736F30">
      <w:pPr>
        <w:pStyle w:val="16"/>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公务用车运行维护费支出预算为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p>
    <w:p w14:paraId="15873CE3">
      <w:pPr>
        <w:pStyle w:val="16"/>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（二）“三公” 经费财政拨款支出决算具体情况说明</w:t>
      </w:r>
    </w:p>
    <w:p w14:paraId="346FDF25">
      <w:pPr>
        <w:pStyle w:val="16"/>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2025 年度 “三公” 经费财政拨款支出决算中，公务接待费支出决算</w:t>
      </w:r>
      <w:r>
        <w:rPr>
          <w:rFonts w:hint="eastAsia" w:ascii="Times New Roman" w:hAnsi="Times New Roman" w:eastAsia="仿宋_GB2312"/>
          <w:sz w:val="32"/>
          <w:szCs w:val="32"/>
          <w:lang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eastAsia="zh-CN"/>
        </w:rPr>
        <w:t>0</w:t>
      </w:r>
      <w:r>
        <w:rPr>
          <w:rFonts w:hint="eastAsia" w:ascii="Times New Roman" w:hAnsi="Times New Roman" w:eastAsia="仿宋_GB2312"/>
          <w:sz w:val="32"/>
          <w:szCs w:val="32"/>
        </w:rPr>
        <w:t>%；因公出国（境）费支出决算</w:t>
      </w:r>
      <w:r>
        <w:rPr>
          <w:rFonts w:hint="eastAsia" w:ascii="Times New Roman" w:hAnsi="Times New Roman" w:eastAsia="仿宋_GB2312"/>
          <w:sz w:val="32"/>
          <w:szCs w:val="32"/>
          <w:lang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eastAsia="zh-CN"/>
        </w:rPr>
        <w:t>0</w:t>
      </w:r>
      <w:r>
        <w:rPr>
          <w:rFonts w:hint="eastAsia" w:ascii="Times New Roman" w:hAnsi="Times New Roman" w:eastAsia="仿宋_GB2312"/>
          <w:sz w:val="32"/>
          <w:szCs w:val="32"/>
        </w:rPr>
        <w:t>%；公务用车购置费及运行维护费支出决算</w:t>
      </w:r>
      <w:r>
        <w:rPr>
          <w:rFonts w:hint="eastAsia" w:ascii="Times New Roman" w:hAnsi="Times New Roman" w:eastAsia="仿宋_GB2312"/>
          <w:sz w:val="32"/>
          <w:szCs w:val="32"/>
          <w:lang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eastAsia="zh-CN"/>
        </w:rPr>
        <w:t>0</w:t>
      </w:r>
      <w:r>
        <w:rPr>
          <w:rFonts w:hint="eastAsia" w:ascii="Times New Roman" w:hAnsi="Times New Roman" w:eastAsia="仿宋_GB2312"/>
          <w:sz w:val="32"/>
          <w:szCs w:val="32"/>
        </w:rPr>
        <w:t>%。其中：</w:t>
      </w:r>
    </w:p>
    <w:p w14:paraId="0D9B8A28">
      <w:pPr>
        <w:pStyle w:val="16"/>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1、因公出国（境）费支出决算为</w:t>
      </w:r>
      <w:r>
        <w:rPr>
          <w:rFonts w:hint="eastAsia" w:ascii="Times New Roman" w:hAnsi="Times New Roman" w:eastAsia="仿宋_GB2312"/>
          <w:sz w:val="32"/>
          <w:szCs w:val="32"/>
          <w:lang w:eastAsia="zh-CN"/>
        </w:rPr>
        <w:t>0</w:t>
      </w:r>
      <w:r>
        <w:rPr>
          <w:rFonts w:hint="eastAsia" w:ascii="Times New Roman" w:hAnsi="Times New Roman" w:eastAsia="仿宋_GB2312"/>
          <w:sz w:val="32"/>
          <w:szCs w:val="32"/>
        </w:rPr>
        <w:t>万元，全年安排因公出国（境）团组</w:t>
      </w:r>
      <w:r>
        <w:rPr>
          <w:rFonts w:hint="eastAsia" w:ascii="Times New Roman" w:hAnsi="Times New Roman" w:eastAsia="仿宋_GB2312"/>
          <w:sz w:val="32"/>
          <w:szCs w:val="32"/>
          <w:lang w:eastAsia="zh-CN"/>
        </w:rPr>
        <w:t>0</w:t>
      </w:r>
      <w:r>
        <w:rPr>
          <w:rFonts w:hint="eastAsia" w:ascii="Times New Roman" w:hAnsi="Times New Roman" w:eastAsia="仿宋_GB2312"/>
          <w:sz w:val="32"/>
          <w:szCs w:val="32"/>
        </w:rPr>
        <w:t>个，累计</w:t>
      </w:r>
      <w:r>
        <w:rPr>
          <w:rFonts w:hint="eastAsia" w:ascii="Times New Roman" w:hAnsi="Times New Roman" w:eastAsia="仿宋_GB2312"/>
          <w:sz w:val="32"/>
          <w:szCs w:val="32"/>
          <w:lang w:eastAsia="zh-CN"/>
        </w:rPr>
        <w:t>0</w:t>
      </w:r>
      <w:r>
        <w:rPr>
          <w:rFonts w:hint="eastAsia" w:ascii="Times New Roman" w:hAnsi="Times New Roman" w:eastAsia="仿宋_GB2312"/>
          <w:sz w:val="32"/>
          <w:szCs w:val="32"/>
        </w:rPr>
        <w:t>人次。</w:t>
      </w:r>
    </w:p>
    <w:p w14:paraId="3E3427F4">
      <w:pPr>
        <w:pStyle w:val="16"/>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2、公务接待费支出决算为</w:t>
      </w:r>
      <w:r>
        <w:rPr>
          <w:rFonts w:hint="eastAsia" w:ascii="Times New Roman" w:hAnsi="Times New Roman" w:eastAsia="仿宋_GB2312"/>
          <w:sz w:val="32"/>
          <w:szCs w:val="32"/>
          <w:lang w:eastAsia="zh-CN"/>
        </w:rPr>
        <w:t>0</w:t>
      </w:r>
      <w:r>
        <w:rPr>
          <w:rFonts w:hint="eastAsia" w:ascii="Times New Roman" w:hAnsi="Times New Roman" w:eastAsia="仿宋_GB2312"/>
          <w:sz w:val="32"/>
          <w:szCs w:val="32"/>
        </w:rPr>
        <w:t>万元，全年共接待来访团组</w:t>
      </w:r>
      <w:r>
        <w:rPr>
          <w:rFonts w:hint="eastAsia" w:ascii="Times New Roman" w:hAnsi="Times New Roman" w:eastAsia="仿宋_GB2312"/>
          <w:sz w:val="32"/>
          <w:szCs w:val="32"/>
          <w:lang w:eastAsia="zh-CN"/>
        </w:rPr>
        <w:t>0</w:t>
      </w:r>
      <w:r>
        <w:rPr>
          <w:rFonts w:hint="eastAsia" w:ascii="Times New Roman" w:hAnsi="Times New Roman" w:eastAsia="仿宋_GB2312"/>
          <w:sz w:val="32"/>
          <w:szCs w:val="32"/>
        </w:rPr>
        <w:t>个、来宾</w:t>
      </w:r>
      <w:r>
        <w:rPr>
          <w:rFonts w:hint="eastAsia" w:ascii="Times New Roman" w:hAnsi="Times New Roman" w:eastAsia="仿宋_GB2312"/>
          <w:sz w:val="32"/>
          <w:szCs w:val="32"/>
          <w:lang w:eastAsia="zh-CN"/>
        </w:rPr>
        <w:t>0</w:t>
      </w:r>
      <w:r>
        <w:rPr>
          <w:rFonts w:hint="eastAsia" w:ascii="Times New Roman" w:hAnsi="Times New Roman" w:eastAsia="仿宋_GB2312"/>
          <w:sz w:val="32"/>
          <w:szCs w:val="32"/>
        </w:rPr>
        <w:t>人次。</w:t>
      </w:r>
    </w:p>
    <w:p w14:paraId="76514352">
      <w:pPr>
        <w:pStyle w:val="16"/>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3、公务用车购置费及运行维护费支出决算为</w:t>
      </w:r>
      <w:r>
        <w:rPr>
          <w:rFonts w:hint="eastAsia" w:ascii="Times New Roman" w:hAnsi="Times New Roman" w:eastAsia="仿宋_GB2312"/>
          <w:sz w:val="32"/>
          <w:szCs w:val="32"/>
          <w:lang w:eastAsia="zh-CN"/>
        </w:rPr>
        <w:t>0</w:t>
      </w:r>
      <w:r>
        <w:rPr>
          <w:rFonts w:hint="eastAsia" w:ascii="Times New Roman" w:hAnsi="Times New Roman" w:eastAsia="仿宋_GB2312"/>
          <w:sz w:val="32"/>
          <w:szCs w:val="32"/>
        </w:rPr>
        <w:t>万元，其中：公务用车购置费</w:t>
      </w:r>
      <w:r>
        <w:rPr>
          <w:rFonts w:hint="eastAsia" w:ascii="Times New Roman" w:hAnsi="Times New Roman" w:eastAsia="仿宋_GB2312"/>
          <w:sz w:val="32"/>
          <w:szCs w:val="32"/>
          <w:lang w:eastAsia="zh-CN"/>
        </w:rPr>
        <w:t>0</w:t>
      </w:r>
      <w:r>
        <w:rPr>
          <w:rFonts w:hint="eastAsia" w:ascii="Times New Roman" w:hAnsi="Times New Roman" w:eastAsia="仿宋_GB2312"/>
          <w:sz w:val="32"/>
          <w:szCs w:val="32"/>
        </w:rPr>
        <w:t>万元，公务用车运行维护费</w:t>
      </w:r>
      <w:r>
        <w:rPr>
          <w:rFonts w:hint="eastAsia" w:ascii="Times New Roman" w:hAnsi="Times New Roman" w:eastAsia="仿宋_GB2312"/>
          <w:sz w:val="32"/>
          <w:szCs w:val="32"/>
          <w:lang w:eastAsia="zh-CN"/>
        </w:rPr>
        <w:t>0</w:t>
      </w:r>
      <w:r>
        <w:rPr>
          <w:rFonts w:hint="eastAsia" w:ascii="Times New Roman" w:hAnsi="Times New Roman" w:eastAsia="仿宋_GB2312"/>
          <w:sz w:val="32"/>
          <w:szCs w:val="32"/>
        </w:rPr>
        <w:t>万元，截至 2025 年 12 月 31 日，我单位开支财政拨款的公务用车保有量为</w:t>
      </w:r>
      <w:r>
        <w:rPr>
          <w:rFonts w:hint="eastAsia" w:ascii="Times New Roman" w:hAnsi="Times New Roman" w:eastAsia="仿宋_GB2312"/>
          <w:sz w:val="32"/>
          <w:szCs w:val="32"/>
          <w:lang w:eastAsia="zh-CN"/>
        </w:rPr>
        <w:t>0</w:t>
      </w:r>
      <w:r>
        <w:rPr>
          <w:rFonts w:hint="eastAsia" w:ascii="Times New Roman" w:hAnsi="Times New Roman" w:eastAsia="仿宋_GB2312"/>
          <w:sz w:val="32"/>
          <w:szCs w:val="32"/>
        </w:rPr>
        <w:t>辆。</w:t>
      </w:r>
    </w:p>
    <w:p w14:paraId="630C966F">
      <w:pPr>
        <w:pStyle w:val="16"/>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八、政府性基金预算收入支出决算情况</w:t>
      </w:r>
    </w:p>
    <w:p w14:paraId="64A6A8F9">
      <w:pPr>
        <w:pStyle w:val="16"/>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2025 年度政府性基金预算财政拨款收入 0 万元；年初结转和结余 0 万元；支出 0 万元，其中基本支出 0 万元，项目支出 0 万元；年末结转和结余 0 万元。</w:t>
      </w:r>
    </w:p>
    <w:p w14:paraId="6CEECB62">
      <w:pPr>
        <w:pStyle w:val="16"/>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九、国有资本经营预算收入支出决算情况</w:t>
      </w:r>
    </w:p>
    <w:p w14:paraId="3BB522D1">
      <w:pPr>
        <w:pStyle w:val="16"/>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2025 年度国有资本经营预算财政拨款收入 0 万元；年初结转和结余 0 万元；本年支出 0 万元；年末结转和结余 0 万元。</w:t>
      </w:r>
    </w:p>
    <w:p w14:paraId="4321A76B">
      <w:pPr>
        <w:pStyle w:val="16"/>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十、关于机关运行经费支出说明</w:t>
      </w:r>
    </w:p>
    <w:p w14:paraId="33C6800D">
      <w:pPr>
        <w:pStyle w:val="16"/>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本部门 2025 年度机关运行经费支出 19.74 万元，比上年决算数增加 2.87 万元，增长 17.01%。主要原因是：</w:t>
      </w:r>
      <w:r>
        <w:rPr>
          <w:rFonts w:hint="eastAsia" w:ascii="Times New Roman" w:hAnsi="Times New Roman" w:eastAsia="仿宋_GB2312"/>
          <w:sz w:val="32"/>
          <w:szCs w:val="32"/>
          <w:lang w:eastAsia="zh-CN"/>
        </w:rPr>
        <w:t>开展旅发大会采风活动</w:t>
      </w:r>
      <w:r>
        <w:rPr>
          <w:rFonts w:hint="eastAsia" w:ascii="Times New Roman" w:hAnsi="Times New Roman" w:eastAsia="仿宋_GB2312"/>
          <w:sz w:val="32"/>
          <w:szCs w:val="32"/>
        </w:rPr>
        <w:t>。</w:t>
      </w:r>
    </w:p>
    <w:p w14:paraId="3CA28681">
      <w:pPr>
        <w:pStyle w:val="16"/>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十一、一般性支出情况说明</w:t>
      </w:r>
    </w:p>
    <w:p w14:paraId="103A7FFB">
      <w:pPr>
        <w:pStyle w:val="16"/>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2025 年本部门开支会议费 0 万元，本部门无会议费开支。</w:t>
      </w:r>
    </w:p>
    <w:p w14:paraId="001A8D04">
      <w:pPr>
        <w:pStyle w:val="16"/>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十二、关于政府采购支出说明</w:t>
      </w:r>
    </w:p>
    <w:p w14:paraId="42E71B7F">
      <w:pPr>
        <w:pStyle w:val="16"/>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本部门 2025 年度政府采购支出总额</w:t>
      </w:r>
      <w:r>
        <w:rPr>
          <w:rFonts w:hint="eastAsia" w:ascii="Times New Roman" w:hAnsi="Times New Roman" w:eastAsia="仿宋_GB2312"/>
          <w:sz w:val="32"/>
          <w:szCs w:val="32"/>
          <w:lang w:eastAsia="zh-CN"/>
        </w:rPr>
        <w:t>0</w:t>
      </w:r>
      <w:r>
        <w:rPr>
          <w:rFonts w:hint="eastAsia" w:ascii="Times New Roman" w:hAnsi="Times New Roman" w:eastAsia="仿宋_GB2312"/>
          <w:sz w:val="32"/>
          <w:szCs w:val="32"/>
        </w:rPr>
        <w:t>万元，其中：政府采购货物支出</w:t>
      </w:r>
      <w:r>
        <w:rPr>
          <w:rFonts w:hint="eastAsia" w:ascii="Times New Roman" w:hAnsi="Times New Roman" w:eastAsia="仿宋_GB2312"/>
          <w:sz w:val="32"/>
          <w:szCs w:val="32"/>
          <w:lang w:eastAsia="zh-CN"/>
        </w:rPr>
        <w:t>0</w:t>
      </w:r>
      <w:r>
        <w:rPr>
          <w:rFonts w:hint="eastAsia" w:ascii="Times New Roman" w:hAnsi="Times New Roman" w:eastAsia="仿宋_GB2312"/>
          <w:sz w:val="32"/>
          <w:szCs w:val="32"/>
        </w:rPr>
        <w:t>万元、政府采购工程支出</w:t>
      </w:r>
      <w:r>
        <w:rPr>
          <w:rFonts w:hint="eastAsia" w:ascii="Times New Roman" w:hAnsi="Times New Roman" w:eastAsia="仿宋_GB2312"/>
          <w:sz w:val="32"/>
          <w:szCs w:val="32"/>
          <w:lang w:eastAsia="zh-CN"/>
        </w:rPr>
        <w:t>0</w:t>
      </w:r>
      <w:r>
        <w:rPr>
          <w:rFonts w:hint="eastAsia" w:ascii="Times New Roman" w:hAnsi="Times New Roman" w:eastAsia="仿宋_GB2312"/>
          <w:sz w:val="32"/>
          <w:szCs w:val="32"/>
        </w:rPr>
        <w:t>万元、政府采购服务支出</w:t>
      </w:r>
      <w:r>
        <w:rPr>
          <w:rFonts w:hint="eastAsia" w:ascii="Times New Roman" w:hAnsi="Times New Roman" w:eastAsia="仿宋_GB2312"/>
          <w:sz w:val="32"/>
          <w:szCs w:val="32"/>
          <w:lang w:eastAsia="zh-CN"/>
        </w:rPr>
        <w:t>0</w:t>
      </w:r>
      <w:r>
        <w:rPr>
          <w:rFonts w:hint="eastAsia" w:ascii="Times New Roman" w:hAnsi="Times New Roman" w:eastAsia="仿宋_GB2312"/>
          <w:sz w:val="32"/>
          <w:szCs w:val="32"/>
        </w:rPr>
        <w:t>万元。授予中小企业合同金额</w:t>
      </w:r>
      <w:r>
        <w:rPr>
          <w:rFonts w:hint="eastAsia" w:ascii="Times New Roman" w:hAnsi="Times New Roman" w:eastAsia="仿宋_GB2312"/>
          <w:sz w:val="32"/>
          <w:szCs w:val="32"/>
          <w:lang w:eastAsia="zh-CN"/>
        </w:rPr>
        <w:t>0</w:t>
      </w:r>
      <w:r>
        <w:rPr>
          <w:rFonts w:hint="eastAsia" w:ascii="Times New Roman" w:hAnsi="Times New Roman" w:eastAsia="仿宋_GB2312"/>
          <w:sz w:val="32"/>
          <w:szCs w:val="32"/>
        </w:rPr>
        <w:t>万元，占政府采购支出总额的</w:t>
      </w:r>
      <w:r>
        <w:rPr>
          <w:rFonts w:hint="eastAsia" w:ascii="Times New Roman" w:hAnsi="Times New Roman" w:eastAsia="仿宋_GB2312"/>
          <w:sz w:val="32"/>
          <w:szCs w:val="32"/>
          <w:lang w:eastAsia="zh-CN"/>
        </w:rPr>
        <w:t>0</w:t>
      </w:r>
      <w:r>
        <w:rPr>
          <w:rFonts w:hint="eastAsia" w:ascii="Times New Roman" w:hAnsi="Times New Roman" w:eastAsia="仿宋_GB2312"/>
          <w:sz w:val="32"/>
          <w:szCs w:val="32"/>
        </w:rPr>
        <w:t>%，其中：授予小微企业合同金额</w:t>
      </w:r>
      <w:r>
        <w:rPr>
          <w:rFonts w:hint="eastAsia" w:ascii="Times New Roman" w:hAnsi="Times New Roman" w:eastAsia="仿宋_GB2312"/>
          <w:sz w:val="32"/>
          <w:szCs w:val="32"/>
          <w:lang w:eastAsia="zh-CN"/>
        </w:rPr>
        <w:t>0</w:t>
      </w:r>
      <w:r>
        <w:rPr>
          <w:rFonts w:hint="eastAsia" w:ascii="Times New Roman" w:hAnsi="Times New Roman" w:eastAsia="仿宋_GB2312"/>
          <w:sz w:val="32"/>
          <w:szCs w:val="32"/>
        </w:rPr>
        <w:t>万元，占授予中小企业合同金额的</w:t>
      </w:r>
      <w:r>
        <w:rPr>
          <w:rFonts w:hint="eastAsia" w:ascii="Times New Roman" w:hAnsi="Times New Roman" w:eastAsia="仿宋_GB2312"/>
          <w:sz w:val="32"/>
          <w:szCs w:val="32"/>
          <w:lang w:eastAsia="zh-CN"/>
        </w:rPr>
        <w:t>0</w:t>
      </w:r>
      <w:r>
        <w:rPr>
          <w:rFonts w:hint="eastAsia" w:ascii="Times New Roman" w:hAnsi="Times New Roman" w:eastAsia="仿宋_GB2312"/>
          <w:sz w:val="32"/>
          <w:szCs w:val="32"/>
        </w:rPr>
        <w:t>%。货物采购授予中小企业合同金额占货物支出金额的</w:t>
      </w:r>
      <w:r>
        <w:rPr>
          <w:rFonts w:hint="eastAsia" w:ascii="Times New Roman" w:hAnsi="Times New Roman" w:eastAsia="仿宋_GB2312"/>
          <w:sz w:val="32"/>
          <w:szCs w:val="32"/>
          <w:lang w:eastAsia="zh-CN"/>
        </w:rPr>
        <w:t>0</w:t>
      </w:r>
      <w:r>
        <w:rPr>
          <w:rFonts w:hint="eastAsia" w:ascii="Times New Roman" w:hAnsi="Times New Roman" w:eastAsia="仿宋_GB2312"/>
          <w:sz w:val="32"/>
          <w:szCs w:val="32"/>
        </w:rPr>
        <w:t>%，工程采购授予中小企业合同金额占工程支出金额的</w:t>
      </w:r>
      <w:r>
        <w:rPr>
          <w:rFonts w:hint="eastAsia" w:ascii="Times New Roman" w:hAnsi="Times New Roman" w:eastAsia="仿宋_GB2312"/>
          <w:sz w:val="32"/>
          <w:szCs w:val="32"/>
          <w:lang w:eastAsia="zh-CN"/>
        </w:rPr>
        <w:t>0</w:t>
      </w:r>
      <w:r>
        <w:rPr>
          <w:rFonts w:hint="eastAsia" w:ascii="Times New Roman" w:hAnsi="Times New Roman" w:eastAsia="仿宋_GB2312"/>
          <w:sz w:val="32"/>
          <w:szCs w:val="32"/>
        </w:rPr>
        <w:t>%，服务采购授予中小企业合同金额占服务支出金额的</w:t>
      </w:r>
      <w:r>
        <w:rPr>
          <w:rFonts w:hint="eastAsia" w:ascii="Times New Roman" w:hAnsi="Times New Roman" w:eastAsia="仿宋_GB2312"/>
          <w:sz w:val="32"/>
          <w:szCs w:val="32"/>
          <w:lang w:eastAsia="zh-CN"/>
        </w:rPr>
        <w:t>0</w:t>
      </w:r>
      <w:r>
        <w:rPr>
          <w:rFonts w:hint="eastAsia" w:ascii="Times New Roman" w:hAnsi="Times New Roman" w:eastAsia="仿宋_GB2312"/>
          <w:sz w:val="32"/>
          <w:szCs w:val="32"/>
        </w:rPr>
        <w:t>%。</w:t>
      </w:r>
    </w:p>
    <w:p w14:paraId="5C2CCB3F">
      <w:pPr>
        <w:pStyle w:val="16"/>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十三、关于国有资产占用情况说明</w:t>
      </w:r>
    </w:p>
    <w:p w14:paraId="763D57A8">
      <w:pPr>
        <w:pStyle w:val="16"/>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截至 2025 年 12 月 31 日，部门（单位）共有车辆</w:t>
      </w:r>
      <w:r>
        <w:rPr>
          <w:rFonts w:hint="eastAsia" w:ascii="Times New Roman" w:hAnsi="Times New Roman" w:eastAsia="仿宋_GB2312"/>
          <w:sz w:val="32"/>
          <w:szCs w:val="32"/>
          <w:lang w:eastAsia="zh-CN"/>
        </w:rPr>
        <w:t>0</w:t>
      </w:r>
      <w:r>
        <w:rPr>
          <w:rFonts w:hint="eastAsia" w:ascii="Times New Roman" w:hAnsi="Times New Roman" w:eastAsia="仿宋_GB2312"/>
          <w:sz w:val="32"/>
          <w:szCs w:val="32"/>
        </w:rPr>
        <w:t>辆，其中，副部（省）级及以上领导用车</w:t>
      </w:r>
      <w:r>
        <w:rPr>
          <w:rFonts w:hint="eastAsia" w:ascii="Times New Roman" w:hAnsi="Times New Roman" w:eastAsia="仿宋_GB2312"/>
          <w:sz w:val="32"/>
          <w:szCs w:val="32"/>
          <w:lang w:eastAsia="zh-CN"/>
        </w:rPr>
        <w:t>0</w:t>
      </w:r>
      <w:r>
        <w:rPr>
          <w:rFonts w:hint="eastAsia" w:ascii="Times New Roman" w:hAnsi="Times New Roman" w:eastAsia="仿宋_GB2312"/>
          <w:sz w:val="32"/>
          <w:szCs w:val="32"/>
        </w:rPr>
        <w:t>辆、主要负责人用车</w:t>
      </w:r>
      <w:r>
        <w:rPr>
          <w:rFonts w:hint="eastAsia" w:ascii="Times New Roman" w:hAnsi="Times New Roman" w:eastAsia="仿宋_GB2312"/>
          <w:sz w:val="32"/>
          <w:szCs w:val="32"/>
          <w:lang w:eastAsia="zh-CN"/>
        </w:rPr>
        <w:t>0</w:t>
      </w:r>
      <w:r>
        <w:rPr>
          <w:rFonts w:hint="eastAsia" w:ascii="Times New Roman" w:hAnsi="Times New Roman" w:eastAsia="仿宋_GB2312"/>
          <w:sz w:val="32"/>
          <w:szCs w:val="32"/>
        </w:rPr>
        <w:t>辆、机要通信用车</w:t>
      </w:r>
      <w:r>
        <w:rPr>
          <w:rFonts w:hint="eastAsia" w:ascii="Times New Roman" w:hAnsi="Times New Roman" w:eastAsia="仿宋_GB2312"/>
          <w:sz w:val="32"/>
          <w:szCs w:val="32"/>
          <w:lang w:eastAsia="zh-CN"/>
        </w:rPr>
        <w:t>0</w:t>
      </w:r>
      <w:r>
        <w:rPr>
          <w:rFonts w:hint="eastAsia" w:ascii="Times New Roman" w:hAnsi="Times New Roman" w:eastAsia="仿宋_GB2312"/>
          <w:sz w:val="32"/>
          <w:szCs w:val="32"/>
        </w:rPr>
        <w:t>辆、应急保障用车</w:t>
      </w:r>
      <w:r>
        <w:rPr>
          <w:rFonts w:hint="eastAsia" w:ascii="Times New Roman" w:hAnsi="Times New Roman" w:eastAsia="仿宋_GB2312"/>
          <w:sz w:val="32"/>
          <w:szCs w:val="32"/>
          <w:lang w:eastAsia="zh-CN"/>
        </w:rPr>
        <w:t>0</w:t>
      </w:r>
      <w:r>
        <w:rPr>
          <w:rFonts w:hint="eastAsia" w:ascii="Times New Roman" w:hAnsi="Times New Roman" w:eastAsia="仿宋_GB2312"/>
          <w:sz w:val="32"/>
          <w:szCs w:val="32"/>
        </w:rPr>
        <w:t>辆、执法执勤用车</w:t>
      </w:r>
      <w:r>
        <w:rPr>
          <w:rFonts w:hint="eastAsia" w:ascii="Times New Roman" w:hAnsi="Times New Roman" w:eastAsia="仿宋_GB2312"/>
          <w:sz w:val="32"/>
          <w:szCs w:val="32"/>
          <w:lang w:eastAsia="zh-CN"/>
        </w:rPr>
        <w:t>0</w:t>
      </w:r>
      <w:r>
        <w:rPr>
          <w:rFonts w:hint="eastAsia" w:ascii="Times New Roman" w:hAnsi="Times New Roman" w:eastAsia="仿宋_GB2312"/>
          <w:sz w:val="32"/>
          <w:szCs w:val="32"/>
        </w:rPr>
        <w:t>辆、特种专业技术用车</w:t>
      </w:r>
      <w:r>
        <w:rPr>
          <w:rFonts w:hint="eastAsia" w:ascii="Times New Roman" w:hAnsi="Times New Roman" w:eastAsia="仿宋_GB2312"/>
          <w:sz w:val="32"/>
          <w:szCs w:val="32"/>
          <w:lang w:eastAsia="zh-CN"/>
        </w:rPr>
        <w:t>0</w:t>
      </w:r>
      <w:r>
        <w:rPr>
          <w:rFonts w:hint="eastAsia" w:ascii="Times New Roman" w:hAnsi="Times New Roman" w:eastAsia="仿宋_GB2312"/>
          <w:sz w:val="32"/>
          <w:szCs w:val="32"/>
        </w:rPr>
        <w:t>辆、离退休干部服务用车</w:t>
      </w:r>
      <w:r>
        <w:rPr>
          <w:rFonts w:hint="eastAsia" w:ascii="Times New Roman" w:hAnsi="Times New Roman" w:eastAsia="仿宋_GB2312"/>
          <w:sz w:val="32"/>
          <w:szCs w:val="32"/>
          <w:lang w:eastAsia="zh-CN"/>
        </w:rPr>
        <w:t>0</w:t>
      </w:r>
      <w:r>
        <w:rPr>
          <w:rFonts w:hint="eastAsia" w:ascii="Times New Roman" w:hAnsi="Times New Roman" w:eastAsia="仿宋_GB2312"/>
          <w:sz w:val="32"/>
          <w:szCs w:val="32"/>
        </w:rPr>
        <w:t>辆、其他用车</w:t>
      </w:r>
      <w:r>
        <w:rPr>
          <w:rFonts w:hint="eastAsia" w:ascii="Times New Roman" w:hAnsi="Times New Roman" w:eastAsia="仿宋_GB2312"/>
          <w:sz w:val="32"/>
          <w:szCs w:val="32"/>
          <w:lang w:eastAsia="zh-CN"/>
        </w:rPr>
        <w:t>0</w:t>
      </w:r>
      <w:r>
        <w:rPr>
          <w:rFonts w:hint="eastAsia" w:ascii="Times New Roman" w:hAnsi="Times New Roman" w:eastAsia="仿宋_GB2312"/>
          <w:sz w:val="32"/>
          <w:szCs w:val="32"/>
        </w:rPr>
        <w:t>辆，单位价值 100 万元以上设备（不含车辆）</w:t>
      </w:r>
      <w:r>
        <w:rPr>
          <w:rFonts w:hint="eastAsia" w:ascii="Times New Roman" w:hAnsi="Times New Roman" w:eastAsia="仿宋_GB2312"/>
          <w:sz w:val="32"/>
          <w:szCs w:val="32"/>
          <w:lang w:eastAsia="zh-CN"/>
        </w:rPr>
        <w:t>0</w:t>
      </w:r>
      <w:r>
        <w:rPr>
          <w:rFonts w:hint="eastAsia" w:ascii="Times New Roman" w:hAnsi="Times New Roman" w:eastAsia="仿宋_GB2312"/>
          <w:sz w:val="32"/>
          <w:szCs w:val="32"/>
        </w:rPr>
        <w:t>台（套）。</w:t>
      </w:r>
    </w:p>
    <w:p w14:paraId="552EB089">
      <w:pPr>
        <w:pStyle w:val="16"/>
        <w:spacing w:line="580" w:lineRule="exact"/>
        <w:ind w:firstLine="640" w:firstLineChars="200"/>
        <w:rPr>
          <w:rFonts w:hint="eastAsia" w:ascii="Times New Roman" w:hAnsi="Times New Roman" w:eastAsia="仿宋_GB2312"/>
          <w:sz w:val="32"/>
          <w:szCs w:val="32"/>
        </w:rPr>
      </w:pPr>
    </w:p>
    <w:p w14:paraId="779C0E71">
      <w:pPr>
        <w:pStyle w:val="16"/>
        <w:spacing w:line="580" w:lineRule="exact"/>
        <w:ind w:firstLine="640" w:firstLineChars="200"/>
        <w:rPr>
          <w:rFonts w:hAnsi="黑体"/>
          <w:bCs/>
          <w:color w:val="auto"/>
          <w:sz w:val="32"/>
          <w:szCs w:val="32"/>
        </w:rPr>
      </w:pPr>
      <w:r>
        <w:rPr>
          <w:rFonts w:hint="eastAsia" w:hAnsi="黑体"/>
          <w:bCs/>
          <w:color w:val="auto"/>
          <w:sz w:val="32"/>
          <w:szCs w:val="32"/>
        </w:rPr>
        <w:t>十</w:t>
      </w:r>
      <w:r>
        <w:rPr>
          <w:rFonts w:hint="eastAsia" w:hAnsi="黑体"/>
          <w:bCs/>
          <w:color w:val="auto"/>
          <w:sz w:val="32"/>
          <w:szCs w:val="32"/>
          <w:lang w:eastAsia="zh-CN"/>
        </w:rPr>
        <w:t>四</w:t>
      </w:r>
      <w:r>
        <w:rPr>
          <w:rFonts w:hint="eastAsia" w:hAnsi="黑体"/>
          <w:bCs/>
          <w:color w:val="auto"/>
          <w:sz w:val="32"/>
          <w:szCs w:val="32"/>
        </w:rPr>
        <w:t>、关于</w:t>
      </w:r>
      <w:r>
        <w:rPr>
          <w:rFonts w:hint="eastAsia" w:ascii="Times New Roman" w:hAnsi="Times New Roman" w:eastAsia="仿宋_GB2312"/>
          <w:color w:val="auto"/>
          <w:sz w:val="32"/>
          <w:szCs w:val="32"/>
          <w:lang w:eastAsia="zh-CN"/>
        </w:rPr>
        <w:t>2025</w:t>
      </w:r>
      <w:r>
        <w:rPr>
          <w:rFonts w:hint="eastAsia" w:hAnsi="黑体"/>
          <w:bCs/>
          <w:color w:val="auto"/>
          <w:sz w:val="32"/>
          <w:szCs w:val="32"/>
        </w:rPr>
        <w:t>年度预算绩效情况的说明</w:t>
      </w:r>
    </w:p>
    <w:p w14:paraId="5A99E222">
      <w:pPr>
        <w:pStyle w:val="16"/>
        <w:spacing w:line="580" w:lineRule="exact"/>
        <w:ind w:firstLine="640" w:firstLineChars="200"/>
        <w:rPr>
          <w:rFonts w:hint="eastAsia" w:ascii="楷体" w:hAnsi="楷体" w:eastAsia="楷体" w:cs="楷体"/>
          <w:b/>
          <w:bCs/>
          <w:sz w:val="32"/>
          <w:szCs w:val="32"/>
        </w:rPr>
      </w:pPr>
      <w:r>
        <w:rPr>
          <w:rFonts w:hint="eastAsia" w:ascii="楷体" w:hAnsi="楷体" w:eastAsia="楷体" w:cs="楷体"/>
          <w:b/>
          <w:bCs/>
          <w:sz w:val="32"/>
          <w:szCs w:val="32"/>
        </w:rPr>
        <w:t>（一）绩效管理工作开展情况</w:t>
      </w:r>
    </w:p>
    <w:p w14:paraId="26B81A27">
      <w:pPr>
        <w:pStyle w:val="16"/>
        <w:spacing w:line="580" w:lineRule="exact"/>
        <w:ind w:firstLine="640" w:firstLineChars="200"/>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按照市级部门有关要求，按时完成部门整体绩效目标编制完整、合理，项目绩效目标编制明确、量化。按要求严格预算执行管理，及时足额将专项资金按指标拨付。按要求及时公开绩效</w:t>
      </w:r>
      <w:r>
        <w:rPr>
          <w:rFonts w:hint="eastAsia" w:ascii="Times New Roman" w:hAnsi="Times New Roman" w:eastAsia="仿宋_GB2312"/>
          <w:color w:val="auto"/>
          <w:sz w:val="32"/>
          <w:szCs w:val="32"/>
          <w:lang w:eastAsia="zh-CN"/>
        </w:rPr>
        <w:t>相关</w:t>
      </w:r>
      <w:r>
        <w:rPr>
          <w:rFonts w:hint="eastAsia" w:ascii="Times New Roman" w:hAnsi="Times New Roman" w:eastAsia="仿宋_GB2312"/>
          <w:color w:val="auto"/>
          <w:sz w:val="32"/>
          <w:szCs w:val="32"/>
        </w:rPr>
        <w:t>信息。按要求及时、准确、全面开展资产清查工作，上报国有资产报表数据的真实、准确、全面。内部控制制度健全完整并执行良好，在本年度内未出现廉政风险。</w:t>
      </w:r>
    </w:p>
    <w:p w14:paraId="1D28881D">
      <w:pPr>
        <w:pStyle w:val="16"/>
        <w:spacing w:line="580" w:lineRule="exact"/>
        <w:ind w:firstLine="640" w:firstLineChars="200"/>
        <w:rPr>
          <w:rFonts w:hint="eastAsia" w:ascii="楷体" w:hAnsi="楷体" w:eastAsia="楷体" w:cs="楷体"/>
          <w:b/>
          <w:bCs/>
          <w:sz w:val="32"/>
          <w:szCs w:val="32"/>
          <w:lang w:eastAsia="zh-CN"/>
        </w:rPr>
      </w:pPr>
      <w:r>
        <w:rPr>
          <w:rFonts w:hint="eastAsia" w:ascii="楷体" w:hAnsi="楷体" w:eastAsia="楷体" w:cs="楷体"/>
          <w:b/>
          <w:bCs/>
          <w:sz w:val="32"/>
          <w:szCs w:val="32"/>
        </w:rPr>
        <w:t>（二）</w:t>
      </w:r>
      <w:r>
        <w:rPr>
          <w:rFonts w:hint="eastAsia" w:ascii="楷体" w:hAnsi="楷体" w:eastAsia="楷体" w:cs="楷体"/>
          <w:b/>
          <w:bCs/>
          <w:sz w:val="32"/>
          <w:szCs w:val="32"/>
          <w:lang w:eastAsia="zh-CN"/>
        </w:rPr>
        <w:t>绩效评价结果。</w:t>
      </w:r>
    </w:p>
    <w:p w14:paraId="33489D6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Times New Roman" w:hAnsi="Times New Roman" w:eastAsia="仿宋_GB2312"/>
          <w:color w:val="auto"/>
          <w:sz w:val="32"/>
          <w:szCs w:val="32"/>
          <w:lang w:val="en-US" w:eastAsia="zh-CN"/>
        </w:rPr>
        <w:t>按照市本级预算绩效管理工作的总体要求，2025年我单位整体支出330.37万元，全部实行整体支出绩效目标管理，2025年，</w:t>
      </w:r>
      <w:r>
        <w:rPr>
          <w:rFonts w:hint="eastAsia" w:ascii="仿宋_GB2312" w:hAnsi="仿宋_GB2312" w:eastAsia="仿宋_GB2312" w:cs="仿宋_GB2312"/>
          <w:sz w:val="32"/>
          <w:szCs w:val="32"/>
          <w:lang w:val="en-US" w:eastAsia="zh-CN"/>
        </w:rPr>
        <w:t>坚持把政治建设摆在首位，严格落实“第一议题”制度，发挥党组理论学习中心组全年组织专题学习研讨12次。成功举办全市文艺工作者迎春座谈会，市委书记许忠建主持会议并讲话，</w:t>
      </w:r>
      <w:r>
        <w:rPr>
          <w:rFonts w:hint="eastAsia" w:ascii="Times New Roman" w:hAnsi="Times New Roman" w:eastAsia="仿宋_GB2312" w:cs="仿宋_GB2312"/>
          <w:sz w:val="32"/>
          <w:szCs w:val="32"/>
          <w:lang w:eastAsia="zh-CN"/>
        </w:rPr>
        <w:t>省作协原主席王跃文等名家出席</w:t>
      </w:r>
      <w:r>
        <w:rPr>
          <w:rFonts w:hint="eastAsia" w:ascii="仿宋_GB2312" w:hAnsi="仿宋_GB2312" w:eastAsia="仿宋_GB2312" w:cs="仿宋_GB2312"/>
          <w:sz w:val="32"/>
          <w:szCs w:val="32"/>
          <w:lang w:val="en-US" w:eastAsia="zh-CN"/>
        </w:rPr>
        <w:t>；许忠建书记专程走访调研市文联，现场解决创作经费、组织架构优化等关键问题。高质量承办“学习贯彻习近平文化思想暨全省乡村振兴摄影创作专题培训班”，中国文联副主席李舸、省文联党组书记乐奕亲临授课。</w:t>
      </w:r>
      <w:r>
        <w:rPr>
          <w:rFonts w:hint="eastAsia" w:ascii="Times New Roman" w:hAnsi="Times New Roman" w:eastAsia="仿宋_GB2312" w:cs="仿宋_GB2312"/>
          <w:sz w:val="32"/>
          <w:szCs w:val="32"/>
          <w:lang w:eastAsia="zh-CN"/>
        </w:rPr>
        <w:t>将党纪学习教育、贯彻中央八项规定精神等与文艺实践深度融合，通过中心组学习、专题研讨等形式开展各类思政学习活动数十场，覆盖文艺工作者超两千人次。</w:t>
      </w:r>
      <w:r>
        <w:rPr>
          <w:rFonts w:hint="eastAsia" w:ascii="仿宋_GB2312" w:hAnsi="仿宋_GB2312" w:eastAsia="仿宋_GB2312" w:cs="仿宋_GB2312"/>
          <w:sz w:val="32"/>
          <w:szCs w:val="32"/>
          <w:lang w:val="en-US" w:eastAsia="zh-CN"/>
        </w:rPr>
        <w:t>各文艺家协会等通过支部学习、主题党日等形式，组织会员深入学习习近平文化思想。全面落实意识形态工作责任制，全年召开2次专题会议分析研判文艺领域意识形态风险。强化《怀化文学》、“怀化文联”微信公众号等阵地内容审核，严格执行“三审”制度。各协会在创作、展演等各环节严格把关，全年文联系统意识形态领域安全平稳。</w:t>
      </w:r>
    </w:p>
    <w:p w14:paraId="531C71B6">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leftChars="0" w:firstLine="640" w:firstLineChars="200"/>
        <w:jc w:val="both"/>
        <w:textAlignment w:val="auto"/>
        <w:rPr>
          <w:rFonts w:hint="eastAsia" w:ascii="Times New Roman" w:hAnsi="Times New Roman" w:eastAsia="仿宋_GB2312" w:cs="仿宋_GB2312"/>
          <w:color w:val="auto"/>
          <w:sz w:val="32"/>
          <w:szCs w:val="32"/>
          <w:lang w:eastAsia="zh-CN"/>
        </w:rPr>
      </w:pPr>
    </w:p>
    <w:p w14:paraId="516CDFF5">
      <w:pPr>
        <w:pStyle w:val="16"/>
        <w:spacing w:line="580" w:lineRule="exact"/>
        <w:ind w:firstLine="640" w:firstLineChars="200"/>
        <w:rPr>
          <w:rFonts w:ascii="楷体" w:hAnsi="楷体" w:eastAsia="楷体" w:cs="楷体"/>
          <w:b/>
          <w:bCs/>
          <w:sz w:val="32"/>
          <w:szCs w:val="32"/>
        </w:rPr>
      </w:pPr>
      <w:r>
        <w:rPr>
          <w:rFonts w:hint="eastAsia" w:ascii="楷体" w:hAnsi="楷体" w:eastAsia="楷体" w:cs="楷体"/>
          <w:b/>
          <w:bCs/>
          <w:sz w:val="32"/>
          <w:szCs w:val="32"/>
        </w:rPr>
        <w:t>（三）存在的问题及原因分析</w:t>
      </w:r>
    </w:p>
    <w:p w14:paraId="1CAC0279">
      <w:pPr>
        <w:pStyle w:val="16"/>
        <w:spacing w:line="580" w:lineRule="exact"/>
        <w:ind w:firstLine="640" w:firstLineChars="200"/>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全面预算绩效管理工作经验不太丰富，绩效管理专业人员匮乏，规范管理尚有盲点。深入开展政府购买社会化服务，切实引进社会化竞争机制，引进相关专业人才，加强绩效目标管理观念，增强绩效管理意识，各项目部门需要进一步将绩效目标和预算相结合，在年初报预算时，设置更加详细、合理、可衡量的绩效目标。</w:t>
      </w:r>
    </w:p>
    <w:p w14:paraId="2660E2AE">
      <w:pPr>
        <w:pStyle w:val="16"/>
        <w:spacing w:line="580" w:lineRule="exact"/>
        <w:ind w:firstLine="640" w:firstLineChars="200"/>
        <w:rPr>
          <w:rFonts w:hint="eastAsia" w:ascii="Times New Roman" w:hAnsi="Times New Roman" w:eastAsia="仿宋_GB2312"/>
          <w:color w:val="auto"/>
          <w:sz w:val="32"/>
          <w:szCs w:val="32"/>
          <w:lang w:val="en-US" w:eastAsia="zh-CN"/>
        </w:rPr>
      </w:pPr>
    </w:p>
    <w:p w14:paraId="7FADD9F0">
      <w:pPr>
        <w:pStyle w:val="16"/>
        <w:jc w:val="both"/>
        <w:rPr>
          <w:sz w:val="72"/>
          <w:szCs w:val="72"/>
        </w:rPr>
      </w:pPr>
    </w:p>
    <w:p w14:paraId="5DBAD472">
      <w:pPr>
        <w:pStyle w:val="16"/>
        <w:jc w:val="center"/>
        <w:rPr>
          <w:sz w:val="72"/>
          <w:szCs w:val="72"/>
        </w:rPr>
      </w:pPr>
    </w:p>
    <w:p w14:paraId="25BEE062">
      <w:pPr>
        <w:pStyle w:val="16"/>
        <w:jc w:val="center"/>
        <w:rPr>
          <w:sz w:val="72"/>
          <w:szCs w:val="72"/>
        </w:rPr>
      </w:pPr>
    </w:p>
    <w:p w14:paraId="72121B07">
      <w:pPr>
        <w:pStyle w:val="16"/>
        <w:jc w:val="both"/>
        <w:rPr>
          <w:rFonts w:ascii="方正小标宋_GBK" w:hAnsi="方正小标宋_GBK" w:eastAsia="方正小标宋_GBK" w:cs="方正小标宋_GBK"/>
          <w:sz w:val="72"/>
          <w:szCs w:val="72"/>
        </w:rPr>
      </w:pPr>
    </w:p>
    <w:p w14:paraId="51F956A3">
      <w:pPr>
        <w:pStyle w:val="16"/>
        <w:jc w:val="center"/>
        <w:rPr>
          <w:rFonts w:ascii="方正小标宋_GBK" w:hAnsi="方正小标宋_GBK" w:eastAsia="方正小标宋_GBK" w:cs="方正小标宋_GBK"/>
          <w:sz w:val="72"/>
          <w:szCs w:val="72"/>
        </w:rPr>
      </w:pPr>
    </w:p>
    <w:p w14:paraId="256B1ACD">
      <w:pPr>
        <w:pStyle w:val="16"/>
        <w:jc w:val="center"/>
        <w:rPr>
          <w:rFonts w:hint="eastAsia" w:ascii="方正小标宋_GBK" w:hAnsi="方正小标宋_GBK" w:eastAsia="方正小标宋_GBK" w:cs="方正小标宋_GBK"/>
          <w:sz w:val="72"/>
          <w:szCs w:val="72"/>
        </w:rPr>
      </w:pPr>
    </w:p>
    <w:p w14:paraId="1CD1DCDE">
      <w:pPr>
        <w:pStyle w:val="16"/>
        <w:jc w:val="center"/>
        <w:rPr>
          <w:rFonts w:hint="eastAsia" w:ascii="方正小标宋_GBK" w:hAnsi="方正小标宋_GBK" w:eastAsia="方正小标宋_GBK" w:cs="方正小标宋_GBK"/>
          <w:sz w:val="72"/>
          <w:szCs w:val="72"/>
        </w:rPr>
      </w:pPr>
    </w:p>
    <w:p w14:paraId="6DC3C990">
      <w:pPr>
        <w:pStyle w:val="16"/>
        <w:jc w:val="center"/>
        <w:rPr>
          <w:rFonts w:hint="eastAsia" w:ascii="方正小标宋_GBK" w:hAnsi="方正小标宋_GBK" w:eastAsia="方正小标宋_GBK" w:cs="方正小标宋_GBK"/>
          <w:sz w:val="72"/>
          <w:szCs w:val="72"/>
        </w:rPr>
      </w:pPr>
    </w:p>
    <w:p w14:paraId="0ACD45EC">
      <w:pPr>
        <w:pStyle w:val="16"/>
        <w:jc w:val="center"/>
        <w:rPr>
          <w:rFonts w:hint="eastAsia" w:ascii="方正小标宋_GBK" w:hAnsi="方正小标宋_GBK" w:eastAsia="方正小标宋_GBK" w:cs="方正小标宋_GBK"/>
          <w:sz w:val="72"/>
          <w:szCs w:val="72"/>
        </w:rPr>
      </w:pPr>
    </w:p>
    <w:p w14:paraId="1157D6EB">
      <w:pPr>
        <w:pStyle w:val="16"/>
        <w:jc w:val="center"/>
        <w:rPr>
          <w:rFonts w:hint="eastAsia" w:ascii="方正小标宋_GBK" w:hAnsi="方正小标宋_GBK" w:eastAsia="方正小标宋_GBK" w:cs="方正小标宋_GBK"/>
          <w:sz w:val="72"/>
          <w:szCs w:val="72"/>
        </w:rPr>
      </w:pPr>
    </w:p>
    <w:p w14:paraId="2D97FA95">
      <w:pPr>
        <w:pStyle w:val="16"/>
        <w:jc w:val="center"/>
        <w:rPr>
          <w:rFonts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14:paraId="4FAAA573">
      <w:pPr>
        <w:jc w:val="center"/>
        <w:rPr>
          <w:rFonts w:ascii="方正小标宋_GBK" w:hAnsi="方正小标宋_GBK" w:eastAsia="方正小标宋_GBK" w:cs="方正小标宋_GBK"/>
          <w:color w:val="000000"/>
          <w:kern w:val="0"/>
          <w:sz w:val="70"/>
          <w:szCs w:val="70"/>
        </w:rPr>
      </w:pPr>
    </w:p>
    <w:p w14:paraId="60B65E74">
      <w:pPr>
        <w:jc w:val="center"/>
        <w:rPr>
          <w:rFonts w:ascii="方正小标宋_GBK" w:hAnsi="方正小标宋_GBK" w:eastAsia="方正小标宋_GBK" w:cs="方正小标宋_GBK"/>
          <w:color w:val="000000"/>
          <w:kern w:val="0"/>
          <w:sz w:val="70"/>
          <w:szCs w:val="70"/>
        </w:rPr>
      </w:pPr>
      <w:r>
        <w:rPr>
          <w:rFonts w:hint="eastAsia" w:ascii="方正小标宋_GBK" w:hAnsi="方正小标宋_GBK" w:eastAsia="方正小标宋_GBK" w:cs="方正小标宋_GBK"/>
          <w:color w:val="000000"/>
          <w:kern w:val="0"/>
          <w:sz w:val="70"/>
          <w:szCs w:val="70"/>
        </w:rPr>
        <w:t>名词解释</w:t>
      </w:r>
    </w:p>
    <w:p w14:paraId="51A5A030">
      <w:pPr>
        <w:widowControl/>
        <w:jc w:val="left"/>
        <w:rPr>
          <w:rFonts w:cs="黑体" w:asciiTheme="minorEastAsia" w:hAnsiTheme="minorEastAsia"/>
          <w:color w:val="000000"/>
          <w:kern w:val="0"/>
          <w:sz w:val="32"/>
          <w:szCs w:val="32"/>
        </w:rPr>
      </w:pPr>
      <w:r>
        <w:rPr>
          <w:rFonts w:hint="eastAsia" w:ascii="方正小标宋_GBK" w:hAnsi="方正小标宋_GBK" w:eastAsia="方正小标宋_GBK" w:cs="方正小标宋_GBK"/>
          <w:color w:val="000000"/>
          <w:kern w:val="0"/>
          <w:sz w:val="70"/>
          <w:szCs w:val="70"/>
        </w:rPr>
        <w:br w:type="page"/>
      </w:r>
    </w:p>
    <w:p w14:paraId="745A877D">
      <w:pPr>
        <w:keepNext w:val="0"/>
        <w:keepLines w:val="0"/>
        <w:pageBreakBefore w:val="0"/>
        <w:widowControl/>
        <w:numPr>
          <w:ilvl w:val="0"/>
          <w:numId w:val="0"/>
        </w:numPr>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rPr>
      </w:pPr>
      <w:r>
        <w:rPr>
          <w:rFonts w:hint="eastAsia" w:ascii="黑体" w:hAnsi="黑体" w:eastAsia="黑体" w:cs="黑体"/>
          <w:b w:val="0"/>
          <w:bCs w:val="0"/>
          <w:sz w:val="32"/>
          <w:szCs w:val="32"/>
          <w:lang w:eastAsia="zh-CN"/>
        </w:rPr>
        <w:t>一、</w:t>
      </w:r>
      <w:r>
        <w:rPr>
          <w:rFonts w:hint="eastAsia" w:ascii="黑体" w:hAnsi="黑体" w:eastAsia="黑体" w:cs="黑体"/>
          <w:b w:val="0"/>
          <w:bCs w:val="0"/>
          <w:sz w:val="32"/>
          <w:szCs w:val="32"/>
        </w:rPr>
        <w:t>机关运行经费：</w:t>
      </w:r>
      <w:r>
        <w:rPr>
          <w:rFonts w:hint="eastAsia" w:ascii="仿宋_GB2312" w:hAnsi="仿宋_GB2312" w:eastAsia="仿宋_GB2312" w:cs="仿宋_GB2312"/>
          <w:sz w:val="32"/>
          <w:szCs w:val="32"/>
        </w:rPr>
        <w:t>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即为行政单位和参照公务员法管理事业单位一般公共预算财政拨款基本支出中的公用经费支出。</w:t>
      </w:r>
    </w:p>
    <w:p w14:paraId="3094568A">
      <w:pPr>
        <w:keepNext w:val="0"/>
        <w:keepLines w:val="0"/>
        <w:pageBreakBefore w:val="0"/>
        <w:widowControl/>
        <w:numPr>
          <w:ilvl w:val="0"/>
          <w:numId w:val="0"/>
        </w:numPr>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rPr>
      </w:pPr>
      <w:r>
        <w:rPr>
          <w:rFonts w:hint="eastAsia" w:ascii="黑体" w:hAnsi="黑体" w:eastAsia="黑体" w:cs="黑体"/>
          <w:b w:val="0"/>
          <w:bCs w:val="0"/>
          <w:sz w:val="32"/>
          <w:szCs w:val="32"/>
          <w:lang w:eastAsia="zh-CN"/>
        </w:rPr>
        <w:t>二、</w:t>
      </w:r>
      <w:r>
        <w:rPr>
          <w:rFonts w:hint="eastAsia" w:ascii="黑体" w:hAnsi="黑体" w:eastAsia="黑体" w:cs="黑体"/>
          <w:b w:val="0"/>
          <w:bCs w:val="0"/>
          <w:sz w:val="32"/>
          <w:szCs w:val="32"/>
        </w:rPr>
        <w:t>“三公”经费：</w:t>
      </w:r>
      <w:r>
        <w:rPr>
          <w:rFonts w:hint="eastAsia" w:ascii="仿宋_GB2312" w:hAnsi="仿宋_GB2312" w:eastAsia="仿宋_GB2312" w:cs="仿宋_GB2312"/>
          <w:sz w:val="32"/>
          <w:szCs w:val="32"/>
        </w:rPr>
        <w:t>纳入财政预算管理的“三公</w:t>
      </w:r>
      <w:bookmarkStart w:id="1" w:name="_GoBack"/>
      <w:bookmarkEnd w:id="1"/>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18604C78">
      <w:pPr>
        <w:pStyle w:val="16"/>
        <w:jc w:val="center"/>
        <w:rPr>
          <w:sz w:val="72"/>
          <w:szCs w:val="72"/>
        </w:rPr>
      </w:pPr>
    </w:p>
    <w:p w14:paraId="5804D02B">
      <w:pPr>
        <w:pStyle w:val="16"/>
        <w:jc w:val="center"/>
        <w:rPr>
          <w:sz w:val="72"/>
          <w:szCs w:val="72"/>
        </w:rPr>
      </w:pPr>
    </w:p>
    <w:p w14:paraId="7A11C2A2">
      <w:pPr>
        <w:pStyle w:val="16"/>
        <w:jc w:val="center"/>
        <w:rPr>
          <w:sz w:val="72"/>
          <w:szCs w:val="72"/>
        </w:rPr>
      </w:pPr>
    </w:p>
    <w:p w14:paraId="1E57EE9A">
      <w:pPr>
        <w:pStyle w:val="16"/>
        <w:jc w:val="center"/>
        <w:rPr>
          <w:sz w:val="72"/>
          <w:szCs w:val="72"/>
        </w:rPr>
      </w:pPr>
    </w:p>
    <w:p w14:paraId="3B500747">
      <w:pPr>
        <w:pStyle w:val="16"/>
        <w:jc w:val="center"/>
        <w:rPr>
          <w:sz w:val="72"/>
          <w:szCs w:val="72"/>
        </w:rPr>
      </w:pPr>
    </w:p>
    <w:p w14:paraId="295EC6F5">
      <w:pPr>
        <w:pStyle w:val="16"/>
        <w:jc w:val="center"/>
        <w:rPr>
          <w:sz w:val="72"/>
          <w:szCs w:val="72"/>
        </w:rPr>
      </w:pPr>
    </w:p>
    <w:p w14:paraId="4DBD85DB">
      <w:pPr>
        <w:pStyle w:val="16"/>
        <w:jc w:val="center"/>
        <w:rPr>
          <w:sz w:val="72"/>
          <w:szCs w:val="72"/>
        </w:rPr>
      </w:pPr>
    </w:p>
    <w:p w14:paraId="73951305">
      <w:pPr>
        <w:pStyle w:val="16"/>
        <w:jc w:val="center"/>
        <w:rPr>
          <w:sz w:val="72"/>
          <w:szCs w:val="72"/>
        </w:rPr>
      </w:pPr>
    </w:p>
    <w:p w14:paraId="05081D57">
      <w:pPr>
        <w:rPr>
          <w:sz w:val="72"/>
          <w:szCs w:val="72"/>
        </w:rPr>
      </w:pPr>
      <w:r>
        <w:rPr>
          <w:sz w:val="72"/>
          <w:szCs w:val="72"/>
        </w:rPr>
        <w:br w:type="page"/>
      </w:r>
    </w:p>
    <w:p w14:paraId="1A4FF17D">
      <w:pPr>
        <w:pStyle w:val="16"/>
        <w:jc w:val="center"/>
        <w:rPr>
          <w:rFonts w:ascii="方正小标宋_GBK" w:hAnsi="方正小标宋_GBK" w:eastAsia="方正小标宋_GBK" w:cs="方正小标宋_GBK"/>
          <w:sz w:val="72"/>
          <w:szCs w:val="72"/>
        </w:rPr>
      </w:pPr>
    </w:p>
    <w:p w14:paraId="0A3AB18A">
      <w:pPr>
        <w:pStyle w:val="16"/>
        <w:jc w:val="center"/>
        <w:rPr>
          <w:rFonts w:ascii="方正小标宋_GBK" w:hAnsi="方正小标宋_GBK" w:eastAsia="方正小标宋_GBK" w:cs="方正小标宋_GBK"/>
          <w:sz w:val="72"/>
          <w:szCs w:val="72"/>
        </w:rPr>
      </w:pPr>
    </w:p>
    <w:p w14:paraId="55160D25">
      <w:pPr>
        <w:pStyle w:val="16"/>
        <w:jc w:val="center"/>
        <w:rPr>
          <w:rFonts w:ascii="方正小标宋_GBK" w:hAnsi="方正小标宋_GBK" w:eastAsia="方正小标宋_GBK" w:cs="方正小标宋_GBK"/>
          <w:sz w:val="72"/>
          <w:szCs w:val="72"/>
        </w:rPr>
      </w:pPr>
    </w:p>
    <w:p w14:paraId="7CAFB248">
      <w:pPr>
        <w:pStyle w:val="16"/>
        <w:jc w:val="center"/>
        <w:rPr>
          <w:rFonts w:ascii="方正小标宋_GBK" w:hAnsi="方正小标宋_GBK" w:eastAsia="方正小标宋_GBK" w:cs="方正小标宋_GBK"/>
          <w:sz w:val="72"/>
          <w:szCs w:val="72"/>
        </w:rPr>
      </w:pPr>
    </w:p>
    <w:p w14:paraId="4B0C7EDD">
      <w:pPr>
        <w:pStyle w:val="16"/>
        <w:jc w:val="center"/>
        <w:rPr>
          <w:rFonts w:ascii="方正小标宋_GBK" w:hAnsi="方正小标宋_GBK" w:eastAsia="方正小标宋_GBK" w:cs="方正小标宋_GBK"/>
          <w:sz w:val="72"/>
          <w:szCs w:val="72"/>
        </w:rPr>
      </w:pPr>
    </w:p>
    <w:p w14:paraId="21C7F2CD">
      <w:pPr>
        <w:pStyle w:val="16"/>
        <w:jc w:val="center"/>
        <w:rPr>
          <w:rFonts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第五部分</w:t>
      </w:r>
    </w:p>
    <w:p w14:paraId="043306D6">
      <w:pPr>
        <w:pStyle w:val="16"/>
        <w:jc w:val="center"/>
        <w:rPr>
          <w:rFonts w:ascii="方正小标宋_GBK" w:hAnsi="方正小标宋_GBK" w:eastAsia="方正小标宋_GBK" w:cs="方正小标宋_GBK"/>
          <w:sz w:val="70"/>
          <w:szCs w:val="70"/>
        </w:rPr>
      </w:pPr>
    </w:p>
    <w:p w14:paraId="731407DD">
      <w:pPr>
        <w:pStyle w:val="16"/>
        <w:jc w:val="center"/>
        <w:rPr>
          <w:sz w:val="72"/>
          <w:szCs w:val="72"/>
        </w:rPr>
      </w:pPr>
      <w:r>
        <w:rPr>
          <w:rFonts w:hint="eastAsia" w:ascii="方正小标宋_GBK" w:hAnsi="方正小标宋_GBK" w:eastAsia="方正小标宋_GBK" w:cs="方正小标宋_GBK"/>
          <w:sz w:val="70"/>
          <w:szCs w:val="70"/>
        </w:rPr>
        <w:t>附 件</w:t>
      </w:r>
    </w:p>
    <w:p w14:paraId="625C763D">
      <w:pPr>
        <w:rPr>
          <w:sz w:val="72"/>
          <w:szCs w:val="72"/>
        </w:rPr>
      </w:pPr>
      <w:r>
        <w:rPr>
          <w:sz w:val="72"/>
          <w:szCs w:val="72"/>
        </w:rPr>
        <w:br w:type="page"/>
      </w:r>
    </w:p>
    <w:p w14:paraId="4191542D">
      <w:pPr>
        <w:pStyle w:val="16"/>
        <w:spacing w:line="600" w:lineRule="exact"/>
        <w:ind w:firstLine="640" w:firstLineChars="200"/>
        <w:rPr>
          <w:rFonts w:ascii="Times New Roman" w:hAnsi="Times New Roman" w:eastAsia="仿宋_GB2312"/>
          <w:sz w:val="32"/>
          <w:szCs w:val="32"/>
        </w:rPr>
      </w:pPr>
      <w:r>
        <w:rPr>
          <w:rFonts w:hint="eastAsia" w:ascii="楷体" w:hAnsi="楷体" w:eastAsia="楷体" w:cs="楷体"/>
          <w:b/>
          <w:bCs/>
          <w:sz w:val="32"/>
          <w:szCs w:val="32"/>
        </w:rPr>
        <w:t>一、</w:t>
      </w: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w:t>
      </w:r>
      <w:r>
        <w:rPr>
          <w:rFonts w:hint="eastAsia" w:ascii="Times New Roman" w:hAnsi="Times New Roman" w:eastAsia="仿宋_GB2312"/>
          <w:sz w:val="32"/>
          <w:szCs w:val="32"/>
          <w:lang w:eastAsia="zh-CN"/>
        </w:rPr>
        <w:t>文学艺术界联合会</w:t>
      </w:r>
      <w:r>
        <w:rPr>
          <w:rFonts w:hint="eastAsia" w:ascii="Times New Roman" w:hAnsi="Times New Roman" w:eastAsia="仿宋_GB2312"/>
          <w:sz w:val="32"/>
          <w:szCs w:val="32"/>
        </w:rPr>
        <w:t>整体支出绩效自评报告。</w:t>
      </w:r>
    </w:p>
    <w:p w14:paraId="3B427E2C">
      <w:pPr>
        <w:pStyle w:val="9"/>
        <w:spacing w:beforeAutospacing="0" w:afterAutospacing="0" w:line="276" w:lineRule="auto"/>
        <w:ind w:firstLine="0" w:firstLineChars="0"/>
        <w:jc w:val="center"/>
        <w:rPr>
          <w:rFonts w:hint="eastAsia"/>
          <w:b/>
          <w:bCs/>
          <w:sz w:val="28"/>
          <w:szCs w:val="28"/>
        </w:rPr>
      </w:pPr>
    </w:p>
    <w:p w14:paraId="50B15FA6">
      <w:pPr>
        <w:pStyle w:val="9"/>
        <w:spacing w:beforeAutospacing="0" w:afterAutospacing="0" w:line="276" w:lineRule="auto"/>
        <w:ind w:firstLine="0" w:firstLineChars="0"/>
        <w:jc w:val="center"/>
        <w:rPr>
          <w:b/>
          <w:bCs/>
          <w:sz w:val="28"/>
          <w:szCs w:val="28"/>
        </w:rPr>
      </w:pPr>
      <w:r>
        <w:rPr>
          <w:rFonts w:hint="eastAsia"/>
          <w:b/>
          <w:bCs/>
          <w:sz w:val="28"/>
          <w:szCs w:val="28"/>
        </w:rPr>
        <w:t>怀化市文学艺术界联合会</w:t>
      </w:r>
    </w:p>
    <w:p w14:paraId="6EB9AF8D">
      <w:pPr>
        <w:pStyle w:val="9"/>
        <w:spacing w:beforeAutospacing="0" w:afterAutospacing="0" w:line="276" w:lineRule="auto"/>
        <w:ind w:firstLine="0" w:firstLineChars="0"/>
        <w:jc w:val="center"/>
        <w:rPr>
          <w:b/>
          <w:bCs/>
          <w:sz w:val="28"/>
          <w:szCs w:val="28"/>
        </w:rPr>
      </w:pPr>
      <w:r>
        <w:rPr>
          <w:rFonts w:hint="eastAsia"/>
          <w:b/>
          <w:bCs/>
          <w:sz w:val="28"/>
          <w:szCs w:val="28"/>
          <w:lang w:eastAsia="zh-CN"/>
        </w:rPr>
        <w:t>2025</w:t>
      </w:r>
      <w:r>
        <w:rPr>
          <w:rFonts w:hint="eastAsia"/>
          <w:b/>
          <w:bCs/>
          <w:sz w:val="28"/>
          <w:szCs w:val="28"/>
        </w:rPr>
        <w:t>年部门整体支出绩效自评报告</w:t>
      </w:r>
    </w:p>
    <w:p w14:paraId="6F8FAA1C">
      <w:pPr>
        <w:pStyle w:val="9"/>
        <w:spacing w:beforeAutospacing="0" w:afterAutospacing="0" w:line="440" w:lineRule="exact"/>
      </w:pPr>
      <w:r>
        <w:rPr>
          <w:rStyle w:val="23"/>
          <w:rFonts w:hint="eastAsia"/>
        </w:rPr>
        <w:t>一、</w:t>
      </w:r>
      <w:r>
        <w:rPr>
          <w:rFonts w:hint="eastAsia"/>
        </w:rPr>
        <w:t>部门、单位基本情况</w:t>
      </w:r>
    </w:p>
    <w:p w14:paraId="412F6028">
      <w:pPr>
        <w:pStyle w:val="9"/>
        <w:spacing w:beforeAutospacing="0" w:afterAutospacing="0" w:line="440" w:lineRule="exact"/>
      </w:pPr>
      <w:r>
        <w:t>（一）机构设置情况</w:t>
      </w:r>
    </w:p>
    <w:p w14:paraId="60AD4283">
      <w:pPr>
        <w:pStyle w:val="9"/>
        <w:spacing w:beforeAutospacing="0" w:afterAutospacing="0" w:line="440" w:lineRule="exact"/>
      </w:pPr>
      <w:r>
        <w:rPr>
          <w:rFonts w:hint="eastAsia"/>
        </w:rPr>
        <w:t>怀化市文学艺术界联合会作为一级部门预算单位，内设科室办公室</w:t>
      </w:r>
      <w:r>
        <w:rPr>
          <w:rFonts w:hint="eastAsia"/>
          <w:lang w:eastAsia="zh-CN"/>
        </w:rPr>
        <w:t>、组织联络科</w:t>
      </w:r>
      <w:r>
        <w:rPr>
          <w:rFonts w:hint="eastAsia"/>
        </w:rPr>
        <w:t>。</w:t>
      </w:r>
    </w:p>
    <w:p w14:paraId="0337A511">
      <w:pPr>
        <w:pStyle w:val="9"/>
        <w:spacing w:beforeAutospacing="0" w:afterAutospacing="0" w:line="440" w:lineRule="exact"/>
      </w:pPr>
      <w:r>
        <w:rPr>
          <w:rFonts w:hint="eastAsia"/>
          <w:lang w:eastAsia="zh-CN"/>
        </w:rPr>
        <w:t>怀化市文艺创作服务中心</w:t>
      </w:r>
      <w:r>
        <w:rPr>
          <w:rFonts w:hint="eastAsia"/>
        </w:rPr>
        <w:t>作为怀化市文学艺术联合会的二级部门预算单位，无内设科室。</w:t>
      </w:r>
    </w:p>
    <w:p w14:paraId="64645945">
      <w:pPr>
        <w:pStyle w:val="9"/>
        <w:spacing w:beforeAutospacing="0" w:afterAutospacing="0" w:line="440" w:lineRule="exact"/>
      </w:pPr>
      <w:r>
        <w:t>（二）人员编制情况</w:t>
      </w:r>
    </w:p>
    <w:p w14:paraId="2E335150">
      <w:pPr>
        <w:pStyle w:val="9"/>
        <w:spacing w:beforeAutospacing="0" w:afterAutospacing="0" w:line="440" w:lineRule="exact"/>
      </w:pPr>
      <w:r>
        <w:rPr>
          <w:rFonts w:hint="eastAsia"/>
        </w:rPr>
        <w:t>根据人员编制规定，</w:t>
      </w:r>
      <w:r>
        <w:rPr>
          <w:rFonts w:hint="eastAsia"/>
          <w:lang w:eastAsia="zh-CN"/>
        </w:rPr>
        <w:t>2025</w:t>
      </w:r>
      <w:r>
        <w:rPr>
          <w:rFonts w:hint="eastAsia"/>
        </w:rPr>
        <w:t>年度编制人员为</w:t>
      </w:r>
      <w:r>
        <w:rPr>
          <w:rFonts w:hint="eastAsia"/>
          <w:lang w:val="en-US" w:eastAsia="zh-CN"/>
        </w:rPr>
        <w:t>13</w:t>
      </w:r>
      <w:r>
        <w:rPr>
          <w:rFonts w:hint="eastAsia"/>
        </w:rPr>
        <w:t>人，其中：行政人员编制数6人，实有</w:t>
      </w:r>
      <w:r>
        <w:t>6</w:t>
      </w:r>
      <w:r>
        <w:rPr>
          <w:rFonts w:hint="eastAsia"/>
        </w:rPr>
        <w:t>人；事业人员编制数</w:t>
      </w:r>
      <w:r>
        <w:rPr>
          <w:rFonts w:hint="eastAsia"/>
          <w:lang w:val="en-US" w:eastAsia="zh-CN"/>
        </w:rPr>
        <w:t>7</w:t>
      </w:r>
      <w:r>
        <w:rPr>
          <w:rFonts w:hint="eastAsia"/>
        </w:rPr>
        <w:t>人，实有</w:t>
      </w:r>
      <w:r>
        <w:rPr>
          <w:rFonts w:hint="eastAsia"/>
          <w:lang w:val="en-US" w:eastAsia="zh-CN"/>
        </w:rPr>
        <w:t>7</w:t>
      </w:r>
      <w:r>
        <w:rPr>
          <w:rFonts w:hint="eastAsia"/>
        </w:rPr>
        <w:t>人；离退休人员共</w:t>
      </w:r>
      <w:r>
        <w:rPr>
          <w:rFonts w:hint="eastAsia"/>
          <w:lang w:val="en-US" w:eastAsia="zh-CN"/>
        </w:rPr>
        <w:t>17</w:t>
      </w:r>
      <w:r>
        <w:rPr>
          <w:rFonts w:hint="eastAsia"/>
        </w:rPr>
        <w:t>人。</w:t>
      </w:r>
    </w:p>
    <w:p w14:paraId="6AC5A3F2">
      <w:pPr>
        <w:pStyle w:val="9"/>
        <w:spacing w:beforeAutospacing="0" w:afterAutospacing="0" w:line="440" w:lineRule="exact"/>
        <w:rPr>
          <w:b/>
          <w:bCs/>
        </w:rPr>
      </w:pPr>
      <w:r>
        <w:t>（三）主要职能职责</w:t>
      </w:r>
    </w:p>
    <w:p w14:paraId="74F76FF6">
      <w:pPr>
        <w:pStyle w:val="9"/>
        <w:spacing w:beforeAutospacing="0" w:afterAutospacing="0" w:line="440" w:lineRule="exact"/>
        <w:jc w:val="both"/>
      </w:pPr>
      <w:r>
        <w:rPr>
          <w:rFonts w:hint="eastAsia"/>
        </w:rPr>
        <w:t>怀化市文学艺术界联合会是党委政府联系文艺家的群众团体，按照科学发展观的要求，坚持文艺“为人民服务，为社会主义服务”的方向和“百花齐放，百家争鸣”的方针，充分发挥文联“团结引导、联络协调、服务管理、自律维权”的职能，着力发挥好党委政府和文艺家之间的桥梁纽带作用，不断探索新形势下文学艺术创作的新途径，积极组织全市文艺工作者开展文艺创作，文艺演出、展览、评奖、研讨和交流等活动，激发文艺工作者的创作热情，做好各个艺术门类及各艺术类别的联络、协调、服务指导工作。进一步拓展服务基层的渠道，提高服务群众的水平，繁荣我市文艺事业。</w:t>
      </w:r>
    </w:p>
    <w:p w14:paraId="5A486928">
      <w:pPr>
        <w:pStyle w:val="9"/>
        <w:spacing w:beforeAutospacing="0" w:afterAutospacing="0" w:line="440" w:lineRule="exact"/>
      </w:pPr>
      <w:r>
        <w:t>（四）绩效目标设定情况</w:t>
      </w:r>
    </w:p>
    <w:p w14:paraId="3858FDD8">
      <w:pPr>
        <w:pStyle w:val="22"/>
        <w:ind w:firstLine="480"/>
      </w:pPr>
      <w:r>
        <w:rPr>
          <w:rFonts w:hint="eastAsia"/>
        </w:rPr>
        <w:t>按照市本级预算绩效管理工作的总体要求，</w:t>
      </w:r>
      <w:r>
        <w:rPr>
          <w:rFonts w:hint="eastAsia"/>
          <w:lang w:eastAsia="zh-CN"/>
        </w:rPr>
        <w:t>2025</w:t>
      </w:r>
      <w:r>
        <w:rPr>
          <w:rFonts w:hint="eastAsia"/>
        </w:rPr>
        <w:t>年我单位整体支出</w:t>
      </w:r>
      <w:r>
        <w:rPr>
          <w:rFonts w:hint="eastAsia"/>
          <w:lang w:val="en-US" w:eastAsia="zh-CN"/>
        </w:rPr>
        <w:t>330.37</w:t>
      </w:r>
      <w:r>
        <w:rPr>
          <w:rFonts w:hint="eastAsia"/>
        </w:rPr>
        <w:t>万元，全部实行整体支出绩效目标</w:t>
      </w:r>
      <w:r>
        <w:rPr>
          <w:rFonts w:hint="eastAsia"/>
          <w:lang w:eastAsia="zh-CN"/>
        </w:rPr>
        <w:t>管</w:t>
      </w:r>
      <w:r>
        <w:rPr>
          <w:rFonts w:hint="eastAsia"/>
        </w:rPr>
        <w:t>理，年初编报绩效目标的项目2个，预算追加项目编报绩效目标</w:t>
      </w:r>
      <w:r>
        <w:rPr>
          <w:rFonts w:hint="eastAsia"/>
          <w:lang w:val="en-US" w:eastAsia="zh-CN"/>
        </w:rPr>
        <w:t>4</w:t>
      </w:r>
      <w:r>
        <w:rPr>
          <w:rFonts w:hint="eastAsia"/>
        </w:rPr>
        <w:t>个，涉及项目支出</w:t>
      </w:r>
      <w:r>
        <w:rPr>
          <w:rFonts w:hint="eastAsia"/>
          <w:lang w:val="en-US" w:eastAsia="zh-CN"/>
        </w:rPr>
        <w:t>99.83</w:t>
      </w:r>
      <w:r>
        <w:rPr>
          <w:rFonts w:hint="eastAsia"/>
        </w:rPr>
        <w:t>万元，其中</w:t>
      </w:r>
      <w:r>
        <w:rPr>
          <w:rFonts w:hint="eastAsia"/>
          <w:lang w:eastAsia="zh-CN"/>
        </w:rPr>
        <w:t>文学艺术交流创作</w:t>
      </w:r>
      <w:r>
        <w:rPr>
          <w:rFonts w:hint="eastAsia"/>
        </w:rPr>
        <w:t>经费</w:t>
      </w:r>
      <w:r>
        <w:rPr>
          <w:rFonts w:hint="eastAsia"/>
          <w:lang w:val="en-US" w:eastAsia="zh-CN"/>
        </w:rPr>
        <w:t>40</w:t>
      </w:r>
      <w:r>
        <w:rPr>
          <w:rFonts w:hint="eastAsia"/>
        </w:rPr>
        <w:t>万元、《怀化文学》办刊经费2</w:t>
      </w:r>
      <w:r>
        <w:t>0</w:t>
      </w:r>
      <w:r>
        <w:rPr>
          <w:rFonts w:hint="eastAsia"/>
        </w:rPr>
        <w:t>万元、</w:t>
      </w:r>
      <w:r>
        <w:rPr>
          <w:rFonts w:hint="eastAsia"/>
          <w:lang w:eastAsia="zh-CN"/>
        </w:rPr>
        <w:t>市文联宣传推介组采风活动经费</w:t>
      </w:r>
      <w:r>
        <w:rPr>
          <w:rFonts w:hint="eastAsia"/>
          <w:lang w:val="en-US" w:eastAsia="zh-CN"/>
        </w:rPr>
        <w:t>33.83万元</w:t>
      </w:r>
      <w:r>
        <w:rPr>
          <w:rFonts w:hint="eastAsia"/>
          <w:lang w:eastAsia="zh-CN"/>
        </w:rPr>
        <w:t>、</w:t>
      </w:r>
      <w:r>
        <w:rPr>
          <w:rFonts w:hint="eastAsia"/>
        </w:rPr>
        <w:t>市直单位老干活动经费</w:t>
      </w:r>
      <w:r>
        <w:rPr>
          <w:rFonts w:hint="eastAsia"/>
          <w:lang w:val="en-US" w:eastAsia="zh-CN"/>
        </w:rPr>
        <w:t>4万元</w:t>
      </w:r>
      <w:r>
        <w:rPr>
          <w:rFonts w:hint="eastAsia"/>
        </w:rPr>
        <w:t>、</w:t>
      </w:r>
      <w:r>
        <w:rPr>
          <w:rFonts w:hint="eastAsia"/>
          <w:lang w:val="en-US" w:eastAsia="zh-CN"/>
        </w:rPr>
        <w:t>2025年文化事业建设经费5万元</w:t>
      </w:r>
      <w:r>
        <w:rPr>
          <w:rFonts w:hint="eastAsia"/>
        </w:rPr>
        <w:t>、</w:t>
      </w:r>
      <w:r>
        <w:rPr>
          <w:rFonts w:hint="eastAsia"/>
          <w:lang w:eastAsia="zh-CN"/>
        </w:rPr>
        <w:t>市文联新时代新春联“百千万”艺术工程文化惠民活动经费</w:t>
      </w:r>
      <w:r>
        <w:rPr>
          <w:rFonts w:hint="eastAsia"/>
          <w:lang w:val="en-US" w:eastAsia="zh-CN"/>
        </w:rPr>
        <w:t>10万元</w:t>
      </w:r>
      <w:r>
        <w:rPr>
          <w:rFonts w:hint="eastAsia"/>
        </w:rPr>
        <w:t>，全部实行项目支出绩效目标管理。</w:t>
      </w:r>
    </w:p>
    <w:p w14:paraId="68A52FF5">
      <w:pPr>
        <w:spacing w:line="440" w:lineRule="exact"/>
      </w:pPr>
      <w:r>
        <w:rPr>
          <w:rFonts w:hint="eastAsia"/>
        </w:rPr>
        <w:t>二、部门整体支出管理及使用情况</w:t>
      </w:r>
    </w:p>
    <w:p w14:paraId="3089E603">
      <w:pPr>
        <w:pStyle w:val="9"/>
        <w:spacing w:beforeAutospacing="0" w:afterAutospacing="0" w:line="440" w:lineRule="exact"/>
      </w:pPr>
      <w:r>
        <w:t>（一）</w:t>
      </w:r>
      <w:r>
        <w:rPr>
          <w:rFonts w:hint="eastAsia"/>
        </w:rPr>
        <w:t>预算执行、使用、管理总体情况。</w:t>
      </w:r>
    </w:p>
    <w:p w14:paraId="354CC644">
      <w:pPr>
        <w:pStyle w:val="22"/>
        <w:ind w:firstLine="480"/>
      </w:pPr>
      <w:r>
        <w:rPr>
          <w:rFonts w:hint="eastAsia"/>
          <w:lang w:eastAsia="zh-CN"/>
        </w:rPr>
        <w:t>2025</w:t>
      </w:r>
      <w:r>
        <w:rPr>
          <w:rFonts w:hint="eastAsia"/>
        </w:rPr>
        <w:t>年部门预算情况。收入包括一般公共预算财政拨款收入，其他收入资金；支出包括保障机关基本运行的经费以及相关专项经费。</w:t>
      </w:r>
    </w:p>
    <w:p w14:paraId="113E28E9">
      <w:pPr>
        <w:pStyle w:val="22"/>
        <w:ind w:firstLine="480"/>
      </w:pPr>
      <w:r>
        <w:rPr>
          <w:rFonts w:hint="eastAsia"/>
        </w:rPr>
        <w:t>本单位整体支出和项目支出实行绩效目标管理。</w:t>
      </w:r>
    </w:p>
    <w:p w14:paraId="6C3B9305">
      <w:pPr>
        <w:pStyle w:val="22"/>
        <w:ind w:firstLine="480"/>
      </w:pPr>
      <w:r>
        <w:rPr>
          <w:rFonts w:hint="eastAsia"/>
        </w:rPr>
        <w:t>1.收入预算，</w:t>
      </w:r>
      <w:r>
        <w:rPr>
          <w:rFonts w:hint="eastAsia"/>
          <w:lang w:val="en-US" w:eastAsia="zh-CN"/>
        </w:rPr>
        <w:t>2025</w:t>
      </w:r>
      <w:r>
        <w:rPr>
          <w:rFonts w:hint="eastAsia"/>
        </w:rPr>
        <w:t xml:space="preserve">年年初预算数 </w:t>
      </w:r>
      <w:r>
        <w:rPr>
          <w:rFonts w:hint="eastAsia"/>
          <w:lang w:val="en-US" w:eastAsia="zh-CN"/>
        </w:rPr>
        <w:t>288.83</w:t>
      </w:r>
      <w:r>
        <w:rPr>
          <w:rFonts w:hint="eastAsia"/>
        </w:rPr>
        <w:t>万元，其中，一般公共预算拨款</w:t>
      </w:r>
      <w:r>
        <w:rPr>
          <w:rFonts w:hint="eastAsia"/>
          <w:lang w:val="en-US" w:eastAsia="zh-CN"/>
        </w:rPr>
        <w:t>288.83</w:t>
      </w:r>
      <w:r>
        <w:rPr>
          <w:rFonts w:hint="eastAsia"/>
        </w:rPr>
        <w:t>万元，无政府性基金预算拨款、无纳入财政专户管理的非税收入拨款，无国有资本经营预算拨款。压减公用经费和专项支出后，同口径对比，收入较上年</w:t>
      </w:r>
      <w:r>
        <w:rPr>
          <w:rFonts w:hint="eastAsia"/>
          <w:lang w:eastAsia="zh-CN"/>
        </w:rPr>
        <w:t>增加</w:t>
      </w:r>
      <w:r>
        <w:rPr>
          <w:rFonts w:hint="eastAsia"/>
          <w:lang w:val="en-US" w:eastAsia="zh-CN"/>
        </w:rPr>
        <w:t>25.64</w:t>
      </w:r>
      <w:r>
        <w:rPr>
          <w:rFonts w:hint="eastAsia"/>
        </w:rPr>
        <w:t>万元，</w:t>
      </w:r>
      <w:bookmarkStart w:id="0" w:name="_Hlk171260646"/>
      <w:r>
        <w:rPr>
          <w:rFonts w:hint="eastAsia"/>
        </w:rPr>
        <w:t>主要原因是</w:t>
      </w:r>
      <w:r>
        <w:rPr>
          <w:rFonts w:hint="eastAsia"/>
          <w:lang w:eastAsia="zh-CN"/>
        </w:rPr>
        <w:t>新进人员增加开支</w:t>
      </w:r>
      <w:r>
        <w:rPr>
          <w:rFonts w:hint="eastAsia"/>
        </w:rPr>
        <w:t xml:space="preserve">。 </w:t>
      </w:r>
    </w:p>
    <w:bookmarkEnd w:id="0"/>
    <w:p w14:paraId="2DBBC12E">
      <w:pPr>
        <w:pStyle w:val="22"/>
        <w:ind w:firstLine="480"/>
      </w:pPr>
      <w:r>
        <w:rPr>
          <w:rFonts w:hint="eastAsia"/>
        </w:rPr>
        <w:t>2.支出预算，</w:t>
      </w:r>
      <w:r>
        <w:rPr>
          <w:rFonts w:hint="eastAsia"/>
          <w:lang w:val="en-US" w:eastAsia="zh-CN"/>
        </w:rPr>
        <w:t>2025</w:t>
      </w:r>
      <w:r>
        <w:rPr>
          <w:rFonts w:hint="eastAsia"/>
        </w:rPr>
        <w:t>年年初预算数</w:t>
      </w:r>
      <w:r>
        <w:rPr>
          <w:rFonts w:hint="eastAsia"/>
          <w:lang w:val="en-US" w:eastAsia="zh-CN"/>
        </w:rPr>
        <w:t>288.83</w:t>
      </w:r>
      <w:r>
        <w:rPr>
          <w:rFonts w:hint="eastAsia"/>
        </w:rPr>
        <w:t>万元，其中主要是人员支出</w:t>
      </w:r>
      <w:r>
        <w:rPr>
          <w:rFonts w:hint="eastAsia"/>
          <w:lang w:val="en-US" w:eastAsia="zh-CN"/>
        </w:rPr>
        <w:t>215.63</w:t>
      </w:r>
      <w:r>
        <w:rPr>
          <w:rFonts w:hint="eastAsia"/>
        </w:rPr>
        <w:t>万元，公用经费</w:t>
      </w:r>
      <w:r>
        <w:rPr>
          <w:rFonts w:hint="eastAsia"/>
          <w:lang w:val="en-US" w:eastAsia="zh-CN"/>
        </w:rPr>
        <w:t>13.2</w:t>
      </w:r>
      <w:r>
        <w:rPr>
          <w:rFonts w:hint="eastAsia"/>
        </w:rPr>
        <w:t>万元，特定目标类项目支出</w:t>
      </w:r>
      <w:r>
        <w:rPr>
          <w:rFonts w:hint="eastAsia"/>
          <w:lang w:val="en-US" w:eastAsia="zh-CN"/>
        </w:rPr>
        <w:t>60</w:t>
      </w:r>
      <w:r>
        <w:rPr>
          <w:rFonts w:hint="eastAsia"/>
        </w:rPr>
        <w:t xml:space="preserve"> 万元。压减公用经费和专项支出后，同口径对比，支出较上年</w:t>
      </w:r>
      <w:r>
        <w:rPr>
          <w:rFonts w:hint="eastAsia"/>
          <w:lang w:eastAsia="zh-CN"/>
        </w:rPr>
        <w:t>增加</w:t>
      </w:r>
      <w:r>
        <w:rPr>
          <w:rFonts w:hint="eastAsia"/>
          <w:lang w:val="en-US" w:eastAsia="zh-CN"/>
        </w:rPr>
        <w:t>25.64</w:t>
      </w:r>
      <w:r>
        <w:rPr>
          <w:rFonts w:hint="eastAsia"/>
        </w:rPr>
        <w:t>万元，主要原因是</w:t>
      </w:r>
      <w:r>
        <w:rPr>
          <w:rFonts w:hint="eastAsia"/>
          <w:lang w:eastAsia="zh-CN"/>
        </w:rPr>
        <w:t>新进人员增加开支。</w:t>
      </w:r>
    </w:p>
    <w:p w14:paraId="55E311D5">
      <w:pPr>
        <w:pStyle w:val="9"/>
        <w:spacing w:beforeAutospacing="0" w:afterAutospacing="0" w:line="440" w:lineRule="exact"/>
      </w:pPr>
      <w:r>
        <w:t>（二）部门预算执行情况</w:t>
      </w:r>
    </w:p>
    <w:p w14:paraId="425CECD1">
      <w:pPr>
        <w:pStyle w:val="22"/>
        <w:ind w:firstLine="480"/>
      </w:pPr>
      <w:r>
        <w:t>1.基本支出情况</w:t>
      </w:r>
    </w:p>
    <w:p w14:paraId="0D7D00BD">
      <w:pPr>
        <w:pStyle w:val="22"/>
        <w:ind w:firstLine="480"/>
      </w:pPr>
      <w:r>
        <w:rPr>
          <w:rFonts w:hint="eastAsia"/>
          <w:lang w:val="en-US" w:eastAsia="zh-CN"/>
        </w:rPr>
        <w:t>2025</w:t>
      </w:r>
      <w:r>
        <w:rPr>
          <w:rFonts w:hint="eastAsia"/>
        </w:rPr>
        <w:t>年年初预算数为</w:t>
      </w:r>
      <w:r>
        <w:rPr>
          <w:rFonts w:hint="eastAsia"/>
          <w:lang w:val="en-US" w:eastAsia="zh-CN"/>
        </w:rPr>
        <w:t>230.54</w:t>
      </w:r>
      <w:r>
        <w:rPr>
          <w:rFonts w:hint="eastAsia"/>
        </w:rPr>
        <w:t>万元，全年预算数</w:t>
      </w:r>
      <w:r>
        <w:rPr>
          <w:rFonts w:hint="eastAsia"/>
          <w:lang w:val="en-US" w:eastAsia="zh-CN"/>
        </w:rPr>
        <w:t>230.54</w:t>
      </w:r>
      <w:r>
        <w:rPr>
          <w:rFonts w:hint="eastAsia"/>
        </w:rPr>
        <w:t>万元，实际支出</w:t>
      </w:r>
      <w:r>
        <w:rPr>
          <w:rFonts w:hint="eastAsia"/>
          <w:lang w:val="en-US" w:eastAsia="zh-CN"/>
        </w:rPr>
        <w:t>230.54</w:t>
      </w:r>
      <w:r>
        <w:rPr>
          <w:rFonts w:hint="eastAsia"/>
        </w:rPr>
        <w:t>万元，是指为保障单位机构正常运转、完成日常工作任务而发生的各项支出，包括用于基本工资</w:t>
      </w:r>
      <w:r>
        <w:rPr>
          <w:rFonts w:hint="eastAsia"/>
          <w:lang w:val="en-US" w:eastAsia="zh-CN"/>
        </w:rPr>
        <w:t>56.98</w:t>
      </w:r>
      <w:r>
        <w:rPr>
          <w:rFonts w:hint="eastAsia"/>
        </w:rPr>
        <w:t>万元、津贴补贴</w:t>
      </w:r>
      <w:r>
        <w:rPr>
          <w:rFonts w:hint="eastAsia"/>
          <w:lang w:val="en-US" w:eastAsia="zh-CN"/>
        </w:rPr>
        <w:t>30.26</w:t>
      </w:r>
      <w:r>
        <w:rPr>
          <w:rFonts w:hint="eastAsia"/>
        </w:rPr>
        <w:t>万元、奖金</w:t>
      </w:r>
      <w:r>
        <w:rPr>
          <w:rFonts w:hint="eastAsia"/>
          <w:lang w:val="en-US" w:eastAsia="zh-CN"/>
        </w:rPr>
        <w:t>38</w:t>
      </w:r>
      <w:r>
        <w:t>.</w:t>
      </w:r>
      <w:r>
        <w:rPr>
          <w:rFonts w:hint="eastAsia"/>
          <w:lang w:val="en-US" w:eastAsia="zh-CN"/>
        </w:rPr>
        <w:t>26</w:t>
      </w:r>
      <w:r>
        <w:rPr>
          <w:rFonts w:hint="eastAsia"/>
        </w:rPr>
        <w:t>万元、机关事业单位基本养老保险缴费</w:t>
      </w:r>
      <w:r>
        <w:rPr>
          <w:rFonts w:hint="eastAsia"/>
          <w:lang w:val="en-US" w:eastAsia="zh-CN"/>
        </w:rPr>
        <w:t>22.21</w:t>
      </w:r>
      <w:r>
        <w:rPr>
          <w:rFonts w:hint="eastAsia"/>
        </w:rPr>
        <w:t>万元、职工基本医疗保险缴费</w:t>
      </w:r>
      <w:r>
        <w:rPr>
          <w:rFonts w:hint="eastAsia"/>
          <w:lang w:val="en-US" w:eastAsia="zh-CN"/>
        </w:rPr>
        <w:t>8.41</w:t>
      </w:r>
      <w:r>
        <w:rPr>
          <w:rFonts w:hint="eastAsia"/>
        </w:rPr>
        <w:t>万元、 其他工资福利支出</w:t>
      </w:r>
      <w:r>
        <w:rPr>
          <w:rFonts w:hint="eastAsia"/>
          <w:lang w:val="en-US" w:eastAsia="zh-CN"/>
        </w:rPr>
        <w:t>3.4万元、</w:t>
      </w:r>
      <w:r>
        <w:rPr>
          <w:rFonts w:hint="eastAsia"/>
        </w:rPr>
        <w:t>办公费</w:t>
      </w:r>
      <w:r>
        <w:rPr>
          <w:rFonts w:hint="eastAsia"/>
          <w:lang w:val="en-US" w:eastAsia="zh-CN"/>
        </w:rPr>
        <w:t>2</w:t>
      </w:r>
      <w:r>
        <w:rPr>
          <w:rFonts w:hint="eastAsia"/>
        </w:rPr>
        <w:t>万元、</w:t>
      </w:r>
      <w:r>
        <w:rPr>
          <w:rFonts w:hint="eastAsia"/>
          <w:lang w:eastAsia="zh-CN"/>
        </w:rPr>
        <w:t>工会经费</w:t>
      </w:r>
      <w:r>
        <w:rPr>
          <w:rFonts w:hint="eastAsia"/>
          <w:lang w:val="en-US" w:eastAsia="zh-CN"/>
        </w:rPr>
        <w:t>5.5</w:t>
      </w:r>
      <w:r>
        <w:rPr>
          <w:rFonts w:hint="eastAsia"/>
        </w:rPr>
        <w:t>万元、差旅费4</w:t>
      </w:r>
      <w:r>
        <w:t>.17</w:t>
      </w:r>
      <w:r>
        <w:rPr>
          <w:rFonts w:hint="eastAsia"/>
        </w:rPr>
        <w:t>万元、维修（护）费0</w:t>
      </w:r>
      <w:r>
        <w:t>.29</w:t>
      </w:r>
      <w:r>
        <w:rPr>
          <w:rFonts w:hint="eastAsia"/>
        </w:rPr>
        <w:t>万元、公务接待费0</w:t>
      </w:r>
      <w:r>
        <w:t>.</w:t>
      </w:r>
      <w:r>
        <w:rPr>
          <w:rFonts w:hint="eastAsia"/>
          <w:lang w:val="en-US" w:eastAsia="zh-CN"/>
        </w:rPr>
        <w:t>36</w:t>
      </w:r>
      <w:r>
        <w:rPr>
          <w:rFonts w:hint="eastAsia"/>
        </w:rPr>
        <w:t>万元、</w:t>
      </w:r>
      <w:r>
        <w:rPr>
          <w:rFonts w:hint="eastAsia"/>
          <w:lang w:eastAsia="zh-CN"/>
        </w:rPr>
        <w:t>其他对单位和个人的补助支出</w:t>
      </w:r>
      <w:r>
        <w:rPr>
          <w:rFonts w:hint="eastAsia"/>
          <w:lang w:val="en-US" w:eastAsia="zh-CN"/>
        </w:rPr>
        <w:t>23.37万元</w:t>
      </w:r>
      <w:r>
        <w:rPr>
          <w:rFonts w:hint="eastAsia"/>
        </w:rPr>
        <w:t>、</w:t>
      </w:r>
      <w:r>
        <w:rPr>
          <w:rFonts w:hint="eastAsia"/>
          <w:lang w:eastAsia="zh-CN"/>
        </w:rPr>
        <w:t>退休费</w:t>
      </w:r>
      <w:r>
        <w:rPr>
          <w:rFonts w:hint="eastAsia"/>
          <w:lang w:val="en-US" w:eastAsia="zh-CN"/>
        </w:rPr>
        <w:t>11.61万元、</w:t>
      </w:r>
      <w:r>
        <w:rPr>
          <w:rFonts w:hint="eastAsia"/>
        </w:rPr>
        <w:t>其他商品和服务支出</w:t>
      </w:r>
      <w:r>
        <w:rPr>
          <w:rFonts w:hint="eastAsia"/>
          <w:lang w:val="en-US" w:eastAsia="zh-CN"/>
        </w:rPr>
        <w:t>14.65</w:t>
      </w:r>
      <w:r>
        <w:rPr>
          <w:rFonts w:hint="eastAsia"/>
        </w:rPr>
        <w:t>万元等。</w:t>
      </w:r>
    </w:p>
    <w:p w14:paraId="778DC575">
      <w:pPr>
        <w:pStyle w:val="22"/>
        <w:ind w:firstLine="480"/>
      </w:pPr>
      <w:r>
        <w:rPr>
          <w:rFonts w:hint="eastAsia"/>
        </w:rPr>
        <w:t>2.项目支出情况</w:t>
      </w:r>
    </w:p>
    <w:p w14:paraId="4B64DF39">
      <w:pPr>
        <w:pStyle w:val="22"/>
        <w:ind w:firstLine="480"/>
      </w:pPr>
      <w:r>
        <w:rPr>
          <w:rFonts w:hint="eastAsia"/>
          <w:lang w:val="en-US" w:eastAsia="zh-CN"/>
        </w:rPr>
        <w:t>2025</w:t>
      </w:r>
      <w:r>
        <w:rPr>
          <w:rFonts w:hint="eastAsia"/>
        </w:rPr>
        <w:t>年年初预算数为</w:t>
      </w:r>
      <w:r>
        <w:rPr>
          <w:rFonts w:hint="eastAsia"/>
          <w:lang w:val="en-US" w:eastAsia="zh-CN"/>
        </w:rPr>
        <w:t>60</w:t>
      </w:r>
      <w:r>
        <w:rPr>
          <w:rFonts w:hint="eastAsia"/>
        </w:rPr>
        <w:t>万元，全年预算数</w:t>
      </w:r>
      <w:r>
        <w:rPr>
          <w:rFonts w:hint="eastAsia"/>
          <w:lang w:val="en-US" w:eastAsia="zh-CN"/>
        </w:rPr>
        <w:t>99.83</w:t>
      </w:r>
      <w:r>
        <w:rPr>
          <w:rFonts w:hint="eastAsia"/>
        </w:rPr>
        <w:t>万元，实际支出</w:t>
      </w:r>
      <w:r>
        <w:rPr>
          <w:rFonts w:hint="eastAsia"/>
          <w:lang w:val="en-US" w:eastAsia="zh-CN"/>
        </w:rPr>
        <w:t>99.83</w:t>
      </w:r>
      <w:r>
        <w:rPr>
          <w:rFonts w:hint="eastAsia"/>
        </w:rPr>
        <w:t>万元，其中年中追加预算</w:t>
      </w:r>
      <w:r>
        <w:rPr>
          <w:rFonts w:hint="eastAsia"/>
          <w:lang w:val="en-US" w:eastAsia="zh-CN"/>
        </w:rPr>
        <w:t>52.83</w:t>
      </w:r>
      <w:r>
        <w:rPr>
          <w:rFonts w:hint="eastAsia"/>
        </w:rPr>
        <w:t>万元。全年预算包括</w:t>
      </w:r>
      <w:r>
        <w:rPr>
          <w:rFonts w:hint="eastAsia"/>
          <w:highlight w:val="none"/>
          <w:lang w:eastAsia="zh-CN"/>
        </w:rPr>
        <w:t>文学艺术交流创作</w:t>
      </w:r>
      <w:r>
        <w:rPr>
          <w:rFonts w:hint="eastAsia"/>
          <w:highlight w:val="none"/>
        </w:rPr>
        <w:t>经费</w:t>
      </w:r>
      <w:r>
        <w:rPr>
          <w:rFonts w:hint="eastAsia"/>
          <w:highlight w:val="none"/>
          <w:lang w:val="en-US" w:eastAsia="zh-CN"/>
        </w:rPr>
        <w:t>40</w:t>
      </w:r>
      <w:r>
        <w:rPr>
          <w:rFonts w:hint="eastAsia"/>
          <w:highlight w:val="none"/>
        </w:rPr>
        <w:t>万元，《怀化文学》办刊经费</w:t>
      </w:r>
      <w:r>
        <w:rPr>
          <w:rFonts w:hint="eastAsia"/>
          <w:highlight w:val="none"/>
          <w:lang w:val="en-US" w:eastAsia="zh-CN"/>
        </w:rPr>
        <w:t>20</w:t>
      </w:r>
      <w:r>
        <w:rPr>
          <w:rFonts w:hint="eastAsia"/>
          <w:highlight w:val="none"/>
        </w:rPr>
        <w:t>万元，</w:t>
      </w:r>
      <w:r>
        <w:rPr>
          <w:rFonts w:hint="eastAsia"/>
          <w:lang w:eastAsia="zh-CN"/>
        </w:rPr>
        <w:t>市文联宣传推介组采风活动经费</w:t>
      </w:r>
      <w:r>
        <w:rPr>
          <w:rFonts w:hint="eastAsia"/>
          <w:lang w:val="en-US" w:eastAsia="zh-CN"/>
        </w:rPr>
        <w:t>33.83万元</w:t>
      </w:r>
      <w:r>
        <w:rPr>
          <w:rFonts w:hint="eastAsia"/>
          <w:lang w:eastAsia="zh-CN"/>
        </w:rPr>
        <w:t>、</w:t>
      </w:r>
      <w:r>
        <w:rPr>
          <w:rFonts w:hint="eastAsia"/>
        </w:rPr>
        <w:t>市直单位老干活动经费</w:t>
      </w:r>
      <w:r>
        <w:rPr>
          <w:rFonts w:hint="eastAsia"/>
          <w:lang w:val="en-US" w:eastAsia="zh-CN"/>
        </w:rPr>
        <w:t>4万元</w:t>
      </w:r>
      <w:r>
        <w:rPr>
          <w:rFonts w:hint="eastAsia"/>
        </w:rPr>
        <w:t>、</w:t>
      </w:r>
      <w:r>
        <w:rPr>
          <w:rFonts w:hint="eastAsia"/>
          <w:lang w:val="en-US" w:eastAsia="zh-CN"/>
        </w:rPr>
        <w:t>2025年文化事业建设经费5万元</w:t>
      </w:r>
      <w:r>
        <w:rPr>
          <w:rFonts w:hint="eastAsia"/>
        </w:rPr>
        <w:t>、</w:t>
      </w:r>
      <w:r>
        <w:rPr>
          <w:rFonts w:hint="eastAsia"/>
          <w:lang w:eastAsia="zh-CN"/>
        </w:rPr>
        <w:t>市文联新时代新春联“百千万”艺术工程文化惠民活动经费</w:t>
      </w:r>
      <w:r>
        <w:rPr>
          <w:rFonts w:hint="eastAsia"/>
          <w:lang w:val="en-US" w:eastAsia="zh-CN"/>
        </w:rPr>
        <w:t>10万元</w:t>
      </w:r>
      <w:r>
        <w:rPr>
          <w:rFonts w:hint="eastAsia"/>
        </w:rPr>
        <w:t>。项目支出是指单位为完成特定行政工作任务或事业发展目标而发生的支出，包括有关事业发展专项、专项业务费、基本建设支出等。本单位项目支出主要用于</w:t>
      </w:r>
      <w:r>
        <w:rPr>
          <w:rFonts w:hint="eastAsia"/>
          <w:lang w:eastAsia="zh-CN"/>
        </w:rPr>
        <w:t>文学艺术交流创作经费</w:t>
      </w:r>
      <w:r>
        <w:rPr>
          <w:rFonts w:hint="eastAsia"/>
        </w:rPr>
        <w:t>、《怀化文学》办刊经费、用于积极推动文艺工作发展，持续强化文艺精品创作生产，加强人才队伍建设和自身建设，努力把市文联打造成广大文艺工作者温馨的“文艺工作者之家”。</w:t>
      </w:r>
    </w:p>
    <w:p w14:paraId="473AE7DB">
      <w:pPr>
        <w:pStyle w:val="22"/>
        <w:ind w:firstLine="480"/>
      </w:pPr>
      <w:r>
        <w:rPr>
          <w:rFonts w:hint="eastAsia"/>
        </w:rPr>
        <w:t>（三）“三公经费”使用和管理情况</w:t>
      </w:r>
    </w:p>
    <w:p w14:paraId="0919C791">
      <w:pPr>
        <w:pStyle w:val="25"/>
        <w:spacing w:line="440" w:lineRule="exact"/>
        <w:ind w:firstLine="420"/>
      </w:pPr>
      <w:r>
        <w:rPr>
          <w:rFonts w:hint="eastAsia"/>
        </w:rPr>
        <w:t xml:space="preserve">（1）  </w:t>
      </w:r>
      <w:r>
        <w:rPr>
          <w:rFonts w:hint="eastAsia"/>
          <w:lang w:val="en-US" w:eastAsia="zh-CN"/>
        </w:rPr>
        <w:t>2025</w:t>
      </w:r>
      <w:r>
        <w:rPr>
          <w:rFonts w:hint="eastAsia"/>
        </w:rPr>
        <w:t>年“三公经费”支出情况</w:t>
      </w:r>
    </w:p>
    <w:p w14:paraId="3B5A28A1">
      <w:pPr>
        <w:pStyle w:val="25"/>
        <w:ind w:firstLine="6930" w:firstLineChars="3300"/>
      </w:pPr>
      <w:r>
        <w:t>单位：万元</w:t>
      </w:r>
    </w:p>
    <w:tbl>
      <w:tblPr>
        <w:tblStyle w:val="10"/>
        <w:tblW w:w="83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36"/>
        <w:gridCol w:w="1720"/>
        <w:gridCol w:w="1870"/>
        <w:gridCol w:w="1806"/>
      </w:tblGrid>
      <w:tr w14:paraId="45302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 w:hRule="atLeast"/>
          <w:tblHeader/>
          <w:jc w:val="center"/>
        </w:trPr>
        <w:tc>
          <w:tcPr>
            <w:tcW w:w="2936" w:type="dxa"/>
            <w:vAlign w:val="center"/>
          </w:tcPr>
          <w:p w14:paraId="7DDE1C31">
            <w:pPr>
              <w:ind w:firstLine="420"/>
              <w:jc w:val="center"/>
              <w:rPr>
                <w:sz w:val="21"/>
                <w:szCs w:val="21"/>
              </w:rPr>
            </w:pPr>
            <w:r>
              <w:rPr>
                <w:sz w:val="21"/>
                <w:szCs w:val="21"/>
              </w:rPr>
              <w:t>费用项目</w:t>
            </w:r>
          </w:p>
        </w:tc>
        <w:tc>
          <w:tcPr>
            <w:tcW w:w="1720" w:type="dxa"/>
            <w:vAlign w:val="center"/>
          </w:tcPr>
          <w:p w14:paraId="4ADF6895">
            <w:pPr>
              <w:ind w:firstLine="0" w:firstLineChars="0"/>
              <w:jc w:val="center"/>
              <w:rPr>
                <w:sz w:val="21"/>
                <w:szCs w:val="21"/>
              </w:rPr>
            </w:pPr>
            <w:r>
              <w:rPr>
                <w:sz w:val="21"/>
                <w:szCs w:val="21"/>
              </w:rPr>
              <w:t>本年预算金额</w:t>
            </w:r>
          </w:p>
        </w:tc>
        <w:tc>
          <w:tcPr>
            <w:tcW w:w="1870" w:type="dxa"/>
            <w:vAlign w:val="center"/>
          </w:tcPr>
          <w:p w14:paraId="25C8D5E1">
            <w:pPr>
              <w:ind w:firstLine="0" w:firstLineChars="0"/>
              <w:jc w:val="center"/>
              <w:rPr>
                <w:sz w:val="21"/>
                <w:szCs w:val="21"/>
              </w:rPr>
            </w:pPr>
            <w:r>
              <w:rPr>
                <w:sz w:val="21"/>
                <w:szCs w:val="21"/>
              </w:rPr>
              <w:t>本年决算金额</w:t>
            </w:r>
          </w:p>
        </w:tc>
        <w:tc>
          <w:tcPr>
            <w:tcW w:w="1806" w:type="dxa"/>
            <w:vAlign w:val="center"/>
          </w:tcPr>
          <w:p w14:paraId="0E8D089D">
            <w:pPr>
              <w:ind w:firstLine="0" w:firstLineChars="0"/>
              <w:jc w:val="center"/>
              <w:rPr>
                <w:sz w:val="21"/>
                <w:szCs w:val="21"/>
              </w:rPr>
            </w:pPr>
            <w:r>
              <w:rPr>
                <w:sz w:val="21"/>
                <w:szCs w:val="21"/>
              </w:rPr>
              <w:t>结余</w:t>
            </w:r>
            <w:r>
              <w:rPr>
                <w:rFonts w:hint="eastAsia"/>
                <w:sz w:val="21"/>
                <w:szCs w:val="21"/>
              </w:rPr>
              <w:t>“</w:t>
            </w:r>
            <w:r>
              <w:rPr>
                <w:sz w:val="21"/>
                <w:szCs w:val="21"/>
              </w:rPr>
              <w:t>-</w:t>
            </w:r>
            <w:r>
              <w:rPr>
                <w:rFonts w:hint="eastAsia"/>
                <w:sz w:val="21"/>
                <w:szCs w:val="21"/>
              </w:rPr>
              <w:t>”</w:t>
            </w:r>
            <w:r>
              <w:rPr>
                <w:sz w:val="21"/>
                <w:szCs w:val="21"/>
              </w:rPr>
              <w:t>/超支</w:t>
            </w:r>
            <w:r>
              <w:rPr>
                <w:rFonts w:hint="eastAsia"/>
                <w:sz w:val="21"/>
                <w:szCs w:val="21"/>
              </w:rPr>
              <w:t>“</w:t>
            </w:r>
            <w:r>
              <w:rPr>
                <w:sz w:val="21"/>
                <w:szCs w:val="21"/>
              </w:rPr>
              <w:t>+</w:t>
            </w:r>
            <w:r>
              <w:rPr>
                <w:rFonts w:hint="eastAsia"/>
                <w:sz w:val="21"/>
                <w:szCs w:val="21"/>
              </w:rPr>
              <w:t>”</w:t>
            </w:r>
          </w:p>
        </w:tc>
      </w:tr>
      <w:tr w14:paraId="0A75D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 w:hRule="atLeast"/>
          <w:jc w:val="center"/>
        </w:trPr>
        <w:tc>
          <w:tcPr>
            <w:tcW w:w="2936" w:type="dxa"/>
            <w:vAlign w:val="center"/>
          </w:tcPr>
          <w:p w14:paraId="5DB8E3C3">
            <w:pPr>
              <w:ind w:firstLine="420"/>
              <w:jc w:val="center"/>
              <w:rPr>
                <w:sz w:val="21"/>
                <w:szCs w:val="21"/>
              </w:rPr>
            </w:pPr>
            <w:r>
              <w:rPr>
                <w:sz w:val="21"/>
                <w:szCs w:val="21"/>
              </w:rPr>
              <w:t>公务接待费</w:t>
            </w:r>
          </w:p>
        </w:tc>
        <w:tc>
          <w:tcPr>
            <w:tcW w:w="1720" w:type="dxa"/>
            <w:vAlign w:val="center"/>
          </w:tcPr>
          <w:p w14:paraId="65483DF4">
            <w:pPr>
              <w:pStyle w:val="26"/>
              <w:rPr>
                <w:rFonts w:hint="default" w:eastAsiaTheme="minorEastAsia"/>
                <w:lang w:val="en-US" w:eastAsia="zh-CN"/>
              </w:rPr>
            </w:pPr>
            <w:r>
              <w:t>0.</w:t>
            </w:r>
            <w:r>
              <w:rPr>
                <w:rFonts w:hint="eastAsia"/>
                <w:lang w:val="en-US" w:eastAsia="zh-CN"/>
              </w:rPr>
              <w:t>36</w:t>
            </w:r>
          </w:p>
        </w:tc>
        <w:tc>
          <w:tcPr>
            <w:tcW w:w="1870" w:type="dxa"/>
            <w:vAlign w:val="center"/>
          </w:tcPr>
          <w:p w14:paraId="1F5C85C5">
            <w:pPr>
              <w:pStyle w:val="26"/>
              <w:rPr>
                <w:rFonts w:hint="eastAsia" w:eastAsiaTheme="minorEastAsia"/>
                <w:lang w:eastAsia="zh-CN"/>
              </w:rPr>
            </w:pPr>
            <w:r>
              <w:rPr>
                <w:rFonts w:hint="eastAsia"/>
                <w:lang w:val="en-US" w:eastAsia="zh-CN"/>
              </w:rPr>
              <w:t>0</w:t>
            </w:r>
          </w:p>
        </w:tc>
        <w:tc>
          <w:tcPr>
            <w:tcW w:w="1806" w:type="dxa"/>
            <w:vAlign w:val="center"/>
          </w:tcPr>
          <w:p w14:paraId="19839CD5">
            <w:pPr>
              <w:pStyle w:val="26"/>
              <w:rPr>
                <w:rFonts w:hint="default" w:eastAsiaTheme="minorEastAsia"/>
                <w:lang w:val="en-US" w:eastAsia="zh-CN"/>
              </w:rPr>
            </w:pPr>
            <w:r>
              <w:t>-0.</w:t>
            </w:r>
            <w:r>
              <w:rPr>
                <w:rFonts w:hint="eastAsia"/>
                <w:lang w:val="en-US" w:eastAsia="zh-CN"/>
              </w:rPr>
              <w:t>36</w:t>
            </w:r>
          </w:p>
        </w:tc>
      </w:tr>
      <w:tr w14:paraId="46B19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 w:hRule="atLeast"/>
          <w:jc w:val="center"/>
        </w:trPr>
        <w:tc>
          <w:tcPr>
            <w:tcW w:w="2936" w:type="dxa"/>
            <w:vAlign w:val="center"/>
          </w:tcPr>
          <w:p w14:paraId="096027AA">
            <w:pPr>
              <w:ind w:firstLine="0" w:firstLineChars="0"/>
              <w:jc w:val="center"/>
              <w:rPr>
                <w:sz w:val="21"/>
                <w:szCs w:val="21"/>
              </w:rPr>
            </w:pPr>
            <w:r>
              <w:rPr>
                <w:rFonts w:hint="eastAsia"/>
                <w:sz w:val="21"/>
                <w:szCs w:val="21"/>
              </w:rPr>
              <w:t>公务用车购置及运行维护费</w:t>
            </w:r>
          </w:p>
        </w:tc>
        <w:tc>
          <w:tcPr>
            <w:tcW w:w="1720" w:type="dxa"/>
            <w:vAlign w:val="center"/>
          </w:tcPr>
          <w:p w14:paraId="17DE1F7B">
            <w:pPr>
              <w:pStyle w:val="26"/>
            </w:pPr>
            <w:r>
              <w:rPr>
                <w:rFonts w:hint="eastAsia"/>
              </w:rPr>
              <w:t>0.00</w:t>
            </w:r>
          </w:p>
        </w:tc>
        <w:tc>
          <w:tcPr>
            <w:tcW w:w="1870" w:type="dxa"/>
            <w:vAlign w:val="center"/>
          </w:tcPr>
          <w:p w14:paraId="05322042">
            <w:pPr>
              <w:pStyle w:val="26"/>
            </w:pPr>
            <w:r>
              <w:rPr>
                <w:rFonts w:hint="eastAsia"/>
              </w:rPr>
              <w:t>0.00</w:t>
            </w:r>
          </w:p>
        </w:tc>
        <w:tc>
          <w:tcPr>
            <w:tcW w:w="1806" w:type="dxa"/>
            <w:vAlign w:val="center"/>
          </w:tcPr>
          <w:p w14:paraId="23767AB7">
            <w:pPr>
              <w:pStyle w:val="26"/>
            </w:pPr>
            <w:r>
              <w:rPr>
                <w:rFonts w:hint="eastAsia"/>
              </w:rPr>
              <w:t>0.00</w:t>
            </w:r>
          </w:p>
        </w:tc>
      </w:tr>
      <w:tr w14:paraId="4F175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 w:hRule="atLeast"/>
          <w:jc w:val="center"/>
        </w:trPr>
        <w:tc>
          <w:tcPr>
            <w:tcW w:w="2936" w:type="dxa"/>
            <w:vAlign w:val="center"/>
          </w:tcPr>
          <w:p w14:paraId="3E1BD689">
            <w:pPr>
              <w:ind w:firstLine="420"/>
              <w:jc w:val="center"/>
              <w:rPr>
                <w:sz w:val="21"/>
                <w:szCs w:val="21"/>
              </w:rPr>
            </w:pPr>
            <w:r>
              <w:rPr>
                <w:sz w:val="21"/>
                <w:szCs w:val="21"/>
              </w:rPr>
              <w:t>因公出国费用</w:t>
            </w:r>
          </w:p>
        </w:tc>
        <w:tc>
          <w:tcPr>
            <w:tcW w:w="1720" w:type="dxa"/>
            <w:vAlign w:val="center"/>
          </w:tcPr>
          <w:p w14:paraId="3FF15454">
            <w:pPr>
              <w:pStyle w:val="26"/>
            </w:pPr>
            <w:r>
              <w:rPr>
                <w:rFonts w:hint="eastAsia"/>
              </w:rPr>
              <w:t>0.00</w:t>
            </w:r>
          </w:p>
        </w:tc>
        <w:tc>
          <w:tcPr>
            <w:tcW w:w="1870" w:type="dxa"/>
            <w:vAlign w:val="center"/>
          </w:tcPr>
          <w:p w14:paraId="5E7C3296">
            <w:pPr>
              <w:pStyle w:val="26"/>
            </w:pPr>
            <w:r>
              <w:rPr>
                <w:rFonts w:hint="eastAsia"/>
              </w:rPr>
              <w:t>0.00</w:t>
            </w:r>
          </w:p>
        </w:tc>
        <w:tc>
          <w:tcPr>
            <w:tcW w:w="1806" w:type="dxa"/>
            <w:vAlign w:val="center"/>
          </w:tcPr>
          <w:p w14:paraId="470F138D">
            <w:pPr>
              <w:pStyle w:val="26"/>
            </w:pPr>
            <w:r>
              <w:rPr>
                <w:rFonts w:hint="eastAsia"/>
              </w:rPr>
              <w:t>0.00</w:t>
            </w:r>
          </w:p>
        </w:tc>
      </w:tr>
      <w:tr w14:paraId="2D78E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 w:hRule="atLeast"/>
          <w:jc w:val="center"/>
        </w:trPr>
        <w:tc>
          <w:tcPr>
            <w:tcW w:w="2936" w:type="dxa"/>
            <w:vAlign w:val="center"/>
          </w:tcPr>
          <w:p w14:paraId="7D1130CB">
            <w:pPr>
              <w:ind w:firstLine="420"/>
              <w:jc w:val="center"/>
              <w:rPr>
                <w:sz w:val="21"/>
                <w:szCs w:val="21"/>
              </w:rPr>
            </w:pPr>
            <w:r>
              <w:rPr>
                <w:sz w:val="21"/>
                <w:szCs w:val="21"/>
              </w:rPr>
              <w:t>合计</w:t>
            </w:r>
          </w:p>
        </w:tc>
        <w:tc>
          <w:tcPr>
            <w:tcW w:w="1720" w:type="dxa"/>
            <w:vAlign w:val="center"/>
          </w:tcPr>
          <w:p w14:paraId="75C5ED78">
            <w:pPr>
              <w:pStyle w:val="26"/>
              <w:ind w:firstLine="0" w:firstLineChars="0"/>
            </w:pPr>
            <w:r>
              <w:t>0.</w:t>
            </w:r>
            <w:r>
              <w:rPr>
                <w:rFonts w:hint="eastAsia"/>
                <w:lang w:val="en-US" w:eastAsia="zh-CN"/>
              </w:rPr>
              <w:t>36</w:t>
            </w:r>
          </w:p>
        </w:tc>
        <w:tc>
          <w:tcPr>
            <w:tcW w:w="1870" w:type="dxa"/>
            <w:vAlign w:val="center"/>
          </w:tcPr>
          <w:p w14:paraId="29C9EF8D">
            <w:pPr>
              <w:pStyle w:val="26"/>
              <w:ind w:firstLine="0" w:firstLineChars="0"/>
              <w:rPr>
                <w:rFonts w:hint="eastAsia" w:eastAsiaTheme="minorEastAsia"/>
                <w:lang w:eastAsia="zh-CN"/>
              </w:rPr>
            </w:pPr>
            <w:r>
              <w:rPr>
                <w:rFonts w:hint="eastAsia"/>
                <w:lang w:val="en-US" w:eastAsia="zh-CN"/>
              </w:rPr>
              <w:t>0</w:t>
            </w:r>
          </w:p>
        </w:tc>
        <w:tc>
          <w:tcPr>
            <w:tcW w:w="1806" w:type="dxa"/>
            <w:vAlign w:val="center"/>
          </w:tcPr>
          <w:p w14:paraId="243D5742">
            <w:pPr>
              <w:pStyle w:val="26"/>
              <w:ind w:firstLine="0" w:firstLineChars="0"/>
              <w:rPr>
                <w:rFonts w:hint="default"/>
                <w:lang w:val="en-US"/>
              </w:rPr>
            </w:pPr>
            <w:r>
              <w:t>-0.</w:t>
            </w:r>
            <w:r>
              <w:rPr>
                <w:rFonts w:hint="eastAsia"/>
                <w:lang w:val="en-US" w:eastAsia="zh-CN"/>
              </w:rPr>
              <w:t>36</w:t>
            </w:r>
          </w:p>
        </w:tc>
      </w:tr>
    </w:tbl>
    <w:p w14:paraId="046CB9A3">
      <w:pPr>
        <w:pStyle w:val="27"/>
      </w:pPr>
      <w:r>
        <w:t>从上表分析，</w:t>
      </w:r>
      <w:r>
        <w:rPr>
          <w:rFonts w:hint="eastAsia"/>
          <w:lang w:val="en-US" w:eastAsia="zh-CN"/>
        </w:rPr>
        <w:t>2025</w:t>
      </w:r>
      <w:r>
        <w:rPr>
          <w:rFonts w:hint="eastAsia"/>
        </w:rPr>
        <w:t>“</w:t>
      </w:r>
      <w:r>
        <w:t>三公经费</w:t>
      </w:r>
      <w:r>
        <w:rPr>
          <w:rFonts w:hint="eastAsia"/>
        </w:rPr>
        <w:t>”</w:t>
      </w:r>
      <w:r>
        <w:t>预算支出</w:t>
      </w:r>
      <w:r>
        <w:rPr>
          <w:rFonts w:hint="eastAsia"/>
          <w:lang w:val="en-US" w:eastAsia="zh-CN"/>
        </w:rPr>
        <w:t>0.36</w:t>
      </w:r>
      <w:r>
        <w:t>万元，决算支出</w:t>
      </w:r>
      <w:r>
        <w:rPr>
          <w:rFonts w:hint="eastAsia"/>
          <w:lang w:val="en-US" w:eastAsia="zh-CN"/>
        </w:rPr>
        <w:t>0</w:t>
      </w:r>
      <w:r>
        <w:t>万元，结余</w:t>
      </w:r>
      <w:r>
        <w:rPr>
          <w:rFonts w:hint="eastAsia"/>
          <w:lang w:val="en-US" w:eastAsia="zh-CN"/>
        </w:rPr>
        <w:t>0.36</w:t>
      </w:r>
      <w:r>
        <w:t>万元，</w:t>
      </w:r>
      <w:r>
        <w:rPr>
          <w:rFonts w:hint="eastAsia"/>
        </w:rPr>
        <w:t>“</w:t>
      </w:r>
      <w:r>
        <w:t>三公经费</w:t>
      </w:r>
      <w:r>
        <w:rPr>
          <w:rFonts w:hint="eastAsia"/>
        </w:rPr>
        <w:t>”</w:t>
      </w:r>
      <w:r>
        <w:t>总额控制在预算范围内。</w:t>
      </w:r>
    </w:p>
    <w:p w14:paraId="7D12F419">
      <w:pPr>
        <w:pStyle w:val="27"/>
      </w:pPr>
      <w:r>
        <w:t>从</w:t>
      </w:r>
      <w:r>
        <w:rPr>
          <w:rFonts w:hint="eastAsia"/>
        </w:rPr>
        <w:t>“</w:t>
      </w:r>
      <w:r>
        <w:t>三公经费</w:t>
      </w:r>
      <w:r>
        <w:rPr>
          <w:rFonts w:hint="eastAsia"/>
        </w:rPr>
        <w:t>”</w:t>
      </w:r>
      <w:r>
        <w:t>的支出明细项目分析，公务接待费支出</w:t>
      </w:r>
      <w:r>
        <w:rPr>
          <w:rFonts w:hint="eastAsia"/>
          <w:lang w:val="en-US" w:eastAsia="zh-CN"/>
        </w:rPr>
        <w:t>0</w:t>
      </w:r>
      <w:r>
        <w:t>万元，结余</w:t>
      </w:r>
      <w:r>
        <w:rPr>
          <w:rFonts w:hint="eastAsia"/>
          <w:lang w:val="en-US" w:eastAsia="zh-CN"/>
        </w:rPr>
        <w:t>0.36</w:t>
      </w:r>
      <w:r>
        <w:t>万元；</w:t>
      </w:r>
      <w:r>
        <w:rPr>
          <w:rFonts w:hint="eastAsia"/>
        </w:rPr>
        <w:t>公务用车购置及运行维护费</w:t>
      </w:r>
      <w:r>
        <w:t>支出</w:t>
      </w:r>
      <w:r>
        <w:rPr>
          <w:rFonts w:hint="eastAsia"/>
        </w:rPr>
        <w:t>及</w:t>
      </w:r>
      <w:r>
        <w:t>因公出国费用支出</w:t>
      </w:r>
      <w:r>
        <w:rPr>
          <w:rFonts w:hint="eastAsia"/>
        </w:rPr>
        <w:t>均为0.00</w:t>
      </w:r>
      <w:r>
        <w:t>万元，</w:t>
      </w:r>
      <w:r>
        <w:rPr>
          <w:rFonts w:hint="eastAsia"/>
        </w:rPr>
        <w:t>“</w:t>
      </w:r>
      <w:r>
        <w:t>三公</w:t>
      </w:r>
      <w:r>
        <w:rPr>
          <w:rFonts w:hint="eastAsia"/>
        </w:rPr>
        <w:t>”</w:t>
      </w:r>
      <w:r>
        <w:t>经费明细均在</w:t>
      </w:r>
      <w:r>
        <w:rPr>
          <w:rFonts w:hint="eastAsia"/>
        </w:rPr>
        <w:t>预算指标控制范围内。</w:t>
      </w:r>
    </w:p>
    <w:p w14:paraId="1FBF1C95">
      <w:pPr>
        <w:pStyle w:val="22"/>
        <w:ind w:firstLine="480"/>
      </w:pPr>
      <w:r>
        <w:t>（2）与上年度比较“三公经费”控制情况</w:t>
      </w:r>
    </w:p>
    <w:p w14:paraId="11467BBF">
      <w:pPr>
        <w:keepNext w:val="0"/>
        <w:keepLines w:val="0"/>
        <w:pageBreakBefore w:val="0"/>
        <w:widowControl/>
        <w:numPr>
          <w:ilvl w:val="0"/>
          <w:numId w:val="0"/>
        </w:numPr>
        <w:kinsoku/>
        <w:wordWrap/>
        <w:overflowPunct/>
        <w:topLinePunct w:val="0"/>
        <w:autoSpaceDE/>
        <w:autoSpaceDN/>
        <w:bidi w:val="0"/>
        <w:adjustRightInd/>
        <w:snapToGrid/>
        <w:spacing w:line="500" w:lineRule="auto"/>
        <w:ind w:left="0" w:leftChars="0" w:right="0" w:rightChars="0" w:firstLine="420" w:firstLineChars="200"/>
        <w:textAlignment w:val="auto"/>
        <w:outlineLvl w:val="9"/>
      </w:pPr>
      <w:r>
        <w:rPr>
          <w:rFonts w:hint="eastAsia" w:cs="Times New Roman"/>
          <w:sz w:val="21"/>
          <w:szCs w:val="21"/>
          <w:shd w:val="clear" w:color="auto" w:fill="FFFFFF"/>
          <w:lang w:val="en-US" w:eastAsia="zh-CN" w:bidi="ar-SA"/>
        </w:rPr>
        <w:t>2025</w:t>
      </w:r>
      <w:r>
        <w:rPr>
          <w:rFonts w:hint="eastAsia" w:cs="Times New Roman" w:asciiTheme="minorHAnsi" w:hAnsiTheme="minorHAnsi" w:eastAsiaTheme="minorEastAsia"/>
          <w:sz w:val="21"/>
          <w:szCs w:val="21"/>
          <w:shd w:val="clear" w:color="auto" w:fill="FFFFFF"/>
          <w:lang w:val="en-US" w:eastAsia="zh-CN" w:bidi="ar-SA"/>
        </w:rPr>
        <w:t>年“三公”经费预算较上年预算数减少0.09万元，下降2%，主要因为：按照“三公”经费“只减不增”原则，从严从紧安排“三公”经费预算。</w:t>
      </w:r>
      <w:r>
        <w:rPr>
          <w:rFonts w:hint="eastAsia" w:cs="Times New Roman"/>
          <w:sz w:val="21"/>
          <w:szCs w:val="21"/>
          <w:shd w:val="clear" w:color="auto" w:fill="FFFFFF"/>
          <w:lang w:val="en-US" w:eastAsia="zh-CN" w:bidi="ar-SA"/>
        </w:rPr>
        <w:t>2025</w:t>
      </w:r>
      <w:r>
        <w:rPr>
          <w:rFonts w:hint="eastAsia" w:cs="Times New Roman" w:asciiTheme="minorHAnsi" w:hAnsiTheme="minorHAnsi" w:eastAsiaTheme="minorEastAsia"/>
          <w:sz w:val="21"/>
          <w:szCs w:val="21"/>
          <w:shd w:val="clear" w:color="auto" w:fill="FFFFFF"/>
          <w:lang w:val="en-US" w:eastAsia="zh-CN" w:bidi="ar-SA"/>
        </w:rPr>
        <w:t>年“三公经费”决算数较上年</w:t>
      </w:r>
      <w:r>
        <w:rPr>
          <w:rFonts w:hint="eastAsia" w:cs="Times New Roman"/>
          <w:sz w:val="21"/>
          <w:szCs w:val="21"/>
          <w:shd w:val="clear" w:color="auto" w:fill="FFFFFF"/>
          <w:lang w:val="en-US" w:eastAsia="zh-CN" w:bidi="ar-SA"/>
        </w:rPr>
        <w:t>减少</w:t>
      </w:r>
      <w:r>
        <w:rPr>
          <w:rFonts w:hint="eastAsia" w:cs="Times New Roman" w:asciiTheme="minorHAnsi" w:hAnsiTheme="minorHAnsi" w:eastAsiaTheme="minorEastAsia"/>
          <w:sz w:val="21"/>
          <w:szCs w:val="21"/>
          <w:shd w:val="clear" w:color="auto" w:fill="FFFFFF"/>
          <w:lang w:val="en-US" w:eastAsia="zh-CN" w:bidi="ar-SA"/>
        </w:rPr>
        <w:t>了</w:t>
      </w:r>
      <w:r>
        <w:rPr>
          <w:rFonts w:hint="eastAsia" w:cs="Times New Roman"/>
          <w:sz w:val="21"/>
          <w:szCs w:val="21"/>
          <w:shd w:val="clear" w:color="auto" w:fill="FFFFFF"/>
          <w:lang w:val="en-US" w:eastAsia="zh-CN" w:bidi="ar-SA"/>
        </w:rPr>
        <w:t>0.22</w:t>
      </w:r>
      <w:r>
        <w:rPr>
          <w:rFonts w:hint="eastAsia" w:cs="Times New Roman" w:asciiTheme="minorHAnsi" w:hAnsiTheme="minorHAnsi" w:eastAsiaTheme="minorEastAsia"/>
          <w:sz w:val="21"/>
          <w:szCs w:val="21"/>
          <w:shd w:val="clear" w:color="auto" w:fill="FFFFFF"/>
          <w:lang w:val="en-US" w:eastAsia="zh-CN" w:bidi="ar-SA"/>
        </w:rPr>
        <w:t>万元，</w:t>
      </w:r>
      <w:r>
        <w:rPr>
          <w:rFonts w:hint="eastAsia" w:cs="Times New Roman"/>
          <w:sz w:val="21"/>
          <w:szCs w:val="21"/>
          <w:shd w:val="clear" w:color="auto" w:fill="FFFFFF"/>
          <w:lang w:val="en-US" w:eastAsia="zh-CN" w:bidi="ar-SA"/>
        </w:rPr>
        <w:t>减少100</w:t>
      </w:r>
      <w:r>
        <w:rPr>
          <w:rFonts w:hint="eastAsia" w:cs="Times New Roman" w:asciiTheme="minorHAnsi" w:hAnsiTheme="minorHAnsi" w:eastAsiaTheme="minorEastAsia"/>
          <w:sz w:val="21"/>
          <w:szCs w:val="21"/>
          <w:shd w:val="clear" w:color="auto" w:fill="FFFFFF"/>
          <w:lang w:val="en-US" w:eastAsia="zh-CN" w:bidi="ar-SA"/>
        </w:rPr>
        <w:t>%，主要因为厉行节约，压减开支。</w:t>
      </w:r>
    </w:p>
    <w:p w14:paraId="4A07B18B">
      <w:pPr>
        <w:pStyle w:val="22"/>
        <w:ind w:firstLine="480"/>
      </w:pPr>
      <w:r>
        <w:t>三</w:t>
      </w:r>
      <w:r>
        <w:rPr>
          <w:rFonts w:hint="eastAsia"/>
        </w:rPr>
        <w:t>、基金预算支出情况</w:t>
      </w:r>
    </w:p>
    <w:p w14:paraId="3F7F0243">
      <w:pPr>
        <w:pStyle w:val="22"/>
        <w:ind w:firstLine="480"/>
      </w:pPr>
      <w:r>
        <w:rPr>
          <w:rFonts w:hint="eastAsia"/>
          <w:lang w:val="en-US" w:eastAsia="zh-CN"/>
        </w:rPr>
        <w:t>2025</w:t>
      </w:r>
      <w:r>
        <w:t>年无政府性基金</w:t>
      </w:r>
      <w:r>
        <w:rPr>
          <w:rFonts w:hint="eastAsia"/>
        </w:rPr>
        <w:t>预算</w:t>
      </w:r>
      <w:r>
        <w:t>支出</w:t>
      </w:r>
      <w:r>
        <w:rPr>
          <w:rFonts w:hint="eastAsia"/>
        </w:rPr>
        <w:t>。</w:t>
      </w:r>
    </w:p>
    <w:p w14:paraId="759F3A89">
      <w:pPr>
        <w:pStyle w:val="22"/>
        <w:ind w:firstLine="480"/>
      </w:pPr>
      <w:r>
        <w:rPr>
          <w:rFonts w:hint="eastAsia"/>
        </w:rPr>
        <w:t>四、国有资本经营预算支出情况</w:t>
      </w:r>
    </w:p>
    <w:p w14:paraId="4A351481">
      <w:pPr>
        <w:pStyle w:val="22"/>
        <w:ind w:firstLine="480"/>
      </w:pPr>
      <w:r>
        <w:rPr>
          <w:rFonts w:hint="eastAsia"/>
          <w:lang w:val="en-US" w:eastAsia="zh-CN"/>
        </w:rPr>
        <w:t>2025</w:t>
      </w:r>
      <w:r>
        <w:rPr>
          <w:rFonts w:hint="eastAsia"/>
        </w:rPr>
        <w:t>年无国有资本经营预算支出</w:t>
      </w:r>
    </w:p>
    <w:p w14:paraId="2CA71023">
      <w:pPr>
        <w:pStyle w:val="22"/>
        <w:ind w:firstLine="480"/>
      </w:pPr>
      <w:r>
        <w:rPr>
          <w:rFonts w:hint="eastAsia"/>
        </w:rPr>
        <w:t>五、社会保险基金预算支出情况</w:t>
      </w:r>
    </w:p>
    <w:p w14:paraId="6BDE04A7">
      <w:pPr>
        <w:pStyle w:val="22"/>
        <w:ind w:firstLine="480"/>
      </w:pPr>
      <w:r>
        <w:rPr>
          <w:rFonts w:hint="eastAsia"/>
          <w:lang w:val="en-US" w:eastAsia="zh-CN"/>
        </w:rPr>
        <w:t>2025</w:t>
      </w:r>
      <w:r>
        <w:rPr>
          <w:rFonts w:hint="eastAsia"/>
        </w:rPr>
        <w:t>年无社会保险基金预算支出。</w:t>
      </w:r>
    </w:p>
    <w:p w14:paraId="0251D2A2">
      <w:pPr>
        <w:pStyle w:val="22"/>
        <w:ind w:firstLine="480"/>
      </w:pPr>
      <w:r>
        <w:rPr>
          <w:rFonts w:hint="eastAsia"/>
        </w:rPr>
        <w:t>六、部门整体支出绩效情况</w:t>
      </w:r>
    </w:p>
    <w:p w14:paraId="1C5A9287">
      <w:pPr>
        <w:pStyle w:val="22"/>
        <w:ind w:firstLine="480"/>
      </w:pPr>
      <w:r>
        <w:rPr>
          <w:rFonts w:cs="楷体_GB2312" w:asciiTheme="minorEastAsia" w:hAnsiTheme="minorEastAsia"/>
        </w:rPr>
        <w:t>（一）综合评价结论。</w:t>
      </w:r>
      <w:r>
        <w:t>反映自评得分及评价等级。</w:t>
      </w:r>
    </w:p>
    <w:p w14:paraId="5C5C6DBD">
      <w:pPr>
        <w:pStyle w:val="22"/>
        <w:ind w:firstLine="480"/>
      </w:pPr>
      <w:r>
        <w:rPr>
          <w:rFonts w:hint="eastAsia"/>
        </w:rPr>
        <w:t>根据部门整体支出绩效评价指标规定的内容，经我单位认真自评，总评分为100分，实际得分9</w:t>
      </w:r>
      <w:r>
        <w:rPr>
          <w:rFonts w:hint="eastAsia"/>
          <w:lang w:val="en-US" w:eastAsia="zh-CN"/>
        </w:rPr>
        <w:t>7</w:t>
      </w:r>
      <w:r>
        <w:rPr>
          <w:rFonts w:hint="eastAsia"/>
        </w:rPr>
        <w:t>分，</w:t>
      </w:r>
      <w:r>
        <w:rPr>
          <w:rFonts w:hint="eastAsia"/>
          <w:lang w:val="en-US" w:eastAsia="zh-CN"/>
        </w:rPr>
        <w:t>2025</w:t>
      </w:r>
      <w:r>
        <w:rPr>
          <w:rFonts w:hint="eastAsia"/>
        </w:rPr>
        <w:t>年度部门整体绩效评价为优秀。</w:t>
      </w:r>
    </w:p>
    <w:p w14:paraId="6DB5A01A">
      <w:pPr>
        <w:pStyle w:val="22"/>
        <w:keepNext w:val="0"/>
        <w:keepLines w:val="0"/>
        <w:pageBreakBefore w:val="0"/>
        <w:widowControl/>
        <w:kinsoku/>
        <w:wordWrap/>
        <w:overflowPunct/>
        <w:topLinePunct w:val="0"/>
        <w:autoSpaceDE/>
        <w:autoSpaceDN/>
        <w:bidi w:val="0"/>
        <w:adjustRightInd/>
        <w:snapToGrid/>
        <w:ind w:firstLine="480"/>
        <w:textAlignment w:val="auto"/>
      </w:pPr>
      <w:r>
        <w:rPr>
          <w:rFonts w:hint="eastAsia"/>
        </w:rPr>
        <w:t>按照市级部门预决算编制通知和有关要求，按时完成预决算编制工作，并及时在网上进行预决算公开。部门整体绩效目标编制完整、合理，项目绩效目标编制明确、量化。按要求严格预算执行管理，及时足额将专项资金按指标拨付。严格执行“三公经费”预算，按要求及时公开预算、决算、绩效等信息。按要求及时、准确、全面开展资产清查工作，上报国有资产报表数据的真实、准确、全面。内部控制制度健全完整并执行良好，在本年度内未出现廉政风险。</w:t>
      </w:r>
      <w:r>
        <w:rPr>
          <w:rFonts w:hint="eastAsia"/>
          <w:lang w:val="en-US" w:eastAsia="zh-CN"/>
        </w:rPr>
        <w:t>2025</w:t>
      </w:r>
      <w:r>
        <w:rPr>
          <w:rFonts w:hint="eastAsia"/>
        </w:rPr>
        <w:t>年单位党组深入学习贯彻党的二十大精神，深刻领会“两个确立”决定性意义，做到“两个维护”，深入贯彻落实上级部门的重要指示批示精神，坚持以习近平新时代中国特色社会主义思想、习近平文化思想和习近平总书记关于文艺工作重要论述为指导，充分发挥“团结引导、联络协调、服务管理、自律维权”职能，着力推动新时代怀化文艺高质量发展。</w:t>
      </w:r>
    </w:p>
    <w:p w14:paraId="0268DC8A">
      <w:pPr>
        <w:pStyle w:val="22"/>
        <w:ind w:firstLine="480"/>
      </w:pPr>
      <w:r>
        <w:t>（二）评价指标分析（或综合评价情况）。</w:t>
      </w:r>
    </w:p>
    <w:p w14:paraId="604F315F">
      <w:pPr>
        <w:keepNext w:val="0"/>
        <w:keepLines w:val="0"/>
        <w:pageBreakBefore w:val="0"/>
        <w:kinsoku/>
        <w:wordWrap/>
        <w:overflowPunct/>
        <w:topLinePunct w:val="0"/>
        <w:autoSpaceDE/>
        <w:autoSpaceDN/>
        <w:bidi w:val="0"/>
        <w:adjustRightInd/>
        <w:snapToGrid/>
        <w:spacing w:line="560" w:lineRule="exact"/>
        <w:ind w:firstLine="480" w:firstLineChars="200"/>
        <w:jc w:val="both"/>
        <w:textAlignment w:val="auto"/>
        <w:rPr>
          <w:rFonts w:hint="eastAsia" w:cs="Times New Roman" w:asciiTheme="minorHAnsi" w:hAnsiTheme="minorHAnsi" w:eastAsiaTheme="minorEastAsia"/>
          <w:sz w:val="24"/>
          <w:szCs w:val="18"/>
          <w:shd w:val="clear" w:color="auto" w:fill="FFFFFF"/>
          <w:lang w:val="en-US" w:eastAsia="zh-CN" w:bidi="ar-SA"/>
        </w:rPr>
      </w:pPr>
      <w:r>
        <w:rPr>
          <w:rFonts w:hint="eastAsia" w:cs="Times New Roman" w:asciiTheme="minorHAnsi" w:hAnsiTheme="minorHAnsi" w:eastAsiaTheme="minorEastAsia"/>
          <w:sz w:val="24"/>
          <w:szCs w:val="18"/>
          <w:shd w:val="clear" w:color="auto" w:fill="FFFFFF"/>
          <w:lang w:val="en-US" w:eastAsia="zh-CN" w:bidi="ar-SA"/>
        </w:rPr>
        <w:t>2025年，聚焦精品创作，推出优秀成果。推动全国名作家“福地怀化”采风创作成果转化，联合《芙蓉》杂志社出版第五届湖南旅发大会怀化专辑，编印五省市书画名家作品邀请展作品集。完成《福地怀化诗文选》第二版编审出版。组织创作《美丽乡村之歌》《怀化山水名胜诗词选》等文集，记录全市135个美丽乡村发展蝶变。邓宏顺长篇小说《九考魏源》、韩生学长篇报告文学《最远那个村》正式出版，获全省文艺界广泛关注。</w:t>
      </w:r>
    </w:p>
    <w:p w14:paraId="1115F6EC">
      <w:pPr>
        <w:keepNext w:val="0"/>
        <w:keepLines w:val="0"/>
        <w:pageBreakBefore w:val="0"/>
        <w:widowControl/>
        <w:suppressLineNumbers w:val="0"/>
        <w:kinsoku/>
        <w:wordWrap/>
        <w:overflowPunct/>
        <w:topLinePunct w:val="0"/>
        <w:autoSpaceDE/>
        <w:autoSpaceDN/>
        <w:bidi w:val="0"/>
        <w:adjustRightInd/>
        <w:snapToGrid/>
        <w:spacing w:line="560" w:lineRule="exact"/>
        <w:ind w:firstLine="480" w:firstLineChars="200"/>
        <w:jc w:val="left"/>
        <w:textAlignment w:val="auto"/>
        <w:rPr>
          <w:rFonts w:hint="eastAsia" w:cs="Times New Roman" w:asciiTheme="minorHAnsi" w:hAnsiTheme="minorHAnsi" w:eastAsiaTheme="minorEastAsia"/>
          <w:sz w:val="24"/>
          <w:szCs w:val="18"/>
          <w:shd w:val="clear" w:color="auto" w:fill="FFFFFF"/>
          <w:lang w:val="en-US" w:eastAsia="zh-CN" w:bidi="ar-SA"/>
        </w:rPr>
      </w:pPr>
      <w:r>
        <w:rPr>
          <w:rFonts w:hint="eastAsia" w:cs="Times New Roman" w:asciiTheme="minorHAnsi" w:hAnsiTheme="minorHAnsi" w:eastAsiaTheme="minorEastAsia"/>
          <w:sz w:val="24"/>
          <w:szCs w:val="18"/>
          <w:shd w:val="clear" w:color="auto" w:fill="FFFFFF"/>
          <w:lang w:val="en-US" w:eastAsia="zh-CN" w:bidi="ar-SA"/>
        </w:rPr>
        <w:t>各艺术门类百花齐放，成果丰硕。市作家协会百余篇作品刊发于《人民日报》《民族文学》等国家级报刊，33篇作品入选《芙蓉》旅发大会专辑。市书法家协会蒋晖鹏作品入展中国书协小品展、篆书展，陈静获省女书法家作品展奖项，5件作品入选西部陆海新通道、中日书法展。市音乐家协会歌曲《我要去怀化》全网播放量超500万，3人获省金钟奖，歌剧《沂蒙山》成功首演；市舞蹈家协会4个作品入围“小荷风采”省选拔展演，《侗潮生声》入选中国顶尖舞者全国展演；市美术家协会8人作品入选全国美展，成功举办首届小幅水彩画展；市摄影家协会多幅作品入选国家展；市民间文艺家协会7件作品入展省级诗书画印展，11名会员获市文学艺术奖；市诗词楹联家协会创作《美丽乡村之歌》2000余幅，完成五溪楹联申遗；市京剧协会5个节目获省京剧展演优秀节目奖，指导学校获省少儿戏曲小梅花3金2银；市文艺评论家协会主办邓宏顺《九考魏源》等多部作品研讨会；市戏剧家协会创排《小放牛》《变脸》节目雏形；市国画院新增辰溪大酉书院等2个挂牌创作基地；市语言艺术协会创作《你没有离去》《警予大姐》等朗诵作品；市国际标准舞协会获省级竞赛3金2银4铜。</w:t>
      </w:r>
    </w:p>
    <w:p w14:paraId="4F961D84">
      <w:pPr>
        <w:pStyle w:val="22"/>
        <w:ind w:left="0" w:leftChars="0" w:firstLine="0" w:firstLineChars="0"/>
      </w:pPr>
      <w:r>
        <w:rPr>
          <w:rFonts w:hint="eastAsia"/>
        </w:rPr>
        <w:t>七、存在的问题及原因分析</w:t>
      </w:r>
    </w:p>
    <w:p w14:paraId="1B18F7F0">
      <w:pPr>
        <w:pStyle w:val="22"/>
        <w:ind w:firstLine="480"/>
      </w:pPr>
      <w:r>
        <w:rPr>
          <w:rFonts w:hint="eastAsia"/>
        </w:rPr>
        <w:t>1、全面预算绩效管理工作经验不太丰富，绩效管理专业人员匮乏，规范管理尚有盲点。</w:t>
      </w:r>
    </w:p>
    <w:p w14:paraId="36786BA3">
      <w:pPr>
        <w:pStyle w:val="22"/>
        <w:ind w:firstLine="480"/>
        <w:rPr>
          <w:rFonts w:hint="eastAsia" w:eastAsiaTheme="minorEastAsia"/>
          <w:lang w:val="en-US" w:eastAsia="zh-CN"/>
        </w:rPr>
      </w:pPr>
      <w:r>
        <w:rPr>
          <w:rFonts w:hint="eastAsia"/>
        </w:rPr>
        <w:t>2、部门预算编制的科学化、精细化有待提高。目前，预算编制要求经济科目细化到款级，但在实际编制过程中，由于有的预算支出项目具有预测性和不确定性等特点，造成实际支出与预算编制不符。</w:t>
      </w:r>
    </w:p>
    <w:p w14:paraId="6826B773">
      <w:pPr>
        <w:pStyle w:val="22"/>
        <w:ind w:firstLine="480"/>
      </w:pPr>
      <w:r>
        <w:rPr>
          <w:rFonts w:hint="eastAsia"/>
        </w:rPr>
        <w:t>八、下一步改进措施</w:t>
      </w:r>
    </w:p>
    <w:p w14:paraId="5428931A">
      <w:pPr>
        <w:pStyle w:val="22"/>
        <w:ind w:firstLine="480"/>
      </w:pPr>
      <w:r>
        <w:rPr>
          <w:rFonts w:hint="eastAsia"/>
        </w:rPr>
        <w:t>1、我们将更加全面、细致地制定绩效目标，进一步严肃财经纪律，在实施过程中遵循“实事求是、尊重客观、力求精准”的原则，努力使项目资金落到实处。</w:t>
      </w:r>
    </w:p>
    <w:p w14:paraId="797C631A">
      <w:pPr>
        <w:pStyle w:val="22"/>
        <w:ind w:firstLine="480"/>
      </w:pPr>
      <w:r>
        <w:rPr>
          <w:rFonts w:hint="eastAsia"/>
        </w:rPr>
        <w:t>2、我们将落实内控制度，严肃执行“三重一大”的原则，深入开展政府购买社会化服务，切实引进社会化竞争机制，引进相关专业人才，保障项目在公开、公平、公正的监督环境中实施，有效节约项目资金，把有限的资金用在刀刃上。</w:t>
      </w:r>
    </w:p>
    <w:p w14:paraId="10A91266">
      <w:pPr>
        <w:pStyle w:val="22"/>
        <w:ind w:firstLine="480"/>
      </w:pPr>
      <w:r>
        <w:rPr>
          <w:rFonts w:hint="eastAsia"/>
        </w:rPr>
        <w:t>3、加强对财政资金的拨付和使用管理，加强对财务干部职工的业务培训，强化预算管理意识，严格执行预算，做到专账核算，确保专款专用。</w:t>
      </w:r>
    </w:p>
    <w:p w14:paraId="6B6F7450">
      <w:pPr>
        <w:pStyle w:val="22"/>
        <w:ind w:firstLine="480"/>
      </w:pPr>
      <w:r>
        <w:rPr>
          <w:rFonts w:hint="eastAsia"/>
        </w:rPr>
        <w:t>九、其他需要说明的情况</w:t>
      </w:r>
    </w:p>
    <w:p w14:paraId="0D7E56AD">
      <w:pPr>
        <w:pStyle w:val="22"/>
        <w:ind w:firstLine="480"/>
      </w:pPr>
      <w:r>
        <w:rPr>
          <w:rFonts w:hint="eastAsia"/>
        </w:rPr>
        <w:t>我单位</w:t>
      </w:r>
      <w:r>
        <w:rPr>
          <w:rFonts w:hint="eastAsia"/>
          <w:lang w:val="en-US" w:eastAsia="zh-CN"/>
        </w:rPr>
        <w:t>2025</w:t>
      </w:r>
      <w:r>
        <w:rPr>
          <w:rFonts w:hint="eastAsia"/>
        </w:rPr>
        <w:t>年无其他需要说明的情况。</w:t>
      </w:r>
    </w:p>
    <w:p w14:paraId="0A6A2D36">
      <w:pPr>
        <w:pStyle w:val="22"/>
        <w:ind w:firstLine="480"/>
      </w:pPr>
      <w:r>
        <w:t>报告包括以下附件：</w:t>
      </w:r>
    </w:p>
    <w:p w14:paraId="148DA378">
      <w:pPr>
        <w:pStyle w:val="22"/>
        <w:ind w:firstLine="480"/>
      </w:pPr>
      <w:r>
        <w:rPr>
          <w:rFonts w:hint="eastAsia"/>
        </w:rPr>
        <w:t>1.</w:t>
      </w:r>
      <w:r>
        <w:t>部门整体支出绩效评价基础数据表</w:t>
      </w:r>
      <w:r>
        <w:rPr>
          <w:rFonts w:hint="eastAsia"/>
        </w:rPr>
        <w:t xml:space="preserve"> </w:t>
      </w:r>
    </w:p>
    <w:p w14:paraId="6463E089">
      <w:pPr>
        <w:pStyle w:val="22"/>
        <w:ind w:firstLine="480"/>
      </w:pPr>
      <w:r>
        <w:rPr>
          <w:rFonts w:hint="eastAsia"/>
        </w:rPr>
        <w:t>2.</w:t>
      </w:r>
      <w:r>
        <w:t>部门整体支出绩效自评表</w:t>
      </w:r>
    </w:p>
    <w:p w14:paraId="532F822F">
      <w:pPr>
        <w:pStyle w:val="9"/>
      </w:pPr>
    </w:p>
    <w:p w14:paraId="3CAB8C65">
      <w:pPr>
        <w:pStyle w:val="9"/>
      </w:pPr>
    </w:p>
    <w:p w14:paraId="3CFC2547">
      <w:pPr>
        <w:pStyle w:val="9"/>
      </w:pPr>
      <w:r>
        <w:drawing>
          <wp:inline distT="0" distB="0" distL="114300" distR="114300">
            <wp:extent cx="6323965" cy="8715375"/>
            <wp:effectExtent l="0" t="0" r="635" b="9525"/>
            <wp:docPr id="2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2"/>
                    <pic:cNvPicPr>
                      <a:picLocks noChangeAspect="1"/>
                    </pic:cNvPicPr>
                  </pic:nvPicPr>
                  <pic:blipFill>
                    <a:blip r:embed="rId13"/>
                    <a:stretch>
                      <a:fillRect/>
                    </a:stretch>
                  </pic:blipFill>
                  <pic:spPr>
                    <a:xfrm>
                      <a:off x="0" y="0"/>
                      <a:ext cx="6323965" cy="8715375"/>
                    </a:xfrm>
                    <a:prstGeom prst="rect">
                      <a:avLst/>
                    </a:prstGeom>
                    <a:noFill/>
                    <a:ln>
                      <a:noFill/>
                    </a:ln>
                  </pic:spPr>
                </pic:pic>
              </a:graphicData>
            </a:graphic>
          </wp:inline>
        </w:drawing>
      </w:r>
    </w:p>
    <w:p w14:paraId="0C29A1BB">
      <w:pPr>
        <w:pStyle w:val="9"/>
      </w:pPr>
    </w:p>
    <w:p w14:paraId="79A8B182">
      <w:pPr>
        <w:pStyle w:val="9"/>
      </w:pPr>
    </w:p>
    <w:p w14:paraId="2CE46ADC">
      <w:pPr>
        <w:pStyle w:val="9"/>
        <w:rPr>
          <w:sz w:val="72"/>
          <w:szCs w:val="72"/>
        </w:rPr>
      </w:pPr>
      <w:r>
        <w:drawing>
          <wp:inline distT="0" distB="0" distL="114300" distR="114300">
            <wp:extent cx="6638925" cy="9399905"/>
            <wp:effectExtent l="0" t="0" r="9525" b="10795"/>
            <wp:docPr id="2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4"/>
                    <pic:cNvPicPr>
                      <a:picLocks noChangeAspect="1"/>
                    </pic:cNvPicPr>
                  </pic:nvPicPr>
                  <pic:blipFill>
                    <a:blip r:embed="rId14"/>
                    <a:stretch>
                      <a:fillRect/>
                    </a:stretch>
                  </pic:blipFill>
                  <pic:spPr>
                    <a:xfrm>
                      <a:off x="0" y="0"/>
                      <a:ext cx="6638925" cy="9399905"/>
                    </a:xfrm>
                    <a:prstGeom prst="rect">
                      <a:avLst/>
                    </a:prstGeom>
                    <a:noFill/>
                    <a:ln>
                      <a:noFill/>
                    </a:ln>
                  </pic:spPr>
                </pic:pic>
              </a:graphicData>
            </a:graphic>
          </wp:inline>
        </w:drawing>
      </w:r>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Noto Music">
    <w:panose1 w:val="020B0502040504020204"/>
    <w:charset w:val="00"/>
    <w:family w:val="auto"/>
    <w:pitch w:val="default"/>
    <w:sig w:usb0="00000003" w:usb1="02006000" w:usb2="01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2229B"/>
    <w:rsid w:val="000273BD"/>
    <w:rsid w:val="00040CBC"/>
    <w:rsid w:val="000415B7"/>
    <w:rsid w:val="00041E3F"/>
    <w:rsid w:val="000443E1"/>
    <w:rsid w:val="00055DAA"/>
    <w:rsid w:val="00061F7B"/>
    <w:rsid w:val="000658A3"/>
    <w:rsid w:val="00074155"/>
    <w:rsid w:val="000A3F69"/>
    <w:rsid w:val="000C6167"/>
    <w:rsid w:val="00103957"/>
    <w:rsid w:val="00150363"/>
    <w:rsid w:val="00152C6D"/>
    <w:rsid w:val="00162D39"/>
    <w:rsid w:val="001678BD"/>
    <w:rsid w:val="00173FA5"/>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9566D"/>
    <w:rsid w:val="002E0A30"/>
    <w:rsid w:val="00302C38"/>
    <w:rsid w:val="003130C4"/>
    <w:rsid w:val="00316C4B"/>
    <w:rsid w:val="0032192B"/>
    <w:rsid w:val="003479BD"/>
    <w:rsid w:val="0037197D"/>
    <w:rsid w:val="003768D5"/>
    <w:rsid w:val="003926B9"/>
    <w:rsid w:val="003C47E6"/>
    <w:rsid w:val="003C4FC2"/>
    <w:rsid w:val="003F4103"/>
    <w:rsid w:val="00410400"/>
    <w:rsid w:val="00416E61"/>
    <w:rsid w:val="0042790C"/>
    <w:rsid w:val="004506F9"/>
    <w:rsid w:val="00465905"/>
    <w:rsid w:val="004717A2"/>
    <w:rsid w:val="00473DF3"/>
    <w:rsid w:val="00487911"/>
    <w:rsid w:val="00491741"/>
    <w:rsid w:val="004B0CEE"/>
    <w:rsid w:val="004C3F57"/>
    <w:rsid w:val="004F5A05"/>
    <w:rsid w:val="00500E5F"/>
    <w:rsid w:val="005122EF"/>
    <w:rsid w:val="0051441A"/>
    <w:rsid w:val="00517C33"/>
    <w:rsid w:val="00517D5F"/>
    <w:rsid w:val="00523644"/>
    <w:rsid w:val="0054069E"/>
    <w:rsid w:val="00544866"/>
    <w:rsid w:val="005767CC"/>
    <w:rsid w:val="00590D9F"/>
    <w:rsid w:val="00595D26"/>
    <w:rsid w:val="005A74E6"/>
    <w:rsid w:val="005B404E"/>
    <w:rsid w:val="005C7F19"/>
    <w:rsid w:val="005D4D55"/>
    <w:rsid w:val="005E2CFB"/>
    <w:rsid w:val="005F2103"/>
    <w:rsid w:val="005F3D1C"/>
    <w:rsid w:val="0062378F"/>
    <w:rsid w:val="00641842"/>
    <w:rsid w:val="006435AD"/>
    <w:rsid w:val="00651EEC"/>
    <w:rsid w:val="00671152"/>
    <w:rsid w:val="00686673"/>
    <w:rsid w:val="00691E8C"/>
    <w:rsid w:val="006A22C4"/>
    <w:rsid w:val="006A351B"/>
    <w:rsid w:val="006B0422"/>
    <w:rsid w:val="006C1B53"/>
    <w:rsid w:val="006C2087"/>
    <w:rsid w:val="006C4FAF"/>
    <w:rsid w:val="006D7730"/>
    <w:rsid w:val="006E5284"/>
    <w:rsid w:val="006E793D"/>
    <w:rsid w:val="006F3EB5"/>
    <w:rsid w:val="00702E34"/>
    <w:rsid w:val="00704395"/>
    <w:rsid w:val="00710FE7"/>
    <w:rsid w:val="00717621"/>
    <w:rsid w:val="00720FF1"/>
    <w:rsid w:val="00727A53"/>
    <w:rsid w:val="007642E9"/>
    <w:rsid w:val="00787B42"/>
    <w:rsid w:val="00790CE4"/>
    <w:rsid w:val="007C4539"/>
    <w:rsid w:val="007D3C67"/>
    <w:rsid w:val="007F3657"/>
    <w:rsid w:val="00812ED5"/>
    <w:rsid w:val="008277D9"/>
    <w:rsid w:val="0084478C"/>
    <w:rsid w:val="0086638C"/>
    <w:rsid w:val="008A3E8D"/>
    <w:rsid w:val="008C14A4"/>
    <w:rsid w:val="008C51CC"/>
    <w:rsid w:val="009237C4"/>
    <w:rsid w:val="00937E72"/>
    <w:rsid w:val="00944C48"/>
    <w:rsid w:val="00950022"/>
    <w:rsid w:val="00950252"/>
    <w:rsid w:val="00967F5D"/>
    <w:rsid w:val="00980D66"/>
    <w:rsid w:val="009A0F95"/>
    <w:rsid w:val="009B3ADF"/>
    <w:rsid w:val="009C3B52"/>
    <w:rsid w:val="009E6817"/>
    <w:rsid w:val="009E6E9A"/>
    <w:rsid w:val="00A01D2B"/>
    <w:rsid w:val="00A42218"/>
    <w:rsid w:val="00A70249"/>
    <w:rsid w:val="00A70B02"/>
    <w:rsid w:val="00A71D9F"/>
    <w:rsid w:val="00A92E9F"/>
    <w:rsid w:val="00AB18FF"/>
    <w:rsid w:val="00B3388C"/>
    <w:rsid w:val="00B33BEA"/>
    <w:rsid w:val="00B57C9F"/>
    <w:rsid w:val="00B6341F"/>
    <w:rsid w:val="00B63572"/>
    <w:rsid w:val="00B845B3"/>
    <w:rsid w:val="00B85D8B"/>
    <w:rsid w:val="00BB4A40"/>
    <w:rsid w:val="00BD6C3E"/>
    <w:rsid w:val="00BE3674"/>
    <w:rsid w:val="00C10681"/>
    <w:rsid w:val="00C3049A"/>
    <w:rsid w:val="00C31B1E"/>
    <w:rsid w:val="00C55FD5"/>
    <w:rsid w:val="00C77645"/>
    <w:rsid w:val="00CE04C3"/>
    <w:rsid w:val="00CE76A0"/>
    <w:rsid w:val="00D148C6"/>
    <w:rsid w:val="00D17A8A"/>
    <w:rsid w:val="00D415BA"/>
    <w:rsid w:val="00D63780"/>
    <w:rsid w:val="00D644EE"/>
    <w:rsid w:val="00DD06FF"/>
    <w:rsid w:val="00DD5FE9"/>
    <w:rsid w:val="00E00C7A"/>
    <w:rsid w:val="00E36A54"/>
    <w:rsid w:val="00E37D6C"/>
    <w:rsid w:val="00E55B68"/>
    <w:rsid w:val="00E561AE"/>
    <w:rsid w:val="00E609FA"/>
    <w:rsid w:val="00E67BE6"/>
    <w:rsid w:val="00E71336"/>
    <w:rsid w:val="00E8683C"/>
    <w:rsid w:val="00EA2B72"/>
    <w:rsid w:val="00F27995"/>
    <w:rsid w:val="00F46C89"/>
    <w:rsid w:val="00F74360"/>
    <w:rsid w:val="00F820A7"/>
    <w:rsid w:val="00FB462F"/>
    <w:rsid w:val="00FE16FA"/>
    <w:rsid w:val="00FE328A"/>
    <w:rsid w:val="00FE6269"/>
    <w:rsid w:val="00FF5CD6"/>
    <w:rsid w:val="03FFAE12"/>
    <w:rsid w:val="079F7A2D"/>
    <w:rsid w:val="07DFC68C"/>
    <w:rsid w:val="0FBBBE26"/>
    <w:rsid w:val="0FEB2525"/>
    <w:rsid w:val="1D97DEFF"/>
    <w:rsid w:val="1D9D7568"/>
    <w:rsid w:val="1DE4A31D"/>
    <w:rsid w:val="1DFF72E5"/>
    <w:rsid w:val="1EF5386D"/>
    <w:rsid w:val="1EFC6F07"/>
    <w:rsid w:val="1F796279"/>
    <w:rsid w:val="1F7BBD08"/>
    <w:rsid w:val="1FF7164F"/>
    <w:rsid w:val="1FFF8317"/>
    <w:rsid w:val="2DDF4B05"/>
    <w:rsid w:val="2EBF4721"/>
    <w:rsid w:val="2F3BAF4F"/>
    <w:rsid w:val="2F79DB98"/>
    <w:rsid w:val="2FAF67C2"/>
    <w:rsid w:val="2FDF85B8"/>
    <w:rsid w:val="2FFFEE04"/>
    <w:rsid w:val="33A6DD69"/>
    <w:rsid w:val="33A7CDDC"/>
    <w:rsid w:val="34DF85B0"/>
    <w:rsid w:val="34F79F63"/>
    <w:rsid w:val="35A50256"/>
    <w:rsid w:val="36AF225B"/>
    <w:rsid w:val="36DF1B45"/>
    <w:rsid w:val="371E34D3"/>
    <w:rsid w:val="373E8BA7"/>
    <w:rsid w:val="37EED69C"/>
    <w:rsid w:val="37FE07AF"/>
    <w:rsid w:val="3B1C979C"/>
    <w:rsid w:val="3B3D2313"/>
    <w:rsid w:val="3B8F36BC"/>
    <w:rsid w:val="3BE88FD7"/>
    <w:rsid w:val="3BF6B378"/>
    <w:rsid w:val="3DAE23FA"/>
    <w:rsid w:val="3DB6C48B"/>
    <w:rsid w:val="3DBE1870"/>
    <w:rsid w:val="3DDBDE10"/>
    <w:rsid w:val="3DFBABCB"/>
    <w:rsid w:val="3EA66CC9"/>
    <w:rsid w:val="3EF51887"/>
    <w:rsid w:val="3EFF6DDD"/>
    <w:rsid w:val="3F1788E7"/>
    <w:rsid w:val="3F5C959C"/>
    <w:rsid w:val="3FDF1BAC"/>
    <w:rsid w:val="491FF225"/>
    <w:rsid w:val="49EF150F"/>
    <w:rsid w:val="4FEB77E3"/>
    <w:rsid w:val="4FF6980B"/>
    <w:rsid w:val="4FFD214C"/>
    <w:rsid w:val="537D4B49"/>
    <w:rsid w:val="56279340"/>
    <w:rsid w:val="56B56D82"/>
    <w:rsid w:val="5777D4F5"/>
    <w:rsid w:val="577D47DC"/>
    <w:rsid w:val="595B2E93"/>
    <w:rsid w:val="59DD8326"/>
    <w:rsid w:val="5A7CB913"/>
    <w:rsid w:val="5D78A3C1"/>
    <w:rsid w:val="5DDD5FE5"/>
    <w:rsid w:val="5DEF592A"/>
    <w:rsid w:val="5DFD6A9C"/>
    <w:rsid w:val="5F662F95"/>
    <w:rsid w:val="5FB6FD21"/>
    <w:rsid w:val="5FC6BB1E"/>
    <w:rsid w:val="5FD3892E"/>
    <w:rsid w:val="5FDCA6E1"/>
    <w:rsid w:val="5FEE523D"/>
    <w:rsid w:val="5FF720F1"/>
    <w:rsid w:val="5FFD445B"/>
    <w:rsid w:val="5FFFC88C"/>
    <w:rsid w:val="62F26963"/>
    <w:rsid w:val="63FD2634"/>
    <w:rsid w:val="65FDC76C"/>
    <w:rsid w:val="6637BED8"/>
    <w:rsid w:val="66BED5F5"/>
    <w:rsid w:val="66FD7B6D"/>
    <w:rsid w:val="67AB88C0"/>
    <w:rsid w:val="67FB84DD"/>
    <w:rsid w:val="67FDF964"/>
    <w:rsid w:val="67FF5C0B"/>
    <w:rsid w:val="6A7691B0"/>
    <w:rsid w:val="6BE7ACFC"/>
    <w:rsid w:val="6C6E55A4"/>
    <w:rsid w:val="6DB6F6D6"/>
    <w:rsid w:val="6DDF683E"/>
    <w:rsid w:val="6DFFEFE0"/>
    <w:rsid w:val="6E3F319D"/>
    <w:rsid w:val="6EE7AF4E"/>
    <w:rsid w:val="6EFC0924"/>
    <w:rsid w:val="6F7B60DF"/>
    <w:rsid w:val="6FB74722"/>
    <w:rsid w:val="6FBF20F1"/>
    <w:rsid w:val="6FBFDD96"/>
    <w:rsid w:val="6FEF8B7E"/>
    <w:rsid w:val="6FEFFC26"/>
    <w:rsid w:val="6FFADC4E"/>
    <w:rsid w:val="6FFFE228"/>
    <w:rsid w:val="71A6591B"/>
    <w:rsid w:val="71D6CEE5"/>
    <w:rsid w:val="737D59BA"/>
    <w:rsid w:val="73E63369"/>
    <w:rsid w:val="73EDB087"/>
    <w:rsid w:val="73F961B4"/>
    <w:rsid w:val="75FF7B3F"/>
    <w:rsid w:val="75FFA276"/>
    <w:rsid w:val="76F56E64"/>
    <w:rsid w:val="7777CE89"/>
    <w:rsid w:val="777DAAEE"/>
    <w:rsid w:val="77AFE954"/>
    <w:rsid w:val="77C37683"/>
    <w:rsid w:val="77DC5DC0"/>
    <w:rsid w:val="77DF0E7C"/>
    <w:rsid w:val="77F7BB05"/>
    <w:rsid w:val="77FB6CCE"/>
    <w:rsid w:val="77FF5FB5"/>
    <w:rsid w:val="79AD50FF"/>
    <w:rsid w:val="79CBB99C"/>
    <w:rsid w:val="79ECE7BA"/>
    <w:rsid w:val="79FBBEE2"/>
    <w:rsid w:val="79FD1DD8"/>
    <w:rsid w:val="79FD494B"/>
    <w:rsid w:val="79FF515B"/>
    <w:rsid w:val="7AFEA208"/>
    <w:rsid w:val="7B9D6ABC"/>
    <w:rsid w:val="7BAF07F8"/>
    <w:rsid w:val="7BBF785B"/>
    <w:rsid w:val="7BFE25CC"/>
    <w:rsid w:val="7D053F9A"/>
    <w:rsid w:val="7D7D33AE"/>
    <w:rsid w:val="7D7D5FF0"/>
    <w:rsid w:val="7DEF48A1"/>
    <w:rsid w:val="7DF62D5A"/>
    <w:rsid w:val="7DFB28FA"/>
    <w:rsid w:val="7DFE8106"/>
    <w:rsid w:val="7E9E1962"/>
    <w:rsid w:val="7E9E60EC"/>
    <w:rsid w:val="7E9F11B4"/>
    <w:rsid w:val="7EB579F1"/>
    <w:rsid w:val="7EBB6C7D"/>
    <w:rsid w:val="7EF88393"/>
    <w:rsid w:val="7F1C1942"/>
    <w:rsid w:val="7F2FF895"/>
    <w:rsid w:val="7F37EC1E"/>
    <w:rsid w:val="7F3D2D7C"/>
    <w:rsid w:val="7F4EE752"/>
    <w:rsid w:val="7F4F7F5D"/>
    <w:rsid w:val="7F57D803"/>
    <w:rsid w:val="7F7DCD9D"/>
    <w:rsid w:val="7F970A6F"/>
    <w:rsid w:val="7F9EE015"/>
    <w:rsid w:val="7F9FDA1C"/>
    <w:rsid w:val="7FBB5695"/>
    <w:rsid w:val="7FBF35C3"/>
    <w:rsid w:val="7FBFBDB8"/>
    <w:rsid w:val="7FC1FFF3"/>
    <w:rsid w:val="7FC3BD67"/>
    <w:rsid w:val="7FC69637"/>
    <w:rsid w:val="7FC7AB6F"/>
    <w:rsid w:val="7FDB4A24"/>
    <w:rsid w:val="7FDDF63D"/>
    <w:rsid w:val="7FDE64A1"/>
    <w:rsid w:val="7FDF8620"/>
    <w:rsid w:val="7FDF978F"/>
    <w:rsid w:val="7FE3C2E9"/>
    <w:rsid w:val="7FE717FD"/>
    <w:rsid w:val="7FF3FD68"/>
    <w:rsid w:val="7FF75DA9"/>
    <w:rsid w:val="7FFB242F"/>
    <w:rsid w:val="7FFD9B42"/>
    <w:rsid w:val="7FFDB408"/>
    <w:rsid w:val="7FFE49D2"/>
    <w:rsid w:val="7FFE4EEB"/>
    <w:rsid w:val="7FFFB78E"/>
    <w:rsid w:val="83E70D71"/>
    <w:rsid w:val="8FFF0F78"/>
    <w:rsid w:val="93F65494"/>
    <w:rsid w:val="95F5F413"/>
    <w:rsid w:val="95FB2B98"/>
    <w:rsid w:val="97635ADE"/>
    <w:rsid w:val="97ADE3E2"/>
    <w:rsid w:val="9A639BC2"/>
    <w:rsid w:val="9BA55330"/>
    <w:rsid w:val="9BFABD84"/>
    <w:rsid w:val="9F7B9DB3"/>
    <w:rsid w:val="9F7F3200"/>
    <w:rsid w:val="9F9FA5D5"/>
    <w:rsid w:val="9FF5DE01"/>
    <w:rsid w:val="9FF7D786"/>
    <w:rsid w:val="A67DF639"/>
    <w:rsid w:val="A7BF7980"/>
    <w:rsid w:val="AB3DA5D7"/>
    <w:rsid w:val="ABBFB23D"/>
    <w:rsid w:val="AF7E8E1B"/>
    <w:rsid w:val="AFD8F876"/>
    <w:rsid w:val="AFEF7735"/>
    <w:rsid w:val="B4576AD2"/>
    <w:rsid w:val="B59F868E"/>
    <w:rsid w:val="B65F2C24"/>
    <w:rsid w:val="B7D39F64"/>
    <w:rsid w:val="B9FB344B"/>
    <w:rsid w:val="BAFBA3DD"/>
    <w:rsid w:val="BB5E22BB"/>
    <w:rsid w:val="BBEFE32C"/>
    <w:rsid w:val="BBFA9B5E"/>
    <w:rsid w:val="BC7F240D"/>
    <w:rsid w:val="BDDD0940"/>
    <w:rsid w:val="BDDF4B13"/>
    <w:rsid w:val="BDFFABCA"/>
    <w:rsid w:val="BEAB2A9E"/>
    <w:rsid w:val="BEB64EE1"/>
    <w:rsid w:val="BEFFE22E"/>
    <w:rsid w:val="BF6FF36D"/>
    <w:rsid w:val="BF895D3E"/>
    <w:rsid w:val="BFAF58F7"/>
    <w:rsid w:val="BFFE7243"/>
    <w:rsid w:val="BFFF357D"/>
    <w:rsid w:val="C3B4DA5A"/>
    <w:rsid w:val="C7BCCB13"/>
    <w:rsid w:val="CB56647C"/>
    <w:rsid w:val="CBF868DA"/>
    <w:rsid w:val="CBFF3D9F"/>
    <w:rsid w:val="CBFF70E0"/>
    <w:rsid w:val="CE5F044D"/>
    <w:rsid w:val="CFBB1ABC"/>
    <w:rsid w:val="CFF50B82"/>
    <w:rsid w:val="CFF7DAC0"/>
    <w:rsid w:val="CFFFAD89"/>
    <w:rsid w:val="D79E4358"/>
    <w:rsid w:val="D87DAAD5"/>
    <w:rsid w:val="D9FBBF9C"/>
    <w:rsid w:val="DA9A115C"/>
    <w:rsid w:val="DBE51C66"/>
    <w:rsid w:val="DBF25BF2"/>
    <w:rsid w:val="DBF322B9"/>
    <w:rsid w:val="DBFF0116"/>
    <w:rsid w:val="DF2B1FAF"/>
    <w:rsid w:val="DFAF4A73"/>
    <w:rsid w:val="DFDA3472"/>
    <w:rsid w:val="DFEF9DE0"/>
    <w:rsid w:val="DFF748C1"/>
    <w:rsid w:val="DFFE359E"/>
    <w:rsid w:val="DFFE4FFD"/>
    <w:rsid w:val="DFFF5C95"/>
    <w:rsid w:val="DFFF8660"/>
    <w:rsid w:val="E37783F0"/>
    <w:rsid w:val="E57FA5B1"/>
    <w:rsid w:val="E5C9EC1D"/>
    <w:rsid w:val="E6FD0194"/>
    <w:rsid w:val="E7EB73E1"/>
    <w:rsid w:val="E7FE6AD7"/>
    <w:rsid w:val="EBE154C1"/>
    <w:rsid w:val="ECE31073"/>
    <w:rsid w:val="EDCF32E9"/>
    <w:rsid w:val="EDDF6674"/>
    <w:rsid w:val="EEABED75"/>
    <w:rsid w:val="EF3B511F"/>
    <w:rsid w:val="EF87C589"/>
    <w:rsid w:val="EFBF1F6B"/>
    <w:rsid w:val="EFF66F78"/>
    <w:rsid w:val="EFF71382"/>
    <w:rsid w:val="F1F7E36D"/>
    <w:rsid w:val="F2DE8EFE"/>
    <w:rsid w:val="F3BFAD9F"/>
    <w:rsid w:val="F3FF72CF"/>
    <w:rsid w:val="F56FDF51"/>
    <w:rsid w:val="F57348C7"/>
    <w:rsid w:val="F59E65DA"/>
    <w:rsid w:val="F5CA4E6A"/>
    <w:rsid w:val="F5FF3572"/>
    <w:rsid w:val="F6B69F17"/>
    <w:rsid w:val="F6DBF6EA"/>
    <w:rsid w:val="F6DFEE81"/>
    <w:rsid w:val="F6FE8B78"/>
    <w:rsid w:val="F73FF432"/>
    <w:rsid w:val="F7472A7D"/>
    <w:rsid w:val="F76F741F"/>
    <w:rsid w:val="F77F1D61"/>
    <w:rsid w:val="F7AD4BE1"/>
    <w:rsid w:val="F7B73182"/>
    <w:rsid w:val="F7BF658A"/>
    <w:rsid w:val="F7F91857"/>
    <w:rsid w:val="F7FED3A9"/>
    <w:rsid w:val="F87FE4C0"/>
    <w:rsid w:val="F8C9DB26"/>
    <w:rsid w:val="F97E8EAE"/>
    <w:rsid w:val="F9BB0D27"/>
    <w:rsid w:val="FAFF0FCB"/>
    <w:rsid w:val="FB36E1A6"/>
    <w:rsid w:val="FB3BE134"/>
    <w:rsid w:val="FB7F0CEE"/>
    <w:rsid w:val="FB9C6CDC"/>
    <w:rsid w:val="FBA8B0B4"/>
    <w:rsid w:val="FBCD4138"/>
    <w:rsid w:val="FBDDF5C0"/>
    <w:rsid w:val="FBE74AA6"/>
    <w:rsid w:val="FBEC799E"/>
    <w:rsid w:val="FBEF3C56"/>
    <w:rsid w:val="FBFB4438"/>
    <w:rsid w:val="FBFDF3FD"/>
    <w:rsid w:val="FCE51A82"/>
    <w:rsid w:val="FCE7CE65"/>
    <w:rsid w:val="FCFF4275"/>
    <w:rsid w:val="FD137091"/>
    <w:rsid w:val="FD5C551D"/>
    <w:rsid w:val="FD6F8B59"/>
    <w:rsid w:val="FD758372"/>
    <w:rsid w:val="FD7FEEEA"/>
    <w:rsid w:val="FDB9E947"/>
    <w:rsid w:val="FDD772FA"/>
    <w:rsid w:val="FDDF1E06"/>
    <w:rsid w:val="FDE97520"/>
    <w:rsid w:val="FDF74758"/>
    <w:rsid w:val="FDFFB577"/>
    <w:rsid w:val="FDFFCA5E"/>
    <w:rsid w:val="FDFFFB66"/>
    <w:rsid w:val="FE5FB90A"/>
    <w:rsid w:val="FEBBD211"/>
    <w:rsid w:val="FEEA50FE"/>
    <w:rsid w:val="FEEF91EE"/>
    <w:rsid w:val="FEF699DF"/>
    <w:rsid w:val="FEFA48D2"/>
    <w:rsid w:val="FF232C7C"/>
    <w:rsid w:val="FF253BEB"/>
    <w:rsid w:val="FF679CF3"/>
    <w:rsid w:val="FF77F127"/>
    <w:rsid w:val="FF7CF1E0"/>
    <w:rsid w:val="FF7D47A9"/>
    <w:rsid w:val="FF7F6F4F"/>
    <w:rsid w:val="FF8ED138"/>
    <w:rsid w:val="FFBC22D0"/>
    <w:rsid w:val="FFBF5419"/>
    <w:rsid w:val="FFBF75EE"/>
    <w:rsid w:val="FFCD06A4"/>
    <w:rsid w:val="FFCF21CB"/>
    <w:rsid w:val="FFD63096"/>
    <w:rsid w:val="FFDBC055"/>
    <w:rsid w:val="FFEB4030"/>
    <w:rsid w:val="FFEF37FF"/>
    <w:rsid w:val="FFFB4531"/>
    <w:rsid w:val="FFFF1C8B"/>
    <w:rsid w:val="FFFFA3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Body Text Indent"/>
    <w:basedOn w:val="1"/>
    <w:next w:val="4"/>
    <w:unhideWhenUsed/>
    <w:qFormat/>
    <w:uiPriority w:val="99"/>
    <w:pPr>
      <w:widowControl/>
      <w:spacing w:after="120"/>
      <w:ind w:left="420" w:leftChars="200"/>
      <w:jc w:val="left"/>
    </w:pPr>
    <w:rPr>
      <w:rFonts w:ascii="宋体" w:hAnsi="宋体" w:eastAsia="宋体" w:cs="宋体"/>
      <w:kern w:val="0"/>
      <w:sz w:val="24"/>
    </w:rPr>
  </w:style>
  <w:style w:type="paragraph" w:styleId="4">
    <w:name w:val="Body Text First Indent 2"/>
    <w:basedOn w:val="3"/>
    <w:next w:val="1"/>
    <w:unhideWhenUsed/>
    <w:qFormat/>
    <w:uiPriority w:val="99"/>
    <w:pPr>
      <w:ind w:firstLine="420" w:firstLineChars="200"/>
    </w:pPr>
  </w:style>
  <w:style w:type="paragraph" w:styleId="5">
    <w:name w:val="Balloon Text"/>
    <w:basedOn w:val="1"/>
    <w:link w:val="18"/>
    <w:semiHidden/>
    <w:unhideWhenUsed/>
    <w:qFormat/>
    <w:uiPriority w:val="99"/>
    <w:rPr>
      <w:sz w:val="18"/>
      <w:szCs w:val="18"/>
    </w:rPr>
  </w:style>
  <w:style w:type="paragraph" w:styleId="6">
    <w:name w:val="footer"/>
    <w:basedOn w:val="1"/>
    <w:link w:val="15"/>
    <w:unhideWhenUsed/>
    <w:qFormat/>
    <w:uiPriority w:val="99"/>
    <w:pPr>
      <w:tabs>
        <w:tab w:val="center" w:pos="4153"/>
        <w:tab w:val="right" w:pos="8306"/>
      </w:tabs>
      <w:snapToGrid w:val="0"/>
      <w:jc w:val="left"/>
    </w:pPr>
    <w:rPr>
      <w:sz w:val="18"/>
      <w:szCs w:val="18"/>
    </w:rPr>
  </w:style>
  <w:style w:type="paragraph" w:styleId="7">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next w:val="4"/>
    <w:semiHidden/>
    <w:qFormat/>
    <w:uiPriority w:val="0"/>
    <w:pPr>
      <w:snapToGrid w:val="0"/>
      <w:jc w:val="left"/>
    </w:pPr>
    <w:rPr>
      <w:sz w:val="18"/>
      <w:szCs w:val="18"/>
    </w:rPr>
  </w:style>
  <w:style w:type="paragraph" w:styleId="9">
    <w:name w:val="Normal (Web)"/>
    <w:basedOn w:val="1"/>
    <w:link w:val="24"/>
    <w:qFormat/>
    <w:uiPriority w:val="0"/>
    <w:pPr>
      <w:spacing w:beforeAutospacing="1" w:afterAutospacing="1"/>
      <w:jc w:val="left"/>
    </w:pPr>
  </w:style>
  <w:style w:type="character" w:styleId="12">
    <w:name w:val="Strong"/>
    <w:basedOn w:val="11"/>
    <w:qFormat/>
    <w:uiPriority w:val="0"/>
    <w:rPr>
      <w:b/>
    </w:rPr>
  </w:style>
  <w:style w:type="paragraph" w:customStyle="1" w:styleId="13">
    <w:name w:val="UserStyle_0"/>
    <w:basedOn w:val="1"/>
    <w:qFormat/>
    <w:uiPriority w:val="0"/>
    <w:pPr>
      <w:spacing w:after="120" w:afterLines="0"/>
      <w:textAlignment w:val="baseline"/>
    </w:pPr>
    <w:rPr>
      <w:rFonts w:ascii="Times New Roman" w:hAnsi="Times New Roman" w:eastAsia="宋体" w:cs="Times New Roman"/>
    </w:rPr>
  </w:style>
  <w:style w:type="character" w:customStyle="1" w:styleId="14">
    <w:name w:val="页眉 字符"/>
    <w:basedOn w:val="11"/>
    <w:link w:val="7"/>
    <w:qFormat/>
    <w:uiPriority w:val="99"/>
    <w:rPr>
      <w:sz w:val="18"/>
      <w:szCs w:val="18"/>
    </w:rPr>
  </w:style>
  <w:style w:type="character" w:customStyle="1" w:styleId="15">
    <w:name w:val="页脚 字符"/>
    <w:basedOn w:val="11"/>
    <w:link w:val="6"/>
    <w:qFormat/>
    <w:uiPriority w:val="99"/>
    <w:rPr>
      <w:sz w:val="18"/>
      <w:szCs w:val="18"/>
    </w:rPr>
  </w:style>
  <w:style w:type="paragraph" w:customStyle="1" w:styleId="16">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7">
    <w:name w:val="List Paragraph"/>
    <w:basedOn w:val="1"/>
    <w:qFormat/>
    <w:uiPriority w:val="34"/>
    <w:pPr>
      <w:ind w:firstLine="420" w:firstLineChars="200"/>
    </w:pPr>
  </w:style>
  <w:style w:type="character" w:customStyle="1" w:styleId="18">
    <w:name w:val="批注框文本 字符"/>
    <w:basedOn w:val="11"/>
    <w:link w:val="5"/>
    <w:semiHidden/>
    <w:qFormat/>
    <w:uiPriority w:val="99"/>
    <w:rPr>
      <w:sz w:val="18"/>
      <w:szCs w:val="18"/>
    </w:rPr>
  </w:style>
  <w:style w:type="character" w:customStyle="1" w:styleId="19">
    <w:name w:val="font01"/>
    <w:basedOn w:val="11"/>
    <w:qFormat/>
    <w:uiPriority w:val="0"/>
    <w:rPr>
      <w:rFonts w:hint="eastAsia" w:ascii="宋体" w:hAnsi="宋体" w:eastAsia="宋体" w:cs="宋体"/>
      <w:color w:val="000000"/>
      <w:sz w:val="22"/>
      <w:szCs w:val="22"/>
      <w:u w:val="none"/>
    </w:rPr>
  </w:style>
  <w:style w:type="character" w:customStyle="1" w:styleId="20">
    <w:name w:val="font21"/>
    <w:basedOn w:val="11"/>
    <w:qFormat/>
    <w:uiPriority w:val="0"/>
    <w:rPr>
      <w:rFonts w:hint="eastAsia" w:ascii="宋体" w:hAnsi="宋体" w:eastAsia="宋体" w:cs="宋体"/>
      <w:color w:val="000000"/>
      <w:sz w:val="24"/>
      <w:szCs w:val="24"/>
      <w:u w:val="none"/>
    </w:rPr>
  </w:style>
  <w:style w:type="character" w:customStyle="1" w:styleId="21">
    <w:name w:val="font11"/>
    <w:basedOn w:val="11"/>
    <w:qFormat/>
    <w:uiPriority w:val="0"/>
    <w:rPr>
      <w:rFonts w:hint="eastAsia" w:ascii="宋体" w:hAnsi="宋体" w:eastAsia="宋体" w:cs="宋体"/>
      <w:color w:val="000000"/>
      <w:sz w:val="24"/>
      <w:szCs w:val="24"/>
      <w:u w:val="none"/>
    </w:rPr>
  </w:style>
  <w:style w:type="paragraph" w:customStyle="1" w:styleId="22">
    <w:name w:val="正文2"/>
    <w:basedOn w:val="9"/>
    <w:link w:val="23"/>
    <w:qFormat/>
    <w:uiPriority w:val="0"/>
    <w:pPr>
      <w:spacing w:beforeAutospacing="0" w:afterAutospacing="0" w:line="440" w:lineRule="exact"/>
      <w:ind w:firstLine="200"/>
      <w:jc w:val="both"/>
    </w:pPr>
  </w:style>
  <w:style w:type="character" w:customStyle="1" w:styleId="23">
    <w:name w:val="正文2 字符"/>
    <w:basedOn w:val="24"/>
    <w:link w:val="22"/>
    <w:qFormat/>
    <w:uiPriority w:val="0"/>
  </w:style>
  <w:style w:type="character" w:customStyle="1" w:styleId="24">
    <w:name w:val="普通(网站) 字符"/>
    <w:basedOn w:val="11"/>
    <w:link w:val="9"/>
    <w:qFormat/>
    <w:uiPriority w:val="0"/>
  </w:style>
  <w:style w:type="paragraph" w:customStyle="1" w:styleId="25">
    <w:name w:val="列出段落"/>
    <w:basedOn w:val="1"/>
    <w:qFormat/>
    <w:uiPriority w:val="0"/>
    <w:pPr>
      <w:widowControl w:val="0"/>
      <w:spacing w:line="240" w:lineRule="auto"/>
      <w:ind w:firstLine="200"/>
    </w:pPr>
    <w:rPr>
      <w:rFonts w:ascii="Calibri" w:hAnsi="Calibri" w:eastAsia="宋体"/>
      <w:sz w:val="21"/>
      <w:szCs w:val="22"/>
    </w:rPr>
  </w:style>
  <w:style w:type="paragraph" w:customStyle="1" w:styleId="26">
    <w:name w:val="正文表格内"/>
    <w:basedOn w:val="1"/>
    <w:qFormat/>
    <w:uiPriority w:val="0"/>
    <w:pPr>
      <w:spacing w:line="440" w:lineRule="exact"/>
      <w:ind w:firstLine="0" w:firstLineChars="0"/>
      <w:jc w:val="center"/>
    </w:pPr>
    <w:rPr>
      <w:sz w:val="21"/>
      <w:szCs w:val="21"/>
    </w:rPr>
  </w:style>
  <w:style w:type="paragraph" w:customStyle="1" w:styleId="27">
    <w:name w:val="正文表格"/>
    <w:basedOn w:val="26"/>
    <w:qFormat/>
    <w:uiPriority w:val="0"/>
    <w:pPr>
      <w:jc w:val="both"/>
    </w:p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30</Pages>
  <Words>738</Words>
  <Characters>4207</Characters>
  <Lines>35</Lines>
  <Paragraphs>9</Paragraphs>
  <TotalTime>1</TotalTime>
  <ScaleCrop>false</ScaleCrop>
  <LinksUpToDate>false</LinksUpToDate>
  <CharactersWithSpaces>4936</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2020-07-12T18:32:00Z</dcterms:created>
  <dc:creator>李航 null</dc:creator>
  <cp:lastModifiedBy>A梦</cp:lastModifiedBy>
  <cp:lastPrinted>2024-08-13T02:20:00Z</cp:lastPrinted>
  <dcterms:modified xsi:type="dcterms:W3CDTF">2026-10-15T17:36:11Z</dcterms:modified>
  <cp:revision>98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BCEB5A4035F72555F138C2685D3EC037_42</vt:lpwstr>
  </property>
</Properties>
</file>