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0388B2">
      <w:pPr>
        <w:pStyle w:val="16"/>
        <w:jc w:val="center"/>
        <w:rPr>
          <w:sz w:val="56"/>
          <w:szCs w:val="56"/>
        </w:rPr>
      </w:pPr>
      <w:r>
        <w:rPr>
          <w:sz w:val="56"/>
        </w:rPr>
        <mc:AlternateContent>
          <mc:Choice Requires="wps">
            <w:drawing>
              <wp:anchor distT="0" distB="0" distL="114300" distR="114300" simplePos="0" relativeHeight="251659264" behindDoc="0" locked="0" layoutInCell="1" allowOverlap="1">
                <wp:simplePos x="0" y="0"/>
                <wp:positionH relativeFrom="column">
                  <wp:posOffset>-236220</wp:posOffset>
                </wp:positionH>
                <wp:positionV relativeFrom="paragraph">
                  <wp:posOffset>-297180</wp:posOffset>
                </wp:positionV>
                <wp:extent cx="1523365" cy="517525"/>
                <wp:effectExtent l="0" t="0" r="635" b="15875"/>
                <wp:wrapNone/>
                <wp:docPr id="1" name="文本框 1"/>
                <wp:cNvGraphicFramePr/>
                <a:graphic xmlns:a="http://schemas.openxmlformats.org/drawingml/2006/main">
                  <a:graphicData uri="http://schemas.microsoft.com/office/word/2010/wordprocessingShape">
                    <wps:wsp>
                      <wps:cNvSpPr txBox="1"/>
                      <wps:spPr>
                        <a:xfrm>
                          <a:off x="1799590" y="935990"/>
                          <a:ext cx="1523365" cy="5175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4B7B0FD">
                            <w:pPr>
                              <w:rPr>
                                <w:rFonts w:ascii="楷体" w:hAnsi="楷体" w:eastAsia="楷体" w:cs="楷体"/>
                                <w:sz w:val="30"/>
                                <w:szCs w:val="30"/>
                              </w:rPr>
                            </w:pPr>
                            <w:r>
                              <w:rPr>
                                <w:rFonts w:hint="eastAsia" w:ascii="楷体" w:hAnsi="楷体" w:eastAsia="楷体" w:cs="楷体"/>
                                <w:sz w:val="30"/>
                                <w:szCs w:val="30"/>
                              </w:rPr>
                              <w:t>附件1：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pt;margin-top:-23.4pt;height:40.75pt;width:119.95pt;z-index:251659264;mso-width-relative:page;mso-height-relative:page;" fillcolor="#FFFFFF [3201]" filled="t" stroked="f" coordsize="21600,21600" o:gfxdata="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cvAmUNYAAAAK&#10;AQAADwAAAAAAAAABACAAAAAiAAAAZHJzL2Rvd25yZXYueG1sUEsBAhQAFAAAAAgAh07iQEe/k8dX&#10;AgAAmgQAAA4AAAAAAAAAAQAgAAAAJQEAAGRycy9lMm9Eb2MueG1sUEsFBgAAAAAGAAYAWQEAAO4F&#10;AAAAAA==&#10;">
                <v:fill on="t" focussize="0,0"/>
                <v:stroke on="f" weight="0.5pt"/>
                <v:imagedata o:title=""/>
                <o:lock v:ext="edit" aspectratio="f"/>
                <v:textbox>
                  <w:txbxContent>
                    <w:p w14:paraId="04B7B0FD">
                      <w:pPr>
                        <w:rPr>
                          <w:rFonts w:ascii="楷体" w:hAnsi="楷体" w:eastAsia="楷体" w:cs="楷体"/>
                          <w:sz w:val="30"/>
                          <w:szCs w:val="30"/>
                        </w:rPr>
                      </w:pPr>
                      <w:r>
                        <w:rPr>
                          <w:rFonts w:hint="eastAsia" w:ascii="楷体" w:hAnsi="楷体" w:eastAsia="楷体" w:cs="楷体"/>
                          <w:sz w:val="30"/>
                          <w:szCs w:val="30"/>
                        </w:rPr>
                        <w:t>附件1：</w:t>
                      </w:r>
                    </w:p>
                  </w:txbxContent>
                </v:textbox>
              </v:shape>
            </w:pict>
          </mc:Fallback>
        </mc:AlternateContent>
      </w:r>
    </w:p>
    <w:p w14:paraId="79D8C33B">
      <w:pPr>
        <w:pStyle w:val="16"/>
        <w:jc w:val="center"/>
        <w:rPr>
          <w:sz w:val="56"/>
          <w:szCs w:val="56"/>
        </w:rPr>
      </w:pPr>
    </w:p>
    <w:p w14:paraId="584C1EC2">
      <w:pPr>
        <w:pStyle w:val="16"/>
        <w:jc w:val="center"/>
        <w:rPr>
          <w:sz w:val="84"/>
          <w:szCs w:val="84"/>
        </w:rPr>
      </w:pPr>
    </w:p>
    <w:p w14:paraId="3DE07D5D">
      <w:pPr>
        <w:pStyle w:val="16"/>
        <w:jc w:val="center"/>
        <w:rPr>
          <w:sz w:val="84"/>
          <w:szCs w:val="84"/>
        </w:rPr>
      </w:pPr>
    </w:p>
    <w:p w14:paraId="648F609F">
      <w:pPr>
        <w:pStyle w:val="16"/>
        <w:jc w:val="center"/>
        <w:rPr>
          <w:rFonts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202</w:t>
      </w:r>
      <w:r>
        <w:rPr>
          <w:rFonts w:hint="eastAsia" w:ascii="方正小标宋_GBK" w:hAnsi="方正小标宋_GBK" w:eastAsia="方正小标宋_GBK" w:cs="方正小标宋_GBK"/>
          <w:sz w:val="72"/>
          <w:szCs w:val="72"/>
          <w:lang w:val="en-US" w:eastAsia="zh-CN"/>
        </w:rPr>
        <w:t>4</w:t>
      </w:r>
      <w:r>
        <w:rPr>
          <w:rFonts w:hint="eastAsia" w:ascii="方正小标宋_GBK" w:hAnsi="方正小标宋_GBK" w:eastAsia="方正小标宋_GBK" w:cs="方正小标宋_GBK"/>
          <w:sz w:val="72"/>
          <w:szCs w:val="72"/>
        </w:rPr>
        <w:t>年度</w:t>
      </w:r>
    </w:p>
    <w:p w14:paraId="70030B76">
      <w:pPr>
        <w:pStyle w:val="16"/>
        <w:jc w:val="center"/>
        <w:rPr>
          <w:rFonts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怀化市文学艺术界联合会</w:t>
      </w:r>
    </w:p>
    <w:p w14:paraId="50F584A8">
      <w:pPr>
        <w:pStyle w:val="16"/>
        <w:jc w:val="center"/>
        <w:rPr>
          <w:rFonts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部门决算</w:t>
      </w:r>
    </w:p>
    <w:p w14:paraId="24198C82">
      <w:pPr>
        <w:pStyle w:val="16"/>
        <w:jc w:val="center"/>
        <w:rPr>
          <w:rFonts w:ascii="方正小标宋_GBK" w:hAnsi="方正小标宋_GBK" w:eastAsia="方正小标宋_GBK" w:cs="方正小标宋_GBK"/>
          <w:sz w:val="56"/>
          <w:szCs w:val="56"/>
        </w:rPr>
      </w:pPr>
    </w:p>
    <w:p w14:paraId="6F87BD64">
      <w:pPr>
        <w:pStyle w:val="16"/>
        <w:jc w:val="center"/>
        <w:rPr>
          <w:sz w:val="56"/>
          <w:szCs w:val="56"/>
        </w:rPr>
      </w:pPr>
    </w:p>
    <w:p w14:paraId="07466CBE">
      <w:pPr>
        <w:pStyle w:val="16"/>
        <w:jc w:val="center"/>
        <w:rPr>
          <w:sz w:val="56"/>
          <w:szCs w:val="56"/>
        </w:rPr>
      </w:pPr>
    </w:p>
    <w:p w14:paraId="10AF6468">
      <w:pPr>
        <w:pStyle w:val="16"/>
        <w:jc w:val="center"/>
        <w:rPr>
          <w:sz w:val="56"/>
          <w:szCs w:val="56"/>
        </w:rPr>
      </w:pPr>
    </w:p>
    <w:p w14:paraId="6875B4EA">
      <w:pPr>
        <w:pStyle w:val="16"/>
        <w:jc w:val="center"/>
        <w:rPr>
          <w:sz w:val="32"/>
          <w:szCs w:val="32"/>
        </w:rPr>
      </w:pPr>
    </w:p>
    <w:p w14:paraId="5864B1C9">
      <w:pPr>
        <w:pStyle w:val="16"/>
        <w:jc w:val="center"/>
        <w:rPr>
          <w:sz w:val="32"/>
          <w:szCs w:val="32"/>
        </w:rPr>
      </w:pPr>
    </w:p>
    <w:p w14:paraId="3750460B">
      <w:pPr>
        <w:pStyle w:val="16"/>
        <w:jc w:val="center"/>
        <w:rPr>
          <w:sz w:val="32"/>
          <w:szCs w:val="32"/>
        </w:rPr>
      </w:pPr>
    </w:p>
    <w:p w14:paraId="52E09387">
      <w:pPr>
        <w:pStyle w:val="16"/>
        <w:jc w:val="center"/>
        <w:rPr>
          <w:sz w:val="32"/>
          <w:szCs w:val="32"/>
        </w:rPr>
      </w:pPr>
    </w:p>
    <w:p w14:paraId="5F1AB037">
      <w:pPr>
        <w:pStyle w:val="16"/>
        <w:jc w:val="center"/>
        <w:rPr>
          <w:sz w:val="32"/>
          <w:szCs w:val="32"/>
        </w:rPr>
      </w:pPr>
    </w:p>
    <w:p w14:paraId="3B753A04">
      <w:pPr>
        <w:pStyle w:val="16"/>
        <w:spacing w:line="540" w:lineRule="exact"/>
        <w:jc w:val="center"/>
        <w:rPr>
          <w:sz w:val="56"/>
          <w:szCs w:val="56"/>
        </w:rPr>
      </w:pPr>
    </w:p>
    <w:p w14:paraId="700E9BE4">
      <w:pPr>
        <w:pStyle w:val="16"/>
        <w:spacing w:line="500" w:lineRule="exact"/>
        <w:jc w:val="center"/>
        <w:rPr>
          <w:b/>
          <w:sz w:val="36"/>
          <w:szCs w:val="28"/>
        </w:rPr>
      </w:pPr>
      <w:r>
        <w:rPr>
          <w:rFonts w:hint="eastAsia"/>
          <w:b/>
          <w:sz w:val="36"/>
          <w:szCs w:val="28"/>
        </w:rPr>
        <w:t>目录</w:t>
      </w:r>
    </w:p>
    <w:p w14:paraId="1D777514">
      <w:pPr>
        <w:pStyle w:val="16"/>
        <w:spacing w:line="500" w:lineRule="exact"/>
        <w:rPr>
          <w:rFonts w:hAnsi="黑体"/>
          <w:bCs/>
          <w:sz w:val="28"/>
          <w:szCs w:val="28"/>
        </w:rPr>
      </w:pPr>
      <w:r>
        <w:rPr>
          <w:rFonts w:hint="eastAsia" w:hAnsi="黑体"/>
          <w:bCs/>
          <w:sz w:val="28"/>
          <w:szCs w:val="28"/>
        </w:rPr>
        <w:t>第一部分 怀化市文学艺术界联合会概况</w:t>
      </w:r>
    </w:p>
    <w:p w14:paraId="41020476">
      <w:pPr>
        <w:pStyle w:val="16"/>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一、部门职责</w:t>
      </w:r>
    </w:p>
    <w:p w14:paraId="41B2642D">
      <w:pPr>
        <w:pStyle w:val="16"/>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二、机构设置</w:t>
      </w:r>
    </w:p>
    <w:p w14:paraId="50009E9D">
      <w:pPr>
        <w:pStyle w:val="16"/>
        <w:spacing w:line="500" w:lineRule="exact"/>
        <w:rPr>
          <w:rFonts w:hAnsi="黑体"/>
          <w:bCs/>
          <w:sz w:val="28"/>
          <w:szCs w:val="28"/>
        </w:rPr>
      </w:pPr>
      <w:r>
        <w:rPr>
          <w:rFonts w:hint="eastAsia" w:hAnsi="黑体"/>
          <w:bCs/>
          <w:sz w:val="28"/>
          <w:szCs w:val="28"/>
        </w:rPr>
        <w:t>第二部分 部门决算表</w:t>
      </w:r>
    </w:p>
    <w:p w14:paraId="4771E003">
      <w:pPr>
        <w:pStyle w:val="16"/>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一、收入支出决算总表</w:t>
      </w:r>
    </w:p>
    <w:p w14:paraId="14D64A61">
      <w:pPr>
        <w:pStyle w:val="16"/>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二、收入决算表</w:t>
      </w:r>
    </w:p>
    <w:p w14:paraId="65F116E4">
      <w:pPr>
        <w:pStyle w:val="16"/>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三、支出决算表</w:t>
      </w:r>
    </w:p>
    <w:p w14:paraId="24F41025">
      <w:pPr>
        <w:pStyle w:val="16"/>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四、财政拨款收入支出决算总表</w:t>
      </w:r>
    </w:p>
    <w:p w14:paraId="23867C15">
      <w:pPr>
        <w:pStyle w:val="16"/>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五、一般公共预算财政拨款支出决算表</w:t>
      </w:r>
    </w:p>
    <w:p w14:paraId="6239FA00">
      <w:pPr>
        <w:pStyle w:val="16"/>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六、一般公共预算财政拨款基本支出决算明细表</w:t>
      </w:r>
    </w:p>
    <w:p w14:paraId="034F5EC0">
      <w:pPr>
        <w:pStyle w:val="16"/>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七、政府性基金预算财政拨款收入支出决算表</w:t>
      </w:r>
    </w:p>
    <w:p w14:paraId="15AF8A16">
      <w:pPr>
        <w:pStyle w:val="16"/>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八、国有资本经营预算财政拨款支出决算表</w:t>
      </w:r>
    </w:p>
    <w:p w14:paraId="437D336A">
      <w:pPr>
        <w:pStyle w:val="16"/>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九、财政拨款“三公”经费支出决算表</w:t>
      </w:r>
    </w:p>
    <w:p w14:paraId="451AF11C">
      <w:pPr>
        <w:pStyle w:val="16"/>
        <w:spacing w:line="500" w:lineRule="exact"/>
        <w:rPr>
          <w:rFonts w:hAnsi="黑体"/>
          <w:bCs/>
          <w:sz w:val="28"/>
          <w:szCs w:val="28"/>
        </w:rPr>
      </w:pPr>
      <w:r>
        <w:rPr>
          <w:rFonts w:hint="eastAsia" w:hAnsi="黑体"/>
          <w:bCs/>
          <w:sz w:val="28"/>
          <w:szCs w:val="28"/>
        </w:rPr>
        <w:t>第三部分 部门决算情况说明</w:t>
      </w:r>
    </w:p>
    <w:p w14:paraId="4E54DD40">
      <w:pPr>
        <w:pStyle w:val="16"/>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一、收入支出决算总体情况说明</w:t>
      </w:r>
    </w:p>
    <w:p w14:paraId="0748A463">
      <w:pPr>
        <w:spacing w:line="500" w:lineRule="exact"/>
        <w:ind w:firstLine="700" w:firstLineChars="25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二、收入决算情况说明</w:t>
      </w:r>
    </w:p>
    <w:p w14:paraId="1025ED95">
      <w:pPr>
        <w:autoSpaceDE w:val="0"/>
        <w:autoSpaceDN w:val="0"/>
        <w:adjustRightInd w:val="0"/>
        <w:spacing w:line="500" w:lineRule="exact"/>
        <w:ind w:firstLine="700" w:firstLineChars="25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三、支出决算情况说明</w:t>
      </w:r>
    </w:p>
    <w:p w14:paraId="759D9F56">
      <w:pPr>
        <w:autoSpaceDE w:val="0"/>
        <w:autoSpaceDN w:val="0"/>
        <w:adjustRightInd w:val="0"/>
        <w:spacing w:line="500" w:lineRule="exact"/>
        <w:ind w:firstLine="700" w:firstLineChars="25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四、财政拨款收入支出决算总体情况说明</w:t>
      </w:r>
    </w:p>
    <w:p w14:paraId="40D61B88">
      <w:pPr>
        <w:autoSpaceDE w:val="0"/>
        <w:autoSpaceDN w:val="0"/>
        <w:adjustRightInd w:val="0"/>
        <w:spacing w:line="500" w:lineRule="exact"/>
        <w:ind w:firstLine="700" w:firstLineChars="25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五、一般公共预算财政拨款支出决算情况说明</w:t>
      </w:r>
    </w:p>
    <w:p w14:paraId="348E1625">
      <w:pPr>
        <w:autoSpaceDE w:val="0"/>
        <w:autoSpaceDN w:val="0"/>
        <w:adjustRightInd w:val="0"/>
        <w:spacing w:line="500" w:lineRule="exact"/>
        <w:ind w:firstLine="700" w:firstLineChars="25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六、一般公共预算财政拨款基本支出决算情况说明</w:t>
      </w:r>
    </w:p>
    <w:p w14:paraId="0BDE55C5">
      <w:pPr>
        <w:autoSpaceDE w:val="0"/>
        <w:autoSpaceDN w:val="0"/>
        <w:adjustRightInd w:val="0"/>
        <w:spacing w:line="500" w:lineRule="exact"/>
        <w:ind w:firstLine="700" w:firstLineChars="25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七、财政拨款三公经费支出决算情况说明</w:t>
      </w:r>
    </w:p>
    <w:p w14:paraId="509B54AE">
      <w:pPr>
        <w:autoSpaceDE w:val="0"/>
        <w:autoSpaceDN w:val="0"/>
        <w:adjustRightInd w:val="0"/>
        <w:spacing w:line="500" w:lineRule="exact"/>
        <w:ind w:firstLine="700" w:firstLineChars="250"/>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八、政府性基金预算收入支出决算情况</w:t>
      </w:r>
    </w:p>
    <w:p w14:paraId="4DE2C9E4">
      <w:pPr>
        <w:autoSpaceDE w:val="0"/>
        <w:autoSpaceDN w:val="0"/>
        <w:adjustRightInd w:val="0"/>
        <w:spacing w:line="500" w:lineRule="exact"/>
        <w:ind w:firstLine="700" w:firstLineChars="250"/>
        <w:jc w:val="left"/>
        <w:rPr>
          <w:rFonts w:hint="eastAsia" w:ascii="仿宋_GB2312" w:hAnsi="仿宋_GB2312" w:eastAsia="仿宋_GB2312" w:cs="仿宋_GB2312"/>
          <w:color w:val="000000"/>
          <w:kern w:val="0"/>
          <w:sz w:val="28"/>
          <w:szCs w:val="28"/>
          <w:lang w:eastAsia="zh-CN"/>
        </w:rPr>
      </w:pPr>
      <w:r>
        <w:rPr>
          <w:rFonts w:hint="eastAsia" w:ascii="仿宋_GB2312" w:hAnsi="仿宋_GB2312" w:eastAsia="仿宋_GB2312" w:cs="仿宋_GB2312"/>
          <w:color w:val="000000"/>
          <w:kern w:val="0"/>
          <w:sz w:val="28"/>
          <w:szCs w:val="28"/>
          <w:lang w:eastAsia="zh-CN"/>
        </w:rPr>
        <w:t>九、</w:t>
      </w:r>
      <w:r>
        <w:rPr>
          <w:rFonts w:hint="eastAsia" w:ascii="仿宋_GB2312" w:hAnsi="仿宋_GB2312" w:eastAsia="仿宋_GB2312" w:cs="仿宋_GB2312"/>
          <w:color w:val="000000"/>
          <w:kern w:val="0"/>
          <w:sz w:val="28"/>
          <w:szCs w:val="28"/>
          <w:lang w:val="en-US" w:eastAsia="zh-CN"/>
        </w:rPr>
        <w:t>国有资本经营预算收入支出决算情况</w:t>
      </w:r>
    </w:p>
    <w:p w14:paraId="538F5E6B">
      <w:pPr>
        <w:autoSpaceDE w:val="0"/>
        <w:autoSpaceDN w:val="0"/>
        <w:adjustRightInd w:val="0"/>
        <w:spacing w:line="500" w:lineRule="exact"/>
        <w:ind w:firstLine="700" w:firstLineChars="25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lang w:eastAsia="zh-CN"/>
        </w:rPr>
        <w:t>十</w:t>
      </w:r>
      <w:r>
        <w:rPr>
          <w:rFonts w:hint="eastAsia" w:ascii="仿宋_GB2312" w:hAnsi="仿宋_GB2312" w:eastAsia="仿宋_GB2312" w:cs="仿宋_GB2312"/>
          <w:color w:val="000000"/>
          <w:kern w:val="0"/>
          <w:sz w:val="28"/>
          <w:szCs w:val="28"/>
        </w:rPr>
        <w:t>、关于机关运行经费支出说明</w:t>
      </w:r>
    </w:p>
    <w:p w14:paraId="4A4F4CF0">
      <w:pPr>
        <w:autoSpaceDE w:val="0"/>
        <w:autoSpaceDN w:val="0"/>
        <w:adjustRightInd w:val="0"/>
        <w:spacing w:line="500" w:lineRule="exact"/>
        <w:ind w:firstLine="700" w:firstLineChars="25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十</w:t>
      </w:r>
      <w:r>
        <w:rPr>
          <w:rFonts w:hint="eastAsia" w:ascii="仿宋_GB2312" w:hAnsi="仿宋_GB2312" w:eastAsia="仿宋_GB2312" w:cs="仿宋_GB2312"/>
          <w:color w:val="000000"/>
          <w:kern w:val="0"/>
          <w:sz w:val="28"/>
          <w:szCs w:val="28"/>
          <w:lang w:eastAsia="zh-CN"/>
        </w:rPr>
        <w:t>一</w:t>
      </w:r>
      <w:r>
        <w:rPr>
          <w:rFonts w:hint="eastAsia" w:ascii="仿宋_GB2312" w:hAnsi="仿宋_GB2312" w:eastAsia="仿宋_GB2312" w:cs="仿宋_GB2312"/>
          <w:color w:val="000000"/>
          <w:kern w:val="0"/>
          <w:sz w:val="28"/>
          <w:szCs w:val="28"/>
        </w:rPr>
        <w:t>、一般性支出情况说明</w:t>
      </w:r>
    </w:p>
    <w:p w14:paraId="2051E4D8">
      <w:pPr>
        <w:autoSpaceDE w:val="0"/>
        <w:autoSpaceDN w:val="0"/>
        <w:adjustRightInd w:val="0"/>
        <w:spacing w:line="500" w:lineRule="exact"/>
        <w:ind w:firstLine="700" w:firstLineChars="25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十</w:t>
      </w:r>
      <w:r>
        <w:rPr>
          <w:rFonts w:hint="eastAsia" w:ascii="仿宋_GB2312" w:hAnsi="仿宋_GB2312" w:eastAsia="仿宋_GB2312" w:cs="仿宋_GB2312"/>
          <w:color w:val="000000"/>
          <w:kern w:val="0"/>
          <w:sz w:val="28"/>
          <w:szCs w:val="28"/>
          <w:lang w:eastAsia="zh-CN"/>
        </w:rPr>
        <w:t>二</w:t>
      </w:r>
      <w:r>
        <w:rPr>
          <w:rFonts w:hint="eastAsia" w:ascii="仿宋_GB2312" w:hAnsi="仿宋_GB2312" w:eastAsia="仿宋_GB2312" w:cs="仿宋_GB2312"/>
          <w:color w:val="000000"/>
          <w:kern w:val="0"/>
          <w:sz w:val="28"/>
          <w:szCs w:val="28"/>
        </w:rPr>
        <w:t>、关于政府采购支出说明</w:t>
      </w:r>
    </w:p>
    <w:p w14:paraId="19362E55">
      <w:pPr>
        <w:pStyle w:val="16"/>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十</w:t>
      </w:r>
      <w:r>
        <w:rPr>
          <w:rFonts w:hint="eastAsia" w:ascii="仿宋_GB2312" w:hAnsi="仿宋_GB2312" w:eastAsia="仿宋_GB2312" w:cs="仿宋_GB2312"/>
          <w:sz w:val="28"/>
          <w:szCs w:val="28"/>
          <w:lang w:eastAsia="zh-CN"/>
        </w:rPr>
        <w:t>三</w:t>
      </w:r>
      <w:r>
        <w:rPr>
          <w:rFonts w:hint="eastAsia" w:ascii="仿宋_GB2312" w:hAnsi="仿宋_GB2312" w:eastAsia="仿宋_GB2312" w:cs="仿宋_GB2312"/>
          <w:sz w:val="28"/>
          <w:szCs w:val="28"/>
        </w:rPr>
        <w:t>、关于国有资产占用情况说明</w:t>
      </w:r>
    </w:p>
    <w:p w14:paraId="169FF677">
      <w:pPr>
        <w:pStyle w:val="16"/>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十</w:t>
      </w:r>
      <w:r>
        <w:rPr>
          <w:rFonts w:hint="eastAsia" w:ascii="仿宋_GB2312" w:hAnsi="仿宋_GB2312" w:eastAsia="仿宋_GB2312" w:cs="仿宋_GB2312"/>
          <w:sz w:val="28"/>
          <w:szCs w:val="28"/>
          <w:lang w:eastAsia="zh-CN"/>
        </w:rPr>
        <w:t>四</w:t>
      </w:r>
      <w:r>
        <w:rPr>
          <w:rFonts w:hint="eastAsia" w:ascii="仿宋_GB2312" w:hAnsi="仿宋_GB2312" w:eastAsia="仿宋_GB2312" w:cs="仿宋_GB2312"/>
          <w:sz w:val="28"/>
          <w:szCs w:val="28"/>
        </w:rPr>
        <w:t>、关于</w:t>
      </w:r>
      <w:r>
        <w:rPr>
          <w:rFonts w:hint="eastAsia" w:ascii="Times New Roman" w:hAnsi="Times New Roman" w:eastAsia="仿宋_GB2312" w:cs="Times New Roman"/>
          <w:sz w:val="28"/>
          <w:szCs w:val="28"/>
          <w:lang w:eastAsia="zh-CN"/>
        </w:rPr>
        <w:t>2024</w:t>
      </w:r>
      <w:r>
        <w:rPr>
          <w:rFonts w:hint="eastAsia" w:ascii="仿宋_GB2312" w:hAnsi="仿宋_GB2312" w:eastAsia="仿宋_GB2312" w:cs="仿宋_GB2312"/>
          <w:sz w:val="28"/>
          <w:szCs w:val="28"/>
        </w:rPr>
        <w:t>年度预算绩效情况的说明</w:t>
      </w:r>
    </w:p>
    <w:p w14:paraId="0A232D02">
      <w:pPr>
        <w:pStyle w:val="16"/>
        <w:spacing w:line="500" w:lineRule="exact"/>
        <w:rPr>
          <w:rFonts w:hAnsi="黑体"/>
          <w:bCs/>
          <w:sz w:val="28"/>
          <w:szCs w:val="28"/>
        </w:rPr>
      </w:pPr>
      <w:r>
        <w:rPr>
          <w:rFonts w:hint="eastAsia" w:hAnsi="黑体"/>
          <w:bCs/>
          <w:sz w:val="28"/>
          <w:szCs w:val="28"/>
        </w:rPr>
        <w:t>第四部分 名词解释</w:t>
      </w:r>
    </w:p>
    <w:p w14:paraId="4196435B">
      <w:pPr>
        <w:pStyle w:val="16"/>
        <w:spacing w:line="500" w:lineRule="exact"/>
        <w:rPr>
          <w:rFonts w:hAnsi="黑体"/>
          <w:bCs/>
          <w:sz w:val="28"/>
          <w:szCs w:val="28"/>
        </w:rPr>
      </w:pPr>
      <w:r>
        <w:rPr>
          <w:rFonts w:hint="eastAsia" w:hAnsi="黑体"/>
          <w:bCs/>
          <w:sz w:val="28"/>
          <w:szCs w:val="28"/>
        </w:rPr>
        <w:t>第五部分 附件</w:t>
      </w:r>
    </w:p>
    <w:p w14:paraId="75286504">
      <w:pPr>
        <w:pStyle w:val="16"/>
        <w:spacing w:line="500" w:lineRule="exact"/>
        <w:rPr>
          <w:rFonts w:hAnsi="黑体"/>
          <w:bCs/>
          <w:sz w:val="28"/>
          <w:szCs w:val="28"/>
        </w:rPr>
      </w:pPr>
    </w:p>
    <w:p w14:paraId="4DA5259B">
      <w:pPr>
        <w:jc w:val="center"/>
        <w:rPr>
          <w:sz w:val="72"/>
          <w:szCs w:val="72"/>
        </w:rPr>
      </w:pPr>
    </w:p>
    <w:p w14:paraId="292417E5">
      <w:pPr>
        <w:pStyle w:val="8"/>
      </w:pPr>
    </w:p>
    <w:p w14:paraId="606E1E5E">
      <w:pPr>
        <w:pStyle w:val="4"/>
        <w:ind w:firstLine="480"/>
      </w:pPr>
    </w:p>
    <w:p w14:paraId="024FB921"/>
    <w:p w14:paraId="5E3618CE">
      <w:pPr>
        <w:pStyle w:val="8"/>
      </w:pPr>
    </w:p>
    <w:p w14:paraId="05C1B52A">
      <w:pPr>
        <w:pStyle w:val="4"/>
        <w:ind w:firstLine="480"/>
      </w:pPr>
    </w:p>
    <w:p w14:paraId="6B3C782A"/>
    <w:p w14:paraId="17D98B9F">
      <w:pPr>
        <w:pStyle w:val="8"/>
      </w:pPr>
    </w:p>
    <w:p w14:paraId="6AA01E92">
      <w:pPr>
        <w:pStyle w:val="4"/>
        <w:ind w:firstLine="480"/>
      </w:pPr>
    </w:p>
    <w:p w14:paraId="51E49F9F"/>
    <w:p w14:paraId="5E078B17">
      <w:pPr>
        <w:pStyle w:val="8"/>
      </w:pPr>
    </w:p>
    <w:p w14:paraId="581B7B49">
      <w:pPr>
        <w:pStyle w:val="4"/>
        <w:ind w:firstLine="480"/>
      </w:pPr>
    </w:p>
    <w:p w14:paraId="59EC91B8"/>
    <w:p w14:paraId="78501588">
      <w:pPr>
        <w:pStyle w:val="8"/>
      </w:pPr>
    </w:p>
    <w:p w14:paraId="42303F33">
      <w:pPr>
        <w:pStyle w:val="4"/>
        <w:ind w:firstLine="480"/>
      </w:pPr>
    </w:p>
    <w:p w14:paraId="0BC4B745"/>
    <w:p w14:paraId="09D87D0E">
      <w:pPr>
        <w:pStyle w:val="8"/>
      </w:pPr>
    </w:p>
    <w:p w14:paraId="0FA0C34D">
      <w:pPr>
        <w:pStyle w:val="16"/>
        <w:jc w:val="center"/>
        <w:rPr>
          <w:rFonts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 xml:space="preserve">第一部分 </w:t>
      </w:r>
    </w:p>
    <w:p w14:paraId="3B89A7E6">
      <w:pPr>
        <w:pStyle w:val="16"/>
        <w:jc w:val="center"/>
        <w:rPr>
          <w:rFonts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怀化市文学艺术界联合会概况</w:t>
      </w:r>
    </w:p>
    <w:p w14:paraId="42B5E37E">
      <w:pPr>
        <w:jc w:val="center"/>
        <w:rPr>
          <w:sz w:val="72"/>
          <w:szCs w:val="72"/>
        </w:rPr>
      </w:pPr>
    </w:p>
    <w:p w14:paraId="6768B47D">
      <w:pPr>
        <w:pStyle w:val="8"/>
      </w:pPr>
    </w:p>
    <w:p w14:paraId="6DAB840A">
      <w:pPr>
        <w:pStyle w:val="4"/>
        <w:ind w:firstLine="480"/>
      </w:pPr>
    </w:p>
    <w:p w14:paraId="70923ABD"/>
    <w:p w14:paraId="3395C211">
      <w:pPr>
        <w:pStyle w:val="8"/>
      </w:pPr>
    </w:p>
    <w:p w14:paraId="6948589D">
      <w:pPr>
        <w:pStyle w:val="4"/>
        <w:ind w:firstLine="480"/>
      </w:pPr>
    </w:p>
    <w:p w14:paraId="233B5F8E"/>
    <w:p w14:paraId="6B39006C">
      <w:pPr>
        <w:pStyle w:val="8"/>
      </w:pPr>
    </w:p>
    <w:p w14:paraId="3FA1B7B5">
      <w:pPr>
        <w:pStyle w:val="4"/>
        <w:ind w:firstLine="480"/>
      </w:pPr>
    </w:p>
    <w:p w14:paraId="15E090E8"/>
    <w:p w14:paraId="3D01B068">
      <w:pPr>
        <w:pStyle w:val="8"/>
      </w:pPr>
    </w:p>
    <w:p w14:paraId="0B6473FC">
      <w:pPr>
        <w:pStyle w:val="16"/>
        <w:bidi w:val="0"/>
      </w:pPr>
    </w:p>
    <w:p w14:paraId="0F6D5871"/>
    <w:p w14:paraId="5CD13064">
      <w:pPr>
        <w:pStyle w:val="8"/>
        <w:rPr>
          <w:rFonts w:hint="eastAsia"/>
        </w:rPr>
      </w:pPr>
    </w:p>
    <w:p w14:paraId="436C42D4">
      <w:pPr>
        <w:pStyle w:val="17"/>
        <w:numPr>
          <w:ilvl w:val="0"/>
          <w:numId w:val="1"/>
        </w:numPr>
        <w:ind w:firstLineChars="0"/>
        <w:jc w:val="left"/>
        <w:rPr>
          <w:rFonts w:ascii="黑体" w:hAnsi="黑体" w:eastAsia="黑体" w:cs="黑体"/>
          <w:sz w:val="32"/>
          <w:szCs w:val="32"/>
        </w:rPr>
      </w:pPr>
      <w:r>
        <w:rPr>
          <w:rFonts w:hint="eastAsia" w:ascii="黑体" w:hAnsi="黑体" w:eastAsia="黑体" w:cs="黑体"/>
          <w:sz w:val="32"/>
          <w:szCs w:val="32"/>
        </w:rPr>
        <w:t>部门职责</w:t>
      </w:r>
    </w:p>
    <w:p w14:paraId="2B9F2706">
      <w:pPr>
        <w:pStyle w:val="16"/>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t>怀化市文学艺术界联合会是党委政府联系文艺家的群众团体，按照科学发展观的要求，坚持文艺“为人民服务，为社会主义服务”的方向和“百花齐放，百家争鸣”的方针，充分发挥文联“团结引导、联络协调、服务管理、自律维权”的职能，着力发挥好党委政府和文艺家之间的桥梁纽带作用，不断探索新形势下文学艺术创作的新途径，积极组织全市文艺工作者开展文艺创作，文艺演出、展览、评奖、研讨和交流等活动，激发文艺工作者的创作热情，做好各个艺术门类及各艺术类别的联络、协调、服务指导工作。进一步拓展服务基层的渠道，提高服务群众的水平，繁荣我市文艺事业.</w:t>
      </w:r>
    </w:p>
    <w:p w14:paraId="5BB3B63E">
      <w:pPr>
        <w:widowControl/>
        <w:spacing w:line="600" w:lineRule="exact"/>
        <w:rPr>
          <w:rFonts w:ascii="黑体" w:hAnsi="黑体" w:eastAsia="黑体" w:cs="黑体"/>
          <w:bCs/>
          <w:kern w:val="0"/>
          <w:sz w:val="32"/>
          <w:szCs w:val="32"/>
        </w:rPr>
      </w:pPr>
      <w:r>
        <w:rPr>
          <w:rFonts w:hint="eastAsia" w:ascii="黑体" w:hAnsi="黑体" w:eastAsia="黑体" w:cs="黑体"/>
          <w:bCs/>
          <w:kern w:val="0"/>
          <w:sz w:val="32"/>
          <w:szCs w:val="32"/>
        </w:rPr>
        <w:t>二、机构设置及决算单位构成</w:t>
      </w:r>
    </w:p>
    <w:p w14:paraId="58ECCFE4">
      <w:pPr>
        <w:widowControl/>
        <w:rPr>
          <w:rFonts w:hint="eastAsia" w:ascii="Times New Roman" w:hAnsi="Times New Roman" w:eastAsia="仿宋_GB2312" w:cs="黑体"/>
          <w:color w:val="000000"/>
          <w:kern w:val="0"/>
          <w:sz w:val="32"/>
          <w:szCs w:val="32"/>
          <w:lang w:val="en-US" w:eastAsia="zh-CN" w:bidi="ar-SA"/>
        </w:rPr>
      </w:pPr>
      <w:r>
        <w:rPr>
          <w:rFonts w:ascii="Times New Roman" w:hAnsi="Times New Roman" w:eastAsia="宋体" w:cs="Times New Roman"/>
          <w:color w:val="000000"/>
          <w:kern w:val="0"/>
          <w:sz w:val="32"/>
          <w:szCs w:val="32"/>
        </w:rPr>
        <w:t>（一）内设机构设置。</w:t>
      </w:r>
      <w:r>
        <w:rPr>
          <w:rFonts w:hint="eastAsia" w:ascii="仿宋" w:hAnsi="仿宋" w:eastAsia="仿宋" w:cs="宋体"/>
          <w:color w:val="000000"/>
          <w:kern w:val="0"/>
          <w:sz w:val="32"/>
          <w:szCs w:val="32"/>
        </w:rPr>
        <w:t>怀</w:t>
      </w:r>
      <w:r>
        <w:rPr>
          <w:rFonts w:hint="eastAsia" w:ascii="Times New Roman" w:hAnsi="Times New Roman" w:eastAsia="仿宋_GB2312" w:cs="黑体"/>
          <w:color w:val="000000"/>
          <w:kern w:val="0"/>
          <w:sz w:val="32"/>
          <w:szCs w:val="32"/>
          <w:lang w:val="en-US" w:eastAsia="zh-CN" w:bidi="ar-SA"/>
        </w:rPr>
        <w:t>化市文学艺术界联合会作为一级预算单位，内设机构包括：办公室、二级部门预算单位：雪峰文学杂志社(无内设机构、财务未独立核算)</w:t>
      </w:r>
    </w:p>
    <w:p w14:paraId="2D32034C">
      <w:pPr>
        <w:widowControl/>
        <w:jc w:val="left"/>
        <w:rPr>
          <w:rFonts w:hint="eastAsia" w:ascii="Times New Roman" w:hAnsi="Times New Roman" w:eastAsia="仿宋_GB2312" w:cs="黑体"/>
          <w:color w:val="000000"/>
          <w:kern w:val="0"/>
          <w:sz w:val="32"/>
          <w:szCs w:val="32"/>
          <w:lang w:val="en-US" w:eastAsia="zh-CN" w:bidi="ar-SA"/>
        </w:rPr>
      </w:pPr>
      <w:r>
        <w:rPr>
          <w:rFonts w:ascii="Times New Roman" w:hAnsi="Times New Roman" w:eastAsia="宋体" w:cs="Times New Roman"/>
          <w:color w:val="000000"/>
          <w:kern w:val="0"/>
          <w:sz w:val="32"/>
          <w:szCs w:val="32"/>
        </w:rPr>
        <w:t>（二）决算单位构成。</w:t>
      </w:r>
      <w:r>
        <w:rPr>
          <w:rFonts w:hint="eastAsia" w:ascii="Times New Roman" w:hAnsi="Times New Roman" w:eastAsia="仿宋_GB2312" w:cs="黑体"/>
          <w:color w:val="000000"/>
          <w:kern w:val="0"/>
          <w:sz w:val="32"/>
          <w:szCs w:val="32"/>
          <w:lang w:val="en-US" w:eastAsia="zh-CN" w:bidi="ar-SA"/>
        </w:rPr>
        <w:t>怀化市文学艺术界联合会2024年部门决算汇总公开单位构成包括：怀化市文学艺术界联合会本级以及雪峰文学杂志社。</w:t>
      </w:r>
    </w:p>
    <w:p w14:paraId="1E035BBD">
      <w:pPr>
        <w:jc w:val="center"/>
        <w:rPr>
          <w:rFonts w:ascii="仿宋" w:hAnsi="仿宋" w:eastAsia="仿宋" w:cs="宋体"/>
          <w:color w:val="000000"/>
          <w:kern w:val="0"/>
          <w:sz w:val="32"/>
          <w:szCs w:val="32"/>
        </w:rPr>
      </w:pPr>
    </w:p>
    <w:p w14:paraId="740D29EF">
      <w:pPr>
        <w:jc w:val="center"/>
        <w:rPr>
          <w:rFonts w:ascii="黑体" w:hAnsi="黑体" w:eastAsia="黑体"/>
          <w:sz w:val="28"/>
          <w:szCs w:val="28"/>
        </w:rPr>
      </w:pPr>
    </w:p>
    <w:p w14:paraId="7F07845F">
      <w:pPr>
        <w:jc w:val="center"/>
        <w:rPr>
          <w:rFonts w:ascii="黑体" w:hAnsi="黑体" w:eastAsia="黑体"/>
          <w:sz w:val="28"/>
          <w:szCs w:val="28"/>
        </w:rPr>
      </w:pPr>
    </w:p>
    <w:p w14:paraId="27720706">
      <w:pPr>
        <w:jc w:val="center"/>
        <w:rPr>
          <w:rFonts w:ascii="黑体" w:hAnsi="黑体" w:eastAsia="黑体"/>
          <w:sz w:val="28"/>
          <w:szCs w:val="28"/>
        </w:rPr>
      </w:pPr>
    </w:p>
    <w:p w14:paraId="620AED25">
      <w:pPr>
        <w:jc w:val="center"/>
        <w:rPr>
          <w:rFonts w:ascii="黑体" w:hAnsi="黑体" w:eastAsia="黑体"/>
          <w:sz w:val="28"/>
          <w:szCs w:val="28"/>
        </w:rPr>
      </w:pPr>
    </w:p>
    <w:p w14:paraId="74235384">
      <w:pPr>
        <w:jc w:val="center"/>
        <w:rPr>
          <w:rFonts w:ascii="黑体" w:hAnsi="黑体" w:eastAsia="黑体"/>
          <w:sz w:val="28"/>
          <w:szCs w:val="28"/>
        </w:rPr>
      </w:pPr>
    </w:p>
    <w:p w14:paraId="226EA98A">
      <w:pPr>
        <w:jc w:val="center"/>
        <w:rPr>
          <w:rFonts w:ascii="黑体" w:hAnsi="黑体" w:eastAsia="黑体"/>
          <w:sz w:val="28"/>
          <w:szCs w:val="28"/>
        </w:rPr>
      </w:pPr>
    </w:p>
    <w:p w14:paraId="1EC044FE">
      <w:pPr>
        <w:jc w:val="center"/>
        <w:rPr>
          <w:rFonts w:ascii="黑体" w:hAnsi="黑体" w:eastAsia="黑体"/>
          <w:sz w:val="28"/>
          <w:szCs w:val="28"/>
        </w:rPr>
      </w:pPr>
    </w:p>
    <w:p w14:paraId="0CE15701">
      <w:pPr>
        <w:jc w:val="center"/>
        <w:rPr>
          <w:rFonts w:ascii="黑体" w:hAnsi="黑体" w:eastAsia="黑体"/>
          <w:sz w:val="28"/>
          <w:szCs w:val="28"/>
        </w:rPr>
      </w:pPr>
    </w:p>
    <w:p w14:paraId="5AF98DCA">
      <w:pPr>
        <w:jc w:val="center"/>
        <w:rPr>
          <w:rFonts w:ascii="黑体" w:hAnsi="黑体" w:eastAsia="黑体"/>
          <w:sz w:val="28"/>
          <w:szCs w:val="28"/>
        </w:rPr>
      </w:pPr>
    </w:p>
    <w:p w14:paraId="60146038">
      <w:pPr>
        <w:pStyle w:val="16"/>
        <w:jc w:val="center"/>
        <w:rPr>
          <w:rFonts w:ascii="方正小标宋_GBK" w:hAnsi="方正小标宋_GBK" w:eastAsia="方正小标宋_GBK" w:cs="方正小标宋_GBK"/>
          <w:sz w:val="84"/>
          <w:szCs w:val="84"/>
        </w:rPr>
      </w:pPr>
    </w:p>
    <w:p w14:paraId="290F1B4D">
      <w:pPr>
        <w:pStyle w:val="16"/>
        <w:jc w:val="center"/>
        <w:rPr>
          <w:rFonts w:ascii="方正小标宋_GBK" w:hAnsi="方正小标宋_GBK" w:eastAsia="方正小标宋_GBK" w:cs="方正小标宋_GBK"/>
          <w:sz w:val="84"/>
          <w:szCs w:val="84"/>
        </w:rPr>
      </w:pPr>
      <w:r>
        <w:rPr>
          <w:rFonts w:hint="eastAsia" w:ascii="方正小标宋_GBK" w:hAnsi="方正小标宋_GBK" w:eastAsia="方正小标宋_GBK" w:cs="方正小标宋_GBK"/>
          <w:sz w:val="84"/>
          <w:szCs w:val="84"/>
        </w:rPr>
        <w:t>第二部分</w:t>
      </w:r>
    </w:p>
    <w:p w14:paraId="2C3F83D4">
      <w:pPr>
        <w:pStyle w:val="16"/>
        <w:jc w:val="center"/>
        <w:rPr>
          <w:rFonts w:ascii="方正小标宋_GBK" w:hAnsi="方正小标宋_GBK" w:eastAsia="方正小标宋_GBK" w:cs="方正小标宋_GBK"/>
          <w:sz w:val="84"/>
          <w:szCs w:val="84"/>
        </w:rPr>
      </w:pPr>
    </w:p>
    <w:p w14:paraId="674290B2">
      <w:pPr>
        <w:pStyle w:val="16"/>
        <w:jc w:val="center"/>
        <w:rPr>
          <w:rFonts w:ascii="方正小标宋_GBK" w:hAnsi="方正小标宋_GBK" w:eastAsia="方正小标宋_GBK" w:cs="方正小标宋_GBK"/>
          <w:sz w:val="84"/>
          <w:szCs w:val="84"/>
        </w:rPr>
      </w:pPr>
      <w:r>
        <w:rPr>
          <w:rFonts w:hint="eastAsia" w:ascii="方正小标宋_GBK" w:hAnsi="方正小标宋_GBK" w:eastAsia="方正小标宋_GBK" w:cs="方正小标宋_GBK"/>
          <w:sz w:val="84"/>
          <w:szCs w:val="84"/>
        </w:rPr>
        <w:t>部门决算表</w:t>
      </w:r>
    </w:p>
    <w:p w14:paraId="319A542A">
      <w:pPr>
        <w:jc w:val="center"/>
        <w:rPr>
          <w:sz w:val="72"/>
          <w:szCs w:val="72"/>
        </w:rPr>
      </w:pPr>
    </w:p>
    <w:p w14:paraId="72765BA0">
      <w:pPr>
        <w:jc w:val="center"/>
        <w:rPr>
          <w:sz w:val="72"/>
          <w:szCs w:val="72"/>
        </w:rPr>
      </w:pPr>
    </w:p>
    <w:p w14:paraId="6058826A">
      <w:pPr>
        <w:jc w:val="center"/>
        <w:rPr>
          <w:sz w:val="72"/>
          <w:szCs w:val="72"/>
        </w:rPr>
      </w:pPr>
    </w:p>
    <w:p w14:paraId="192B655A">
      <w:pPr>
        <w:jc w:val="center"/>
        <w:rPr>
          <w:sz w:val="72"/>
          <w:szCs w:val="72"/>
        </w:rPr>
      </w:pPr>
    </w:p>
    <w:p w14:paraId="76D922D8">
      <w:pPr>
        <w:jc w:val="center"/>
        <w:rPr>
          <w:sz w:val="72"/>
          <w:szCs w:val="72"/>
        </w:rPr>
      </w:pPr>
    </w:p>
    <w:p w14:paraId="7367F1D5">
      <w:pPr>
        <w:jc w:val="center"/>
        <w:rPr>
          <w:sz w:val="72"/>
          <w:szCs w:val="72"/>
        </w:rPr>
      </w:pPr>
    </w:p>
    <w:p w14:paraId="77A6935F">
      <w:pPr>
        <w:jc w:val="left"/>
        <w:rPr>
          <w:sz w:val="32"/>
          <w:szCs w:val="32"/>
        </w:rPr>
      </w:pPr>
    </w:p>
    <w:p w14:paraId="45859575">
      <w:pPr>
        <w:jc w:val="left"/>
        <w:rPr>
          <w:rFonts w:asciiTheme="minorEastAsia" w:hAnsiTheme="minorEastAsia"/>
          <w:sz w:val="32"/>
          <w:szCs w:val="32"/>
        </w:rPr>
        <w:sectPr>
          <w:pgSz w:w="11906" w:h="16838"/>
          <w:pgMar w:top="720" w:right="720" w:bottom="720" w:left="720" w:header="851" w:footer="992" w:gutter="0"/>
          <w:cols w:space="425" w:num="1"/>
          <w:docGrid w:type="lines" w:linePitch="312" w:charSpace="0"/>
        </w:sectPr>
      </w:pPr>
    </w:p>
    <w:p w14:paraId="13290D08">
      <w:r>
        <w:drawing>
          <wp:inline distT="0" distB="0" distL="114300" distR="114300">
            <wp:extent cx="8258810" cy="7053580"/>
            <wp:effectExtent l="0" t="0" r="8890" b="1397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4"/>
                    <a:stretch>
                      <a:fillRect/>
                    </a:stretch>
                  </pic:blipFill>
                  <pic:spPr>
                    <a:xfrm>
                      <a:off x="0" y="0"/>
                      <a:ext cx="8258810" cy="7053580"/>
                    </a:xfrm>
                    <a:prstGeom prst="rect">
                      <a:avLst/>
                    </a:prstGeom>
                    <a:noFill/>
                    <a:ln>
                      <a:noFill/>
                    </a:ln>
                  </pic:spPr>
                </pic:pic>
              </a:graphicData>
            </a:graphic>
          </wp:inline>
        </w:drawing>
      </w:r>
    </w:p>
    <w:p w14:paraId="3747EA9C">
      <w:r>
        <w:drawing>
          <wp:inline distT="0" distB="0" distL="114300" distR="114300">
            <wp:extent cx="9776460" cy="6038215"/>
            <wp:effectExtent l="0" t="0" r="15240" b="635"/>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5"/>
                    <a:stretch>
                      <a:fillRect/>
                    </a:stretch>
                  </pic:blipFill>
                  <pic:spPr>
                    <a:xfrm>
                      <a:off x="0" y="0"/>
                      <a:ext cx="9776460" cy="6038215"/>
                    </a:xfrm>
                    <a:prstGeom prst="rect">
                      <a:avLst/>
                    </a:prstGeom>
                    <a:noFill/>
                    <a:ln>
                      <a:noFill/>
                    </a:ln>
                  </pic:spPr>
                </pic:pic>
              </a:graphicData>
            </a:graphic>
          </wp:inline>
        </w:drawing>
      </w:r>
    </w:p>
    <w:p w14:paraId="78A380FA"/>
    <w:p w14:paraId="0275289F"/>
    <w:p w14:paraId="29201BAB">
      <w:r>
        <w:drawing>
          <wp:inline distT="0" distB="0" distL="114300" distR="114300">
            <wp:extent cx="9772015" cy="6725920"/>
            <wp:effectExtent l="0" t="0" r="635" b="1778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6"/>
                    <a:stretch>
                      <a:fillRect/>
                    </a:stretch>
                  </pic:blipFill>
                  <pic:spPr>
                    <a:xfrm>
                      <a:off x="0" y="0"/>
                      <a:ext cx="9772015" cy="6725920"/>
                    </a:xfrm>
                    <a:prstGeom prst="rect">
                      <a:avLst/>
                    </a:prstGeom>
                    <a:noFill/>
                    <a:ln>
                      <a:noFill/>
                    </a:ln>
                  </pic:spPr>
                </pic:pic>
              </a:graphicData>
            </a:graphic>
          </wp:inline>
        </w:drawing>
      </w:r>
    </w:p>
    <w:p w14:paraId="5634C50C">
      <w:r>
        <w:drawing>
          <wp:inline distT="0" distB="0" distL="114300" distR="114300">
            <wp:extent cx="9774555" cy="5880735"/>
            <wp:effectExtent l="0" t="0" r="17145" b="5715"/>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pic:cNvPicPr>
                      <a:picLocks noChangeAspect="1"/>
                    </pic:cNvPicPr>
                  </pic:nvPicPr>
                  <pic:blipFill>
                    <a:blip r:embed="rId7"/>
                    <a:stretch>
                      <a:fillRect/>
                    </a:stretch>
                  </pic:blipFill>
                  <pic:spPr>
                    <a:xfrm>
                      <a:off x="0" y="0"/>
                      <a:ext cx="9774555" cy="5880735"/>
                    </a:xfrm>
                    <a:prstGeom prst="rect">
                      <a:avLst/>
                    </a:prstGeom>
                    <a:noFill/>
                    <a:ln>
                      <a:noFill/>
                    </a:ln>
                  </pic:spPr>
                </pic:pic>
              </a:graphicData>
            </a:graphic>
          </wp:inline>
        </w:drawing>
      </w:r>
    </w:p>
    <w:p w14:paraId="687334EE"/>
    <w:p w14:paraId="3479D1F8"/>
    <w:p w14:paraId="08B4BCF6"/>
    <w:p w14:paraId="09AFEF07">
      <w:r>
        <w:drawing>
          <wp:inline distT="0" distB="0" distL="114300" distR="114300">
            <wp:extent cx="9776460" cy="5811520"/>
            <wp:effectExtent l="0" t="0" r="15240" b="1778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8"/>
                    <a:stretch>
                      <a:fillRect/>
                    </a:stretch>
                  </pic:blipFill>
                  <pic:spPr>
                    <a:xfrm>
                      <a:off x="0" y="0"/>
                      <a:ext cx="9776460" cy="5811520"/>
                    </a:xfrm>
                    <a:prstGeom prst="rect">
                      <a:avLst/>
                    </a:prstGeom>
                    <a:noFill/>
                    <a:ln>
                      <a:noFill/>
                    </a:ln>
                  </pic:spPr>
                </pic:pic>
              </a:graphicData>
            </a:graphic>
          </wp:inline>
        </w:drawing>
      </w:r>
    </w:p>
    <w:p w14:paraId="228D4523"/>
    <w:p w14:paraId="105F3C1D">
      <w:r>
        <w:br w:type="page"/>
      </w:r>
    </w:p>
    <w:p w14:paraId="1CBE7AEE">
      <w:pPr>
        <w:widowControl/>
        <w:jc w:val="left"/>
      </w:pPr>
      <w:r>
        <w:drawing>
          <wp:inline distT="0" distB="0" distL="114300" distR="114300">
            <wp:extent cx="9177020" cy="6936740"/>
            <wp:effectExtent l="0" t="0" r="5080" b="16510"/>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pic:cNvPicPr>
                  </pic:nvPicPr>
                  <pic:blipFill>
                    <a:blip r:embed="rId9"/>
                    <a:stretch>
                      <a:fillRect/>
                    </a:stretch>
                  </pic:blipFill>
                  <pic:spPr>
                    <a:xfrm>
                      <a:off x="0" y="0"/>
                      <a:ext cx="9177020" cy="6936740"/>
                    </a:xfrm>
                    <a:prstGeom prst="rect">
                      <a:avLst/>
                    </a:prstGeom>
                    <a:noFill/>
                    <a:ln>
                      <a:noFill/>
                    </a:ln>
                  </pic:spPr>
                </pic:pic>
              </a:graphicData>
            </a:graphic>
          </wp:inline>
        </w:drawing>
      </w:r>
      <w:r>
        <w:br w:type="page"/>
      </w:r>
    </w:p>
    <w:p w14:paraId="762E109D">
      <w:r>
        <w:drawing>
          <wp:inline distT="0" distB="0" distL="114300" distR="114300">
            <wp:extent cx="9773920" cy="3863975"/>
            <wp:effectExtent l="0" t="0" r="17780" b="3175"/>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pic:cNvPicPr>
                      <a:picLocks noChangeAspect="1"/>
                    </pic:cNvPicPr>
                  </pic:nvPicPr>
                  <pic:blipFill>
                    <a:blip r:embed="rId10"/>
                    <a:stretch>
                      <a:fillRect/>
                    </a:stretch>
                  </pic:blipFill>
                  <pic:spPr>
                    <a:xfrm>
                      <a:off x="0" y="0"/>
                      <a:ext cx="9773920" cy="3863975"/>
                    </a:xfrm>
                    <a:prstGeom prst="rect">
                      <a:avLst/>
                    </a:prstGeom>
                    <a:noFill/>
                    <a:ln>
                      <a:noFill/>
                    </a:ln>
                  </pic:spPr>
                </pic:pic>
              </a:graphicData>
            </a:graphic>
          </wp:inline>
        </w:drawing>
      </w:r>
    </w:p>
    <w:p w14:paraId="426D55B6">
      <w:pPr>
        <w:widowControl/>
        <w:jc w:val="left"/>
      </w:pPr>
      <w:r>
        <w:br w:type="page"/>
      </w:r>
    </w:p>
    <w:p w14:paraId="3F08B173">
      <w:pPr>
        <w:jc w:val="center"/>
      </w:pPr>
      <w:r>
        <w:drawing>
          <wp:inline distT="0" distB="0" distL="114300" distR="114300">
            <wp:extent cx="9324975" cy="3819525"/>
            <wp:effectExtent l="0" t="0" r="9525" b="9525"/>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pic:cNvPicPr>
                      <a:picLocks noChangeAspect="1"/>
                    </pic:cNvPicPr>
                  </pic:nvPicPr>
                  <pic:blipFill>
                    <a:blip r:embed="rId11"/>
                    <a:stretch>
                      <a:fillRect/>
                    </a:stretch>
                  </pic:blipFill>
                  <pic:spPr>
                    <a:xfrm>
                      <a:off x="0" y="0"/>
                      <a:ext cx="9324975" cy="3819525"/>
                    </a:xfrm>
                    <a:prstGeom prst="rect">
                      <a:avLst/>
                    </a:prstGeom>
                    <a:noFill/>
                    <a:ln>
                      <a:noFill/>
                    </a:ln>
                  </pic:spPr>
                </pic:pic>
              </a:graphicData>
            </a:graphic>
          </wp:inline>
        </w:drawing>
      </w:r>
    </w:p>
    <w:p w14:paraId="23F7B07F">
      <w:pPr>
        <w:widowControl/>
        <w:jc w:val="left"/>
      </w:pPr>
      <w:r>
        <w:br w:type="page"/>
      </w:r>
    </w:p>
    <w:p w14:paraId="05D0118D"/>
    <w:p w14:paraId="26DE024F">
      <w:pPr>
        <w:widowControl/>
        <w:jc w:val="left"/>
      </w:pPr>
      <w:r>
        <w:drawing>
          <wp:inline distT="0" distB="0" distL="114300" distR="114300">
            <wp:extent cx="9636125" cy="2974340"/>
            <wp:effectExtent l="0" t="0" r="3175" b="16510"/>
            <wp:docPr id="1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pic:cNvPicPr>
                      <a:picLocks noChangeAspect="1"/>
                    </pic:cNvPicPr>
                  </pic:nvPicPr>
                  <pic:blipFill>
                    <a:blip r:embed="rId12"/>
                    <a:stretch>
                      <a:fillRect/>
                    </a:stretch>
                  </pic:blipFill>
                  <pic:spPr>
                    <a:xfrm>
                      <a:off x="0" y="0"/>
                      <a:ext cx="9636125" cy="2974340"/>
                    </a:xfrm>
                    <a:prstGeom prst="rect">
                      <a:avLst/>
                    </a:prstGeom>
                    <a:noFill/>
                    <a:ln>
                      <a:noFill/>
                    </a:ln>
                  </pic:spPr>
                </pic:pic>
              </a:graphicData>
            </a:graphic>
          </wp:inline>
        </w:drawing>
      </w:r>
    </w:p>
    <w:p w14:paraId="0642CFD3">
      <w:pPr>
        <w:widowControl/>
        <w:jc w:val="left"/>
        <w:rPr>
          <w:rFonts w:hint="eastAsia"/>
        </w:rPr>
      </w:pPr>
    </w:p>
    <w:p w14:paraId="285652CF">
      <w:pPr>
        <w:widowControl/>
        <w:rPr>
          <w:sz w:val="72"/>
          <w:szCs w:val="72"/>
        </w:rPr>
        <w:sectPr>
          <w:pgSz w:w="16838" w:h="11906" w:orient="landscape"/>
          <w:pgMar w:top="720" w:right="720" w:bottom="720" w:left="720" w:header="851" w:footer="992" w:gutter="0"/>
          <w:cols w:space="425" w:num="1"/>
          <w:docGrid w:type="lines" w:linePitch="312" w:charSpace="0"/>
        </w:sectPr>
      </w:pPr>
      <w:r>
        <w:rPr>
          <w:rFonts w:ascii="黑体" w:hAnsi="黑体" w:eastAsia="黑体"/>
          <w:szCs w:val="21"/>
        </w:rPr>
        <w:br w:type="page"/>
      </w:r>
    </w:p>
    <w:p w14:paraId="0045C147">
      <w:pPr>
        <w:pStyle w:val="16"/>
        <w:rPr>
          <w:sz w:val="72"/>
          <w:szCs w:val="72"/>
        </w:rPr>
      </w:pPr>
    </w:p>
    <w:p w14:paraId="6953A1D2">
      <w:pPr>
        <w:pStyle w:val="16"/>
        <w:rPr>
          <w:sz w:val="72"/>
          <w:szCs w:val="72"/>
        </w:rPr>
      </w:pPr>
    </w:p>
    <w:p w14:paraId="0A65E275">
      <w:pPr>
        <w:pStyle w:val="16"/>
        <w:rPr>
          <w:sz w:val="72"/>
          <w:szCs w:val="72"/>
        </w:rPr>
      </w:pPr>
    </w:p>
    <w:p w14:paraId="424BF5E8">
      <w:pPr>
        <w:pStyle w:val="16"/>
        <w:rPr>
          <w:sz w:val="72"/>
          <w:szCs w:val="72"/>
        </w:rPr>
      </w:pPr>
    </w:p>
    <w:p w14:paraId="54B1EEFE">
      <w:pPr>
        <w:pStyle w:val="16"/>
        <w:jc w:val="center"/>
        <w:rPr>
          <w:sz w:val="72"/>
          <w:szCs w:val="72"/>
        </w:rPr>
      </w:pPr>
    </w:p>
    <w:p w14:paraId="56DD85A0">
      <w:pPr>
        <w:pStyle w:val="16"/>
        <w:jc w:val="center"/>
        <w:rPr>
          <w:rFonts w:ascii="方正小标宋_GBK" w:hAnsi="方正小标宋_GBK" w:eastAsia="方正小标宋_GBK" w:cs="方正小标宋_GBK"/>
          <w:sz w:val="72"/>
          <w:szCs w:val="72"/>
        </w:rPr>
      </w:pPr>
    </w:p>
    <w:p w14:paraId="01E11FE0">
      <w:pPr>
        <w:pStyle w:val="16"/>
        <w:jc w:val="center"/>
        <w:rPr>
          <w:rFonts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第三部分</w:t>
      </w:r>
    </w:p>
    <w:p w14:paraId="77C592B8">
      <w:pPr>
        <w:pStyle w:val="16"/>
        <w:jc w:val="center"/>
        <w:rPr>
          <w:rFonts w:ascii="方正小标宋_GBK" w:hAnsi="方正小标宋_GBK" w:eastAsia="方正小标宋_GBK" w:cs="方正小标宋_GBK"/>
          <w:sz w:val="70"/>
          <w:szCs w:val="70"/>
        </w:rPr>
      </w:pPr>
    </w:p>
    <w:p w14:paraId="359F6FA6">
      <w:pPr>
        <w:pStyle w:val="16"/>
        <w:jc w:val="center"/>
        <w:rPr>
          <w:rFonts w:ascii="方正小标宋_GBK" w:hAnsi="方正小标宋_GBK" w:eastAsia="方正小标宋_GBK" w:cs="方正小标宋_GBK"/>
          <w:sz w:val="70"/>
          <w:szCs w:val="70"/>
        </w:rPr>
      </w:pPr>
      <w:r>
        <w:rPr>
          <w:rFonts w:hint="eastAsia" w:ascii="方正小标宋_GBK" w:hAnsi="方正小标宋_GBK" w:eastAsia="方正小标宋_GBK" w:cs="方正小标宋_GBK"/>
          <w:sz w:val="70"/>
          <w:szCs w:val="70"/>
          <w:lang w:eastAsia="zh-CN"/>
        </w:rPr>
        <w:t>2024</w:t>
      </w:r>
      <w:r>
        <w:rPr>
          <w:rFonts w:hint="eastAsia" w:ascii="方正小标宋_GBK" w:hAnsi="方正小标宋_GBK" w:eastAsia="方正小标宋_GBK" w:cs="方正小标宋_GBK"/>
          <w:sz w:val="70"/>
          <w:szCs w:val="70"/>
        </w:rPr>
        <w:t>年度部门决算情况说明</w:t>
      </w:r>
    </w:p>
    <w:p w14:paraId="39B71333">
      <w:pPr>
        <w:widowControl/>
        <w:jc w:val="left"/>
        <w:rPr>
          <w:rFonts w:asciiTheme="minorEastAsia" w:hAnsiTheme="minorEastAsia"/>
          <w:sz w:val="32"/>
          <w:szCs w:val="32"/>
        </w:rPr>
      </w:pPr>
      <w:r>
        <w:rPr>
          <w:rFonts w:hint="eastAsia" w:ascii="方正小标宋_GBK" w:hAnsi="方正小标宋_GBK" w:eastAsia="方正小标宋_GBK" w:cs="方正小标宋_GBK"/>
          <w:sz w:val="70"/>
          <w:szCs w:val="70"/>
        </w:rPr>
        <w:br w:type="page"/>
      </w:r>
    </w:p>
    <w:p w14:paraId="0F98C135">
      <w:pPr>
        <w:pStyle w:val="16"/>
        <w:spacing w:line="600" w:lineRule="exact"/>
        <w:ind w:firstLine="640" w:firstLineChars="200"/>
        <w:rPr>
          <w:rFonts w:hAnsi="黑体"/>
          <w:bCs/>
          <w:sz w:val="32"/>
          <w:szCs w:val="32"/>
        </w:rPr>
      </w:pPr>
      <w:r>
        <w:rPr>
          <w:rFonts w:hint="eastAsia" w:hAnsi="黑体"/>
          <w:bCs/>
          <w:sz w:val="32"/>
          <w:szCs w:val="32"/>
        </w:rPr>
        <w:t>一、收入支出决算总体情况说明</w:t>
      </w:r>
    </w:p>
    <w:p w14:paraId="645701CA">
      <w:pPr>
        <w:pStyle w:val="16"/>
        <w:keepNext w:val="0"/>
        <w:keepLines w:val="0"/>
        <w:pageBreakBefore w:val="0"/>
        <w:widowControl w:val="0"/>
        <w:kinsoku/>
        <w:wordWrap/>
        <w:overflowPunct/>
        <w:topLinePunct w:val="0"/>
        <w:bidi w:val="0"/>
        <w:snapToGrid/>
        <w:spacing w:line="600" w:lineRule="exact"/>
        <w:ind w:firstLine="640" w:firstLineChars="200"/>
        <w:textAlignment w:val="auto"/>
        <w:rPr>
          <w:rFonts w:hint="default" w:ascii="Times New Roman" w:hAnsi="Times New Roman" w:eastAsia="仿宋_GB2312"/>
          <w:sz w:val="32"/>
          <w:szCs w:val="32"/>
          <w:lang w:val="en-US" w:eastAsia="zh-CN"/>
        </w:rPr>
      </w:pPr>
      <w:r>
        <w:rPr>
          <w:rFonts w:hint="eastAsia" w:ascii="Times New Roman" w:hAnsi="Times New Roman" w:eastAsia="仿宋_GB2312"/>
          <w:sz w:val="32"/>
          <w:szCs w:val="32"/>
          <w:lang w:eastAsia="zh-CN"/>
        </w:rPr>
        <w:t>2024</w:t>
      </w:r>
      <w:r>
        <w:rPr>
          <w:rFonts w:hint="eastAsia" w:ascii="Times New Roman" w:hAnsi="Times New Roman" w:eastAsia="仿宋_GB2312"/>
          <w:sz w:val="32"/>
          <w:szCs w:val="32"/>
        </w:rPr>
        <w:t>年度收、支总计</w:t>
      </w:r>
      <w:r>
        <w:rPr>
          <w:rFonts w:hint="eastAsia" w:ascii="Times New Roman" w:hAnsi="Times New Roman" w:eastAsia="仿宋_GB2312"/>
          <w:sz w:val="32"/>
          <w:szCs w:val="32"/>
          <w:lang w:val="en-US" w:eastAsia="zh-CN"/>
        </w:rPr>
        <w:t>346.73</w:t>
      </w:r>
      <w:r>
        <w:rPr>
          <w:rFonts w:hint="eastAsia" w:ascii="Times New Roman" w:hAnsi="Times New Roman" w:eastAsia="仿宋_GB2312"/>
          <w:sz w:val="32"/>
          <w:szCs w:val="32"/>
        </w:rPr>
        <w:t>万元。与上年相比，</w:t>
      </w:r>
      <w:r>
        <w:rPr>
          <w:rFonts w:hint="eastAsia" w:ascii="Times New Roman" w:hAnsi="Times New Roman" w:eastAsia="仿宋_GB2312"/>
          <w:sz w:val="32"/>
          <w:szCs w:val="32"/>
          <w:lang w:eastAsia="zh-CN"/>
        </w:rPr>
        <w:t>减少</w:t>
      </w:r>
      <w:r>
        <w:rPr>
          <w:rFonts w:hint="eastAsia" w:ascii="Times New Roman" w:hAnsi="Times New Roman" w:eastAsia="仿宋_GB2312"/>
          <w:sz w:val="32"/>
          <w:szCs w:val="32"/>
          <w:lang w:val="en-US" w:eastAsia="zh-CN"/>
        </w:rPr>
        <w:t>281.86</w:t>
      </w:r>
      <w:r>
        <w:rPr>
          <w:rFonts w:hint="eastAsia" w:ascii="Times New Roman" w:hAnsi="Times New Roman" w:eastAsia="仿宋_GB2312"/>
          <w:sz w:val="32"/>
          <w:szCs w:val="32"/>
        </w:rPr>
        <w:t>万元，</w:t>
      </w:r>
      <w:r>
        <w:rPr>
          <w:rFonts w:hint="eastAsia" w:ascii="Times New Roman" w:hAnsi="Times New Roman" w:eastAsia="仿宋_GB2312"/>
          <w:sz w:val="32"/>
          <w:szCs w:val="32"/>
          <w:lang w:eastAsia="zh-CN"/>
        </w:rPr>
        <w:t>减少</w:t>
      </w:r>
      <w:r>
        <w:rPr>
          <w:rFonts w:hint="eastAsia" w:ascii="Times New Roman" w:hAnsi="Times New Roman" w:eastAsia="仿宋_GB2312"/>
          <w:sz w:val="32"/>
          <w:szCs w:val="32"/>
          <w:lang w:val="en-US" w:eastAsia="zh-CN"/>
        </w:rPr>
        <w:t>45</w:t>
      </w:r>
      <w:r>
        <w:rPr>
          <w:rFonts w:hint="eastAsia" w:ascii="Times New Roman" w:hAnsi="Times New Roman" w:eastAsia="仿宋_GB2312"/>
          <w:sz w:val="32"/>
          <w:szCs w:val="32"/>
        </w:rPr>
        <w:t>%，主要是因为</w:t>
      </w:r>
      <w:r>
        <w:rPr>
          <w:rFonts w:hint="eastAsia" w:ascii="Times New Roman" w:hAnsi="Times New Roman" w:eastAsia="仿宋_GB2312"/>
          <w:sz w:val="32"/>
          <w:szCs w:val="32"/>
          <w:lang w:eastAsia="zh-CN"/>
        </w:rPr>
        <w:t>项目</w:t>
      </w:r>
      <w:r>
        <w:rPr>
          <w:rFonts w:hint="eastAsia" w:ascii="Times New Roman" w:hAnsi="Times New Roman" w:eastAsia="仿宋_GB2312"/>
          <w:sz w:val="32"/>
          <w:szCs w:val="32"/>
          <w:lang w:val="en-US" w:eastAsia="zh-CN"/>
        </w:rPr>
        <w:t>经费减少。</w:t>
      </w:r>
    </w:p>
    <w:p w14:paraId="5B702340">
      <w:pPr>
        <w:pStyle w:val="16"/>
        <w:spacing w:line="600" w:lineRule="exact"/>
        <w:ind w:firstLine="640" w:firstLineChars="200"/>
        <w:rPr>
          <w:rFonts w:hAnsi="黑体"/>
          <w:bCs/>
          <w:sz w:val="32"/>
          <w:szCs w:val="32"/>
        </w:rPr>
      </w:pPr>
      <w:r>
        <w:rPr>
          <w:rFonts w:hint="eastAsia" w:hAnsi="黑体"/>
          <w:bCs/>
          <w:sz w:val="32"/>
          <w:szCs w:val="32"/>
        </w:rPr>
        <w:t>二、收入决算情况说明</w:t>
      </w:r>
    </w:p>
    <w:p w14:paraId="3EACE3D9">
      <w:pPr>
        <w:pStyle w:val="16"/>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lang w:eastAsia="zh-CN"/>
        </w:rPr>
        <w:t>2024</w:t>
      </w:r>
      <w:r>
        <w:rPr>
          <w:rFonts w:hint="eastAsia" w:ascii="Times New Roman" w:hAnsi="Times New Roman" w:eastAsia="仿宋_GB2312"/>
          <w:sz w:val="32"/>
          <w:szCs w:val="32"/>
        </w:rPr>
        <w:t>年度收入合计</w:t>
      </w:r>
      <w:r>
        <w:rPr>
          <w:rFonts w:hint="eastAsia" w:ascii="Times New Roman" w:hAnsi="Times New Roman" w:eastAsia="仿宋_GB2312"/>
          <w:sz w:val="32"/>
          <w:szCs w:val="32"/>
          <w:lang w:val="en-US" w:eastAsia="zh-CN"/>
        </w:rPr>
        <w:t>346.73</w:t>
      </w:r>
      <w:r>
        <w:rPr>
          <w:rFonts w:hint="eastAsia" w:ascii="Times New Roman" w:hAnsi="Times New Roman" w:eastAsia="仿宋_GB2312"/>
          <w:sz w:val="32"/>
          <w:szCs w:val="32"/>
        </w:rPr>
        <w:t>万元，其中：财政拨款收入</w:t>
      </w:r>
      <w:r>
        <w:rPr>
          <w:rFonts w:hint="eastAsia" w:ascii="Times New Roman" w:hAnsi="Times New Roman" w:eastAsia="仿宋_GB2312"/>
          <w:sz w:val="32"/>
          <w:szCs w:val="32"/>
          <w:lang w:val="en-US" w:eastAsia="zh-CN"/>
        </w:rPr>
        <w:t>346.73</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100</w:t>
      </w:r>
      <w:r>
        <w:rPr>
          <w:rFonts w:hint="eastAsia" w:ascii="Times New Roman" w:hAnsi="Times New Roman" w:eastAsia="仿宋_GB2312"/>
          <w:sz w:val="32"/>
          <w:szCs w:val="32"/>
        </w:rPr>
        <w:t>%；上级补助收入</w:t>
      </w:r>
      <w:r>
        <w:rPr>
          <w:rFonts w:hint="default" w:ascii="Times New Roman" w:hAnsi="Times New Roman" w:eastAsia="仿宋_GB2312"/>
          <w:sz w:val="32"/>
          <w:szCs w:val="32"/>
          <w:lang w:val="en"/>
        </w:rPr>
        <w:t>0</w:t>
      </w:r>
      <w:r>
        <w:rPr>
          <w:rFonts w:hint="eastAsia" w:ascii="Times New Roman" w:hAnsi="Times New Roman" w:eastAsia="仿宋_GB2312"/>
          <w:sz w:val="32"/>
          <w:szCs w:val="32"/>
        </w:rPr>
        <w:t>万元，占</w:t>
      </w:r>
      <w:r>
        <w:rPr>
          <w:rFonts w:hint="default" w:ascii="Times New Roman" w:hAnsi="Times New Roman" w:eastAsia="仿宋_GB2312"/>
          <w:sz w:val="32"/>
          <w:szCs w:val="32"/>
          <w:lang w:val="en"/>
        </w:rPr>
        <w:t>0</w:t>
      </w:r>
      <w:r>
        <w:rPr>
          <w:rFonts w:hint="eastAsia" w:ascii="Times New Roman" w:hAnsi="Times New Roman" w:eastAsia="仿宋_GB2312"/>
          <w:sz w:val="32"/>
          <w:szCs w:val="32"/>
        </w:rPr>
        <w:t>%；事业收入</w:t>
      </w:r>
      <w:r>
        <w:rPr>
          <w:rFonts w:hint="default" w:ascii="Times New Roman" w:hAnsi="Times New Roman" w:eastAsia="仿宋_GB2312"/>
          <w:sz w:val="32"/>
          <w:szCs w:val="32"/>
          <w:lang w:val="en"/>
        </w:rPr>
        <w:t>0</w:t>
      </w:r>
      <w:r>
        <w:rPr>
          <w:rFonts w:hint="eastAsia" w:ascii="Times New Roman" w:hAnsi="Times New Roman" w:eastAsia="仿宋_GB2312"/>
          <w:sz w:val="32"/>
          <w:szCs w:val="32"/>
        </w:rPr>
        <w:t>万元，占</w:t>
      </w:r>
      <w:r>
        <w:rPr>
          <w:rFonts w:hint="default" w:ascii="Times New Roman" w:hAnsi="Times New Roman" w:eastAsia="仿宋_GB2312"/>
          <w:sz w:val="32"/>
          <w:szCs w:val="32"/>
          <w:lang w:val="en"/>
        </w:rPr>
        <w:t>0</w:t>
      </w:r>
      <w:r>
        <w:rPr>
          <w:rFonts w:hint="eastAsia" w:ascii="Times New Roman" w:hAnsi="Times New Roman" w:eastAsia="仿宋_GB2312"/>
          <w:sz w:val="32"/>
          <w:szCs w:val="32"/>
        </w:rPr>
        <w:t>%；经营收入</w:t>
      </w:r>
      <w:r>
        <w:rPr>
          <w:rFonts w:hint="default" w:ascii="Times New Roman" w:hAnsi="Times New Roman" w:eastAsia="仿宋_GB2312"/>
          <w:sz w:val="32"/>
          <w:szCs w:val="32"/>
          <w:lang w:val="en"/>
        </w:rPr>
        <w:t>0</w:t>
      </w:r>
      <w:r>
        <w:rPr>
          <w:rFonts w:hint="eastAsia" w:ascii="Times New Roman" w:hAnsi="Times New Roman" w:eastAsia="仿宋_GB2312"/>
          <w:sz w:val="32"/>
          <w:szCs w:val="32"/>
        </w:rPr>
        <w:t>万元，占</w:t>
      </w:r>
      <w:r>
        <w:rPr>
          <w:rFonts w:hint="default" w:ascii="Times New Roman" w:hAnsi="Times New Roman" w:eastAsia="仿宋_GB2312"/>
          <w:sz w:val="32"/>
          <w:szCs w:val="32"/>
          <w:lang w:val="en"/>
        </w:rPr>
        <w:t>0</w:t>
      </w:r>
      <w:r>
        <w:rPr>
          <w:rFonts w:hint="eastAsia" w:ascii="Times New Roman" w:hAnsi="Times New Roman" w:eastAsia="仿宋_GB2312"/>
          <w:sz w:val="32"/>
          <w:szCs w:val="32"/>
        </w:rPr>
        <w:t>%；附属单位上缴收入</w:t>
      </w:r>
      <w:r>
        <w:rPr>
          <w:rFonts w:hint="default" w:ascii="Times New Roman" w:hAnsi="Times New Roman" w:eastAsia="仿宋_GB2312"/>
          <w:sz w:val="32"/>
          <w:szCs w:val="32"/>
          <w:lang w:val="en"/>
        </w:rPr>
        <w:t>0</w:t>
      </w:r>
      <w:r>
        <w:rPr>
          <w:rFonts w:hint="eastAsia" w:ascii="Times New Roman" w:hAnsi="Times New Roman" w:eastAsia="仿宋_GB2312"/>
          <w:sz w:val="32"/>
          <w:szCs w:val="32"/>
        </w:rPr>
        <w:t>万元，占</w:t>
      </w:r>
      <w:r>
        <w:rPr>
          <w:rFonts w:hint="default" w:ascii="Times New Roman" w:hAnsi="Times New Roman" w:eastAsia="仿宋_GB2312"/>
          <w:sz w:val="32"/>
          <w:szCs w:val="32"/>
          <w:lang w:val="en"/>
        </w:rPr>
        <w:t>0</w:t>
      </w:r>
      <w:r>
        <w:rPr>
          <w:rFonts w:hint="eastAsia" w:ascii="Times New Roman" w:hAnsi="Times New Roman" w:eastAsia="仿宋_GB2312"/>
          <w:sz w:val="32"/>
          <w:szCs w:val="32"/>
        </w:rPr>
        <w:t>%；其他收入</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w:t>
      </w:r>
    </w:p>
    <w:p w14:paraId="4350F6AE">
      <w:pPr>
        <w:pStyle w:val="16"/>
        <w:spacing w:line="600" w:lineRule="exact"/>
        <w:ind w:firstLine="640" w:firstLineChars="200"/>
        <w:rPr>
          <w:rFonts w:hAnsi="黑体"/>
          <w:bCs/>
          <w:sz w:val="32"/>
          <w:szCs w:val="32"/>
        </w:rPr>
      </w:pPr>
      <w:r>
        <w:rPr>
          <w:rFonts w:hint="eastAsia" w:hAnsi="黑体"/>
          <w:bCs/>
          <w:sz w:val="32"/>
          <w:szCs w:val="32"/>
        </w:rPr>
        <w:t>三、支出决算情况说明</w:t>
      </w:r>
    </w:p>
    <w:p w14:paraId="1E95589C">
      <w:pPr>
        <w:pStyle w:val="16"/>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lang w:eastAsia="zh-CN"/>
        </w:rPr>
        <w:t>2024</w:t>
      </w:r>
      <w:r>
        <w:rPr>
          <w:rFonts w:hint="eastAsia" w:ascii="Times New Roman" w:hAnsi="Times New Roman" w:eastAsia="仿宋_GB2312"/>
          <w:sz w:val="32"/>
          <w:szCs w:val="32"/>
        </w:rPr>
        <w:t>年度支出合计</w:t>
      </w:r>
      <w:r>
        <w:rPr>
          <w:rFonts w:hint="eastAsia" w:ascii="Times New Roman" w:hAnsi="Times New Roman" w:eastAsia="仿宋_GB2312"/>
          <w:sz w:val="32"/>
          <w:szCs w:val="32"/>
          <w:lang w:val="en-US" w:eastAsia="zh-CN"/>
        </w:rPr>
        <w:t>346.73</w:t>
      </w:r>
      <w:r>
        <w:rPr>
          <w:rFonts w:hint="eastAsia" w:ascii="Times New Roman" w:hAnsi="Times New Roman" w:eastAsia="仿宋_GB2312"/>
          <w:sz w:val="32"/>
          <w:szCs w:val="32"/>
        </w:rPr>
        <w:t>万元，其中：基本支出</w:t>
      </w:r>
      <w:r>
        <w:rPr>
          <w:rFonts w:hint="eastAsia" w:ascii="Times New Roman" w:hAnsi="Times New Roman" w:eastAsia="仿宋_GB2312"/>
          <w:sz w:val="32"/>
          <w:szCs w:val="32"/>
          <w:lang w:val="en-US" w:eastAsia="zh-CN"/>
        </w:rPr>
        <w:t>218.63</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63</w:t>
      </w:r>
      <w:r>
        <w:rPr>
          <w:rFonts w:hint="eastAsia" w:ascii="Times New Roman" w:hAnsi="Times New Roman" w:eastAsia="仿宋_GB2312"/>
          <w:sz w:val="32"/>
          <w:szCs w:val="32"/>
        </w:rPr>
        <w:t>%；项目支出</w:t>
      </w:r>
      <w:r>
        <w:rPr>
          <w:rFonts w:hint="eastAsia" w:ascii="Times New Roman" w:hAnsi="Times New Roman" w:eastAsia="仿宋_GB2312"/>
          <w:sz w:val="32"/>
          <w:szCs w:val="32"/>
          <w:lang w:val="en-US" w:eastAsia="zh-CN"/>
        </w:rPr>
        <w:t>128.1</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37</w:t>
      </w:r>
      <w:r>
        <w:rPr>
          <w:rFonts w:hint="eastAsia" w:ascii="Times New Roman" w:hAnsi="Times New Roman" w:eastAsia="仿宋_GB2312"/>
          <w:sz w:val="32"/>
          <w:szCs w:val="32"/>
        </w:rPr>
        <w:t>%；上缴上级支出</w:t>
      </w:r>
      <w:r>
        <w:rPr>
          <w:rFonts w:hint="default" w:ascii="Times New Roman" w:hAnsi="Times New Roman" w:eastAsia="仿宋_GB2312"/>
          <w:sz w:val="32"/>
          <w:szCs w:val="32"/>
          <w:lang w:val="en"/>
        </w:rPr>
        <w:t>0</w:t>
      </w:r>
      <w:r>
        <w:rPr>
          <w:rFonts w:hint="eastAsia" w:ascii="Times New Roman" w:hAnsi="Times New Roman" w:eastAsia="仿宋_GB2312"/>
          <w:sz w:val="32"/>
          <w:szCs w:val="32"/>
        </w:rPr>
        <w:t>万元，占</w:t>
      </w:r>
      <w:r>
        <w:rPr>
          <w:rFonts w:hint="default" w:ascii="Times New Roman" w:hAnsi="Times New Roman" w:eastAsia="仿宋_GB2312"/>
          <w:sz w:val="32"/>
          <w:szCs w:val="32"/>
          <w:lang w:val="en"/>
        </w:rPr>
        <w:t>0</w:t>
      </w:r>
      <w:r>
        <w:rPr>
          <w:rFonts w:hint="eastAsia" w:ascii="Times New Roman" w:hAnsi="Times New Roman" w:eastAsia="仿宋_GB2312"/>
          <w:sz w:val="32"/>
          <w:szCs w:val="32"/>
        </w:rPr>
        <w:t>%；经营支出</w:t>
      </w:r>
      <w:r>
        <w:rPr>
          <w:rFonts w:hint="default" w:ascii="Times New Roman" w:hAnsi="Times New Roman" w:eastAsia="仿宋_GB2312"/>
          <w:sz w:val="32"/>
          <w:szCs w:val="32"/>
          <w:lang w:val="en"/>
        </w:rPr>
        <w:t>0</w:t>
      </w:r>
      <w:r>
        <w:rPr>
          <w:rFonts w:hint="eastAsia" w:ascii="Times New Roman" w:hAnsi="Times New Roman" w:eastAsia="仿宋_GB2312"/>
          <w:sz w:val="32"/>
          <w:szCs w:val="32"/>
        </w:rPr>
        <w:t>万元，占</w:t>
      </w:r>
      <w:r>
        <w:rPr>
          <w:rFonts w:hint="default" w:ascii="Times New Roman" w:hAnsi="Times New Roman" w:eastAsia="仿宋_GB2312"/>
          <w:sz w:val="32"/>
          <w:szCs w:val="32"/>
          <w:lang w:val="en"/>
        </w:rPr>
        <w:t>0</w:t>
      </w:r>
      <w:r>
        <w:rPr>
          <w:rFonts w:hint="eastAsia" w:ascii="Times New Roman" w:hAnsi="Times New Roman" w:eastAsia="仿宋_GB2312"/>
          <w:sz w:val="32"/>
          <w:szCs w:val="32"/>
        </w:rPr>
        <w:t>%；对附属单位补助支出</w:t>
      </w:r>
      <w:r>
        <w:rPr>
          <w:rFonts w:hint="default" w:ascii="Times New Roman" w:hAnsi="Times New Roman" w:eastAsia="仿宋_GB2312"/>
          <w:sz w:val="32"/>
          <w:szCs w:val="32"/>
          <w:lang w:val="en"/>
        </w:rPr>
        <w:t>0</w:t>
      </w:r>
      <w:r>
        <w:rPr>
          <w:rFonts w:hint="eastAsia" w:ascii="Times New Roman" w:hAnsi="Times New Roman" w:eastAsia="仿宋_GB2312"/>
          <w:sz w:val="32"/>
          <w:szCs w:val="32"/>
        </w:rPr>
        <w:t>万元，占</w:t>
      </w:r>
      <w:r>
        <w:rPr>
          <w:rFonts w:hint="default" w:ascii="Times New Roman" w:hAnsi="Times New Roman" w:eastAsia="仿宋_GB2312"/>
          <w:sz w:val="32"/>
          <w:szCs w:val="32"/>
          <w:lang w:val="en"/>
        </w:rPr>
        <w:t>0</w:t>
      </w:r>
      <w:r>
        <w:rPr>
          <w:rFonts w:hint="eastAsia" w:ascii="Times New Roman" w:hAnsi="Times New Roman" w:eastAsia="仿宋_GB2312"/>
          <w:sz w:val="32"/>
          <w:szCs w:val="32"/>
        </w:rPr>
        <w:t>%。</w:t>
      </w:r>
    </w:p>
    <w:p w14:paraId="5FB8C4C5">
      <w:pPr>
        <w:pStyle w:val="16"/>
        <w:spacing w:line="600" w:lineRule="exact"/>
        <w:ind w:firstLine="640" w:firstLineChars="200"/>
        <w:rPr>
          <w:rFonts w:hAnsi="黑体"/>
          <w:bCs/>
          <w:sz w:val="32"/>
          <w:szCs w:val="32"/>
        </w:rPr>
      </w:pPr>
      <w:r>
        <w:rPr>
          <w:rFonts w:hint="eastAsia" w:hAnsi="黑体"/>
          <w:bCs/>
          <w:sz w:val="32"/>
          <w:szCs w:val="32"/>
        </w:rPr>
        <w:t>四、财政拨款收入支出决算总体情况说明</w:t>
      </w:r>
    </w:p>
    <w:p w14:paraId="5B732392">
      <w:pPr>
        <w:pStyle w:val="16"/>
        <w:spacing w:line="600" w:lineRule="exact"/>
        <w:rPr>
          <w:rFonts w:hint="default" w:ascii="Times New Roman" w:hAnsi="Times New Roman" w:eastAsia="仿宋_GB2312"/>
          <w:sz w:val="32"/>
          <w:szCs w:val="32"/>
          <w:lang w:val="en"/>
        </w:rPr>
      </w:pPr>
      <w:r>
        <w:rPr>
          <w:rFonts w:hint="eastAsia" w:ascii="Times New Roman" w:hAnsi="Times New Roman" w:eastAsia="仿宋_GB2312"/>
          <w:sz w:val="32"/>
          <w:szCs w:val="32"/>
        </w:rPr>
        <w:t xml:space="preserve">    </w:t>
      </w:r>
      <w:r>
        <w:rPr>
          <w:rFonts w:hint="eastAsia" w:ascii="Times New Roman" w:hAnsi="Times New Roman" w:eastAsia="仿宋_GB2312"/>
          <w:sz w:val="32"/>
          <w:szCs w:val="32"/>
          <w:lang w:eastAsia="zh-CN"/>
        </w:rPr>
        <w:t>2024</w:t>
      </w:r>
      <w:r>
        <w:rPr>
          <w:rFonts w:hint="eastAsia" w:ascii="Times New Roman" w:hAnsi="Times New Roman" w:eastAsia="仿宋_GB2312"/>
          <w:sz w:val="32"/>
          <w:szCs w:val="32"/>
        </w:rPr>
        <w:t>年度财政拨款收、支总计</w:t>
      </w:r>
      <w:r>
        <w:rPr>
          <w:rFonts w:hint="eastAsia" w:ascii="Times New Roman" w:hAnsi="Times New Roman" w:eastAsia="仿宋_GB2312"/>
          <w:sz w:val="32"/>
          <w:szCs w:val="32"/>
          <w:lang w:val="en-US" w:eastAsia="zh-CN"/>
        </w:rPr>
        <w:t>346.73</w:t>
      </w:r>
      <w:r>
        <w:rPr>
          <w:rFonts w:hint="eastAsia" w:ascii="Times New Roman" w:hAnsi="Times New Roman" w:eastAsia="仿宋_GB2312"/>
          <w:sz w:val="32"/>
          <w:szCs w:val="32"/>
        </w:rPr>
        <w:t>万元，与上年相比，</w:t>
      </w:r>
      <w:r>
        <w:rPr>
          <w:rFonts w:hint="eastAsia" w:ascii="Times New Roman" w:hAnsi="Times New Roman" w:eastAsia="仿宋_GB2312"/>
          <w:sz w:val="32"/>
          <w:szCs w:val="32"/>
          <w:lang w:eastAsia="zh-CN"/>
        </w:rPr>
        <w:t>减少</w:t>
      </w:r>
      <w:r>
        <w:rPr>
          <w:rFonts w:hint="eastAsia" w:ascii="Times New Roman" w:hAnsi="Times New Roman" w:eastAsia="仿宋_GB2312"/>
          <w:sz w:val="32"/>
          <w:szCs w:val="32"/>
          <w:lang w:val="en-US" w:eastAsia="zh-CN"/>
        </w:rPr>
        <w:t>281.86</w:t>
      </w:r>
      <w:r>
        <w:rPr>
          <w:rFonts w:hint="eastAsia" w:ascii="Times New Roman" w:hAnsi="Times New Roman" w:eastAsia="仿宋_GB2312"/>
          <w:sz w:val="32"/>
          <w:szCs w:val="32"/>
        </w:rPr>
        <w:t>万元,</w:t>
      </w:r>
      <w:r>
        <w:rPr>
          <w:rFonts w:hint="eastAsia" w:ascii="Times New Roman" w:hAnsi="Times New Roman" w:eastAsia="仿宋_GB2312"/>
          <w:sz w:val="32"/>
          <w:szCs w:val="32"/>
          <w:lang w:eastAsia="zh-CN"/>
        </w:rPr>
        <w:t>减少</w:t>
      </w:r>
      <w:r>
        <w:rPr>
          <w:rFonts w:hint="eastAsia" w:ascii="Times New Roman" w:hAnsi="Times New Roman" w:eastAsia="仿宋_GB2312"/>
          <w:sz w:val="32"/>
          <w:szCs w:val="32"/>
          <w:lang w:val="en-US" w:eastAsia="zh-CN"/>
        </w:rPr>
        <w:t>45</w:t>
      </w:r>
      <w:r>
        <w:rPr>
          <w:rFonts w:hint="eastAsia" w:ascii="Times New Roman" w:hAnsi="Times New Roman" w:eastAsia="仿宋_GB2312"/>
          <w:sz w:val="32"/>
          <w:szCs w:val="32"/>
        </w:rPr>
        <w:t>%，主要是因为</w:t>
      </w:r>
      <w:r>
        <w:rPr>
          <w:rFonts w:hint="eastAsia" w:ascii="Times New Roman" w:hAnsi="Times New Roman" w:eastAsia="仿宋_GB2312"/>
          <w:sz w:val="32"/>
          <w:szCs w:val="32"/>
          <w:lang w:eastAsia="zh-CN"/>
        </w:rPr>
        <w:t>项目</w:t>
      </w:r>
      <w:r>
        <w:rPr>
          <w:rFonts w:hint="eastAsia" w:ascii="Times New Roman" w:hAnsi="Times New Roman" w:eastAsia="仿宋_GB2312"/>
          <w:sz w:val="32"/>
          <w:szCs w:val="32"/>
          <w:lang w:val="en-US" w:eastAsia="zh-CN"/>
        </w:rPr>
        <w:t>经费减少。</w:t>
      </w:r>
    </w:p>
    <w:p w14:paraId="5D4332F9">
      <w:pPr>
        <w:pStyle w:val="16"/>
        <w:spacing w:line="600" w:lineRule="exact"/>
        <w:ind w:firstLine="640" w:firstLineChars="200"/>
        <w:rPr>
          <w:rFonts w:hAnsi="黑体"/>
          <w:bCs/>
          <w:sz w:val="32"/>
          <w:szCs w:val="32"/>
        </w:rPr>
      </w:pPr>
      <w:r>
        <w:rPr>
          <w:rFonts w:hint="eastAsia" w:hAnsi="黑体"/>
          <w:bCs/>
          <w:sz w:val="32"/>
          <w:szCs w:val="32"/>
        </w:rPr>
        <w:t>五、一般公共预算财政拨款支出决算情况说明</w:t>
      </w:r>
    </w:p>
    <w:p w14:paraId="38EB88C5">
      <w:pPr>
        <w:pStyle w:val="16"/>
        <w:spacing w:line="600" w:lineRule="exact"/>
        <w:ind w:firstLine="640" w:firstLineChars="200"/>
        <w:rPr>
          <w:rFonts w:ascii="楷体" w:hAnsi="楷体" w:eastAsia="楷体" w:cs="楷体"/>
          <w:bCs/>
          <w:sz w:val="32"/>
          <w:szCs w:val="32"/>
        </w:rPr>
      </w:pPr>
      <w:r>
        <w:rPr>
          <w:rFonts w:hint="eastAsia" w:ascii="楷体" w:hAnsi="楷体" w:eastAsia="楷体" w:cs="楷体"/>
          <w:bCs/>
          <w:sz w:val="32"/>
          <w:szCs w:val="32"/>
        </w:rPr>
        <w:t>（一）一般公共预算财政拨款支出决算总体情况</w:t>
      </w:r>
    </w:p>
    <w:p w14:paraId="4E28921F">
      <w:pPr>
        <w:pStyle w:val="16"/>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sz w:val="32"/>
          <w:szCs w:val="32"/>
        </w:rPr>
      </w:pPr>
      <w:r>
        <w:rPr>
          <w:rFonts w:hint="eastAsia" w:ascii="Times New Roman" w:hAnsi="Times New Roman" w:eastAsia="仿宋_GB2312"/>
          <w:sz w:val="32"/>
          <w:szCs w:val="32"/>
          <w:lang w:eastAsia="zh-CN"/>
        </w:rPr>
        <w:t>2024</w:t>
      </w:r>
      <w:r>
        <w:rPr>
          <w:rFonts w:hint="eastAsia" w:ascii="Times New Roman" w:hAnsi="Times New Roman" w:eastAsia="仿宋_GB2312"/>
          <w:sz w:val="32"/>
          <w:szCs w:val="32"/>
        </w:rPr>
        <w:t>年度财政拨款支出</w:t>
      </w:r>
      <w:r>
        <w:rPr>
          <w:rFonts w:hint="eastAsia" w:ascii="Times New Roman" w:hAnsi="Times New Roman" w:eastAsia="仿宋_GB2312"/>
          <w:sz w:val="32"/>
          <w:szCs w:val="32"/>
          <w:lang w:val="en-US" w:eastAsia="zh-CN"/>
        </w:rPr>
        <w:t>341.73</w:t>
      </w:r>
      <w:r>
        <w:rPr>
          <w:rFonts w:hint="eastAsia" w:ascii="Times New Roman" w:hAnsi="Times New Roman" w:eastAsia="仿宋_GB2312"/>
          <w:sz w:val="32"/>
          <w:szCs w:val="32"/>
        </w:rPr>
        <w:t>万元，占本年支出合计的</w:t>
      </w:r>
      <w:r>
        <w:rPr>
          <w:rFonts w:hint="eastAsia" w:ascii="Times New Roman" w:hAnsi="Times New Roman" w:eastAsia="仿宋_GB2312"/>
          <w:sz w:val="32"/>
          <w:szCs w:val="32"/>
          <w:lang w:val="en-US" w:eastAsia="zh-CN"/>
        </w:rPr>
        <w:t>99</w:t>
      </w:r>
      <w:r>
        <w:rPr>
          <w:rFonts w:hint="eastAsia" w:ascii="Times New Roman" w:hAnsi="Times New Roman" w:eastAsia="仿宋_GB2312"/>
          <w:sz w:val="32"/>
          <w:szCs w:val="32"/>
        </w:rPr>
        <w:t>%，与上年相比，财政拨款支出</w:t>
      </w:r>
      <w:r>
        <w:rPr>
          <w:rFonts w:hint="eastAsia" w:ascii="Times New Roman" w:hAnsi="Times New Roman" w:eastAsia="仿宋_GB2312"/>
          <w:sz w:val="32"/>
          <w:szCs w:val="32"/>
          <w:lang w:eastAsia="zh-CN"/>
        </w:rPr>
        <w:t>减少</w:t>
      </w:r>
      <w:r>
        <w:rPr>
          <w:rFonts w:hint="eastAsia" w:ascii="Times New Roman" w:hAnsi="Times New Roman" w:eastAsia="仿宋_GB2312"/>
          <w:sz w:val="32"/>
          <w:szCs w:val="32"/>
          <w:lang w:val="en-US" w:eastAsia="zh-CN"/>
        </w:rPr>
        <w:t>280</w:t>
      </w:r>
      <w:r>
        <w:rPr>
          <w:rFonts w:hint="eastAsia" w:ascii="Times New Roman" w:hAnsi="Times New Roman" w:eastAsia="仿宋_GB2312"/>
          <w:sz w:val="32"/>
          <w:szCs w:val="32"/>
        </w:rPr>
        <w:t>万元，</w:t>
      </w:r>
      <w:r>
        <w:rPr>
          <w:rFonts w:hint="eastAsia" w:ascii="Times New Roman" w:hAnsi="Times New Roman" w:eastAsia="仿宋_GB2312"/>
          <w:sz w:val="32"/>
          <w:szCs w:val="32"/>
          <w:lang w:eastAsia="zh-CN"/>
        </w:rPr>
        <w:t>减少</w:t>
      </w:r>
      <w:r>
        <w:rPr>
          <w:rFonts w:hint="eastAsia" w:ascii="Times New Roman" w:hAnsi="Times New Roman" w:eastAsia="仿宋_GB2312"/>
          <w:sz w:val="32"/>
          <w:szCs w:val="32"/>
          <w:lang w:val="en-US" w:eastAsia="zh-CN"/>
        </w:rPr>
        <w:t>45</w:t>
      </w:r>
      <w:r>
        <w:rPr>
          <w:rFonts w:hint="eastAsia" w:ascii="Times New Roman" w:hAnsi="Times New Roman" w:eastAsia="仿宋_GB2312"/>
          <w:sz w:val="32"/>
          <w:szCs w:val="32"/>
        </w:rPr>
        <w:t>%，主要是因为</w:t>
      </w:r>
      <w:r>
        <w:rPr>
          <w:rFonts w:hint="eastAsia" w:ascii="Times New Roman" w:hAnsi="Times New Roman" w:eastAsia="仿宋_GB2312"/>
          <w:sz w:val="32"/>
          <w:szCs w:val="32"/>
          <w:lang w:eastAsia="zh-CN"/>
        </w:rPr>
        <w:t>项目</w:t>
      </w:r>
      <w:r>
        <w:rPr>
          <w:rFonts w:hint="eastAsia" w:ascii="Times New Roman" w:hAnsi="Times New Roman" w:eastAsia="仿宋_GB2312"/>
          <w:sz w:val="32"/>
          <w:szCs w:val="32"/>
          <w:lang w:val="en-US" w:eastAsia="zh-CN"/>
        </w:rPr>
        <w:t>经费减少。</w:t>
      </w:r>
    </w:p>
    <w:p w14:paraId="07EA7A70">
      <w:pPr>
        <w:pStyle w:val="16"/>
        <w:spacing w:line="600" w:lineRule="exact"/>
        <w:ind w:firstLine="480" w:firstLineChars="150"/>
        <w:rPr>
          <w:rFonts w:ascii="楷体" w:hAnsi="楷体" w:eastAsia="楷体" w:cs="楷体"/>
          <w:bCs/>
          <w:sz w:val="32"/>
          <w:szCs w:val="32"/>
        </w:rPr>
      </w:pPr>
      <w:r>
        <w:rPr>
          <w:rFonts w:hint="eastAsia" w:ascii="楷体" w:hAnsi="楷体" w:eastAsia="楷体" w:cs="楷体"/>
          <w:bCs/>
          <w:sz w:val="32"/>
          <w:szCs w:val="32"/>
        </w:rPr>
        <w:t>（二）一般公共预算财政拨款支出决算结构情况</w:t>
      </w:r>
    </w:p>
    <w:p w14:paraId="39E41F1B">
      <w:pPr>
        <w:pStyle w:val="16"/>
        <w:keepNext w:val="0"/>
        <w:keepLines w:val="0"/>
        <w:pageBreakBefore w:val="0"/>
        <w:widowControl w:val="0"/>
        <w:kinsoku/>
        <w:wordWrap/>
        <w:overflowPunct/>
        <w:topLinePunct w:val="0"/>
        <w:bidi w:val="0"/>
        <w:snapToGrid/>
        <w:spacing w:line="600" w:lineRule="exact"/>
        <w:ind w:firstLine="640" w:firstLineChars="200"/>
        <w:textAlignment w:val="auto"/>
        <w:rPr>
          <w:rFonts w:hint="default" w:ascii="Times New Roman" w:hAnsi="Times New Roman" w:eastAsia="仿宋_GB2312"/>
          <w:sz w:val="32"/>
          <w:szCs w:val="32"/>
          <w:lang w:val="en-US"/>
        </w:rPr>
      </w:pPr>
      <w:r>
        <w:rPr>
          <w:rFonts w:hint="eastAsia" w:ascii="Times New Roman" w:hAnsi="Times New Roman" w:eastAsia="仿宋_GB2312"/>
          <w:sz w:val="32"/>
          <w:szCs w:val="32"/>
          <w:lang w:eastAsia="zh-CN"/>
        </w:rPr>
        <w:t>2024</w:t>
      </w:r>
      <w:r>
        <w:rPr>
          <w:rFonts w:hint="eastAsia" w:ascii="Times New Roman" w:hAnsi="Times New Roman" w:eastAsia="仿宋_GB2312"/>
          <w:sz w:val="32"/>
          <w:szCs w:val="32"/>
        </w:rPr>
        <w:t>年度财政拨款支出</w:t>
      </w:r>
      <w:r>
        <w:rPr>
          <w:rFonts w:hint="eastAsia" w:ascii="Times New Roman" w:hAnsi="Times New Roman" w:eastAsia="仿宋_GB2312"/>
          <w:sz w:val="32"/>
          <w:szCs w:val="32"/>
          <w:lang w:val="en-US" w:eastAsia="zh-CN"/>
        </w:rPr>
        <w:t>341.73</w:t>
      </w:r>
      <w:r>
        <w:rPr>
          <w:rFonts w:hint="eastAsia" w:ascii="Times New Roman" w:hAnsi="Times New Roman" w:eastAsia="仿宋_GB2312"/>
          <w:sz w:val="32"/>
          <w:szCs w:val="32"/>
        </w:rPr>
        <w:t>万元，主要用于以下方面：一般公共服务（类）支出</w:t>
      </w:r>
      <w:r>
        <w:rPr>
          <w:rFonts w:hint="eastAsia" w:ascii="Times New Roman" w:hAnsi="Times New Roman" w:eastAsia="仿宋_GB2312"/>
          <w:sz w:val="32"/>
          <w:szCs w:val="32"/>
          <w:lang w:val="en-US" w:eastAsia="zh-CN"/>
        </w:rPr>
        <w:t>207.95</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61</w:t>
      </w:r>
      <w:r>
        <w:rPr>
          <w:rFonts w:hint="eastAsia" w:ascii="Times New Roman" w:hAnsi="Times New Roman" w:eastAsia="仿宋_GB2312"/>
          <w:sz w:val="32"/>
          <w:szCs w:val="32"/>
        </w:rPr>
        <w:t>%；</w:t>
      </w:r>
      <w:r>
        <w:rPr>
          <w:rFonts w:hint="eastAsia" w:ascii="Times New Roman" w:hAnsi="Times New Roman" w:eastAsia="仿宋_GB2312"/>
          <w:sz w:val="32"/>
          <w:szCs w:val="32"/>
          <w:lang w:eastAsia="zh-CN"/>
        </w:rPr>
        <w:t>文化旅游体育与传媒支出</w:t>
      </w:r>
      <w:r>
        <w:rPr>
          <w:rFonts w:hint="eastAsia" w:ascii="Times New Roman" w:hAnsi="Times New Roman" w:eastAsia="仿宋_GB2312"/>
          <w:sz w:val="32"/>
          <w:szCs w:val="32"/>
        </w:rPr>
        <w:t>（类）支出</w:t>
      </w:r>
      <w:r>
        <w:rPr>
          <w:rFonts w:hint="eastAsia" w:ascii="Times New Roman" w:hAnsi="Times New Roman" w:eastAsia="仿宋_GB2312"/>
          <w:sz w:val="32"/>
          <w:szCs w:val="32"/>
          <w:lang w:val="en-US" w:eastAsia="zh-CN"/>
        </w:rPr>
        <w:t>56</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16</w:t>
      </w:r>
      <w:r>
        <w:rPr>
          <w:rFonts w:hint="eastAsia" w:ascii="Times New Roman" w:hAnsi="Times New Roman" w:eastAsia="仿宋_GB2312"/>
          <w:sz w:val="32"/>
          <w:szCs w:val="32"/>
        </w:rPr>
        <w:t>%;</w:t>
      </w:r>
      <w:r>
        <w:rPr>
          <w:rFonts w:hint="eastAsia" w:ascii="Times New Roman" w:hAnsi="Times New Roman" w:eastAsia="仿宋_GB2312"/>
          <w:sz w:val="32"/>
          <w:szCs w:val="32"/>
          <w:lang w:eastAsia="zh-CN"/>
        </w:rPr>
        <w:t>社会保障和就业支出</w:t>
      </w:r>
      <w:r>
        <w:rPr>
          <w:rFonts w:hint="eastAsia" w:ascii="Times New Roman" w:hAnsi="Times New Roman" w:eastAsia="仿宋_GB2312"/>
          <w:sz w:val="32"/>
          <w:szCs w:val="32"/>
          <w:lang w:val="en-US" w:eastAsia="zh-CN"/>
        </w:rPr>
        <w:t>55.35万元，</w:t>
      </w:r>
      <w:r>
        <w:rPr>
          <w:rFonts w:hint="eastAsia" w:ascii="Times New Roman" w:hAnsi="Times New Roman" w:eastAsia="仿宋_GB2312"/>
          <w:sz w:val="32"/>
          <w:szCs w:val="32"/>
        </w:rPr>
        <w:t>占</w:t>
      </w:r>
      <w:r>
        <w:rPr>
          <w:rFonts w:hint="eastAsia" w:ascii="Times New Roman" w:hAnsi="Times New Roman" w:eastAsia="仿宋_GB2312"/>
          <w:sz w:val="32"/>
          <w:szCs w:val="32"/>
          <w:lang w:val="en-US" w:eastAsia="zh-CN"/>
        </w:rPr>
        <w:t>16</w:t>
      </w:r>
      <w:r>
        <w:rPr>
          <w:rFonts w:hint="eastAsia" w:ascii="Times New Roman" w:hAnsi="Times New Roman" w:eastAsia="仿宋_GB2312"/>
          <w:sz w:val="32"/>
          <w:szCs w:val="32"/>
        </w:rPr>
        <w:t>%;</w:t>
      </w:r>
      <w:r>
        <w:rPr>
          <w:rFonts w:hint="eastAsia" w:ascii="Times New Roman" w:hAnsi="Times New Roman" w:eastAsia="仿宋_GB2312"/>
          <w:sz w:val="32"/>
          <w:szCs w:val="32"/>
          <w:lang w:val="en-US" w:eastAsia="zh-CN"/>
        </w:rPr>
        <w:t>卫生健康支出9.17万元，</w:t>
      </w:r>
      <w:r>
        <w:rPr>
          <w:rFonts w:hint="eastAsia" w:ascii="Times New Roman" w:hAnsi="Times New Roman" w:eastAsia="仿宋_GB2312"/>
          <w:sz w:val="32"/>
          <w:szCs w:val="32"/>
        </w:rPr>
        <w:t>占</w:t>
      </w: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rPr>
        <w:t>%</w:t>
      </w:r>
      <w:r>
        <w:rPr>
          <w:rFonts w:hint="eastAsia" w:ascii="Times New Roman" w:hAnsi="Times New Roman" w:eastAsia="仿宋_GB2312"/>
          <w:sz w:val="32"/>
          <w:szCs w:val="32"/>
          <w:lang w:eastAsia="zh-CN"/>
        </w:rPr>
        <w:t>；住房保障支出</w:t>
      </w:r>
      <w:r>
        <w:rPr>
          <w:rFonts w:hint="eastAsia" w:ascii="Times New Roman" w:hAnsi="Times New Roman" w:eastAsia="仿宋_GB2312"/>
          <w:sz w:val="32"/>
          <w:szCs w:val="32"/>
          <w:lang w:val="en-US" w:eastAsia="zh-CN"/>
        </w:rPr>
        <w:t>13.25万元，占4%。</w:t>
      </w:r>
    </w:p>
    <w:p w14:paraId="16A08E48">
      <w:pPr>
        <w:pStyle w:val="16"/>
        <w:spacing w:line="600" w:lineRule="exact"/>
        <w:ind w:firstLine="800" w:firstLineChars="250"/>
        <w:rPr>
          <w:rFonts w:ascii="楷体" w:hAnsi="楷体" w:eastAsia="楷体" w:cs="楷体"/>
          <w:bCs/>
          <w:sz w:val="32"/>
          <w:szCs w:val="32"/>
        </w:rPr>
      </w:pPr>
      <w:r>
        <w:rPr>
          <w:rFonts w:hint="eastAsia" w:ascii="楷体" w:hAnsi="楷体" w:eastAsia="楷体" w:cs="楷体"/>
          <w:bCs/>
          <w:sz w:val="32"/>
          <w:szCs w:val="32"/>
        </w:rPr>
        <w:t>（三）一般公共预算财政拨款支出决算具体情况</w:t>
      </w:r>
    </w:p>
    <w:p w14:paraId="6DFE7364">
      <w:pPr>
        <w:pStyle w:val="16"/>
        <w:spacing w:line="600" w:lineRule="exact"/>
        <w:ind w:firstLine="800" w:firstLineChars="250"/>
        <w:rPr>
          <w:rFonts w:ascii="Times New Roman" w:hAnsi="Times New Roman" w:eastAsia="仿宋_GB2312"/>
          <w:sz w:val="32"/>
          <w:szCs w:val="32"/>
        </w:rPr>
      </w:pPr>
      <w:r>
        <w:rPr>
          <w:rFonts w:hint="eastAsia" w:ascii="Times New Roman" w:hAnsi="Times New Roman" w:eastAsia="仿宋_GB2312"/>
          <w:sz w:val="32"/>
          <w:szCs w:val="32"/>
          <w:lang w:eastAsia="zh-CN"/>
        </w:rPr>
        <w:t>2024</w:t>
      </w:r>
      <w:r>
        <w:rPr>
          <w:rFonts w:hint="eastAsia" w:ascii="Times New Roman" w:hAnsi="Times New Roman" w:eastAsia="仿宋_GB2312"/>
          <w:sz w:val="32"/>
          <w:szCs w:val="32"/>
        </w:rPr>
        <w:t>年度财政拨款支出年初预算数为</w:t>
      </w:r>
      <w:r>
        <w:rPr>
          <w:rFonts w:hint="eastAsia" w:ascii="Times New Roman" w:hAnsi="Times New Roman" w:eastAsia="仿宋_GB2312"/>
          <w:sz w:val="32"/>
          <w:szCs w:val="32"/>
          <w:lang w:val="en-US" w:eastAsia="zh-CN"/>
        </w:rPr>
        <w:t>263.19</w:t>
      </w:r>
      <w:r>
        <w:rPr>
          <w:rFonts w:hint="eastAsia" w:ascii="Times New Roman" w:hAnsi="Times New Roman" w:eastAsia="仿宋_GB2312"/>
          <w:sz w:val="32"/>
          <w:szCs w:val="32"/>
        </w:rPr>
        <w:t>万元，支出决算数为</w:t>
      </w:r>
      <w:r>
        <w:rPr>
          <w:rFonts w:hint="eastAsia" w:ascii="Times New Roman" w:hAnsi="Times New Roman" w:eastAsia="仿宋_GB2312"/>
          <w:sz w:val="32"/>
          <w:szCs w:val="32"/>
          <w:lang w:val="en-US" w:eastAsia="zh-CN"/>
        </w:rPr>
        <w:t>346.73</w:t>
      </w:r>
      <w:r>
        <w:rPr>
          <w:rFonts w:hint="eastAsia" w:ascii="Times New Roman" w:hAnsi="Times New Roman" w:eastAsia="仿宋_GB2312"/>
          <w:sz w:val="32"/>
          <w:szCs w:val="32"/>
        </w:rPr>
        <w:t>万元，完成年初预算的</w:t>
      </w:r>
      <w:r>
        <w:rPr>
          <w:rFonts w:hint="eastAsia" w:ascii="Times New Roman" w:hAnsi="Times New Roman" w:eastAsia="仿宋_GB2312"/>
          <w:sz w:val="32"/>
          <w:szCs w:val="32"/>
          <w:lang w:val="en-US" w:eastAsia="zh-CN"/>
        </w:rPr>
        <w:t>132</w:t>
      </w:r>
      <w:r>
        <w:rPr>
          <w:rFonts w:hint="eastAsia" w:ascii="Times New Roman" w:hAnsi="Times New Roman" w:eastAsia="仿宋_GB2312"/>
          <w:sz w:val="32"/>
          <w:szCs w:val="32"/>
        </w:rPr>
        <w:t>%，</w:t>
      </w:r>
      <w:r>
        <w:rPr>
          <w:rFonts w:hint="eastAsia" w:ascii="Times New Roman" w:hAnsi="Times New Roman" w:eastAsia="仿宋_GB2312"/>
          <w:sz w:val="32"/>
          <w:szCs w:val="32"/>
          <w:lang w:eastAsia="zh-CN"/>
        </w:rPr>
        <w:t>调整预算追加</w:t>
      </w:r>
      <w:r>
        <w:rPr>
          <w:rFonts w:hint="eastAsia" w:ascii="Times New Roman" w:hAnsi="Times New Roman" w:eastAsia="仿宋_GB2312"/>
          <w:sz w:val="32"/>
          <w:szCs w:val="32"/>
          <w:lang w:val="en-US" w:eastAsia="zh-CN"/>
        </w:rPr>
        <w:t>83.54万元，</w:t>
      </w:r>
      <w:r>
        <w:rPr>
          <w:rFonts w:hint="eastAsia" w:ascii="Times New Roman" w:hAnsi="Times New Roman" w:eastAsia="仿宋_GB2312"/>
          <w:sz w:val="32"/>
          <w:szCs w:val="32"/>
        </w:rPr>
        <w:t>其中：</w:t>
      </w:r>
    </w:p>
    <w:p w14:paraId="5461896A">
      <w:pPr>
        <w:pStyle w:val="16"/>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sz w:val="32"/>
          <w:szCs w:val="32"/>
        </w:rPr>
      </w:pPr>
      <w:r>
        <w:rPr>
          <w:rFonts w:hint="eastAsia" w:ascii="Times New Roman" w:hAnsi="Times New Roman" w:eastAsia="仿宋_GB2312"/>
          <w:sz w:val="32"/>
          <w:szCs w:val="32"/>
        </w:rPr>
        <w:t>1、一般公共服务（类）</w:t>
      </w:r>
      <w:r>
        <w:rPr>
          <w:rFonts w:hint="eastAsia" w:ascii="Times New Roman" w:hAnsi="Times New Roman" w:eastAsia="仿宋_GB2312"/>
          <w:sz w:val="32"/>
          <w:szCs w:val="32"/>
          <w:lang w:eastAsia="zh-CN"/>
        </w:rPr>
        <w:t>群众团体事务</w:t>
      </w:r>
      <w:r>
        <w:rPr>
          <w:rFonts w:hint="eastAsia" w:ascii="Times New Roman" w:hAnsi="Times New Roman" w:eastAsia="仿宋_GB2312"/>
          <w:sz w:val="32"/>
          <w:szCs w:val="32"/>
        </w:rPr>
        <w:t>（款）</w:t>
      </w:r>
      <w:r>
        <w:rPr>
          <w:rFonts w:hint="eastAsia" w:ascii="Times New Roman" w:hAnsi="Times New Roman" w:eastAsia="仿宋_GB2312"/>
          <w:sz w:val="32"/>
          <w:szCs w:val="32"/>
          <w:lang w:eastAsia="zh-CN"/>
        </w:rPr>
        <w:t>行政运行</w:t>
      </w:r>
      <w:r>
        <w:rPr>
          <w:rFonts w:hint="eastAsia" w:ascii="Times New Roman" w:hAnsi="Times New Roman" w:eastAsia="仿宋_GB2312"/>
          <w:sz w:val="32"/>
          <w:szCs w:val="32"/>
        </w:rPr>
        <w:t>（项）。</w:t>
      </w:r>
    </w:p>
    <w:p w14:paraId="2E564AAE">
      <w:pPr>
        <w:pStyle w:val="16"/>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sz w:val="32"/>
          <w:szCs w:val="32"/>
          <w:lang w:eastAsia="zh-CN"/>
        </w:rPr>
      </w:pPr>
      <w:r>
        <w:rPr>
          <w:rFonts w:hint="eastAsia" w:ascii="Times New Roman" w:hAnsi="Times New Roman" w:eastAsia="仿宋_GB2312"/>
          <w:sz w:val="32"/>
          <w:szCs w:val="32"/>
        </w:rPr>
        <w:t>年初预算为</w:t>
      </w:r>
      <w:r>
        <w:rPr>
          <w:rFonts w:hint="eastAsia" w:ascii="Times New Roman" w:hAnsi="Times New Roman" w:eastAsia="仿宋_GB2312"/>
          <w:sz w:val="32"/>
          <w:szCs w:val="32"/>
          <w:lang w:val="en-US" w:eastAsia="zh-CN"/>
        </w:rPr>
        <w:t>165.41</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140.85</w:t>
      </w:r>
      <w:r>
        <w:rPr>
          <w:rFonts w:hint="eastAsia" w:ascii="Times New Roman" w:hAnsi="Times New Roman" w:eastAsia="仿宋_GB2312"/>
          <w:sz w:val="32"/>
          <w:szCs w:val="32"/>
        </w:rPr>
        <w:t>万元，完成年初预算的</w:t>
      </w:r>
      <w:r>
        <w:rPr>
          <w:rFonts w:hint="eastAsia" w:ascii="Times New Roman" w:hAnsi="Times New Roman" w:eastAsia="仿宋_GB2312"/>
          <w:sz w:val="32"/>
          <w:szCs w:val="32"/>
          <w:lang w:val="en-US" w:eastAsia="zh-CN"/>
        </w:rPr>
        <w:t>85</w:t>
      </w:r>
      <w:r>
        <w:rPr>
          <w:rFonts w:hint="eastAsia" w:ascii="Times New Roman" w:hAnsi="Times New Roman" w:eastAsia="仿宋_GB2312"/>
          <w:sz w:val="32"/>
          <w:szCs w:val="32"/>
        </w:rPr>
        <w:t>%，决算数</w:t>
      </w:r>
      <w:r>
        <w:rPr>
          <w:rFonts w:hint="eastAsia" w:ascii="Times New Roman" w:hAnsi="Times New Roman" w:eastAsia="仿宋_GB2312"/>
          <w:sz w:val="32"/>
          <w:szCs w:val="32"/>
          <w:lang w:eastAsia="zh-CN"/>
        </w:rPr>
        <w:t>小</w:t>
      </w:r>
      <w:r>
        <w:rPr>
          <w:rFonts w:hint="eastAsia" w:ascii="Times New Roman" w:hAnsi="Times New Roman" w:eastAsia="仿宋_GB2312"/>
          <w:sz w:val="32"/>
          <w:szCs w:val="32"/>
        </w:rPr>
        <w:t>于年初预算数的主要原因是：</w:t>
      </w:r>
      <w:r>
        <w:rPr>
          <w:rFonts w:hint="eastAsia" w:ascii="Times New Roman" w:hAnsi="Times New Roman" w:eastAsia="仿宋_GB2312"/>
          <w:sz w:val="32"/>
          <w:szCs w:val="32"/>
          <w:lang w:eastAsia="zh-CN"/>
        </w:rPr>
        <w:t>决算开支调整。</w:t>
      </w:r>
    </w:p>
    <w:p w14:paraId="07B0BDB3">
      <w:pPr>
        <w:pStyle w:val="16"/>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sz w:val="32"/>
          <w:szCs w:val="32"/>
        </w:rPr>
      </w:pPr>
      <w:r>
        <w:rPr>
          <w:rFonts w:hint="eastAsia" w:ascii="Times New Roman" w:hAnsi="Times New Roman" w:eastAsia="仿宋_GB2312"/>
          <w:sz w:val="32"/>
          <w:szCs w:val="32"/>
        </w:rPr>
        <w:t>2、一般公共服务（类）</w:t>
      </w:r>
      <w:r>
        <w:rPr>
          <w:rFonts w:hint="eastAsia" w:ascii="Times New Roman" w:hAnsi="Times New Roman" w:eastAsia="仿宋_GB2312"/>
          <w:sz w:val="32"/>
          <w:szCs w:val="32"/>
          <w:lang w:eastAsia="zh-CN"/>
        </w:rPr>
        <w:t>群众团体事务</w:t>
      </w:r>
      <w:r>
        <w:rPr>
          <w:rFonts w:hint="eastAsia" w:ascii="Times New Roman" w:hAnsi="Times New Roman" w:eastAsia="仿宋_GB2312"/>
          <w:sz w:val="32"/>
          <w:szCs w:val="32"/>
        </w:rPr>
        <w:t>（款）</w:t>
      </w:r>
      <w:r>
        <w:rPr>
          <w:rFonts w:hint="eastAsia" w:ascii="Times New Roman" w:hAnsi="Times New Roman" w:eastAsia="仿宋_GB2312"/>
          <w:sz w:val="32"/>
          <w:szCs w:val="32"/>
          <w:lang w:eastAsia="zh-CN"/>
        </w:rPr>
        <w:t>一般行政管理事务</w:t>
      </w:r>
      <w:r>
        <w:rPr>
          <w:rFonts w:hint="eastAsia" w:ascii="Times New Roman" w:hAnsi="Times New Roman" w:eastAsia="仿宋_GB2312"/>
          <w:sz w:val="32"/>
          <w:szCs w:val="32"/>
        </w:rPr>
        <w:t>（项）。</w:t>
      </w:r>
    </w:p>
    <w:p w14:paraId="208D9D6F">
      <w:pPr>
        <w:pStyle w:val="16"/>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t>年初预算为</w:t>
      </w:r>
      <w:r>
        <w:rPr>
          <w:rFonts w:hint="eastAsia" w:ascii="Times New Roman" w:hAnsi="Times New Roman" w:eastAsia="仿宋_GB2312"/>
          <w:sz w:val="32"/>
          <w:szCs w:val="32"/>
          <w:lang w:val="en-US" w:eastAsia="zh-CN"/>
        </w:rPr>
        <w:t>2.4</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万元，完成年初预算的</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%，决算数小于年初预算数的主要原因是：</w:t>
      </w:r>
      <w:r>
        <w:rPr>
          <w:rFonts w:hint="eastAsia" w:ascii="Times New Roman" w:hAnsi="Times New Roman" w:eastAsia="仿宋_GB2312"/>
          <w:sz w:val="32"/>
          <w:szCs w:val="32"/>
          <w:lang w:eastAsia="zh-CN"/>
        </w:rPr>
        <w:t>决算开支调整</w:t>
      </w:r>
    </w:p>
    <w:p w14:paraId="6CDC568A">
      <w:pPr>
        <w:pStyle w:val="16"/>
        <w:keepNext w:val="0"/>
        <w:keepLines w:val="0"/>
        <w:pageBreakBefore w:val="0"/>
        <w:widowControl w:val="0"/>
        <w:kinsoku/>
        <w:wordWrap/>
        <w:overflowPunct/>
        <w:topLinePunct w:val="0"/>
        <w:bidi w:val="0"/>
        <w:snapToGrid/>
        <w:spacing w:line="600" w:lineRule="exact"/>
        <w:ind w:firstLine="800" w:firstLineChars="250"/>
        <w:textAlignment w:val="auto"/>
        <w:rPr>
          <w:rFonts w:ascii="Times New Roman" w:hAnsi="Times New Roman" w:eastAsia="仿宋_GB2312"/>
          <w:sz w:val="32"/>
          <w:szCs w:val="32"/>
        </w:rPr>
      </w:pP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rPr>
        <w:t>、一般公共服务（类）</w:t>
      </w:r>
      <w:r>
        <w:rPr>
          <w:rFonts w:hint="eastAsia" w:ascii="Times New Roman" w:hAnsi="Times New Roman" w:eastAsia="仿宋_GB2312"/>
          <w:sz w:val="32"/>
          <w:szCs w:val="32"/>
          <w:lang w:eastAsia="zh-CN"/>
        </w:rPr>
        <w:t>群众团体事务</w:t>
      </w:r>
      <w:r>
        <w:rPr>
          <w:rFonts w:hint="eastAsia" w:ascii="Times New Roman" w:hAnsi="Times New Roman" w:eastAsia="仿宋_GB2312"/>
          <w:sz w:val="32"/>
          <w:szCs w:val="32"/>
        </w:rPr>
        <w:t>（款）</w:t>
      </w:r>
      <w:r>
        <w:rPr>
          <w:rFonts w:hint="eastAsia" w:ascii="Times New Roman" w:hAnsi="Times New Roman" w:eastAsia="仿宋_GB2312"/>
          <w:sz w:val="32"/>
          <w:szCs w:val="32"/>
          <w:lang w:eastAsia="zh-CN"/>
        </w:rPr>
        <w:t>事业运行</w:t>
      </w:r>
      <w:r>
        <w:rPr>
          <w:rFonts w:hint="eastAsia" w:ascii="Times New Roman" w:hAnsi="Times New Roman" w:eastAsia="仿宋_GB2312"/>
          <w:sz w:val="32"/>
          <w:szCs w:val="32"/>
        </w:rPr>
        <w:t>（项）。</w:t>
      </w:r>
    </w:p>
    <w:p w14:paraId="044A3592">
      <w:pPr>
        <w:pStyle w:val="16"/>
        <w:keepNext w:val="0"/>
        <w:keepLines w:val="0"/>
        <w:pageBreakBefore w:val="0"/>
        <w:widowControl w:val="0"/>
        <w:kinsoku/>
        <w:wordWrap/>
        <w:overflowPunct/>
        <w:topLinePunct w:val="0"/>
        <w:bidi w:val="0"/>
        <w:snapToGrid/>
        <w:spacing w:line="600" w:lineRule="exact"/>
        <w:ind w:firstLine="800" w:firstLineChars="250"/>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t>年初预算为</w:t>
      </w:r>
      <w:r>
        <w:rPr>
          <w:rFonts w:hint="eastAsia" w:ascii="Times New Roman" w:hAnsi="Times New Roman" w:eastAsia="仿宋_GB2312"/>
          <w:sz w:val="32"/>
          <w:szCs w:val="32"/>
          <w:lang w:val="en-US" w:eastAsia="zh-CN"/>
        </w:rPr>
        <w:t>20</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万元，完成年初预算的</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%，决算数小于年初预算数的主要原因是：</w:t>
      </w:r>
      <w:r>
        <w:rPr>
          <w:rFonts w:hint="eastAsia" w:ascii="Times New Roman" w:hAnsi="Times New Roman" w:eastAsia="仿宋_GB2312"/>
          <w:sz w:val="32"/>
          <w:szCs w:val="32"/>
          <w:lang w:eastAsia="zh-CN"/>
        </w:rPr>
        <w:t>决算开支调整</w:t>
      </w:r>
    </w:p>
    <w:p w14:paraId="14D6B6A4">
      <w:pPr>
        <w:pStyle w:val="16"/>
        <w:spacing w:line="600" w:lineRule="exact"/>
        <w:ind w:firstLine="640" w:firstLineChars="200"/>
        <w:rPr>
          <w:rFonts w:hAnsi="黑体"/>
          <w:bCs/>
          <w:sz w:val="32"/>
          <w:szCs w:val="32"/>
        </w:rPr>
      </w:pPr>
      <w:r>
        <w:rPr>
          <w:rFonts w:hint="eastAsia" w:hAnsi="黑体"/>
          <w:bCs/>
          <w:sz w:val="32"/>
          <w:szCs w:val="32"/>
        </w:rPr>
        <w:t>六、一般公共预算财政拨款基本支出决算情况说明</w:t>
      </w:r>
    </w:p>
    <w:p w14:paraId="0A8E81C1">
      <w:pPr>
        <w:pStyle w:val="16"/>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lang w:eastAsia="zh-CN"/>
        </w:rPr>
        <w:t>2024</w:t>
      </w:r>
      <w:r>
        <w:rPr>
          <w:rFonts w:hint="eastAsia" w:ascii="Times New Roman" w:hAnsi="Times New Roman" w:eastAsia="仿宋_GB2312"/>
          <w:sz w:val="32"/>
          <w:szCs w:val="32"/>
        </w:rPr>
        <w:t>年度财政拨款基本支出</w:t>
      </w:r>
      <w:r>
        <w:rPr>
          <w:rFonts w:hint="eastAsia" w:ascii="Times New Roman" w:hAnsi="Times New Roman" w:eastAsia="仿宋_GB2312"/>
          <w:sz w:val="32"/>
          <w:szCs w:val="32"/>
          <w:lang w:val="en-US" w:eastAsia="zh-CN"/>
        </w:rPr>
        <w:t>218.63</w:t>
      </w:r>
      <w:r>
        <w:rPr>
          <w:rFonts w:hint="eastAsia" w:ascii="Times New Roman" w:hAnsi="Times New Roman" w:eastAsia="仿宋_GB2312"/>
          <w:sz w:val="32"/>
          <w:szCs w:val="32"/>
        </w:rPr>
        <w:t>万元，其中：</w:t>
      </w:r>
    </w:p>
    <w:p w14:paraId="722D0225">
      <w:pPr>
        <w:pStyle w:val="16"/>
        <w:spacing w:line="60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b/>
          <w:bCs/>
          <w:sz w:val="32"/>
          <w:szCs w:val="32"/>
        </w:rPr>
        <w:t>人员经费</w:t>
      </w:r>
      <w:r>
        <w:rPr>
          <w:rFonts w:hint="eastAsia" w:ascii="Times New Roman" w:hAnsi="Times New Roman" w:eastAsia="仿宋_GB2312"/>
          <w:sz w:val="32"/>
          <w:szCs w:val="32"/>
          <w:lang w:val="en-US" w:eastAsia="zh-CN"/>
        </w:rPr>
        <w:t>201.76</w:t>
      </w:r>
      <w:r>
        <w:rPr>
          <w:rFonts w:hint="eastAsia" w:ascii="Times New Roman" w:hAnsi="Times New Roman" w:eastAsia="仿宋_GB2312"/>
          <w:sz w:val="32"/>
          <w:szCs w:val="32"/>
        </w:rPr>
        <w:t>万元，占基本支出的</w:t>
      </w:r>
      <w:r>
        <w:rPr>
          <w:rFonts w:hint="eastAsia" w:ascii="Times New Roman" w:hAnsi="Times New Roman" w:eastAsia="仿宋_GB2312"/>
          <w:sz w:val="32"/>
          <w:szCs w:val="32"/>
          <w:lang w:val="en-US" w:eastAsia="zh-CN"/>
        </w:rPr>
        <w:t>92</w:t>
      </w:r>
      <w:r>
        <w:rPr>
          <w:rFonts w:hint="eastAsia" w:ascii="Times New Roman" w:hAnsi="Times New Roman" w:eastAsia="仿宋_GB2312"/>
          <w:sz w:val="32"/>
          <w:szCs w:val="32"/>
        </w:rPr>
        <w:t>%,主要包括基本工资、津贴补贴、奖金、</w:t>
      </w:r>
      <w:r>
        <w:rPr>
          <w:rFonts w:hint="eastAsia" w:ascii="Times New Roman" w:hAnsi="Times New Roman" w:eastAsia="仿宋_GB2312"/>
          <w:sz w:val="32"/>
          <w:szCs w:val="32"/>
          <w:lang w:eastAsia="zh-CN"/>
        </w:rPr>
        <w:t>机关事业单位基本养老保险缴费、职工基本医疗保险缴费、其他社会保障缴费、对个人和家庭的补助、生活补助等</w:t>
      </w:r>
      <w:r>
        <w:rPr>
          <w:rFonts w:hint="eastAsia" w:ascii="Times New Roman" w:hAnsi="Times New Roman" w:eastAsia="仿宋_GB2312"/>
          <w:sz w:val="32"/>
          <w:szCs w:val="32"/>
        </w:rPr>
        <w:t>。</w:t>
      </w:r>
    </w:p>
    <w:p w14:paraId="30B0A1B4">
      <w:pPr>
        <w:pStyle w:val="16"/>
        <w:spacing w:line="600" w:lineRule="exact"/>
        <w:ind w:firstLine="640" w:firstLineChars="200"/>
        <w:rPr>
          <w:rFonts w:hint="eastAsia" w:ascii="Times New Roman" w:hAnsi="Times New Roman" w:eastAsia="仿宋_GB2312"/>
          <w:sz w:val="32"/>
          <w:szCs w:val="32"/>
          <w:lang w:eastAsia="zh-CN"/>
        </w:rPr>
      </w:pPr>
      <w:r>
        <w:rPr>
          <w:rFonts w:hint="eastAsia" w:ascii="Times New Roman" w:hAnsi="Times New Roman" w:eastAsia="仿宋_GB2312"/>
          <w:b/>
          <w:bCs/>
          <w:sz w:val="32"/>
          <w:szCs w:val="32"/>
        </w:rPr>
        <w:t>公用经费</w:t>
      </w:r>
      <w:r>
        <w:rPr>
          <w:rFonts w:hint="eastAsia" w:ascii="Times New Roman" w:hAnsi="Times New Roman" w:eastAsia="仿宋_GB2312"/>
          <w:sz w:val="32"/>
          <w:szCs w:val="32"/>
          <w:lang w:val="en-US" w:eastAsia="zh-CN"/>
        </w:rPr>
        <w:t>16.87</w:t>
      </w:r>
      <w:r>
        <w:rPr>
          <w:rFonts w:hint="eastAsia" w:ascii="Times New Roman" w:hAnsi="Times New Roman" w:eastAsia="仿宋_GB2312"/>
          <w:sz w:val="32"/>
          <w:szCs w:val="32"/>
        </w:rPr>
        <w:t>万元，占基本支出的</w:t>
      </w:r>
      <w:r>
        <w:rPr>
          <w:rFonts w:hint="eastAsia" w:ascii="Times New Roman" w:hAnsi="Times New Roman" w:eastAsia="仿宋_GB2312"/>
          <w:sz w:val="32"/>
          <w:szCs w:val="32"/>
          <w:lang w:val="en-US" w:eastAsia="zh-CN"/>
        </w:rPr>
        <w:t>8</w:t>
      </w:r>
      <w:r>
        <w:rPr>
          <w:rFonts w:hint="eastAsia" w:ascii="Times New Roman" w:hAnsi="Times New Roman" w:eastAsia="仿宋_GB2312"/>
          <w:sz w:val="32"/>
          <w:szCs w:val="32"/>
        </w:rPr>
        <w:t>%，主要包括办公费、印刷费、</w:t>
      </w:r>
      <w:r>
        <w:rPr>
          <w:rFonts w:hint="eastAsia" w:ascii="Times New Roman" w:hAnsi="Times New Roman" w:eastAsia="仿宋_GB2312"/>
          <w:sz w:val="32"/>
          <w:szCs w:val="32"/>
          <w:lang w:eastAsia="zh-CN"/>
        </w:rPr>
        <w:t>委托业务费</w:t>
      </w:r>
      <w:r>
        <w:rPr>
          <w:rFonts w:hint="eastAsia" w:ascii="Times New Roman" w:hAnsi="Times New Roman" w:eastAsia="仿宋_GB2312"/>
          <w:sz w:val="32"/>
          <w:szCs w:val="32"/>
        </w:rPr>
        <w:t>、</w:t>
      </w:r>
      <w:r>
        <w:rPr>
          <w:rFonts w:hint="eastAsia" w:ascii="Times New Roman" w:hAnsi="Times New Roman" w:eastAsia="仿宋_GB2312"/>
          <w:sz w:val="32"/>
          <w:szCs w:val="32"/>
          <w:lang w:eastAsia="zh-CN"/>
        </w:rPr>
        <w:t>工会经费、福利费、公务接待费、培训费、其他交通费用、其他商品和服务支出等。</w:t>
      </w:r>
    </w:p>
    <w:p w14:paraId="3AFC26E1">
      <w:pPr>
        <w:pStyle w:val="16"/>
        <w:numPr>
          <w:ilvl w:val="0"/>
          <w:numId w:val="2"/>
        </w:numPr>
        <w:spacing w:line="600" w:lineRule="exact"/>
        <w:ind w:firstLine="640" w:firstLineChars="200"/>
        <w:rPr>
          <w:rFonts w:hint="eastAsia" w:hAnsi="黑体"/>
          <w:bCs/>
          <w:sz w:val="32"/>
          <w:szCs w:val="32"/>
        </w:rPr>
      </w:pPr>
      <w:r>
        <w:rPr>
          <w:rFonts w:hint="eastAsia" w:hAnsi="黑体"/>
          <w:bCs/>
          <w:sz w:val="32"/>
          <w:szCs w:val="32"/>
        </w:rPr>
        <w:t>财政拨款三公经费支出决算情况说明</w:t>
      </w:r>
    </w:p>
    <w:p w14:paraId="096770EC">
      <w:pPr>
        <w:pStyle w:val="16"/>
        <w:numPr>
          <w:ilvl w:val="0"/>
          <w:numId w:val="0"/>
        </w:numPr>
        <w:spacing w:line="600" w:lineRule="exact"/>
        <w:ind w:firstLine="640" w:firstLineChars="200"/>
        <w:rPr>
          <w:rFonts w:ascii="楷体" w:hAnsi="楷体" w:eastAsia="楷体" w:cs="楷体"/>
          <w:b/>
          <w:sz w:val="32"/>
          <w:szCs w:val="32"/>
        </w:rPr>
      </w:pPr>
      <w:r>
        <w:rPr>
          <w:rFonts w:hint="eastAsia" w:ascii="楷体" w:hAnsi="楷体" w:eastAsia="楷体" w:cs="楷体"/>
          <w:b/>
          <w:sz w:val="32"/>
          <w:szCs w:val="32"/>
        </w:rPr>
        <w:t>（一）“三公”经费财政拨款支出决算总体情况说明</w:t>
      </w:r>
    </w:p>
    <w:p w14:paraId="101F4FA7">
      <w:pPr>
        <w:pStyle w:val="16"/>
        <w:spacing w:line="600" w:lineRule="exact"/>
        <w:ind w:firstLine="800" w:firstLineChars="250"/>
        <w:rPr>
          <w:rFonts w:ascii="Times New Roman" w:hAnsi="Times New Roman" w:eastAsia="仿宋_GB2312"/>
          <w:sz w:val="32"/>
          <w:szCs w:val="32"/>
        </w:rPr>
      </w:pPr>
      <w:r>
        <w:rPr>
          <w:rFonts w:hint="eastAsia" w:ascii="Times New Roman" w:hAnsi="Times New Roman" w:eastAsia="仿宋_GB2312"/>
          <w:sz w:val="32"/>
          <w:szCs w:val="32"/>
        </w:rPr>
        <w:t>“三公”经费财政拨款支出预算为</w:t>
      </w:r>
      <w:r>
        <w:rPr>
          <w:rFonts w:hint="eastAsia" w:ascii="Times New Roman" w:hAnsi="Times New Roman" w:eastAsia="仿宋_GB2312"/>
          <w:sz w:val="32"/>
          <w:szCs w:val="32"/>
          <w:lang w:val="en-US" w:eastAsia="zh-CN"/>
        </w:rPr>
        <w:t>0.36</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0.22</w:t>
      </w:r>
      <w:r>
        <w:rPr>
          <w:rFonts w:hint="eastAsia" w:ascii="Times New Roman" w:hAnsi="Times New Roman" w:eastAsia="仿宋_GB2312"/>
          <w:sz w:val="32"/>
          <w:szCs w:val="32"/>
        </w:rPr>
        <w:t>万元，完成预算的</w:t>
      </w:r>
      <w:r>
        <w:rPr>
          <w:rFonts w:hint="eastAsia" w:ascii="Times New Roman" w:hAnsi="Times New Roman" w:eastAsia="仿宋_GB2312"/>
          <w:sz w:val="32"/>
          <w:szCs w:val="32"/>
          <w:lang w:val="en-US" w:eastAsia="zh-CN"/>
        </w:rPr>
        <w:t>61</w:t>
      </w:r>
      <w:r>
        <w:rPr>
          <w:rFonts w:hint="eastAsia" w:ascii="Times New Roman" w:hAnsi="Times New Roman" w:eastAsia="仿宋_GB2312"/>
          <w:sz w:val="32"/>
          <w:szCs w:val="32"/>
        </w:rPr>
        <w:t>%，决算数小于预算数的主要原因是</w:t>
      </w:r>
      <w:r>
        <w:rPr>
          <w:rFonts w:hint="eastAsia" w:ascii="Times New Roman" w:hAnsi="Times New Roman" w:eastAsia="仿宋_GB2312"/>
          <w:sz w:val="32"/>
          <w:szCs w:val="32"/>
          <w:lang w:eastAsia="zh-CN"/>
        </w:rPr>
        <w:t>励行节约</w:t>
      </w:r>
      <w:r>
        <w:rPr>
          <w:rFonts w:hint="eastAsia" w:ascii="Times New Roman" w:hAnsi="Times New Roman" w:eastAsia="仿宋_GB2312"/>
          <w:sz w:val="32"/>
          <w:szCs w:val="32"/>
        </w:rPr>
        <w:t>，</w:t>
      </w:r>
      <w:r>
        <w:rPr>
          <w:rFonts w:hint="eastAsia" w:ascii="Times New Roman" w:hAnsi="Times New Roman" w:eastAsia="仿宋_GB2312"/>
          <w:sz w:val="32"/>
          <w:szCs w:val="32"/>
          <w:lang w:eastAsia="zh-CN"/>
        </w:rPr>
        <w:t>减少接待开支</w:t>
      </w:r>
      <w:r>
        <w:rPr>
          <w:rFonts w:hint="eastAsia" w:ascii="Times New Roman" w:hAnsi="Times New Roman" w:eastAsia="仿宋_GB2312"/>
          <w:sz w:val="32"/>
          <w:szCs w:val="32"/>
        </w:rPr>
        <w:t>，与上年相比</w:t>
      </w:r>
      <w:r>
        <w:rPr>
          <w:rFonts w:hint="eastAsia" w:ascii="Times New Roman" w:hAnsi="Times New Roman" w:eastAsia="仿宋_GB2312"/>
          <w:sz w:val="32"/>
          <w:szCs w:val="32"/>
          <w:lang w:val="en-US" w:eastAsia="zh-CN"/>
        </w:rPr>
        <w:t>减少0.02</w:t>
      </w:r>
      <w:r>
        <w:rPr>
          <w:rFonts w:hint="eastAsia" w:ascii="Times New Roman" w:hAnsi="Times New Roman" w:eastAsia="仿宋_GB2312"/>
          <w:sz w:val="32"/>
          <w:szCs w:val="32"/>
        </w:rPr>
        <w:t>万元，</w:t>
      </w:r>
      <w:r>
        <w:rPr>
          <w:rFonts w:hint="eastAsia" w:ascii="Times New Roman" w:hAnsi="Times New Roman" w:eastAsia="仿宋_GB2312"/>
          <w:sz w:val="32"/>
          <w:szCs w:val="32"/>
          <w:lang w:eastAsia="zh-CN"/>
        </w:rPr>
        <w:t>减少</w:t>
      </w:r>
      <w:r>
        <w:rPr>
          <w:rFonts w:hint="eastAsia" w:ascii="Times New Roman" w:hAnsi="Times New Roman" w:eastAsia="仿宋_GB2312"/>
          <w:sz w:val="32"/>
          <w:szCs w:val="32"/>
          <w:lang w:val="en-US" w:eastAsia="zh-CN"/>
        </w:rPr>
        <w:t>8%，</w:t>
      </w:r>
      <w:r>
        <w:rPr>
          <w:rFonts w:hint="eastAsia" w:ascii="Times New Roman" w:hAnsi="Times New Roman" w:eastAsia="仿宋_GB2312"/>
          <w:sz w:val="32"/>
          <w:szCs w:val="32"/>
        </w:rPr>
        <w:t>,</w:t>
      </w:r>
      <w:r>
        <w:rPr>
          <w:rFonts w:hint="eastAsia" w:ascii="Times New Roman" w:hAnsi="Times New Roman" w:eastAsia="仿宋_GB2312"/>
          <w:sz w:val="32"/>
          <w:szCs w:val="32"/>
          <w:lang w:eastAsia="zh-CN"/>
        </w:rPr>
        <w:t>减少</w:t>
      </w:r>
      <w:r>
        <w:rPr>
          <w:rFonts w:hint="eastAsia" w:ascii="Times New Roman" w:hAnsi="Times New Roman" w:eastAsia="仿宋_GB2312"/>
          <w:sz w:val="32"/>
          <w:szCs w:val="32"/>
        </w:rPr>
        <w:t>的主要原因是</w:t>
      </w:r>
      <w:r>
        <w:rPr>
          <w:rFonts w:hint="eastAsia" w:ascii="Times New Roman" w:hAnsi="Times New Roman" w:eastAsia="仿宋_GB2312"/>
          <w:sz w:val="32"/>
          <w:szCs w:val="32"/>
          <w:lang w:eastAsia="zh-CN"/>
        </w:rPr>
        <w:t>厉行节约，缩减三公经费</w:t>
      </w:r>
      <w:r>
        <w:rPr>
          <w:rFonts w:hint="eastAsia" w:ascii="Times New Roman" w:hAnsi="Times New Roman" w:eastAsia="仿宋_GB2312"/>
          <w:sz w:val="32"/>
          <w:szCs w:val="32"/>
          <w:lang w:val="en-US" w:eastAsia="zh-CN"/>
        </w:rPr>
        <w:t>。</w:t>
      </w:r>
      <w:r>
        <w:rPr>
          <w:rFonts w:hint="eastAsia" w:ascii="Times New Roman" w:hAnsi="Times New Roman" w:eastAsia="仿宋_GB2312"/>
          <w:sz w:val="32"/>
          <w:szCs w:val="32"/>
        </w:rPr>
        <w:t>其中：</w:t>
      </w:r>
    </w:p>
    <w:p w14:paraId="6A87D6A4">
      <w:pPr>
        <w:pStyle w:val="16"/>
        <w:spacing w:line="600" w:lineRule="exact"/>
        <w:ind w:firstLine="800" w:firstLineChars="250"/>
        <w:rPr>
          <w:rFonts w:hint="eastAsia" w:ascii="Times New Roman" w:hAnsi="Times New Roman" w:eastAsia="仿宋_GB2312"/>
          <w:sz w:val="32"/>
          <w:szCs w:val="32"/>
          <w:lang w:eastAsia="zh-CN"/>
        </w:rPr>
      </w:pPr>
      <w:r>
        <w:rPr>
          <w:rFonts w:hint="eastAsia" w:ascii="Times New Roman" w:hAnsi="Times New Roman" w:eastAsia="仿宋_GB2312"/>
          <w:sz w:val="32"/>
          <w:szCs w:val="32"/>
        </w:rPr>
        <w:t>因公出国（境）费支出预算为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万元，完成预算的</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%，公务接待费支出预算为</w:t>
      </w:r>
      <w:r>
        <w:rPr>
          <w:rFonts w:hint="eastAsia" w:ascii="Times New Roman" w:hAnsi="Times New Roman" w:eastAsia="仿宋_GB2312"/>
          <w:sz w:val="32"/>
          <w:szCs w:val="32"/>
          <w:lang w:val="en-US" w:eastAsia="zh-CN"/>
        </w:rPr>
        <w:t>0.36</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0.22</w:t>
      </w:r>
      <w:r>
        <w:rPr>
          <w:rFonts w:hint="eastAsia" w:ascii="Times New Roman" w:hAnsi="Times New Roman" w:eastAsia="仿宋_GB2312"/>
          <w:sz w:val="32"/>
          <w:szCs w:val="32"/>
        </w:rPr>
        <w:t>万元，完成预算的</w:t>
      </w:r>
      <w:r>
        <w:rPr>
          <w:rFonts w:hint="eastAsia" w:ascii="Times New Roman" w:hAnsi="Times New Roman" w:eastAsia="仿宋_GB2312"/>
          <w:sz w:val="32"/>
          <w:szCs w:val="32"/>
          <w:lang w:val="en-US" w:eastAsia="zh-CN"/>
        </w:rPr>
        <w:t>61</w:t>
      </w:r>
      <w:r>
        <w:rPr>
          <w:rFonts w:hint="eastAsia" w:ascii="Times New Roman" w:hAnsi="Times New Roman" w:eastAsia="仿宋_GB2312"/>
          <w:sz w:val="32"/>
          <w:szCs w:val="32"/>
        </w:rPr>
        <w:t>%，决算数小于预算数的主要原因是</w:t>
      </w:r>
      <w:r>
        <w:rPr>
          <w:rFonts w:hint="eastAsia" w:ascii="Times New Roman" w:hAnsi="Times New Roman" w:eastAsia="仿宋_GB2312"/>
          <w:sz w:val="32"/>
          <w:szCs w:val="32"/>
          <w:lang w:eastAsia="zh-CN"/>
        </w:rPr>
        <w:t>上年接待开支太少，厉行节约，缩减三公经费。</w:t>
      </w:r>
    </w:p>
    <w:p w14:paraId="510456EE">
      <w:pPr>
        <w:pStyle w:val="16"/>
        <w:spacing w:line="600" w:lineRule="exact"/>
        <w:ind w:firstLine="640" w:firstLineChars="200"/>
        <w:rPr>
          <w:rFonts w:hint="eastAsia" w:ascii="Times New Roman" w:hAnsi="Times New Roman" w:eastAsia="仿宋_GB2312"/>
          <w:sz w:val="32"/>
          <w:szCs w:val="32"/>
          <w:lang w:eastAsia="zh-CN"/>
        </w:rPr>
      </w:pPr>
      <w:r>
        <w:rPr>
          <w:rFonts w:hint="eastAsia" w:ascii="Times New Roman" w:hAnsi="Times New Roman" w:eastAsia="仿宋_GB2312"/>
          <w:sz w:val="32"/>
          <w:szCs w:val="32"/>
        </w:rPr>
        <w:t>公务用车购置费支出预算为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万元，完成预算的</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w:t>
      </w:r>
      <w:r>
        <w:rPr>
          <w:rFonts w:hint="eastAsia" w:ascii="Times New Roman" w:hAnsi="Times New Roman" w:eastAsia="仿宋_GB2312"/>
          <w:sz w:val="32"/>
          <w:szCs w:val="32"/>
          <w:lang w:eastAsia="zh-CN"/>
        </w:rPr>
        <w:t>。</w:t>
      </w:r>
    </w:p>
    <w:p w14:paraId="2F91F89C">
      <w:pPr>
        <w:pStyle w:val="16"/>
        <w:spacing w:line="600" w:lineRule="exact"/>
        <w:ind w:firstLine="640" w:firstLineChars="200"/>
        <w:rPr>
          <w:rFonts w:hint="eastAsia" w:ascii="Times New Roman" w:hAnsi="Times New Roman" w:eastAsia="仿宋_GB2312"/>
          <w:sz w:val="32"/>
          <w:szCs w:val="32"/>
          <w:lang w:eastAsia="zh-CN"/>
        </w:rPr>
      </w:pPr>
      <w:r>
        <w:rPr>
          <w:rFonts w:hint="eastAsia" w:ascii="Times New Roman" w:hAnsi="Times New Roman" w:eastAsia="仿宋_GB2312"/>
          <w:sz w:val="32"/>
          <w:szCs w:val="32"/>
        </w:rPr>
        <w:t>公务用车运行维护费支出预算为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万元，支出决算为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万元，完成预算的</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w:t>
      </w:r>
      <w:r>
        <w:rPr>
          <w:rFonts w:hint="eastAsia" w:ascii="Times New Roman" w:hAnsi="Times New Roman" w:eastAsia="仿宋_GB2312"/>
          <w:sz w:val="32"/>
          <w:szCs w:val="32"/>
          <w:lang w:eastAsia="zh-CN"/>
        </w:rPr>
        <w:t>。</w:t>
      </w:r>
    </w:p>
    <w:p w14:paraId="789C9D81">
      <w:pPr>
        <w:pStyle w:val="16"/>
        <w:spacing w:line="600" w:lineRule="exact"/>
        <w:ind w:firstLine="640" w:firstLineChars="200"/>
        <w:rPr>
          <w:rFonts w:ascii="楷体" w:hAnsi="楷体" w:eastAsia="楷体" w:cs="楷体"/>
          <w:b/>
          <w:sz w:val="32"/>
          <w:szCs w:val="32"/>
        </w:rPr>
      </w:pPr>
      <w:r>
        <w:rPr>
          <w:rFonts w:hint="eastAsia" w:ascii="楷体" w:hAnsi="楷体" w:eastAsia="楷体" w:cs="楷体"/>
          <w:b/>
          <w:sz w:val="32"/>
          <w:szCs w:val="32"/>
        </w:rPr>
        <w:t>（二）“三公”经费财政拨款支出决算具体情况说明</w:t>
      </w:r>
    </w:p>
    <w:p w14:paraId="6DCFC407">
      <w:pPr>
        <w:pStyle w:val="16"/>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lang w:eastAsia="zh-CN"/>
        </w:rPr>
        <w:t>2024</w:t>
      </w:r>
      <w:r>
        <w:rPr>
          <w:rFonts w:hint="eastAsia" w:ascii="Times New Roman" w:hAnsi="Times New Roman" w:eastAsia="仿宋_GB2312"/>
          <w:sz w:val="32"/>
          <w:szCs w:val="32"/>
        </w:rPr>
        <w:t>年度“三公”经费财政拨款支出决算中，公务接待费支出决算</w:t>
      </w:r>
      <w:r>
        <w:rPr>
          <w:rFonts w:hint="eastAsia" w:ascii="Times New Roman" w:hAnsi="Times New Roman" w:eastAsia="仿宋_GB2312"/>
          <w:sz w:val="32"/>
          <w:szCs w:val="32"/>
          <w:lang w:val="en-US" w:eastAsia="zh-CN"/>
        </w:rPr>
        <w:t>0.22</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100</w:t>
      </w:r>
      <w:r>
        <w:rPr>
          <w:rFonts w:hint="eastAsia" w:ascii="Times New Roman" w:hAnsi="Times New Roman" w:eastAsia="仿宋_GB2312"/>
          <w:sz w:val="32"/>
          <w:szCs w:val="32"/>
        </w:rPr>
        <w:t>%,因公出国（境）费支出决算</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%,公务用车购置费及运行维护费支出决算</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%。其中：</w:t>
      </w:r>
    </w:p>
    <w:p w14:paraId="590F981F">
      <w:pPr>
        <w:pStyle w:val="16"/>
        <w:spacing w:line="600" w:lineRule="exact"/>
        <w:ind w:firstLine="800" w:firstLineChars="250"/>
        <w:rPr>
          <w:rFonts w:hint="eastAsia" w:ascii="楷体" w:hAnsi="楷体" w:eastAsia="仿宋_GB2312" w:cs="楷体"/>
          <w:b/>
          <w:bCs/>
          <w:i/>
          <w:color w:val="auto"/>
          <w:sz w:val="32"/>
          <w:szCs w:val="32"/>
          <w:lang w:eastAsia="zh-CN"/>
        </w:rPr>
      </w:pPr>
      <w:r>
        <w:rPr>
          <w:rFonts w:hint="eastAsia" w:ascii="Times New Roman" w:hAnsi="Times New Roman" w:eastAsia="仿宋_GB2312"/>
          <w:sz w:val="32"/>
          <w:szCs w:val="32"/>
        </w:rPr>
        <w:t>1、因公出国（境）费支出决算为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万元，全年安排因公出国（境）团组</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个，累计</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人次</w:t>
      </w:r>
      <w:r>
        <w:rPr>
          <w:rFonts w:hint="eastAsia" w:ascii="Times New Roman" w:hAnsi="Times New Roman" w:eastAsia="仿宋_GB2312"/>
          <w:sz w:val="32"/>
          <w:szCs w:val="32"/>
          <w:lang w:eastAsia="zh-CN"/>
        </w:rPr>
        <w:t>。</w:t>
      </w:r>
    </w:p>
    <w:p w14:paraId="0D077638">
      <w:pPr>
        <w:pStyle w:val="16"/>
        <w:spacing w:line="600" w:lineRule="exact"/>
        <w:ind w:firstLine="800" w:firstLineChars="250"/>
        <w:rPr>
          <w:rFonts w:ascii="Times New Roman" w:hAnsi="Times New Roman" w:eastAsia="仿宋_GB2312"/>
          <w:color w:val="auto"/>
          <w:sz w:val="32"/>
          <w:szCs w:val="32"/>
        </w:rPr>
      </w:pPr>
      <w:r>
        <w:rPr>
          <w:rFonts w:hint="eastAsia" w:ascii="Times New Roman" w:hAnsi="Times New Roman" w:eastAsia="仿宋_GB2312"/>
          <w:color w:val="auto"/>
          <w:sz w:val="32"/>
          <w:szCs w:val="32"/>
        </w:rPr>
        <w:t>2、公务接待费支出决算为</w:t>
      </w:r>
      <w:r>
        <w:rPr>
          <w:rFonts w:hint="eastAsia" w:ascii="Times New Roman" w:hAnsi="Times New Roman" w:eastAsia="仿宋_GB2312"/>
          <w:color w:val="auto"/>
          <w:sz w:val="32"/>
          <w:szCs w:val="32"/>
          <w:lang w:val="en-US" w:eastAsia="zh-CN"/>
        </w:rPr>
        <w:t>0.22</w:t>
      </w:r>
      <w:r>
        <w:rPr>
          <w:rFonts w:hint="eastAsia" w:ascii="Times New Roman" w:hAnsi="Times New Roman" w:eastAsia="仿宋_GB2312"/>
          <w:color w:val="auto"/>
          <w:sz w:val="32"/>
          <w:szCs w:val="32"/>
        </w:rPr>
        <w:t>万元，全年共接待来访团组</w:t>
      </w:r>
      <w:r>
        <w:rPr>
          <w:rFonts w:hint="eastAsia" w:ascii="Times New Roman" w:hAnsi="Times New Roman" w:eastAsia="仿宋_GB2312"/>
          <w:color w:val="auto"/>
          <w:sz w:val="32"/>
          <w:szCs w:val="32"/>
          <w:lang w:val="en-US" w:eastAsia="zh-CN"/>
        </w:rPr>
        <w:t>3</w:t>
      </w:r>
      <w:r>
        <w:rPr>
          <w:rFonts w:hint="eastAsia" w:ascii="Times New Roman" w:hAnsi="Times New Roman" w:eastAsia="仿宋_GB2312"/>
          <w:color w:val="auto"/>
          <w:sz w:val="32"/>
          <w:szCs w:val="32"/>
        </w:rPr>
        <w:t>个、来宾</w:t>
      </w:r>
      <w:r>
        <w:rPr>
          <w:rFonts w:hint="eastAsia" w:ascii="Times New Roman" w:hAnsi="Times New Roman" w:eastAsia="仿宋_GB2312"/>
          <w:color w:val="auto"/>
          <w:sz w:val="32"/>
          <w:szCs w:val="32"/>
          <w:lang w:val="en-US" w:eastAsia="zh-CN"/>
        </w:rPr>
        <w:t>20</w:t>
      </w:r>
      <w:r>
        <w:rPr>
          <w:rFonts w:hint="eastAsia" w:ascii="Times New Roman" w:hAnsi="Times New Roman" w:eastAsia="仿宋_GB2312"/>
          <w:color w:val="auto"/>
          <w:sz w:val="32"/>
          <w:szCs w:val="32"/>
        </w:rPr>
        <w:t>人次，主要是</w:t>
      </w:r>
      <w:r>
        <w:rPr>
          <w:rFonts w:hint="eastAsia" w:ascii="Times New Roman" w:hAnsi="Times New Roman" w:eastAsia="仿宋_GB2312"/>
          <w:color w:val="auto"/>
          <w:sz w:val="32"/>
          <w:szCs w:val="32"/>
          <w:lang w:eastAsia="zh-CN"/>
        </w:rPr>
        <w:t>文艺工作汇报、文艺活动汇报</w:t>
      </w:r>
      <w:r>
        <w:rPr>
          <w:rFonts w:hint="eastAsia" w:ascii="Times New Roman" w:hAnsi="Times New Roman" w:eastAsia="仿宋_GB2312"/>
          <w:color w:val="auto"/>
          <w:sz w:val="32"/>
          <w:szCs w:val="32"/>
        </w:rPr>
        <w:t>发生的接待支出。</w:t>
      </w:r>
    </w:p>
    <w:p w14:paraId="7426159E">
      <w:pPr>
        <w:spacing w:line="600" w:lineRule="exact"/>
        <w:ind w:firstLine="800" w:firstLineChars="250"/>
        <w:rPr>
          <w:rFonts w:ascii="楷体" w:hAnsi="楷体" w:eastAsia="楷体" w:cs="楷体"/>
          <w:b/>
          <w:bCs/>
          <w:i/>
          <w:kern w:val="0"/>
          <w:sz w:val="32"/>
          <w:szCs w:val="32"/>
        </w:rPr>
      </w:pPr>
      <w:r>
        <w:rPr>
          <w:rFonts w:hint="eastAsia" w:ascii="Times New Roman" w:hAnsi="Times New Roman" w:eastAsia="仿宋_GB2312"/>
          <w:sz w:val="32"/>
          <w:szCs w:val="32"/>
        </w:rPr>
        <w:t>3、公务用车购置费及运行维护费支出决算为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万元，其中：公务用车购置费</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万元，公务用车运行维护费</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万元，截止</w:t>
      </w:r>
      <w:r>
        <w:rPr>
          <w:rFonts w:hint="eastAsia" w:ascii="Times New Roman" w:hAnsi="Times New Roman" w:eastAsia="仿宋_GB2312"/>
          <w:sz w:val="32"/>
          <w:szCs w:val="32"/>
          <w:lang w:eastAsia="zh-CN"/>
        </w:rPr>
        <w:t>2024</w:t>
      </w:r>
      <w:r>
        <w:rPr>
          <w:rFonts w:hint="eastAsia" w:ascii="Times New Roman" w:hAnsi="Times New Roman" w:eastAsia="仿宋_GB2312"/>
          <w:sz w:val="32"/>
          <w:szCs w:val="32"/>
        </w:rPr>
        <w:t>年12月31日，我单位开支财政拨款的公务用车保有量为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辆。</w:t>
      </w:r>
    </w:p>
    <w:p w14:paraId="797A0E2C">
      <w:pPr>
        <w:pStyle w:val="16"/>
        <w:spacing w:line="600" w:lineRule="exact"/>
        <w:ind w:firstLine="640" w:firstLineChars="200"/>
        <w:rPr>
          <w:rFonts w:hAnsi="黑体"/>
          <w:bCs/>
          <w:sz w:val="32"/>
          <w:szCs w:val="32"/>
        </w:rPr>
      </w:pPr>
      <w:r>
        <w:rPr>
          <w:rFonts w:hint="eastAsia" w:hAnsi="黑体"/>
          <w:bCs/>
          <w:sz w:val="32"/>
          <w:szCs w:val="32"/>
        </w:rPr>
        <w:t>八、政府性基金预算收入支出决算情况</w:t>
      </w:r>
    </w:p>
    <w:p w14:paraId="5D210A6B">
      <w:pPr>
        <w:pStyle w:val="16"/>
        <w:keepNext w:val="0"/>
        <w:keepLines w:val="0"/>
        <w:pageBreakBefore w:val="0"/>
        <w:widowControl w:val="0"/>
        <w:kinsoku/>
        <w:wordWrap/>
        <w:overflowPunct/>
        <w:topLinePunct w:val="0"/>
        <w:bidi w:val="0"/>
        <w:snapToGrid/>
        <w:spacing w:line="600" w:lineRule="exact"/>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t xml:space="preserve">     </w:t>
      </w:r>
      <w:r>
        <w:rPr>
          <w:rFonts w:hint="eastAsia" w:ascii="Times New Roman" w:hAnsi="Times New Roman" w:eastAsia="仿宋_GB2312"/>
          <w:sz w:val="32"/>
          <w:szCs w:val="32"/>
          <w:lang w:eastAsia="zh-CN"/>
        </w:rPr>
        <w:t>2024</w:t>
      </w:r>
      <w:r>
        <w:rPr>
          <w:rFonts w:hint="eastAsia" w:ascii="Times New Roman" w:hAnsi="Times New Roman" w:eastAsia="仿宋_GB2312"/>
          <w:sz w:val="32"/>
          <w:szCs w:val="32"/>
        </w:rPr>
        <w:t>年度政府性基金预算财政拨款收入</w:t>
      </w:r>
      <w:r>
        <w:rPr>
          <w:rFonts w:hint="eastAsia" w:ascii="Times New Roman" w:hAnsi="Times New Roman" w:eastAsia="仿宋_GB2312"/>
          <w:sz w:val="32"/>
          <w:szCs w:val="32"/>
          <w:lang w:val="en-US" w:eastAsia="zh-CN"/>
        </w:rPr>
        <w:t>5</w:t>
      </w:r>
      <w:r>
        <w:rPr>
          <w:rFonts w:hint="eastAsia" w:ascii="Times New Roman" w:hAnsi="Times New Roman" w:eastAsia="仿宋_GB2312"/>
          <w:sz w:val="32"/>
          <w:szCs w:val="32"/>
        </w:rPr>
        <w:t>万元；年初结转和结余</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万元；支出</w:t>
      </w:r>
      <w:r>
        <w:rPr>
          <w:rFonts w:hint="eastAsia" w:ascii="Times New Roman" w:hAnsi="Times New Roman" w:eastAsia="仿宋_GB2312"/>
          <w:sz w:val="32"/>
          <w:szCs w:val="32"/>
          <w:lang w:val="en-US" w:eastAsia="zh-CN"/>
        </w:rPr>
        <w:t>5</w:t>
      </w:r>
      <w:r>
        <w:rPr>
          <w:rFonts w:hint="eastAsia" w:ascii="Times New Roman" w:hAnsi="Times New Roman" w:eastAsia="仿宋_GB2312"/>
          <w:sz w:val="32"/>
          <w:szCs w:val="32"/>
        </w:rPr>
        <w:t>万元，其中基本支出</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万元，项目支出</w:t>
      </w:r>
      <w:r>
        <w:rPr>
          <w:rFonts w:hint="eastAsia" w:ascii="Times New Roman" w:hAnsi="Times New Roman" w:eastAsia="仿宋_GB2312"/>
          <w:sz w:val="32"/>
          <w:szCs w:val="32"/>
          <w:lang w:val="en-US" w:eastAsia="zh-CN"/>
        </w:rPr>
        <w:t>5</w:t>
      </w:r>
      <w:r>
        <w:rPr>
          <w:rFonts w:hint="eastAsia" w:ascii="Times New Roman" w:hAnsi="Times New Roman" w:eastAsia="仿宋_GB2312"/>
          <w:sz w:val="32"/>
          <w:szCs w:val="32"/>
        </w:rPr>
        <w:t>万元；年末结转和结余</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w:t>
      </w:r>
    </w:p>
    <w:p w14:paraId="383B2362">
      <w:pPr>
        <w:pStyle w:val="16"/>
        <w:keepNext w:val="0"/>
        <w:keepLines w:val="0"/>
        <w:pageBreakBefore w:val="0"/>
        <w:widowControl w:val="0"/>
        <w:kinsoku/>
        <w:wordWrap/>
        <w:overflowPunct/>
        <w:topLinePunct w:val="0"/>
        <w:bidi w:val="0"/>
        <w:snapToGrid/>
        <w:spacing w:line="600" w:lineRule="exact"/>
        <w:textAlignment w:val="auto"/>
        <w:rPr>
          <w:rFonts w:hint="eastAsia" w:hAnsi="黑体"/>
          <w:bCs/>
          <w:sz w:val="32"/>
          <w:szCs w:val="32"/>
          <w:lang w:val="en-US" w:eastAsia="zh-CN"/>
        </w:rPr>
      </w:pPr>
      <w:r>
        <w:rPr>
          <w:rFonts w:hint="eastAsia" w:ascii="Times New Roman" w:hAnsi="Times New Roman" w:eastAsia="仿宋_GB2312"/>
          <w:sz w:val="32"/>
          <w:szCs w:val="32"/>
          <w:lang w:val="en-US" w:eastAsia="zh-CN"/>
        </w:rPr>
        <w:t xml:space="preserve"> </w:t>
      </w:r>
      <w:r>
        <w:rPr>
          <w:rFonts w:hint="eastAsia" w:hAnsi="黑体"/>
          <w:bCs/>
          <w:sz w:val="32"/>
          <w:szCs w:val="32"/>
          <w:lang w:val="en-US" w:eastAsia="zh-CN"/>
        </w:rPr>
        <w:t xml:space="preserve">   九、国有资本经营预算收入支出决算情况</w:t>
      </w:r>
      <w:bookmarkStart w:id="1" w:name="_GoBack"/>
      <w:bookmarkEnd w:id="1"/>
    </w:p>
    <w:p w14:paraId="075E8FD3">
      <w:pPr>
        <w:pStyle w:val="16"/>
        <w:keepNext w:val="0"/>
        <w:keepLines w:val="0"/>
        <w:pageBreakBefore w:val="0"/>
        <w:widowControl w:val="0"/>
        <w:kinsoku/>
        <w:wordWrap/>
        <w:overflowPunct/>
        <w:topLinePunct w:val="0"/>
        <w:bidi w:val="0"/>
        <w:snapToGrid/>
        <w:spacing w:line="600" w:lineRule="exact"/>
        <w:ind w:firstLine="960" w:firstLineChars="300"/>
        <w:textAlignment w:val="auto"/>
        <w:rPr>
          <w:rFonts w:hint="default"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2024年度国有资本经营预算财政拨款收入0万元；年初结转和结余0万元；本年支出0万元；年末结转和结余0万元。</w:t>
      </w:r>
    </w:p>
    <w:p w14:paraId="1BEB9566">
      <w:pPr>
        <w:pStyle w:val="16"/>
        <w:keepNext w:val="0"/>
        <w:keepLines w:val="0"/>
        <w:pageBreakBefore w:val="0"/>
        <w:widowControl w:val="0"/>
        <w:kinsoku/>
        <w:wordWrap/>
        <w:overflowPunct/>
        <w:topLinePunct w:val="0"/>
        <w:bidi w:val="0"/>
        <w:snapToGrid/>
        <w:spacing w:line="600" w:lineRule="exact"/>
        <w:ind w:firstLine="640" w:firstLineChars="200"/>
        <w:textAlignment w:val="auto"/>
        <w:rPr>
          <w:rFonts w:hint="eastAsia" w:hAnsi="黑体"/>
          <w:bCs/>
          <w:sz w:val="32"/>
          <w:szCs w:val="32"/>
          <w:lang w:val="en-US" w:eastAsia="zh-CN"/>
        </w:rPr>
      </w:pPr>
      <w:r>
        <w:rPr>
          <w:rFonts w:hint="eastAsia" w:hAnsi="黑体"/>
          <w:bCs/>
          <w:sz w:val="32"/>
          <w:szCs w:val="32"/>
          <w:lang w:val="en-US" w:eastAsia="zh-CN"/>
        </w:rPr>
        <w:t>十、关于机关运行经费支出说明</w:t>
      </w:r>
    </w:p>
    <w:p w14:paraId="2D195CCE">
      <w:pPr>
        <w:pStyle w:val="16"/>
        <w:spacing w:line="600" w:lineRule="exact"/>
        <w:ind w:firstLine="640" w:firstLineChars="200"/>
        <w:rPr>
          <w:rFonts w:hint="eastAsia" w:ascii="Times New Roman" w:hAnsi="Times New Roman" w:eastAsia="仿宋_GB2312"/>
          <w:sz w:val="32"/>
          <w:szCs w:val="32"/>
          <w:lang w:eastAsia="zh-CN"/>
        </w:rPr>
      </w:pPr>
      <w:r>
        <w:rPr>
          <w:rFonts w:hint="eastAsia" w:ascii="Times New Roman" w:hAnsi="Times New Roman" w:eastAsia="仿宋_GB2312"/>
          <w:sz w:val="32"/>
          <w:szCs w:val="32"/>
        </w:rPr>
        <w:t>本部门</w:t>
      </w:r>
      <w:r>
        <w:rPr>
          <w:rFonts w:hint="eastAsia" w:ascii="Times New Roman" w:hAnsi="Times New Roman" w:eastAsia="仿宋_GB2312"/>
          <w:sz w:val="32"/>
          <w:szCs w:val="32"/>
          <w:lang w:eastAsia="zh-CN"/>
        </w:rPr>
        <w:t>2024</w:t>
      </w:r>
      <w:r>
        <w:rPr>
          <w:rFonts w:hint="eastAsia" w:ascii="Times New Roman" w:hAnsi="Times New Roman" w:eastAsia="仿宋_GB2312"/>
          <w:sz w:val="32"/>
          <w:szCs w:val="32"/>
        </w:rPr>
        <w:t>年度机关运行经费支出</w:t>
      </w:r>
      <w:r>
        <w:rPr>
          <w:rFonts w:hint="eastAsia" w:ascii="Times New Roman" w:hAnsi="Times New Roman" w:eastAsia="仿宋_GB2312"/>
          <w:sz w:val="32"/>
          <w:szCs w:val="32"/>
          <w:lang w:val="en-US" w:eastAsia="zh-CN"/>
        </w:rPr>
        <w:t>16.86</w:t>
      </w:r>
      <w:r>
        <w:rPr>
          <w:rFonts w:hint="eastAsia" w:ascii="Times New Roman" w:hAnsi="Times New Roman" w:eastAsia="仿宋_GB2312"/>
          <w:sz w:val="32"/>
          <w:szCs w:val="32"/>
        </w:rPr>
        <w:t>万元，比上年决算数减少</w:t>
      </w:r>
      <w:r>
        <w:rPr>
          <w:rFonts w:hint="eastAsia" w:ascii="Times New Roman" w:hAnsi="Times New Roman" w:eastAsia="仿宋_GB2312"/>
          <w:sz w:val="32"/>
          <w:szCs w:val="32"/>
          <w:lang w:val="en-US" w:eastAsia="zh-CN"/>
        </w:rPr>
        <w:t>1.08</w:t>
      </w:r>
      <w:r>
        <w:rPr>
          <w:rFonts w:hint="eastAsia" w:ascii="Times New Roman" w:hAnsi="Times New Roman" w:eastAsia="仿宋_GB2312"/>
          <w:sz w:val="32"/>
          <w:szCs w:val="32"/>
        </w:rPr>
        <w:t>万元，降低</w:t>
      </w:r>
      <w:r>
        <w:rPr>
          <w:rFonts w:hint="eastAsia" w:ascii="Times New Roman" w:hAnsi="Times New Roman" w:eastAsia="仿宋_GB2312"/>
          <w:sz w:val="32"/>
          <w:szCs w:val="32"/>
          <w:lang w:val="en-US" w:eastAsia="zh-CN"/>
        </w:rPr>
        <w:t>6.83</w:t>
      </w:r>
      <w:r>
        <w:rPr>
          <w:rFonts w:hint="eastAsia" w:ascii="Times New Roman" w:hAnsi="Times New Roman" w:eastAsia="仿宋_GB2312"/>
          <w:sz w:val="32"/>
          <w:szCs w:val="32"/>
        </w:rPr>
        <w:t>%。主要原因是：</w:t>
      </w:r>
      <w:r>
        <w:rPr>
          <w:rFonts w:hint="eastAsia" w:ascii="Times New Roman" w:hAnsi="Times New Roman" w:eastAsia="仿宋_GB2312"/>
          <w:sz w:val="32"/>
          <w:szCs w:val="32"/>
          <w:lang w:eastAsia="zh-CN"/>
        </w:rPr>
        <w:t>压减一般性支出。</w:t>
      </w:r>
    </w:p>
    <w:p w14:paraId="0A24751E">
      <w:pPr>
        <w:pStyle w:val="16"/>
        <w:spacing w:line="600" w:lineRule="exact"/>
        <w:ind w:firstLine="640" w:firstLineChars="200"/>
        <w:rPr>
          <w:rFonts w:hAnsi="黑体"/>
          <w:bCs/>
          <w:sz w:val="32"/>
          <w:szCs w:val="32"/>
        </w:rPr>
      </w:pPr>
      <w:r>
        <w:rPr>
          <w:rFonts w:hint="eastAsia" w:hAnsi="黑体"/>
          <w:bCs/>
          <w:sz w:val="32"/>
          <w:szCs w:val="32"/>
        </w:rPr>
        <w:t>十</w:t>
      </w:r>
      <w:r>
        <w:rPr>
          <w:rFonts w:hint="eastAsia" w:hAnsi="黑体"/>
          <w:bCs/>
          <w:sz w:val="32"/>
          <w:szCs w:val="32"/>
          <w:lang w:eastAsia="zh-CN"/>
        </w:rPr>
        <w:t>一</w:t>
      </w:r>
      <w:r>
        <w:rPr>
          <w:rFonts w:hint="eastAsia" w:hAnsi="黑体"/>
          <w:bCs/>
          <w:sz w:val="32"/>
          <w:szCs w:val="32"/>
        </w:rPr>
        <w:t>、一般性支出情况说明</w:t>
      </w:r>
    </w:p>
    <w:p w14:paraId="2C862696">
      <w:pPr>
        <w:pStyle w:val="16"/>
        <w:spacing w:line="600" w:lineRule="exact"/>
        <w:ind w:firstLine="640" w:firstLineChars="200"/>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eastAsia="zh-CN"/>
        </w:rPr>
        <w:t>2024</w:t>
      </w:r>
      <w:r>
        <w:rPr>
          <w:rFonts w:hint="eastAsia" w:ascii="Times New Roman" w:hAnsi="Times New Roman" w:eastAsia="仿宋_GB2312"/>
          <w:sz w:val="32"/>
          <w:szCs w:val="32"/>
        </w:rPr>
        <w:t>年本部门开支会议费</w:t>
      </w:r>
      <w:r>
        <w:rPr>
          <w:rFonts w:hint="eastAsia" w:ascii="Times New Roman" w:hAnsi="Times New Roman" w:eastAsia="仿宋_GB2312"/>
          <w:sz w:val="32"/>
          <w:szCs w:val="32"/>
          <w:lang w:val="en-US" w:eastAsia="zh-CN"/>
        </w:rPr>
        <w:t>0</w:t>
      </w:r>
      <w:r>
        <w:rPr>
          <w:rFonts w:hint="eastAsia" w:ascii="Times New Roman" w:hAnsi="Times New Roman" w:eastAsia="仿宋_GB2312"/>
          <w:sz w:val="32"/>
          <w:szCs w:val="32"/>
        </w:rPr>
        <w:t>万元，</w:t>
      </w:r>
      <w:r>
        <w:rPr>
          <w:rFonts w:hint="eastAsia" w:ascii="Times New Roman" w:hAnsi="Times New Roman" w:eastAsia="仿宋_GB2312"/>
          <w:sz w:val="32"/>
          <w:szCs w:val="32"/>
          <w:lang w:val="en-US" w:eastAsia="zh-CN"/>
        </w:rPr>
        <w:t>2024年本部门无会议费开支。</w:t>
      </w:r>
    </w:p>
    <w:p w14:paraId="057A7956">
      <w:pPr>
        <w:pStyle w:val="16"/>
        <w:spacing w:line="600" w:lineRule="exact"/>
        <w:ind w:firstLine="640" w:firstLineChars="200"/>
        <w:rPr>
          <w:rFonts w:hAnsi="黑体"/>
          <w:bCs/>
          <w:sz w:val="32"/>
          <w:szCs w:val="32"/>
        </w:rPr>
      </w:pPr>
      <w:r>
        <w:rPr>
          <w:rFonts w:hint="eastAsia" w:hAnsi="黑体"/>
          <w:bCs/>
          <w:sz w:val="32"/>
          <w:szCs w:val="32"/>
        </w:rPr>
        <w:t>十</w:t>
      </w:r>
      <w:r>
        <w:rPr>
          <w:rFonts w:hint="eastAsia" w:hAnsi="黑体"/>
          <w:bCs/>
          <w:sz w:val="32"/>
          <w:szCs w:val="32"/>
          <w:lang w:eastAsia="zh-CN"/>
        </w:rPr>
        <w:t>二</w:t>
      </w:r>
      <w:r>
        <w:rPr>
          <w:rFonts w:hint="eastAsia" w:hAnsi="黑体"/>
          <w:bCs/>
          <w:sz w:val="32"/>
          <w:szCs w:val="32"/>
        </w:rPr>
        <w:t>、关于政府采购支出说明</w:t>
      </w:r>
    </w:p>
    <w:p w14:paraId="4D1C75B5">
      <w:pPr>
        <w:pStyle w:val="16"/>
        <w:spacing w:line="580" w:lineRule="exact"/>
        <w:ind w:firstLine="640" w:firstLineChars="200"/>
        <w:rPr>
          <w:rFonts w:hint="eastAsia" w:ascii="Times New Roman" w:hAnsi="Times New Roman" w:eastAsia="仿宋_GB2312"/>
          <w:color w:val="auto"/>
          <w:sz w:val="32"/>
          <w:szCs w:val="32"/>
        </w:rPr>
      </w:pPr>
      <w:r>
        <w:rPr>
          <w:rFonts w:hint="eastAsia" w:ascii="Times New Roman" w:hAnsi="Times New Roman" w:eastAsia="仿宋_GB2312"/>
          <w:sz w:val="32"/>
          <w:szCs w:val="32"/>
        </w:rPr>
        <w:t>本部门</w:t>
      </w:r>
      <w:r>
        <w:rPr>
          <w:rFonts w:hint="eastAsia" w:ascii="Times New Roman" w:hAnsi="Times New Roman" w:eastAsia="仿宋_GB2312"/>
          <w:sz w:val="32"/>
          <w:szCs w:val="32"/>
          <w:lang w:eastAsia="zh-CN"/>
        </w:rPr>
        <w:t>2024</w:t>
      </w:r>
      <w:r>
        <w:rPr>
          <w:rFonts w:hint="eastAsia" w:ascii="Times New Roman" w:hAnsi="Times New Roman" w:eastAsia="仿宋_GB2312"/>
          <w:sz w:val="32"/>
          <w:szCs w:val="32"/>
        </w:rPr>
        <w:t>年度政府采购支出总额</w:t>
      </w:r>
      <w:r>
        <w:rPr>
          <w:rFonts w:hint="default" w:ascii="Times New Roman" w:hAnsi="Times New Roman" w:eastAsia="仿宋_GB2312"/>
          <w:sz w:val="32"/>
          <w:szCs w:val="32"/>
          <w:lang w:val="en"/>
        </w:rPr>
        <w:t>0</w:t>
      </w:r>
      <w:r>
        <w:rPr>
          <w:rFonts w:hint="eastAsia" w:ascii="Times New Roman" w:hAnsi="Times New Roman" w:eastAsia="仿宋_GB2312"/>
          <w:sz w:val="32"/>
          <w:szCs w:val="32"/>
        </w:rPr>
        <w:t>万元，其中：政府采购货物支出</w:t>
      </w:r>
      <w:r>
        <w:rPr>
          <w:rFonts w:hint="default" w:ascii="Times New Roman" w:hAnsi="Times New Roman" w:eastAsia="仿宋_GB2312"/>
          <w:sz w:val="32"/>
          <w:szCs w:val="32"/>
          <w:lang w:val="en"/>
        </w:rPr>
        <w:t>0</w:t>
      </w:r>
      <w:r>
        <w:rPr>
          <w:rFonts w:hint="eastAsia" w:ascii="Times New Roman" w:hAnsi="Times New Roman" w:eastAsia="仿宋_GB2312"/>
          <w:sz w:val="32"/>
          <w:szCs w:val="32"/>
        </w:rPr>
        <w:t>万元、政府采购工程支出</w:t>
      </w:r>
      <w:r>
        <w:rPr>
          <w:rFonts w:hint="default" w:ascii="Times New Roman" w:hAnsi="Times New Roman" w:eastAsia="仿宋_GB2312"/>
          <w:sz w:val="32"/>
          <w:szCs w:val="32"/>
          <w:lang w:val="en"/>
        </w:rPr>
        <w:t>0</w:t>
      </w:r>
      <w:r>
        <w:rPr>
          <w:rFonts w:hint="eastAsia" w:ascii="Times New Roman" w:hAnsi="Times New Roman" w:eastAsia="仿宋_GB2312"/>
          <w:sz w:val="32"/>
          <w:szCs w:val="32"/>
        </w:rPr>
        <w:t>万元、政府采购服务支出</w:t>
      </w:r>
      <w:r>
        <w:rPr>
          <w:rFonts w:hint="default" w:ascii="Times New Roman" w:hAnsi="Times New Roman" w:eastAsia="仿宋_GB2312"/>
          <w:sz w:val="32"/>
          <w:szCs w:val="32"/>
          <w:lang w:val="en"/>
        </w:rPr>
        <w:t>0</w:t>
      </w:r>
      <w:r>
        <w:rPr>
          <w:rFonts w:hint="eastAsia" w:ascii="Times New Roman" w:hAnsi="Times New Roman" w:eastAsia="仿宋_GB2312"/>
          <w:sz w:val="32"/>
          <w:szCs w:val="32"/>
        </w:rPr>
        <w:t>万元。授予中小企业合同金额</w:t>
      </w:r>
      <w:r>
        <w:rPr>
          <w:rFonts w:hint="default" w:ascii="Times New Roman" w:hAnsi="Times New Roman" w:eastAsia="仿宋_GB2312"/>
          <w:sz w:val="32"/>
          <w:szCs w:val="32"/>
          <w:lang w:val="en"/>
        </w:rPr>
        <w:t>0</w:t>
      </w:r>
      <w:r>
        <w:rPr>
          <w:rFonts w:hint="eastAsia" w:ascii="Times New Roman" w:hAnsi="Times New Roman" w:eastAsia="仿宋_GB2312"/>
          <w:sz w:val="32"/>
          <w:szCs w:val="32"/>
        </w:rPr>
        <w:t>万元，占政府采购支出总额的</w:t>
      </w:r>
      <w:r>
        <w:rPr>
          <w:rFonts w:hint="default" w:ascii="Times New Roman" w:hAnsi="Times New Roman" w:eastAsia="仿宋_GB2312"/>
          <w:sz w:val="32"/>
          <w:szCs w:val="32"/>
          <w:lang w:val="en"/>
        </w:rPr>
        <w:t>0</w:t>
      </w:r>
      <w:r>
        <w:rPr>
          <w:rFonts w:hint="eastAsia" w:ascii="Times New Roman" w:hAnsi="Times New Roman" w:eastAsia="仿宋_GB2312"/>
          <w:sz w:val="32"/>
          <w:szCs w:val="32"/>
        </w:rPr>
        <w:t>%，其中：授予小微企业合同金额</w:t>
      </w:r>
      <w:r>
        <w:rPr>
          <w:rFonts w:hint="default" w:ascii="Times New Roman" w:hAnsi="Times New Roman" w:eastAsia="仿宋_GB2312"/>
          <w:sz w:val="32"/>
          <w:szCs w:val="32"/>
          <w:lang w:val="en"/>
        </w:rPr>
        <w:t>0</w:t>
      </w:r>
      <w:r>
        <w:rPr>
          <w:rFonts w:hint="eastAsia" w:ascii="Times New Roman" w:hAnsi="Times New Roman" w:eastAsia="仿宋_GB2312"/>
          <w:sz w:val="32"/>
          <w:szCs w:val="32"/>
        </w:rPr>
        <w:t>万元，</w:t>
      </w:r>
      <w:r>
        <w:rPr>
          <w:rFonts w:hint="eastAsia" w:ascii="Times New Roman" w:hAnsi="Times New Roman" w:eastAsia="仿宋_GB2312"/>
          <w:color w:val="auto"/>
          <w:sz w:val="32"/>
          <w:szCs w:val="32"/>
        </w:rPr>
        <w:t>占授予中小企业合同金额的</w:t>
      </w:r>
      <w:r>
        <w:rPr>
          <w:rFonts w:hint="default" w:ascii="Times New Roman" w:hAnsi="Times New Roman" w:eastAsia="仿宋_GB2312"/>
          <w:color w:val="auto"/>
          <w:sz w:val="32"/>
          <w:szCs w:val="32"/>
          <w:lang w:val="en"/>
        </w:rPr>
        <w:t>0</w:t>
      </w:r>
      <w:r>
        <w:rPr>
          <w:rFonts w:hint="eastAsia" w:ascii="Times New Roman" w:hAnsi="Times New Roman" w:eastAsia="仿宋_GB2312"/>
          <w:color w:val="auto"/>
          <w:sz w:val="32"/>
          <w:szCs w:val="32"/>
        </w:rPr>
        <w:t>%。货物采购授予中小企业合同金额占货物支出金额的</w:t>
      </w:r>
      <w:r>
        <w:rPr>
          <w:rFonts w:hint="default" w:ascii="Times New Roman" w:hAnsi="Times New Roman" w:eastAsia="仿宋_GB2312"/>
          <w:color w:val="auto"/>
          <w:sz w:val="32"/>
          <w:szCs w:val="32"/>
          <w:lang w:val="en"/>
        </w:rPr>
        <w:t>0</w:t>
      </w:r>
      <w:r>
        <w:rPr>
          <w:rFonts w:hint="eastAsia" w:ascii="Times New Roman" w:hAnsi="Times New Roman" w:eastAsia="仿宋_GB2312"/>
          <w:color w:val="auto"/>
          <w:sz w:val="32"/>
          <w:szCs w:val="32"/>
        </w:rPr>
        <w:t>%，工程采购授予中小企业合同金额占工程支出金额的</w:t>
      </w:r>
      <w:r>
        <w:rPr>
          <w:rFonts w:hint="default" w:ascii="Times New Roman" w:hAnsi="Times New Roman" w:eastAsia="仿宋_GB2312"/>
          <w:color w:val="auto"/>
          <w:sz w:val="32"/>
          <w:szCs w:val="32"/>
          <w:lang w:val="en"/>
        </w:rPr>
        <w:t>0</w:t>
      </w:r>
      <w:r>
        <w:rPr>
          <w:rFonts w:hint="eastAsia" w:ascii="Times New Roman" w:hAnsi="Times New Roman" w:eastAsia="仿宋_GB2312"/>
          <w:color w:val="auto"/>
          <w:sz w:val="32"/>
          <w:szCs w:val="32"/>
        </w:rPr>
        <w:t>%，服务采购授予中小企业合同金额占服务支出金额的</w:t>
      </w:r>
      <w:r>
        <w:rPr>
          <w:rFonts w:hint="default" w:ascii="Times New Roman" w:hAnsi="Times New Roman" w:eastAsia="仿宋_GB2312"/>
          <w:color w:val="auto"/>
          <w:sz w:val="32"/>
          <w:szCs w:val="32"/>
          <w:lang w:val="en"/>
        </w:rPr>
        <w:t>0</w:t>
      </w:r>
      <w:r>
        <w:rPr>
          <w:rFonts w:hint="eastAsia" w:ascii="Times New Roman" w:hAnsi="Times New Roman" w:eastAsia="仿宋_GB2312"/>
          <w:color w:val="auto"/>
          <w:sz w:val="32"/>
          <w:szCs w:val="32"/>
        </w:rPr>
        <w:t>%。</w:t>
      </w:r>
    </w:p>
    <w:p w14:paraId="2BC13B52">
      <w:pPr>
        <w:pStyle w:val="16"/>
        <w:spacing w:line="580" w:lineRule="exact"/>
        <w:ind w:firstLine="640" w:firstLineChars="200"/>
        <w:rPr>
          <w:rFonts w:hAnsi="黑体"/>
          <w:bCs/>
          <w:color w:val="auto"/>
          <w:sz w:val="32"/>
          <w:szCs w:val="32"/>
        </w:rPr>
      </w:pPr>
      <w:r>
        <w:rPr>
          <w:rFonts w:hint="eastAsia" w:hAnsi="黑体"/>
          <w:bCs/>
          <w:color w:val="auto"/>
          <w:sz w:val="32"/>
          <w:szCs w:val="32"/>
        </w:rPr>
        <w:t>十</w:t>
      </w:r>
      <w:r>
        <w:rPr>
          <w:rFonts w:hint="eastAsia" w:hAnsi="黑体"/>
          <w:bCs/>
          <w:color w:val="auto"/>
          <w:sz w:val="32"/>
          <w:szCs w:val="32"/>
          <w:lang w:eastAsia="zh-CN"/>
        </w:rPr>
        <w:t>三</w:t>
      </w:r>
      <w:r>
        <w:rPr>
          <w:rFonts w:hint="eastAsia" w:hAnsi="黑体"/>
          <w:bCs/>
          <w:color w:val="auto"/>
          <w:sz w:val="32"/>
          <w:szCs w:val="32"/>
        </w:rPr>
        <w:t>、关于国有资产占用情况说明</w:t>
      </w:r>
    </w:p>
    <w:p w14:paraId="552EB089">
      <w:pPr>
        <w:pStyle w:val="16"/>
        <w:spacing w:line="580" w:lineRule="exact"/>
        <w:ind w:firstLine="640" w:firstLineChars="200"/>
        <w:rPr>
          <w:rFonts w:ascii="Times New Roman" w:hAnsi="Times New Roman" w:eastAsia="仿宋_GB2312"/>
          <w:color w:val="auto"/>
          <w:sz w:val="32"/>
          <w:szCs w:val="32"/>
        </w:rPr>
      </w:pPr>
      <w:r>
        <w:rPr>
          <w:rFonts w:hint="eastAsia" w:ascii="Times New Roman" w:hAnsi="Times New Roman" w:eastAsia="仿宋_GB2312"/>
          <w:color w:val="auto"/>
          <w:sz w:val="32"/>
          <w:szCs w:val="32"/>
        </w:rPr>
        <w:t>截至</w:t>
      </w:r>
      <w:r>
        <w:rPr>
          <w:rFonts w:hint="eastAsia" w:ascii="Times New Roman" w:hAnsi="Times New Roman" w:eastAsia="仿宋_GB2312"/>
          <w:color w:val="auto"/>
          <w:sz w:val="32"/>
          <w:szCs w:val="32"/>
          <w:lang w:eastAsia="zh-CN"/>
        </w:rPr>
        <w:t>2024</w:t>
      </w:r>
      <w:r>
        <w:rPr>
          <w:rFonts w:hint="eastAsia" w:ascii="Times New Roman" w:hAnsi="Times New Roman" w:eastAsia="仿宋_GB2312"/>
          <w:color w:val="auto"/>
          <w:sz w:val="32"/>
          <w:szCs w:val="32"/>
        </w:rPr>
        <w:t>年12月31日，部门（单位）共有车辆</w:t>
      </w:r>
      <w:r>
        <w:rPr>
          <w:rFonts w:hint="default" w:ascii="Times New Roman" w:hAnsi="Times New Roman" w:eastAsia="仿宋_GB2312"/>
          <w:color w:val="auto"/>
          <w:sz w:val="32"/>
          <w:szCs w:val="32"/>
          <w:lang w:val="en"/>
        </w:rPr>
        <w:t>0</w:t>
      </w:r>
      <w:r>
        <w:rPr>
          <w:rFonts w:hint="eastAsia" w:ascii="Times New Roman" w:hAnsi="Times New Roman" w:eastAsia="仿宋_GB2312"/>
          <w:color w:val="auto"/>
          <w:sz w:val="32"/>
          <w:szCs w:val="32"/>
        </w:rPr>
        <w:t>辆，其中，副部（省）级及以上领导用车</w:t>
      </w:r>
      <w:r>
        <w:rPr>
          <w:rFonts w:hint="default" w:ascii="Times New Roman" w:hAnsi="Times New Roman" w:eastAsia="仿宋_GB2312"/>
          <w:color w:val="auto"/>
          <w:sz w:val="32"/>
          <w:szCs w:val="32"/>
          <w:lang w:val="en"/>
        </w:rPr>
        <w:t>0</w:t>
      </w:r>
      <w:r>
        <w:rPr>
          <w:rFonts w:hint="eastAsia" w:ascii="Times New Roman" w:hAnsi="Times New Roman" w:eastAsia="仿宋_GB2312"/>
          <w:color w:val="auto"/>
          <w:sz w:val="32"/>
          <w:szCs w:val="32"/>
        </w:rPr>
        <w:t>辆、主要负责人用车</w:t>
      </w:r>
      <w:r>
        <w:rPr>
          <w:rFonts w:hint="default" w:ascii="Times New Roman" w:hAnsi="Times New Roman" w:eastAsia="仿宋_GB2312"/>
          <w:color w:val="auto"/>
          <w:sz w:val="32"/>
          <w:szCs w:val="32"/>
          <w:lang w:val="en"/>
        </w:rPr>
        <w:t>0</w:t>
      </w:r>
      <w:r>
        <w:rPr>
          <w:rFonts w:hint="eastAsia" w:ascii="Times New Roman" w:hAnsi="Times New Roman" w:eastAsia="仿宋_GB2312"/>
          <w:color w:val="auto"/>
          <w:sz w:val="32"/>
          <w:szCs w:val="32"/>
        </w:rPr>
        <w:t>辆、机要通信用车</w:t>
      </w:r>
      <w:r>
        <w:rPr>
          <w:rFonts w:hint="default" w:ascii="Times New Roman" w:hAnsi="Times New Roman" w:eastAsia="仿宋_GB2312"/>
          <w:color w:val="auto"/>
          <w:sz w:val="32"/>
          <w:szCs w:val="32"/>
          <w:lang w:val="en"/>
        </w:rPr>
        <w:t>0</w:t>
      </w:r>
      <w:r>
        <w:rPr>
          <w:rFonts w:hint="eastAsia" w:ascii="Times New Roman" w:hAnsi="Times New Roman" w:eastAsia="仿宋_GB2312"/>
          <w:color w:val="auto"/>
          <w:sz w:val="32"/>
          <w:szCs w:val="32"/>
        </w:rPr>
        <w:t>辆、应急保障用车</w:t>
      </w:r>
      <w:r>
        <w:rPr>
          <w:rFonts w:hint="default" w:ascii="Times New Roman" w:hAnsi="Times New Roman" w:eastAsia="仿宋_GB2312"/>
          <w:color w:val="auto"/>
          <w:sz w:val="32"/>
          <w:szCs w:val="32"/>
          <w:lang w:val="en"/>
        </w:rPr>
        <w:t>0</w:t>
      </w:r>
      <w:r>
        <w:rPr>
          <w:rFonts w:hint="eastAsia" w:ascii="Times New Roman" w:hAnsi="Times New Roman" w:eastAsia="仿宋_GB2312"/>
          <w:color w:val="auto"/>
          <w:sz w:val="32"/>
          <w:szCs w:val="32"/>
        </w:rPr>
        <w:t>辆、执法执勤用车</w:t>
      </w:r>
      <w:r>
        <w:rPr>
          <w:rFonts w:hint="default" w:ascii="Times New Roman" w:hAnsi="Times New Roman" w:eastAsia="仿宋_GB2312"/>
          <w:color w:val="auto"/>
          <w:sz w:val="32"/>
          <w:szCs w:val="32"/>
          <w:lang w:val="en"/>
        </w:rPr>
        <w:t>0</w:t>
      </w:r>
      <w:r>
        <w:rPr>
          <w:rFonts w:hint="eastAsia" w:ascii="Times New Roman" w:hAnsi="Times New Roman" w:eastAsia="仿宋_GB2312"/>
          <w:color w:val="auto"/>
          <w:sz w:val="32"/>
          <w:szCs w:val="32"/>
        </w:rPr>
        <w:t>辆、特种专业技术用车</w:t>
      </w:r>
      <w:r>
        <w:rPr>
          <w:rFonts w:hint="default" w:ascii="Times New Roman" w:hAnsi="Times New Roman" w:eastAsia="仿宋_GB2312"/>
          <w:color w:val="auto"/>
          <w:sz w:val="32"/>
          <w:szCs w:val="32"/>
          <w:lang w:val="en"/>
        </w:rPr>
        <w:t>0</w:t>
      </w:r>
      <w:r>
        <w:rPr>
          <w:rFonts w:hint="eastAsia" w:ascii="Times New Roman" w:hAnsi="Times New Roman" w:eastAsia="仿宋_GB2312"/>
          <w:color w:val="auto"/>
          <w:sz w:val="32"/>
          <w:szCs w:val="32"/>
        </w:rPr>
        <w:t>辆、离退休干部服务用车</w:t>
      </w:r>
      <w:r>
        <w:rPr>
          <w:rFonts w:hint="default" w:ascii="Times New Roman" w:hAnsi="Times New Roman" w:eastAsia="仿宋_GB2312"/>
          <w:color w:val="auto"/>
          <w:sz w:val="32"/>
          <w:szCs w:val="32"/>
          <w:lang w:val="en"/>
        </w:rPr>
        <w:t>0</w:t>
      </w:r>
      <w:r>
        <w:rPr>
          <w:rFonts w:hint="eastAsia" w:ascii="Times New Roman" w:hAnsi="Times New Roman" w:eastAsia="仿宋_GB2312"/>
          <w:color w:val="auto"/>
          <w:sz w:val="32"/>
          <w:szCs w:val="32"/>
        </w:rPr>
        <w:t>辆、其他用车</w:t>
      </w:r>
      <w:r>
        <w:rPr>
          <w:rFonts w:hint="default" w:ascii="Times New Roman" w:hAnsi="Times New Roman" w:eastAsia="仿宋_GB2312"/>
          <w:color w:val="auto"/>
          <w:sz w:val="32"/>
          <w:szCs w:val="32"/>
          <w:lang w:val="en"/>
        </w:rPr>
        <w:t>0</w:t>
      </w:r>
      <w:r>
        <w:rPr>
          <w:rFonts w:hint="eastAsia" w:ascii="Times New Roman" w:hAnsi="Times New Roman" w:eastAsia="仿宋_GB2312"/>
          <w:color w:val="auto"/>
          <w:sz w:val="32"/>
          <w:szCs w:val="32"/>
        </w:rPr>
        <w:t>辆，单位价值100万元以上设备（不含车辆）</w:t>
      </w:r>
      <w:r>
        <w:rPr>
          <w:rFonts w:hint="eastAsia" w:ascii="Times New Roman" w:hAnsi="Times New Roman" w:eastAsia="仿宋_GB2312"/>
          <w:color w:val="auto"/>
          <w:sz w:val="32"/>
          <w:szCs w:val="32"/>
          <w:lang w:val="en-US" w:eastAsia="zh-CN"/>
        </w:rPr>
        <w:t>0</w:t>
      </w:r>
      <w:r>
        <w:rPr>
          <w:rFonts w:hint="eastAsia" w:ascii="Times New Roman" w:hAnsi="Times New Roman" w:eastAsia="仿宋_GB2312"/>
          <w:color w:val="auto"/>
          <w:sz w:val="32"/>
          <w:szCs w:val="32"/>
        </w:rPr>
        <w:t>台（套）。</w:t>
      </w:r>
    </w:p>
    <w:p w14:paraId="779C0E71">
      <w:pPr>
        <w:pStyle w:val="16"/>
        <w:spacing w:line="580" w:lineRule="exact"/>
        <w:ind w:firstLine="640" w:firstLineChars="200"/>
        <w:rPr>
          <w:rFonts w:hAnsi="黑体"/>
          <w:bCs/>
          <w:color w:val="auto"/>
          <w:sz w:val="32"/>
          <w:szCs w:val="32"/>
        </w:rPr>
      </w:pPr>
      <w:r>
        <w:rPr>
          <w:rFonts w:hint="eastAsia" w:hAnsi="黑体"/>
          <w:bCs/>
          <w:color w:val="auto"/>
          <w:sz w:val="32"/>
          <w:szCs w:val="32"/>
        </w:rPr>
        <w:t>十</w:t>
      </w:r>
      <w:r>
        <w:rPr>
          <w:rFonts w:hint="eastAsia" w:hAnsi="黑体"/>
          <w:bCs/>
          <w:color w:val="auto"/>
          <w:sz w:val="32"/>
          <w:szCs w:val="32"/>
          <w:lang w:eastAsia="zh-CN"/>
        </w:rPr>
        <w:t>四</w:t>
      </w:r>
      <w:r>
        <w:rPr>
          <w:rFonts w:hint="eastAsia" w:hAnsi="黑体"/>
          <w:bCs/>
          <w:color w:val="auto"/>
          <w:sz w:val="32"/>
          <w:szCs w:val="32"/>
        </w:rPr>
        <w:t>、关于</w:t>
      </w:r>
      <w:r>
        <w:rPr>
          <w:rFonts w:hint="eastAsia" w:ascii="Times New Roman" w:hAnsi="Times New Roman" w:eastAsia="仿宋_GB2312"/>
          <w:color w:val="auto"/>
          <w:sz w:val="32"/>
          <w:szCs w:val="32"/>
          <w:lang w:eastAsia="zh-CN"/>
        </w:rPr>
        <w:t>2024</w:t>
      </w:r>
      <w:r>
        <w:rPr>
          <w:rFonts w:hint="eastAsia" w:hAnsi="黑体"/>
          <w:bCs/>
          <w:color w:val="auto"/>
          <w:sz w:val="32"/>
          <w:szCs w:val="32"/>
        </w:rPr>
        <w:t>年度预算绩效情况的说明</w:t>
      </w:r>
    </w:p>
    <w:p w14:paraId="5A99E222">
      <w:pPr>
        <w:pStyle w:val="16"/>
        <w:spacing w:line="580" w:lineRule="exact"/>
        <w:ind w:firstLine="640" w:firstLineChars="200"/>
        <w:rPr>
          <w:rFonts w:hint="eastAsia" w:ascii="楷体" w:hAnsi="楷体" w:eastAsia="楷体" w:cs="楷体"/>
          <w:b/>
          <w:bCs/>
          <w:sz w:val="32"/>
          <w:szCs w:val="32"/>
        </w:rPr>
      </w:pPr>
      <w:r>
        <w:rPr>
          <w:rFonts w:hint="eastAsia" w:ascii="楷体" w:hAnsi="楷体" w:eastAsia="楷体" w:cs="楷体"/>
          <w:b/>
          <w:bCs/>
          <w:sz w:val="32"/>
          <w:szCs w:val="32"/>
        </w:rPr>
        <w:t>（一）绩效管理工作开展情况</w:t>
      </w:r>
    </w:p>
    <w:p w14:paraId="26B81A27">
      <w:pPr>
        <w:pStyle w:val="16"/>
        <w:spacing w:line="580" w:lineRule="exact"/>
        <w:ind w:firstLine="640" w:firstLineChars="200"/>
        <w:rPr>
          <w:rFonts w:hint="eastAsia" w:ascii="Times New Roman" w:hAnsi="Times New Roman" w:eastAsia="仿宋_GB2312"/>
          <w:color w:val="auto"/>
          <w:sz w:val="32"/>
          <w:szCs w:val="32"/>
        </w:rPr>
      </w:pPr>
      <w:r>
        <w:rPr>
          <w:rFonts w:hint="eastAsia" w:ascii="Times New Roman" w:hAnsi="Times New Roman" w:eastAsia="仿宋_GB2312"/>
          <w:color w:val="auto"/>
          <w:sz w:val="32"/>
          <w:szCs w:val="32"/>
        </w:rPr>
        <w:t>按照市级部门有关要求，按时完成部门整体绩效目标编制完整、合理，项目绩效目标编制明确、量化。按要求严格预算执行管理，及时足额将专项资金按指标拨付。按要求及时公开绩效</w:t>
      </w:r>
      <w:r>
        <w:rPr>
          <w:rFonts w:hint="eastAsia" w:ascii="Times New Roman" w:hAnsi="Times New Roman" w:eastAsia="仿宋_GB2312"/>
          <w:color w:val="auto"/>
          <w:sz w:val="32"/>
          <w:szCs w:val="32"/>
          <w:lang w:eastAsia="zh-CN"/>
        </w:rPr>
        <w:t>相关</w:t>
      </w:r>
      <w:r>
        <w:rPr>
          <w:rFonts w:hint="eastAsia" w:ascii="Times New Roman" w:hAnsi="Times New Roman" w:eastAsia="仿宋_GB2312"/>
          <w:color w:val="auto"/>
          <w:sz w:val="32"/>
          <w:szCs w:val="32"/>
        </w:rPr>
        <w:t>信息。按要求及时、准确、全面开展资产清查工作，上报国有资产报表数据的真实、准确、全面。内部控制制度健全完整并执行良好，在本年度内未出现廉政风险。</w:t>
      </w:r>
    </w:p>
    <w:p w14:paraId="1D28881D">
      <w:pPr>
        <w:pStyle w:val="16"/>
        <w:spacing w:line="580" w:lineRule="exact"/>
        <w:ind w:firstLine="640" w:firstLineChars="200"/>
        <w:rPr>
          <w:rFonts w:ascii="楷体" w:hAnsi="楷体" w:eastAsia="楷体" w:cs="楷体"/>
          <w:b/>
          <w:bCs/>
          <w:sz w:val="32"/>
          <w:szCs w:val="32"/>
        </w:rPr>
      </w:pPr>
      <w:r>
        <w:rPr>
          <w:rFonts w:hint="eastAsia" w:ascii="楷体" w:hAnsi="楷体" w:eastAsia="楷体" w:cs="楷体"/>
          <w:b/>
          <w:bCs/>
          <w:sz w:val="32"/>
          <w:szCs w:val="32"/>
        </w:rPr>
        <w:t>（二）部门（单位）整体支出绩效情况</w:t>
      </w:r>
    </w:p>
    <w:p w14:paraId="108851C3">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rPr>
          <w:rFonts w:hint="eastAsia" w:ascii="Times New Roman" w:hAnsi="Times New Roman" w:eastAsia="仿宋_GB2312" w:cs="仿宋_GB2312"/>
          <w:color w:val="auto"/>
          <w:sz w:val="32"/>
          <w:szCs w:val="32"/>
          <w:lang w:eastAsia="zh-CN"/>
        </w:rPr>
      </w:pPr>
      <w:r>
        <w:rPr>
          <w:rFonts w:hint="eastAsia" w:ascii="Times New Roman" w:hAnsi="Times New Roman" w:eastAsia="仿宋_GB2312"/>
          <w:color w:val="auto"/>
          <w:sz w:val="32"/>
          <w:szCs w:val="32"/>
          <w:lang w:val="en-US" w:eastAsia="zh-CN"/>
        </w:rPr>
        <w:t>按照市本级预算绩效管理工作的总体要求，2024年我单位整体支出346.73万元，全部实行整体支出绩效目标管理，2024年，我单位强化理论武装，把牢正确政治方向。深入学习贯彻习近平新时代中国特色社会主义思想和党的二十大精神，认真学习研读习近平文化思想、习近平总书记关于文艺工作的重要论述和习近平总书记在文化传承发展座谈会上的重要讲话，通过学习研讨、专题党课、集中培训等多种方式，强化政治理论学习。全年开展党组集中学习25次，党组理论中心组学习12次，协会集中学习3次，干部集中学习8次，累计培训会员200余人次</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线上及时发送学习资料</w:t>
      </w:r>
      <w:r>
        <w:rPr>
          <w:rFonts w:hint="eastAsia" w:ascii="仿宋_GB2312" w:hAnsi="仿宋_GB2312" w:eastAsia="仿宋_GB2312" w:cs="仿宋_GB2312"/>
          <w:color w:val="auto"/>
          <w:sz w:val="32"/>
          <w:szCs w:val="32"/>
        </w:rPr>
        <w:t>，推动习近平文化思想入脑入心。</w:t>
      </w:r>
      <w:r>
        <w:rPr>
          <w:rFonts w:hint="eastAsia" w:ascii="仿宋_GB2312" w:hAnsi="仿宋_GB2312" w:eastAsia="仿宋_GB2312" w:cs="仿宋_GB2312"/>
          <w:color w:val="auto"/>
          <w:sz w:val="32"/>
          <w:szCs w:val="32"/>
          <w:lang w:eastAsia="zh-CN"/>
        </w:rPr>
        <w:t>加</w:t>
      </w:r>
      <w:r>
        <w:rPr>
          <w:rFonts w:hint="eastAsia" w:ascii="仿宋_GB2312" w:hAnsi="仿宋_GB2312" w:eastAsia="仿宋_GB2312" w:cs="仿宋_GB2312"/>
          <w:color w:val="auto"/>
          <w:sz w:val="32"/>
          <w:szCs w:val="32"/>
        </w:rPr>
        <w:t>强意识形态阵地管理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每</w:t>
      </w:r>
      <w:r>
        <w:rPr>
          <w:rFonts w:hint="eastAsia" w:ascii="仿宋_GB2312" w:hAnsi="仿宋_GB2312" w:eastAsia="仿宋_GB2312" w:cs="仿宋_GB2312"/>
          <w:color w:val="auto"/>
          <w:sz w:val="32"/>
          <w:szCs w:val="32"/>
          <w:lang w:eastAsia="zh-CN"/>
        </w:rPr>
        <w:t>半年</w:t>
      </w:r>
      <w:r>
        <w:rPr>
          <w:rFonts w:hint="eastAsia" w:ascii="仿宋_GB2312" w:hAnsi="仿宋_GB2312" w:eastAsia="仿宋_GB2312" w:cs="仿宋_GB2312"/>
          <w:color w:val="auto"/>
          <w:sz w:val="32"/>
          <w:szCs w:val="32"/>
        </w:rPr>
        <w:t>开展</w:t>
      </w:r>
      <w:r>
        <w:rPr>
          <w:rFonts w:hint="eastAsia" w:ascii="仿宋_GB2312" w:hAnsi="仿宋_GB2312" w:eastAsia="仿宋_GB2312" w:cs="仿宋_GB2312"/>
          <w:color w:val="auto"/>
          <w:sz w:val="32"/>
          <w:szCs w:val="32"/>
          <w:lang w:val="en-US" w:eastAsia="zh-CN"/>
        </w:rPr>
        <w:t>1次</w:t>
      </w:r>
      <w:r>
        <w:rPr>
          <w:rFonts w:hint="eastAsia" w:ascii="仿宋_GB2312" w:hAnsi="仿宋_GB2312" w:eastAsia="仿宋_GB2312" w:cs="仿宋_GB2312"/>
          <w:color w:val="auto"/>
          <w:sz w:val="32"/>
          <w:szCs w:val="32"/>
        </w:rPr>
        <w:t>意识形态风险</w:t>
      </w:r>
      <w:r>
        <w:rPr>
          <w:rFonts w:hint="eastAsia" w:ascii="仿宋_GB2312" w:hAnsi="仿宋_GB2312" w:eastAsia="仿宋_GB2312" w:cs="仿宋_GB2312"/>
          <w:color w:val="auto"/>
          <w:sz w:val="32"/>
          <w:szCs w:val="32"/>
          <w:lang w:eastAsia="zh-CN"/>
        </w:rPr>
        <w:t>隐患大</w:t>
      </w:r>
      <w:r>
        <w:rPr>
          <w:rFonts w:hint="eastAsia" w:ascii="仿宋_GB2312" w:hAnsi="仿宋_GB2312" w:eastAsia="仿宋_GB2312" w:cs="仿宋_GB2312"/>
          <w:color w:val="auto"/>
          <w:sz w:val="32"/>
          <w:szCs w:val="32"/>
        </w:rPr>
        <w:t>排查，</w:t>
      </w:r>
      <w:r>
        <w:rPr>
          <w:rFonts w:hint="eastAsia" w:ascii="仿宋_GB2312" w:hAnsi="仿宋_GB2312" w:eastAsia="仿宋_GB2312" w:cs="仿宋_GB2312"/>
          <w:color w:val="auto"/>
          <w:sz w:val="32"/>
          <w:szCs w:val="32"/>
          <w:lang w:val="en-US" w:eastAsia="zh-CN"/>
        </w:rPr>
        <w:t>定期研判风险点并加强防控。</w:t>
      </w:r>
      <w:r>
        <w:rPr>
          <w:rFonts w:hint="eastAsia" w:ascii="仿宋_GB2312" w:hAnsi="仿宋_GB2312" w:eastAsia="仿宋_GB2312" w:cs="仿宋_GB2312"/>
          <w:color w:val="auto"/>
          <w:sz w:val="32"/>
          <w:szCs w:val="32"/>
        </w:rPr>
        <w:t>严格执行《怀化文学》</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“怀化文联”公众号内容</w:t>
      </w:r>
      <w:r>
        <w:rPr>
          <w:rFonts w:hint="eastAsia" w:ascii="仿宋_GB2312" w:hAnsi="仿宋_GB2312" w:eastAsia="仿宋_GB2312" w:cs="仿宋_GB2312"/>
          <w:color w:val="auto"/>
          <w:sz w:val="32"/>
          <w:szCs w:val="32"/>
          <w:lang w:eastAsia="zh-CN"/>
        </w:rPr>
        <w:t>的</w:t>
      </w:r>
      <w:r>
        <w:rPr>
          <w:rFonts w:hint="eastAsia" w:ascii="仿宋_GB2312" w:hAnsi="仿宋_GB2312" w:eastAsia="仿宋_GB2312" w:cs="仿宋_GB2312"/>
          <w:color w:val="auto"/>
          <w:sz w:val="32"/>
          <w:szCs w:val="32"/>
        </w:rPr>
        <w:t>“三审三校”制度，确保文艺领域意识形态安全。</w:t>
      </w:r>
      <w:r>
        <w:rPr>
          <w:rStyle w:val="12"/>
          <w:rFonts w:hint="eastAsia" w:ascii="Times New Roman" w:hAnsi="Times New Roman" w:eastAsia="仿宋_GB2312" w:cs="仿宋_GB2312"/>
          <w:b w:val="0"/>
          <w:bCs/>
          <w:color w:val="auto"/>
          <w:kern w:val="0"/>
          <w:sz w:val="32"/>
          <w:szCs w:val="32"/>
          <w:lang w:val="en-US" w:eastAsia="zh-CN" w:bidi="ar"/>
        </w:rPr>
        <w:t>围绕市委市政府深入实施“五新四城”战略、加快建设现代化新怀化</w:t>
      </w:r>
      <w:r>
        <w:rPr>
          <w:rStyle w:val="12"/>
          <w:rFonts w:hint="eastAsia" w:ascii="Times New Roman" w:hAnsi="Times New Roman" w:eastAsia="仿宋_GB2312" w:cs="仿宋_GB2312"/>
          <w:b w:val="0"/>
          <w:bCs/>
          <w:color w:val="auto"/>
          <w:kern w:val="0"/>
          <w:sz w:val="32"/>
          <w:szCs w:val="32"/>
          <w:lang w:eastAsia="zh-CN" w:bidi="ar"/>
        </w:rPr>
        <w:t>的</w:t>
      </w:r>
      <w:r>
        <w:rPr>
          <w:rStyle w:val="12"/>
          <w:rFonts w:hint="eastAsia" w:ascii="Times New Roman" w:hAnsi="Times New Roman" w:eastAsia="仿宋_GB2312" w:cs="仿宋_GB2312"/>
          <w:b w:val="0"/>
          <w:bCs/>
          <w:color w:val="auto"/>
          <w:kern w:val="0"/>
          <w:sz w:val="32"/>
          <w:szCs w:val="32"/>
          <w:lang w:val="en-US" w:eastAsia="zh-CN" w:bidi="ar"/>
        </w:rPr>
        <w:t>总体思路和部署，组织开展一系列有特色有影响、引导性示范性强的主题文艺活动，</w:t>
      </w:r>
      <w:r>
        <w:rPr>
          <w:rFonts w:hint="eastAsia" w:ascii="Times New Roman" w:hAnsi="Times New Roman" w:eastAsia="仿宋_GB2312" w:cs="仿宋_GB2312"/>
          <w:color w:val="auto"/>
          <w:sz w:val="32"/>
          <w:szCs w:val="32"/>
          <w:lang w:eastAsia="zh-CN"/>
        </w:rPr>
        <w:t>得到领导肯定和社会认可。</w:t>
      </w:r>
      <w:r>
        <w:rPr>
          <w:rFonts w:hint="eastAsia" w:ascii="Times New Roman" w:hAnsi="Times New Roman" w:eastAsia="仿宋_GB2312" w:cs="仿宋_GB2312"/>
          <w:color w:val="auto"/>
          <w:sz w:val="32"/>
          <w:szCs w:val="32"/>
          <w:lang w:val="en-US" w:eastAsia="zh-CN"/>
        </w:rPr>
        <w:t>2024年，市文联编撰</w:t>
      </w:r>
      <w:r>
        <w:rPr>
          <w:rFonts w:hint="eastAsia" w:ascii="Times New Roman" w:hAnsi="Times New Roman" w:eastAsia="仿宋_GB2312" w:cs="仿宋_GB2312"/>
          <w:color w:val="auto"/>
          <w:sz w:val="32"/>
          <w:szCs w:val="32"/>
          <w:lang w:eastAsia="zh-CN"/>
        </w:rPr>
        <w:t>、出版</w:t>
      </w:r>
      <w:r>
        <w:rPr>
          <w:rFonts w:hint="eastAsia" w:ascii="Times New Roman" w:hAnsi="Times New Roman" w:eastAsia="仿宋_GB2312" w:cs="仿宋_GB2312"/>
          <w:color w:val="auto"/>
          <w:sz w:val="32"/>
          <w:szCs w:val="32"/>
          <w:lang w:val="en-US" w:eastAsia="zh-CN"/>
        </w:rPr>
        <w:t>《福地怀化诗文选》</w:t>
      </w:r>
      <w:r>
        <w:rPr>
          <w:rFonts w:hint="eastAsia" w:ascii="Times New Roman" w:hAnsi="Times New Roman" w:eastAsia="仿宋_GB2312" w:cs="仿宋_GB2312"/>
          <w:color w:val="auto"/>
          <w:sz w:val="32"/>
          <w:szCs w:val="32"/>
          <w:lang w:eastAsia="zh-CN"/>
        </w:rPr>
        <w:t>，成为第十一届全球湘商大会、第三届怀化旅游发展大会重要外宣文化精品。</w:t>
      </w:r>
      <w:r>
        <w:rPr>
          <w:rStyle w:val="12"/>
          <w:rFonts w:hint="eastAsia" w:ascii="Times New Roman" w:hAnsi="Times New Roman" w:eastAsia="仿宋_GB2312" w:cs="仿宋_GB2312"/>
          <w:b w:val="0"/>
          <w:bCs/>
          <w:color w:val="auto"/>
          <w:kern w:val="0"/>
          <w:sz w:val="32"/>
          <w:szCs w:val="32"/>
          <w:lang w:eastAsia="zh-CN" w:bidi="ar"/>
        </w:rPr>
        <w:t>以</w:t>
      </w:r>
      <w:r>
        <w:rPr>
          <w:rFonts w:hint="eastAsia" w:ascii="Times New Roman" w:hAnsi="Times New Roman" w:eastAsia="仿宋_GB2312" w:cs="仿宋_GB2312"/>
          <w:color w:val="auto"/>
          <w:sz w:val="32"/>
          <w:szCs w:val="32"/>
          <w:lang w:val="en-US" w:eastAsia="zh-CN"/>
        </w:rPr>
        <w:t>举办“屈子行吟</w:t>
      </w:r>
      <w:r>
        <w:rPr>
          <w:rFonts w:hint="eastAsia" w:ascii="Times New Roman" w:hAnsi="Times New Roman" w:eastAsia="仿宋_GB2312" w:cs="仿宋_GB2312"/>
          <w:color w:val="auto"/>
          <w:sz w:val="32"/>
          <w:szCs w:val="32"/>
          <w:lang w:eastAsia="zh-CN"/>
        </w:rPr>
        <w:t>·</w:t>
      </w:r>
      <w:r>
        <w:rPr>
          <w:rFonts w:hint="eastAsia" w:ascii="Times New Roman" w:hAnsi="Times New Roman" w:eastAsia="仿宋_GB2312" w:cs="仿宋_GB2312"/>
          <w:color w:val="auto"/>
          <w:sz w:val="32"/>
          <w:szCs w:val="32"/>
          <w:lang w:val="en-US" w:eastAsia="zh-CN"/>
        </w:rPr>
        <w:t>诗歌之源”2024中国</w:t>
      </w:r>
      <w:r>
        <w:rPr>
          <w:rFonts w:hint="eastAsia" w:ascii="Times New Roman" w:hAnsi="Times New Roman" w:eastAsia="仿宋_GB2312" w:cs="仿宋_GB2312"/>
          <w:color w:val="auto"/>
          <w:sz w:val="32"/>
          <w:szCs w:val="32"/>
          <w:lang w:eastAsia="zh-CN"/>
        </w:rPr>
        <w:t>·</w:t>
      </w:r>
      <w:r>
        <w:rPr>
          <w:rFonts w:hint="eastAsia" w:ascii="Times New Roman" w:hAnsi="Times New Roman" w:eastAsia="仿宋_GB2312" w:cs="仿宋_GB2312"/>
          <w:color w:val="auto"/>
          <w:sz w:val="32"/>
          <w:szCs w:val="32"/>
          <w:lang w:val="en-US" w:eastAsia="zh-CN"/>
        </w:rPr>
        <w:t>怀化首届屈原爱国怀乡诗歌节活动</w:t>
      </w:r>
      <w:r>
        <w:rPr>
          <w:rFonts w:hint="eastAsia" w:ascii="Times New Roman" w:hAnsi="Times New Roman" w:eastAsia="仿宋_GB2312" w:cs="仿宋_GB2312"/>
          <w:color w:val="auto"/>
          <w:sz w:val="32"/>
          <w:szCs w:val="32"/>
          <w:lang w:eastAsia="zh-CN"/>
        </w:rPr>
        <w:t>为契机</w:t>
      </w:r>
      <w:r>
        <w:rPr>
          <w:rFonts w:hint="eastAsia" w:ascii="Times New Roman" w:hAnsi="Times New Roman" w:eastAsia="仿宋_GB2312" w:cs="仿宋_GB2312"/>
          <w:color w:val="auto"/>
          <w:sz w:val="32"/>
          <w:szCs w:val="32"/>
          <w:lang w:val="en-US" w:eastAsia="zh-CN"/>
        </w:rPr>
        <w:t>，组织60名省内外诗歌学者开展“福地怀化”采风活动。</w:t>
      </w:r>
      <w:r>
        <w:rPr>
          <w:rFonts w:hint="eastAsia" w:ascii="Times New Roman" w:hAnsi="Times New Roman" w:eastAsia="仿宋_GB2312" w:cs="仿宋_GB2312"/>
          <w:color w:val="auto"/>
          <w:sz w:val="32"/>
          <w:szCs w:val="32"/>
          <w:lang w:eastAsia="zh-CN"/>
        </w:rPr>
        <w:t>组织“福地怀化——庆祝新中国成立75周年暨迎接第十一届全球湘商大会优秀文艺作品展”“一粒种子改变世界·福地怀化”美术书法篆刻名家作品邀请展、</w:t>
      </w:r>
      <w:r>
        <w:rPr>
          <w:rFonts w:hint="eastAsia" w:ascii="Times New Roman" w:hAnsi="Times New Roman" w:eastAsia="仿宋_GB2312" w:cs="仿宋_GB2312"/>
          <w:b w:val="0"/>
          <w:bCs w:val="0"/>
          <w:color w:val="auto"/>
          <w:sz w:val="32"/>
          <w:szCs w:val="32"/>
          <w:lang w:val="en-US" w:eastAsia="zh-CN"/>
        </w:rPr>
        <w:t>“艺心向党”优秀文艺作品展</w:t>
      </w:r>
      <w:r>
        <w:rPr>
          <w:rFonts w:hint="eastAsia" w:ascii="Times New Roman" w:hAnsi="Times New Roman" w:eastAsia="仿宋_GB2312" w:cs="仿宋_GB2312"/>
          <w:color w:val="auto"/>
          <w:sz w:val="32"/>
          <w:szCs w:val="32"/>
          <w:lang w:eastAsia="zh-CN"/>
        </w:rPr>
        <w:t>等系列活动。</w:t>
      </w:r>
      <w:r>
        <w:rPr>
          <w:rFonts w:hint="eastAsia" w:ascii="Times New Roman" w:hAnsi="Times New Roman" w:eastAsia="仿宋_GB2312" w:cs="仿宋_GB2312"/>
          <w:color w:val="auto"/>
          <w:sz w:val="32"/>
          <w:szCs w:val="32"/>
          <w:lang w:val="en-US" w:eastAsia="zh-CN"/>
        </w:rPr>
        <w:t>组织召开鹤中一体化发展“文艺先行”座谈会</w:t>
      </w:r>
      <w:r>
        <w:rPr>
          <w:rFonts w:hint="eastAsia" w:ascii="Times New Roman" w:hAnsi="Times New Roman" w:eastAsia="仿宋_GB2312" w:cs="仿宋_GB2312"/>
          <w:color w:val="auto"/>
          <w:sz w:val="32"/>
          <w:szCs w:val="32"/>
          <w:lang w:eastAsia="zh-CN"/>
        </w:rPr>
        <w:t>，达成文艺活动联办、文艺创作共推等10项共识，开展创作、交流、展示等文艺活动30多场，用文艺之火点燃</w:t>
      </w:r>
      <w:r>
        <w:rPr>
          <w:rFonts w:hint="eastAsia" w:ascii="Times New Roman" w:hAnsi="Times New Roman" w:eastAsia="仿宋_GB2312" w:cs="仿宋_GB2312"/>
          <w:color w:val="auto"/>
          <w:sz w:val="32"/>
          <w:szCs w:val="32"/>
          <w:lang w:val="en-US" w:eastAsia="zh-CN"/>
        </w:rPr>
        <w:t>市委、市政府推动鹤中一体化发展</w:t>
      </w:r>
      <w:r>
        <w:rPr>
          <w:rFonts w:hint="eastAsia" w:ascii="Times New Roman" w:hAnsi="Times New Roman" w:eastAsia="仿宋_GB2312" w:cs="仿宋_GB2312"/>
          <w:color w:val="auto"/>
          <w:sz w:val="32"/>
          <w:szCs w:val="32"/>
          <w:lang w:eastAsia="zh-CN"/>
        </w:rPr>
        <w:t>进程。</w:t>
      </w:r>
    </w:p>
    <w:p w14:paraId="516CDFF5">
      <w:pPr>
        <w:pStyle w:val="16"/>
        <w:spacing w:line="580" w:lineRule="exact"/>
        <w:ind w:firstLine="640" w:firstLineChars="200"/>
        <w:rPr>
          <w:rFonts w:ascii="楷体" w:hAnsi="楷体" w:eastAsia="楷体" w:cs="楷体"/>
          <w:b/>
          <w:bCs/>
          <w:sz w:val="32"/>
          <w:szCs w:val="32"/>
        </w:rPr>
      </w:pPr>
      <w:r>
        <w:rPr>
          <w:rFonts w:hint="eastAsia" w:ascii="楷体" w:hAnsi="楷体" w:eastAsia="楷体" w:cs="楷体"/>
          <w:b/>
          <w:bCs/>
          <w:sz w:val="32"/>
          <w:szCs w:val="32"/>
        </w:rPr>
        <w:t>（三）存在的问题及原因分析</w:t>
      </w:r>
    </w:p>
    <w:p w14:paraId="3F6FF915">
      <w:pPr>
        <w:pStyle w:val="16"/>
        <w:spacing w:line="580" w:lineRule="exact"/>
        <w:ind w:firstLine="640" w:firstLineChars="200"/>
        <w:rPr>
          <w:rFonts w:hint="eastAsia" w:ascii="Times New Roman" w:hAnsi="Times New Roman" w:eastAsia="仿宋_GB2312"/>
          <w:color w:val="auto"/>
          <w:sz w:val="32"/>
          <w:szCs w:val="32"/>
          <w:lang w:val="en-US" w:eastAsia="zh-CN"/>
        </w:rPr>
      </w:pPr>
      <w:r>
        <w:rPr>
          <w:rFonts w:hint="eastAsia" w:ascii="Times New Roman" w:hAnsi="Times New Roman" w:eastAsia="仿宋_GB2312"/>
          <w:color w:val="auto"/>
          <w:sz w:val="32"/>
          <w:szCs w:val="32"/>
          <w:lang w:val="en-US" w:eastAsia="zh-CN"/>
        </w:rPr>
        <w:t>全面预算绩效管理工作经验不太丰富，绩效管理专业人员匮乏，规范管理尚有盲点。</w:t>
      </w:r>
    </w:p>
    <w:p w14:paraId="1CAC0279">
      <w:pPr>
        <w:pStyle w:val="16"/>
        <w:spacing w:line="580" w:lineRule="exact"/>
        <w:ind w:firstLine="640" w:firstLineChars="200"/>
        <w:rPr>
          <w:rFonts w:hint="eastAsia" w:ascii="Times New Roman" w:hAnsi="Times New Roman" w:eastAsia="仿宋_GB2312"/>
          <w:color w:val="auto"/>
          <w:sz w:val="32"/>
          <w:szCs w:val="32"/>
          <w:lang w:val="en-US" w:eastAsia="zh-CN"/>
        </w:rPr>
      </w:pPr>
      <w:r>
        <w:rPr>
          <w:rFonts w:hint="eastAsia" w:ascii="Times New Roman" w:hAnsi="Times New Roman" w:eastAsia="仿宋_GB2312"/>
          <w:color w:val="auto"/>
          <w:sz w:val="32"/>
          <w:szCs w:val="32"/>
          <w:lang w:val="en-US" w:eastAsia="zh-CN"/>
        </w:rPr>
        <w:t>深入开展政府购买社会化服务，切实引进社会化竞争机制，引进相关专业人才，加强绩效目标管理观念，增强绩效管理意识，各项目部门需要进一步将绩效目标和预算相结合，在年初报预算时，设置更加详细、合理、可衡量的绩效目标。</w:t>
      </w:r>
    </w:p>
    <w:p w14:paraId="2660E2AE">
      <w:pPr>
        <w:pStyle w:val="16"/>
        <w:spacing w:line="580" w:lineRule="exact"/>
        <w:ind w:firstLine="640" w:firstLineChars="200"/>
        <w:rPr>
          <w:rFonts w:hint="eastAsia" w:ascii="Times New Roman" w:hAnsi="Times New Roman" w:eastAsia="仿宋_GB2312"/>
          <w:color w:val="auto"/>
          <w:sz w:val="32"/>
          <w:szCs w:val="32"/>
          <w:lang w:val="en-US" w:eastAsia="zh-CN"/>
        </w:rPr>
      </w:pPr>
    </w:p>
    <w:p w14:paraId="7FADD9F0">
      <w:pPr>
        <w:pStyle w:val="16"/>
        <w:jc w:val="both"/>
        <w:rPr>
          <w:sz w:val="72"/>
          <w:szCs w:val="72"/>
        </w:rPr>
      </w:pPr>
    </w:p>
    <w:p w14:paraId="5DBAD472">
      <w:pPr>
        <w:pStyle w:val="16"/>
        <w:jc w:val="center"/>
        <w:rPr>
          <w:sz w:val="72"/>
          <w:szCs w:val="72"/>
        </w:rPr>
      </w:pPr>
    </w:p>
    <w:p w14:paraId="25BEE062">
      <w:pPr>
        <w:pStyle w:val="16"/>
        <w:jc w:val="center"/>
        <w:rPr>
          <w:sz w:val="72"/>
          <w:szCs w:val="72"/>
        </w:rPr>
      </w:pPr>
    </w:p>
    <w:p w14:paraId="72121B07">
      <w:pPr>
        <w:pStyle w:val="16"/>
        <w:jc w:val="both"/>
        <w:rPr>
          <w:rFonts w:ascii="方正小标宋_GBK" w:hAnsi="方正小标宋_GBK" w:eastAsia="方正小标宋_GBK" w:cs="方正小标宋_GBK"/>
          <w:sz w:val="72"/>
          <w:szCs w:val="72"/>
        </w:rPr>
      </w:pPr>
    </w:p>
    <w:p w14:paraId="51F956A3">
      <w:pPr>
        <w:pStyle w:val="16"/>
        <w:jc w:val="center"/>
        <w:rPr>
          <w:rFonts w:ascii="方正小标宋_GBK" w:hAnsi="方正小标宋_GBK" w:eastAsia="方正小标宋_GBK" w:cs="方正小标宋_GBK"/>
          <w:sz w:val="72"/>
          <w:szCs w:val="72"/>
        </w:rPr>
      </w:pPr>
    </w:p>
    <w:p w14:paraId="2D97FA95">
      <w:pPr>
        <w:pStyle w:val="16"/>
        <w:jc w:val="center"/>
        <w:rPr>
          <w:rFonts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第四部分</w:t>
      </w:r>
    </w:p>
    <w:p w14:paraId="4FAAA573">
      <w:pPr>
        <w:jc w:val="center"/>
        <w:rPr>
          <w:rFonts w:ascii="方正小标宋_GBK" w:hAnsi="方正小标宋_GBK" w:eastAsia="方正小标宋_GBK" w:cs="方正小标宋_GBK"/>
          <w:color w:val="000000"/>
          <w:kern w:val="0"/>
          <w:sz w:val="70"/>
          <w:szCs w:val="70"/>
        </w:rPr>
      </w:pPr>
    </w:p>
    <w:p w14:paraId="60B65E74">
      <w:pPr>
        <w:jc w:val="center"/>
        <w:rPr>
          <w:rFonts w:ascii="方正小标宋_GBK" w:hAnsi="方正小标宋_GBK" w:eastAsia="方正小标宋_GBK" w:cs="方正小标宋_GBK"/>
          <w:color w:val="000000"/>
          <w:kern w:val="0"/>
          <w:sz w:val="70"/>
          <w:szCs w:val="70"/>
        </w:rPr>
      </w:pPr>
      <w:r>
        <w:rPr>
          <w:rFonts w:hint="eastAsia" w:ascii="方正小标宋_GBK" w:hAnsi="方正小标宋_GBK" w:eastAsia="方正小标宋_GBK" w:cs="方正小标宋_GBK"/>
          <w:color w:val="000000"/>
          <w:kern w:val="0"/>
          <w:sz w:val="70"/>
          <w:szCs w:val="70"/>
        </w:rPr>
        <w:t>名词解释</w:t>
      </w:r>
    </w:p>
    <w:p w14:paraId="51A5A030">
      <w:pPr>
        <w:widowControl/>
        <w:jc w:val="left"/>
        <w:rPr>
          <w:rFonts w:cs="黑体" w:asciiTheme="minorEastAsia" w:hAnsiTheme="minorEastAsia"/>
          <w:color w:val="000000"/>
          <w:kern w:val="0"/>
          <w:sz w:val="32"/>
          <w:szCs w:val="32"/>
        </w:rPr>
      </w:pPr>
      <w:r>
        <w:rPr>
          <w:rFonts w:hint="eastAsia" w:ascii="方正小标宋_GBK" w:hAnsi="方正小标宋_GBK" w:eastAsia="方正小标宋_GBK" w:cs="方正小标宋_GBK"/>
          <w:color w:val="000000"/>
          <w:kern w:val="0"/>
          <w:sz w:val="70"/>
          <w:szCs w:val="70"/>
        </w:rPr>
        <w:br w:type="page"/>
      </w:r>
    </w:p>
    <w:p w14:paraId="745A877D">
      <w:pPr>
        <w:keepNext w:val="0"/>
        <w:keepLines w:val="0"/>
        <w:pageBreakBefore w:val="0"/>
        <w:widowControl/>
        <w:numPr>
          <w:ilvl w:val="0"/>
          <w:numId w:val="0"/>
        </w:numPr>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rPr>
      </w:pPr>
      <w:r>
        <w:rPr>
          <w:rFonts w:hint="eastAsia" w:ascii="黑体" w:hAnsi="黑体" w:eastAsia="黑体" w:cs="黑体"/>
          <w:b w:val="0"/>
          <w:bCs w:val="0"/>
          <w:sz w:val="32"/>
          <w:szCs w:val="32"/>
          <w:lang w:eastAsia="zh-CN"/>
        </w:rPr>
        <w:t>一、</w:t>
      </w:r>
      <w:r>
        <w:rPr>
          <w:rFonts w:hint="eastAsia" w:ascii="黑体" w:hAnsi="黑体" w:eastAsia="黑体" w:cs="黑体"/>
          <w:b w:val="0"/>
          <w:bCs w:val="0"/>
          <w:sz w:val="32"/>
          <w:szCs w:val="32"/>
        </w:rPr>
        <w:t>机关运行经费：</w:t>
      </w:r>
      <w:r>
        <w:rPr>
          <w:rFonts w:hint="eastAsia" w:ascii="仿宋_GB2312" w:hAnsi="仿宋_GB2312" w:eastAsia="仿宋_GB2312" w:cs="仿宋_GB2312"/>
          <w:sz w:val="32"/>
          <w:szCs w:val="32"/>
        </w:rPr>
        <w:t>为保障行政单位（包括参照公务员法管理的事业单位）运行，用一般公共预算拨款安排，用于购买货物和服务的各项资金，包括办公及印刷费、邮电费、差旅费、会议费、福利费、日常维修费、办公用房水电费、办公用房取暖费、办公用房物业管理费、公务用车运行维护费以及其他费用，即为行政单位和参照公务员法管理事业单位一般公共预算财政拨款基本支出中的公用经费支出。</w:t>
      </w:r>
    </w:p>
    <w:p w14:paraId="3094568A">
      <w:pPr>
        <w:keepNext w:val="0"/>
        <w:keepLines w:val="0"/>
        <w:pageBreakBefore w:val="0"/>
        <w:widowControl/>
        <w:numPr>
          <w:ilvl w:val="0"/>
          <w:numId w:val="0"/>
        </w:numPr>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rPr>
      </w:pPr>
      <w:r>
        <w:rPr>
          <w:rFonts w:hint="eastAsia" w:ascii="黑体" w:hAnsi="黑体" w:eastAsia="黑体" w:cs="黑体"/>
          <w:b w:val="0"/>
          <w:bCs w:val="0"/>
          <w:sz w:val="32"/>
          <w:szCs w:val="32"/>
          <w:lang w:eastAsia="zh-CN"/>
        </w:rPr>
        <w:t>二、</w:t>
      </w:r>
      <w:r>
        <w:rPr>
          <w:rFonts w:hint="eastAsia" w:ascii="黑体" w:hAnsi="黑体" w:eastAsia="黑体" w:cs="黑体"/>
          <w:b w:val="0"/>
          <w:bCs w:val="0"/>
          <w:sz w:val="32"/>
          <w:szCs w:val="32"/>
        </w:rPr>
        <w:t>“三公”经费：</w:t>
      </w:r>
      <w:r>
        <w:rPr>
          <w:rFonts w:hint="eastAsia" w:ascii="仿宋_GB2312" w:hAnsi="仿宋_GB2312" w:eastAsia="仿宋_GB2312" w:cs="仿宋_GB2312"/>
          <w:sz w:val="32"/>
          <w:szCs w:val="32"/>
        </w:rPr>
        <w:t>纳入财政预算管理的“三公“经费，是指用一般公共预算拨款安排的公务接待费、公务用车购置及运行维护费和因公出国（境）费。其中，公务接待费反映单位按规定开支的各类公务接待支出；公务用车购置及运行费反映单位公务用车车辆购置支出（含车辆购置税），以及燃料费、维修费、保险费等支出；因公出国（境）费反映单位公务出国（境）的国际旅费、国外城市间交通费、食宿费等支出。</w:t>
      </w:r>
    </w:p>
    <w:p w14:paraId="18604C78">
      <w:pPr>
        <w:pStyle w:val="16"/>
        <w:jc w:val="center"/>
        <w:rPr>
          <w:sz w:val="72"/>
          <w:szCs w:val="72"/>
        </w:rPr>
      </w:pPr>
    </w:p>
    <w:p w14:paraId="5804D02B">
      <w:pPr>
        <w:pStyle w:val="16"/>
        <w:jc w:val="center"/>
        <w:rPr>
          <w:sz w:val="72"/>
          <w:szCs w:val="72"/>
        </w:rPr>
      </w:pPr>
    </w:p>
    <w:p w14:paraId="7A11C2A2">
      <w:pPr>
        <w:pStyle w:val="16"/>
        <w:jc w:val="center"/>
        <w:rPr>
          <w:sz w:val="72"/>
          <w:szCs w:val="72"/>
        </w:rPr>
      </w:pPr>
    </w:p>
    <w:p w14:paraId="1E57EE9A">
      <w:pPr>
        <w:pStyle w:val="16"/>
        <w:jc w:val="center"/>
        <w:rPr>
          <w:sz w:val="72"/>
          <w:szCs w:val="72"/>
        </w:rPr>
      </w:pPr>
    </w:p>
    <w:p w14:paraId="3B500747">
      <w:pPr>
        <w:pStyle w:val="16"/>
        <w:jc w:val="center"/>
        <w:rPr>
          <w:sz w:val="72"/>
          <w:szCs w:val="72"/>
        </w:rPr>
      </w:pPr>
    </w:p>
    <w:p w14:paraId="295EC6F5">
      <w:pPr>
        <w:pStyle w:val="16"/>
        <w:jc w:val="center"/>
        <w:rPr>
          <w:sz w:val="72"/>
          <w:szCs w:val="72"/>
        </w:rPr>
      </w:pPr>
    </w:p>
    <w:p w14:paraId="4DBD85DB">
      <w:pPr>
        <w:pStyle w:val="16"/>
        <w:jc w:val="center"/>
        <w:rPr>
          <w:sz w:val="72"/>
          <w:szCs w:val="72"/>
        </w:rPr>
      </w:pPr>
    </w:p>
    <w:p w14:paraId="73951305">
      <w:pPr>
        <w:pStyle w:val="16"/>
        <w:jc w:val="center"/>
        <w:rPr>
          <w:sz w:val="72"/>
          <w:szCs w:val="72"/>
        </w:rPr>
      </w:pPr>
    </w:p>
    <w:p w14:paraId="05081D57">
      <w:pPr>
        <w:rPr>
          <w:sz w:val="72"/>
          <w:szCs w:val="72"/>
        </w:rPr>
      </w:pPr>
      <w:r>
        <w:rPr>
          <w:sz w:val="72"/>
          <w:szCs w:val="72"/>
        </w:rPr>
        <w:br w:type="page"/>
      </w:r>
    </w:p>
    <w:p w14:paraId="1A4FF17D">
      <w:pPr>
        <w:pStyle w:val="16"/>
        <w:jc w:val="center"/>
        <w:rPr>
          <w:rFonts w:ascii="方正小标宋_GBK" w:hAnsi="方正小标宋_GBK" w:eastAsia="方正小标宋_GBK" w:cs="方正小标宋_GBK"/>
          <w:sz w:val="72"/>
          <w:szCs w:val="72"/>
        </w:rPr>
      </w:pPr>
    </w:p>
    <w:p w14:paraId="0A3AB18A">
      <w:pPr>
        <w:pStyle w:val="16"/>
        <w:jc w:val="center"/>
        <w:rPr>
          <w:rFonts w:ascii="方正小标宋_GBK" w:hAnsi="方正小标宋_GBK" w:eastAsia="方正小标宋_GBK" w:cs="方正小标宋_GBK"/>
          <w:sz w:val="72"/>
          <w:szCs w:val="72"/>
        </w:rPr>
      </w:pPr>
    </w:p>
    <w:p w14:paraId="55160D25">
      <w:pPr>
        <w:pStyle w:val="16"/>
        <w:jc w:val="center"/>
        <w:rPr>
          <w:rFonts w:ascii="方正小标宋_GBK" w:hAnsi="方正小标宋_GBK" w:eastAsia="方正小标宋_GBK" w:cs="方正小标宋_GBK"/>
          <w:sz w:val="72"/>
          <w:szCs w:val="72"/>
        </w:rPr>
      </w:pPr>
    </w:p>
    <w:p w14:paraId="7CAFB248">
      <w:pPr>
        <w:pStyle w:val="16"/>
        <w:jc w:val="center"/>
        <w:rPr>
          <w:rFonts w:ascii="方正小标宋_GBK" w:hAnsi="方正小标宋_GBK" w:eastAsia="方正小标宋_GBK" w:cs="方正小标宋_GBK"/>
          <w:sz w:val="72"/>
          <w:szCs w:val="72"/>
        </w:rPr>
      </w:pPr>
    </w:p>
    <w:p w14:paraId="4B0C7EDD">
      <w:pPr>
        <w:pStyle w:val="16"/>
        <w:jc w:val="center"/>
        <w:rPr>
          <w:rFonts w:ascii="方正小标宋_GBK" w:hAnsi="方正小标宋_GBK" w:eastAsia="方正小标宋_GBK" w:cs="方正小标宋_GBK"/>
          <w:sz w:val="72"/>
          <w:szCs w:val="72"/>
        </w:rPr>
      </w:pPr>
    </w:p>
    <w:p w14:paraId="21C7F2CD">
      <w:pPr>
        <w:pStyle w:val="16"/>
        <w:jc w:val="center"/>
        <w:rPr>
          <w:rFonts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第五部分</w:t>
      </w:r>
    </w:p>
    <w:p w14:paraId="043306D6">
      <w:pPr>
        <w:pStyle w:val="16"/>
        <w:jc w:val="center"/>
        <w:rPr>
          <w:rFonts w:ascii="方正小标宋_GBK" w:hAnsi="方正小标宋_GBK" w:eastAsia="方正小标宋_GBK" w:cs="方正小标宋_GBK"/>
          <w:sz w:val="70"/>
          <w:szCs w:val="70"/>
        </w:rPr>
      </w:pPr>
    </w:p>
    <w:p w14:paraId="731407DD">
      <w:pPr>
        <w:pStyle w:val="16"/>
        <w:jc w:val="center"/>
        <w:rPr>
          <w:sz w:val="72"/>
          <w:szCs w:val="72"/>
        </w:rPr>
      </w:pPr>
      <w:r>
        <w:rPr>
          <w:rFonts w:hint="eastAsia" w:ascii="方正小标宋_GBK" w:hAnsi="方正小标宋_GBK" w:eastAsia="方正小标宋_GBK" w:cs="方正小标宋_GBK"/>
          <w:sz w:val="70"/>
          <w:szCs w:val="70"/>
        </w:rPr>
        <w:t>附 件</w:t>
      </w:r>
    </w:p>
    <w:p w14:paraId="625C763D">
      <w:pPr>
        <w:rPr>
          <w:sz w:val="72"/>
          <w:szCs w:val="72"/>
        </w:rPr>
      </w:pPr>
      <w:r>
        <w:rPr>
          <w:sz w:val="72"/>
          <w:szCs w:val="72"/>
        </w:rPr>
        <w:br w:type="page"/>
      </w:r>
    </w:p>
    <w:p w14:paraId="4191542D">
      <w:pPr>
        <w:pStyle w:val="16"/>
        <w:spacing w:line="600" w:lineRule="exact"/>
        <w:ind w:firstLine="640" w:firstLineChars="200"/>
        <w:rPr>
          <w:rFonts w:ascii="Times New Roman" w:hAnsi="Times New Roman" w:eastAsia="仿宋_GB2312"/>
          <w:sz w:val="32"/>
          <w:szCs w:val="32"/>
        </w:rPr>
      </w:pPr>
      <w:r>
        <w:rPr>
          <w:rFonts w:hint="eastAsia" w:ascii="楷体" w:hAnsi="楷体" w:eastAsia="楷体" w:cs="楷体"/>
          <w:b/>
          <w:bCs/>
          <w:sz w:val="32"/>
          <w:szCs w:val="32"/>
        </w:rPr>
        <w:t>一、</w:t>
      </w:r>
      <w:r>
        <w:rPr>
          <w:rFonts w:hint="eastAsia" w:ascii="Times New Roman" w:hAnsi="Times New Roman" w:eastAsia="仿宋_GB2312"/>
          <w:sz w:val="32"/>
          <w:szCs w:val="32"/>
          <w:lang w:eastAsia="zh-CN"/>
        </w:rPr>
        <w:t>2024</w:t>
      </w:r>
      <w:r>
        <w:rPr>
          <w:rFonts w:hint="eastAsia" w:ascii="Times New Roman" w:hAnsi="Times New Roman" w:eastAsia="仿宋_GB2312"/>
          <w:sz w:val="32"/>
          <w:szCs w:val="32"/>
        </w:rPr>
        <w:t>年度</w:t>
      </w:r>
      <w:r>
        <w:rPr>
          <w:rFonts w:hint="eastAsia" w:ascii="Times New Roman" w:hAnsi="Times New Roman" w:eastAsia="仿宋_GB2312"/>
          <w:sz w:val="32"/>
          <w:szCs w:val="32"/>
          <w:lang w:eastAsia="zh-CN"/>
        </w:rPr>
        <w:t>文学艺术界联合会</w:t>
      </w:r>
      <w:r>
        <w:rPr>
          <w:rFonts w:hint="eastAsia" w:ascii="Times New Roman" w:hAnsi="Times New Roman" w:eastAsia="仿宋_GB2312"/>
          <w:sz w:val="32"/>
          <w:szCs w:val="32"/>
        </w:rPr>
        <w:t>整体支出绩效自评报告。</w:t>
      </w:r>
    </w:p>
    <w:p w14:paraId="3B427E2C">
      <w:pPr>
        <w:pStyle w:val="9"/>
        <w:spacing w:beforeAutospacing="0" w:afterAutospacing="0" w:line="276" w:lineRule="auto"/>
        <w:ind w:firstLine="0" w:firstLineChars="0"/>
        <w:jc w:val="center"/>
        <w:rPr>
          <w:rFonts w:hint="eastAsia"/>
          <w:b/>
          <w:bCs/>
          <w:sz w:val="28"/>
          <w:szCs w:val="28"/>
        </w:rPr>
      </w:pPr>
    </w:p>
    <w:p w14:paraId="6E0F8C4E">
      <w:pPr>
        <w:pStyle w:val="9"/>
        <w:spacing w:beforeAutospacing="0" w:afterAutospacing="0" w:line="276" w:lineRule="auto"/>
        <w:ind w:firstLine="0" w:firstLineChars="0"/>
        <w:jc w:val="center"/>
        <w:rPr>
          <w:b/>
          <w:bCs/>
          <w:sz w:val="28"/>
          <w:szCs w:val="28"/>
        </w:rPr>
      </w:pPr>
      <w:r>
        <w:rPr>
          <w:rFonts w:hint="eastAsia"/>
          <w:b/>
          <w:bCs/>
          <w:sz w:val="28"/>
          <w:szCs w:val="28"/>
        </w:rPr>
        <w:t>怀化市文学艺术界联合会</w:t>
      </w:r>
    </w:p>
    <w:p w14:paraId="5EBDC59F">
      <w:pPr>
        <w:pStyle w:val="9"/>
        <w:spacing w:beforeAutospacing="0" w:afterAutospacing="0" w:line="276" w:lineRule="auto"/>
        <w:ind w:firstLine="0" w:firstLineChars="0"/>
        <w:jc w:val="center"/>
        <w:rPr>
          <w:b/>
          <w:bCs/>
          <w:sz w:val="28"/>
          <w:szCs w:val="28"/>
        </w:rPr>
      </w:pPr>
      <w:r>
        <w:rPr>
          <w:rFonts w:hint="eastAsia"/>
          <w:b/>
          <w:bCs/>
          <w:sz w:val="28"/>
          <w:szCs w:val="28"/>
        </w:rPr>
        <w:t>2</w:t>
      </w:r>
      <w:r>
        <w:rPr>
          <w:b/>
          <w:bCs/>
          <w:sz w:val="28"/>
          <w:szCs w:val="28"/>
        </w:rPr>
        <w:t>02</w:t>
      </w:r>
      <w:r>
        <w:rPr>
          <w:rFonts w:hint="default"/>
          <w:b/>
          <w:bCs/>
          <w:sz w:val="28"/>
          <w:szCs w:val="28"/>
          <w:lang w:val="en-US"/>
        </w:rPr>
        <w:t>4</w:t>
      </w:r>
      <w:r>
        <w:rPr>
          <w:rFonts w:hint="eastAsia"/>
          <w:b/>
          <w:bCs/>
          <w:sz w:val="28"/>
          <w:szCs w:val="28"/>
        </w:rPr>
        <w:t>年部门整体支出绩效自评报告</w:t>
      </w:r>
    </w:p>
    <w:p w14:paraId="4F009502">
      <w:pPr>
        <w:pStyle w:val="9"/>
        <w:spacing w:beforeAutospacing="0" w:afterAutospacing="0" w:line="440" w:lineRule="exact"/>
      </w:pPr>
      <w:r>
        <w:rPr>
          <w:rStyle w:val="23"/>
          <w:rFonts w:hint="eastAsia"/>
        </w:rPr>
        <w:t>一、</w:t>
      </w:r>
      <w:r>
        <w:rPr>
          <w:rFonts w:hint="eastAsia"/>
        </w:rPr>
        <w:t>部门、单位基本情况</w:t>
      </w:r>
    </w:p>
    <w:p w14:paraId="6F0FFA82">
      <w:pPr>
        <w:pStyle w:val="9"/>
        <w:spacing w:beforeAutospacing="0" w:afterAutospacing="0" w:line="440" w:lineRule="exact"/>
      </w:pPr>
      <w:r>
        <w:t>（一）机构设置情况</w:t>
      </w:r>
    </w:p>
    <w:p w14:paraId="21EBD2F0">
      <w:pPr>
        <w:pStyle w:val="9"/>
        <w:spacing w:beforeAutospacing="0" w:afterAutospacing="0" w:line="440" w:lineRule="exact"/>
      </w:pPr>
      <w:r>
        <w:rPr>
          <w:rFonts w:hint="eastAsia"/>
        </w:rPr>
        <w:t>怀化市文学艺术界联合会作为一级部门预算单位，内设科室办公室。</w:t>
      </w:r>
    </w:p>
    <w:p w14:paraId="7444025A">
      <w:pPr>
        <w:pStyle w:val="9"/>
        <w:spacing w:beforeAutospacing="0" w:afterAutospacing="0" w:line="440" w:lineRule="exact"/>
      </w:pPr>
      <w:r>
        <w:rPr>
          <w:rFonts w:hint="eastAsia"/>
        </w:rPr>
        <w:t>雪峰杂志社作为怀化市文学艺术联合会的二级部门预算单位，无内设科室。</w:t>
      </w:r>
    </w:p>
    <w:p w14:paraId="488BC217">
      <w:pPr>
        <w:pStyle w:val="9"/>
        <w:spacing w:beforeAutospacing="0" w:afterAutospacing="0" w:line="440" w:lineRule="exact"/>
      </w:pPr>
      <w:r>
        <w:t>（二）人员编制情况</w:t>
      </w:r>
    </w:p>
    <w:p w14:paraId="6635D637">
      <w:pPr>
        <w:pStyle w:val="9"/>
        <w:spacing w:beforeAutospacing="0" w:afterAutospacing="0" w:line="440" w:lineRule="exact"/>
      </w:pPr>
      <w:r>
        <w:rPr>
          <w:rFonts w:hint="eastAsia"/>
        </w:rPr>
        <w:t>根据人员编制规定，202</w:t>
      </w:r>
      <w:r>
        <w:rPr>
          <w:rFonts w:hint="default"/>
          <w:lang w:val="en-US"/>
        </w:rPr>
        <w:t>4</w:t>
      </w:r>
      <w:r>
        <w:rPr>
          <w:rFonts w:hint="eastAsia"/>
        </w:rPr>
        <w:t>年度编制人员为</w:t>
      </w:r>
      <w:r>
        <w:t>11</w:t>
      </w:r>
      <w:r>
        <w:rPr>
          <w:rFonts w:hint="eastAsia"/>
        </w:rPr>
        <w:t>人，其中：行政人员编制数6人，实有</w:t>
      </w:r>
      <w:r>
        <w:t>6</w:t>
      </w:r>
      <w:r>
        <w:rPr>
          <w:rFonts w:hint="eastAsia"/>
        </w:rPr>
        <w:t>人；事业人员编制数</w:t>
      </w:r>
      <w:r>
        <w:rPr>
          <w:rFonts w:hint="default"/>
          <w:lang w:val="en-US"/>
        </w:rPr>
        <w:t>6</w:t>
      </w:r>
      <w:r>
        <w:rPr>
          <w:rFonts w:hint="eastAsia"/>
        </w:rPr>
        <w:t>人，实有</w:t>
      </w:r>
      <w:r>
        <w:rPr>
          <w:rFonts w:hint="default"/>
          <w:lang w:val="en-US"/>
        </w:rPr>
        <w:t>5</w:t>
      </w:r>
      <w:r>
        <w:rPr>
          <w:rFonts w:hint="eastAsia"/>
        </w:rPr>
        <w:t>人；离退休人员共</w:t>
      </w:r>
      <w:r>
        <w:t>16</w:t>
      </w:r>
      <w:r>
        <w:rPr>
          <w:rFonts w:hint="eastAsia"/>
        </w:rPr>
        <w:t>人。</w:t>
      </w:r>
    </w:p>
    <w:p w14:paraId="2FA3AB66">
      <w:pPr>
        <w:pStyle w:val="9"/>
        <w:spacing w:beforeAutospacing="0" w:afterAutospacing="0" w:line="440" w:lineRule="exact"/>
        <w:rPr>
          <w:b/>
          <w:bCs/>
        </w:rPr>
      </w:pPr>
      <w:r>
        <w:t>（三）主要职能职责</w:t>
      </w:r>
    </w:p>
    <w:p w14:paraId="1865E7CD">
      <w:pPr>
        <w:pStyle w:val="9"/>
        <w:spacing w:beforeAutospacing="0" w:afterAutospacing="0" w:line="440" w:lineRule="exact"/>
        <w:jc w:val="both"/>
      </w:pPr>
      <w:r>
        <w:rPr>
          <w:rFonts w:hint="eastAsia"/>
        </w:rPr>
        <w:t>怀化市文学艺术界联合会是党委政府联系文艺家的群众团体，按照科学发展观的要求，坚持文艺“为人民服务，为社会主义服务”的方向和“百花齐放，百家争鸣”的方针，充分发挥文联“团结引导、联络协调、服务管理、自律维权”的职能，着力发挥好党委政府和文艺家之间的桥梁纽带作用，不断探索新形势下文学艺术创作的新途径，积极组织全市文艺工作者开展文艺创作，文艺演出、展览、评奖、研讨和交流等活动，激发文艺工作者的创作热情，做好各个艺术门类及各艺术类别的联络、协调、服务指导工作。进一步拓展服务基层的渠道，提高服务群众的水平，繁荣我市文艺事业。</w:t>
      </w:r>
    </w:p>
    <w:p w14:paraId="5070B27F">
      <w:pPr>
        <w:pStyle w:val="9"/>
        <w:spacing w:beforeAutospacing="0" w:afterAutospacing="0" w:line="440" w:lineRule="exact"/>
      </w:pPr>
      <w:r>
        <w:t>（四）绩效目标设定情况</w:t>
      </w:r>
    </w:p>
    <w:p w14:paraId="151A055F">
      <w:pPr>
        <w:pStyle w:val="22"/>
        <w:ind w:firstLine="480"/>
      </w:pPr>
      <w:r>
        <w:rPr>
          <w:rFonts w:hint="eastAsia"/>
        </w:rPr>
        <w:t>按照市本级预算绩效管理工作的总体要求，202</w:t>
      </w:r>
      <w:r>
        <w:rPr>
          <w:rFonts w:hint="default"/>
          <w:lang w:val="en-US"/>
        </w:rPr>
        <w:t>4</w:t>
      </w:r>
      <w:r>
        <w:rPr>
          <w:rFonts w:hint="eastAsia"/>
        </w:rPr>
        <w:t>年我单位整体支出</w:t>
      </w:r>
      <w:r>
        <w:rPr>
          <w:rFonts w:hint="default"/>
          <w:lang w:val="en-US"/>
        </w:rPr>
        <w:t>34</w:t>
      </w:r>
      <w:r>
        <w:rPr>
          <w:rFonts w:hint="eastAsia"/>
          <w:lang w:val="en-US" w:eastAsia="zh-CN"/>
        </w:rPr>
        <w:t>6.73</w:t>
      </w:r>
      <w:r>
        <w:rPr>
          <w:rFonts w:hint="eastAsia"/>
        </w:rPr>
        <w:t>万元，全部实行整体支出绩效目标理，年初编报绩效目标的项目2个，预算追加项目编报绩效目标</w:t>
      </w:r>
      <w:r>
        <w:rPr>
          <w:rFonts w:hint="default"/>
          <w:lang w:val="en-US"/>
        </w:rPr>
        <w:t>10</w:t>
      </w:r>
      <w:r>
        <w:rPr>
          <w:rFonts w:hint="eastAsia"/>
        </w:rPr>
        <w:t>个，涉及项目支出</w:t>
      </w:r>
      <w:r>
        <w:rPr>
          <w:rFonts w:hint="default"/>
          <w:lang w:val="en-US"/>
        </w:rPr>
        <w:t>128.1</w:t>
      </w:r>
      <w:r>
        <w:rPr>
          <w:rFonts w:hint="eastAsia"/>
        </w:rPr>
        <w:t>万元，其中专项业务（工作）经费3</w:t>
      </w:r>
      <w:r>
        <w:t>5</w:t>
      </w:r>
      <w:r>
        <w:rPr>
          <w:rFonts w:hint="eastAsia"/>
        </w:rPr>
        <w:t xml:space="preserve"> 万元、《怀化文学》办刊经费2</w:t>
      </w:r>
      <w:r>
        <w:t>0</w:t>
      </w:r>
      <w:r>
        <w:rPr>
          <w:rFonts w:hint="eastAsia"/>
        </w:rPr>
        <w:t>万元、市直单位老干活动经费1</w:t>
      </w:r>
      <w:r>
        <w:t>0</w:t>
      </w:r>
      <w:r>
        <w:rPr>
          <w:rFonts w:hint="eastAsia"/>
        </w:rPr>
        <w:t>万元、两企三新党建工作经费2</w:t>
      </w:r>
      <w:r>
        <w:rPr>
          <w:rFonts w:hint="default"/>
          <w:lang w:val="en-US"/>
        </w:rPr>
        <w:t>.1</w:t>
      </w:r>
      <w:r>
        <w:rPr>
          <w:rFonts w:hint="eastAsia"/>
        </w:rPr>
        <w:t>万元、《稻花飘香》及举办主题民族音乐会经费</w:t>
      </w:r>
      <w:r>
        <w:rPr>
          <w:rFonts w:hint="default"/>
          <w:lang w:val="en-US"/>
        </w:rPr>
        <w:t>10</w:t>
      </w:r>
      <w:r>
        <w:rPr>
          <w:rFonts w:hint="eastAsia"/>
        </w:rPr>
        <w:t>万元、“聚文化之力助乡村振兴”武陵山杜鹃文化节活动经费2万元、《福地怀化》歌曲制作经费</w:t>
      </w:r>
      <w:r>
        <w:rPr>
          <w:rFonts w:hint="default"/>
          <w:lang w:val="en-US"/>
        </w:rPr>
        <w:t>2</w:t>
      </w:r>
      <w:r>
        <w:rPr>
          <w:rFonts w:hint="eastAsia"/>
          <w:lang w:val="en-US" w:eastAsia="zh-CN"/>
        </w:rPr>
        <w:t>万元、怀化市摄影家协会工作经费5万元、文体活动下乡下社区5万元</w:t>
      </w:r>
      <w:r>
        <w:rPr>
          <w:rFonts w:hint="eastAsia"/>
        </w:rPr>
        <w:t>张维音乐专辑制作经费市文联“强国复兴新征程 砥砺奋进新时代”活动经费</w:t>
      </w:r>
      <w:r>
        <w:rPr>
          <w:rFonts w:hint="eastAsia"/>
          <w:lang w:val="en-US" w:eastAsia="zh-CN"/>
        </w:rPr>
        <w:t>9</w:t>
      </w:r>
      <w:r>
        <w:rPr>
          <w:rFonts w:hint="eastAsia"/>
        </w:rPr>
        <w:t>万</w:t>
      </w:r>
      <w:r>
        <w:rPr>
          <w:rFonts w:hint="eastAsia"/>
          <w:lang w:eastAsia="zh-CN"/>
        </w:rPr>
        <w:t>、《福地怀化诗文选》编辑出版经费</w:t>
      </w:r>
      <w:r>
        <w:rPr>
          <w:rFonts w:hint="eastAsia"/>
          <w:lang w:val="en-US" w:eastAsia="zh-CN"/>
        </w:rPr>
        <w:t>23万、《书写湘商的辉煌》5万元</w:t>
      </w:r>
      <w:r>
        <w:rPr>
          <w:rFonts w:hint="eastAsia"/>
        </w:rPr>
        <w:t>，全部实行项目支出绩效目标管理。</w:t>
      </w:r>
    </w:p>
    <w:p w14:paraId="5FE9FABD">
      <w:pPr>
        <w:spacing w:line="440" w:lineRule="exact"/>
      </w:pPr>
      <w:r>
        <w:rPr>
          <w:rFonts w:hint="eastAsia"/>
        </w:rPr>
        <w:t>二、部门整体支出管理及使用情况</w:t>
      </w:r>
    </w:p>
    <w:p w14:paraId="7EF4D642">
      <w:pPr>
        <w:pStyle w:val="9"/>
        <w:spacing w:beforeAutospacing="0" w:afterAutospacing="0" w:line="440" w:lineRule="exact"/>
      </w:pPr>
      <w:r>
        <w:t>（一）</w:t>
      </w:r>
      <w:r>
        <w:rPr>
          <w:rFonts w:hint="eastAsia"/>
        </w:rPr>
        <w:t>预算执行、使用、管理总体情况。</w:t>
      </w:r>
    </w:p>
    <w:p w14:paraId="12C99D16">
      <w:pPr>
        <w:pStyle w:val="22"/>
        <w:ind w:firstLine="480"/>
      </w:pPr>
      <w:r>
        <w:rPr>
          <w:rFonts w:hint="eastAsia"/>
        </w:rPr>
        <w:t>202</w:t>
      </w:r>
      <w:r>
        <w:rPr>
          <w:rFonts w:hint="eastAsia"/>
          <w:lang w:val="en-US" w:eastAsia="zh-CN"/>
        </w:rPr>
        <w:t>4</w:t>
      </w:r>
      <w:r>
        <w:rPr>
          <w:rFonts w:hint="eastAsia"/>
        </w:rPr>
        <w:t>年部门预算情况。收入包括一般公共预算财政拨款收入，其他收入资金；支出包括保障机关基本运行的经费以及相关专项经费。</w:t>
      </w:r>
    </w:p>
    <w:p w14:paraId="35A865A4">
      <w:pPr>
        <w:pStyle w:val="22"/>
        <w:ind w:firstLine="480"/>
      </w:pPr>
      <w:r>
        <w:rPr>
          <w:rFonts w:hint="eastAsia"/>
        </w:rPr>
        <w:t>本单位整体支出和项目支出实行绩效目标管理。</w:t>
      </w:r>
    </w:p>
    <w:p w14:paraId="67BA0BDC">
      <w:pPr>
        <w:pStyle w:val="22"/>
        <w:ind w:firstLine="480"/>
      </w:pPr>
      <w:r>
        <w:rPr>
          <w:rFonts w:hint="eastAsia"/>
        </w:rPr>
        <w:t>1.收入预算，</w:t>
      </w:r>
      <w:r>
        <w:rPr>
          <w:rFonts w:hint="default"/>
          <w:lang w:val="en-US"/>
        </w:rPr>
        <w:t>2024</w:t>
      </w:r>
      <w:r>
        <w:rPr>
          <w:rFonts w:hint="eastAsia"/>
        </w:rPr>
        <w:t xml:space="preserve">年年初预算数 </w:t>
      </w:r>
      <w:r>
        <w:rPr>
          <w:rFonts w:hint="eastAsia"/>
          <w:lang w:val="en-US" w:eastAsia="zh-CN"/>
        </w:rPr>
        <w:t>263.19</w:t>
      </w:r>
      <w:r>
        <w:rPr>
          <w:rFonts w:hint="eastAsia"/>
        </w:rPr>
        <w:t xml:space="preserve">万元，其中，一般公共预算拨款 </w:t>
      </w:r>
      <w:r>
        <w:rPr>
          <w:rFonts w:hint="eastAsia"/>
          <w:lang w:val="en-US" w:eastAsia="zh-CN"/>
        </w:rPr>
        <w:t>263.19</w:t>
      </w:r>
      <w:r>
        <w:rPr>
          <w:rFonts w:hint="eastAsia"/>
        </w:rPr>
        <w:t>万元，无政府性基金预算拨款、无纳入财政专户管理的非税收入拨款，无国有资本经营预算拨款。压减公用经费和专项支出后，同口径对比，收入较上年</w:t>
      </w:r>
      <w:r>
        <w:rPr>
          <w:rFonts w:hint="eastAsia"/>
          <w:lang w:eastAsia="zh-CN"/>
        </w:rPr>
        <w:t>减少</w:t>
      </w:r>
      <w:r>
        <w:rPr>
          <w:rFonts w:hint="eastAsia"/>
          <w:lang w:val="en-US" w:eastAsia="zh-CN"/>
        </w:rPr>
        <w:t>24.43</w:t>
      </w:r>
      <w:r>
        <w:rPr>
          <w:rFonts w:hint="eastAsia"/>
        </w:rPr>
        <w:t>万元，</w:t>
      </w:r>
      <w:bookmarkStart w:id="0" w:name="_Hlk171260646"/>
      <w:r>
        <w:rPr>
          <w:rFonts w:hint="eastAsia"/>
        </w:rPr>
        <w:t>主要原因是</w:t>
      </w:r>
      <w:r>
        <w:rPr>
          <w:rFonts w:hint="eastAsia"/>
          <w:lang w:eastAsia="zh-CN"/>
        </w:rPr>
        <w:t>厉行节约，压缩支出</w:t>
      </w:r>
      <w:r>
        <w:rPr>
          <w:rFonts w:hint="eastAsia"/>
        </w:rPr>
        <w:t xml:space="preserve">。 </w:t>
      </w:r>
    </w:p>
    <w:bookmarkEnd w:id="0"/>
    <w:p w14:paraId="6F118302">
      <w:pPr>
        <w:pStyle w:val="22"/>
        <w:ind w:firstLine="480"/>
      </w:pPr>
      <w:r>
        <w:rPr>
          <w:rFonts w:hint="eastAsia"/>
        </w:rPr>
        <w:t>2.支出预算，</w:t>
      </w:r>
      <w:r>
        <w:rPr>
          <w:rFonts w:hint="default"/>
          <w:lang w:val="en-US"/>
        </w:rPr>
        <w:t>2024</w:t>
      </w:r>
      <w:r>
        <w:rPr>
          <w:rFonts w:hint="eastAsia"/>
        </w:rPr>
        <w:t>年年初预算数</w:t>
      </w:r>
      <w:r>
        <w:rPr>
          <w:rFonts w:hint="eastAsia"/>
          <w:lang w:val="en-US" w:eastAsia="zh-CN"/>
        </w:rPr>
        <w:t>263.19</w:t>
      </w:r>
      <w:r>
        <w:rPr>
          <w:rFonts w:hint="eastAsia"/>
        </w:rPr>
        <w:t>万元，其中主要是人员支出</w:t>
      </w:r>
      <w:r>
        <w:rPr>
          <w:rFonts w:hint="eastAsia"/>
          <w:lang w:val="en-US" w:eastAsia="zh-CN"/>
        </w:rPr>
        <w:t>196.19</w:t>
      </w:r>
      <w:r>
        <w:rPr>
          <w:rFonts w:hint="eastAsia"/>
        </w:rPr>
        <w:t>万元，公用经费</w:t>
      </w:r>
      <w:r>
        <w:rPr>
          <w:rFonts w:hint="eastAsia"/>
          <w:lang w:val="en-US" w:eastAsia="zh-CN"/>
        </w:rPr>
        <w:t>12</w:t>
      </w:r>
      <w:r>
        <w:rPr>
          <w:rFonts w:hint="eastAsia"/>
        </w:rPr>
        <w:t>万元，特定目标类项目支出</w:t>
      </w:r>
      <w:r>
        <w:t>55</w:t>
      </w:r>
      <w:r>
        <w:rPr>
          <w:rFonts w:hint="eastAsia"/>
        </w:rPr>
        <w:t xml:space="preserve"> 万元。压减公用经费和专项支出后。压减公用经费和专项支出后，同口径对比，支出较上年</w:t>
      </w:r>
      <w:r>
        <w:rPr>
          <w:rFonts w:hint="eastAsia"/>
          <w:lang w:eastAsia="zh-CN"/>
        </w:rPr>
        <w:t>减少</w:t>
      </w:r>
      <w:r>
        <w:rPr>
          <w:rFonts w:hint="eastAsia"/>
          <w:lang w:val="en-US" w:eastAsia="zh-CN"/>
        </w:rPr>
        <w:t>24.43</w:t>
      </w:r>
      <w:r>
        <w:rPr>
          <w:rFonts w:hint="eastAsia"/>
        </w:rPr>
        <w:t>万元，主要原因是</w:t>
      </w:r>
      <w:r>
        <w:rPr>
          <w:rFonts w:hint="eastAsia"/>
          <w:lang w:eastAsia="zh-CN"/>
        </w:rPr>
        <w:t>厉行节约，压缩支出。</w:t>
      </w:r>
    </w:p>
    <w:p w14:paraId="007931ED">
      <w:pPr>
        <w:pStyle w:val="9"/>
        <w:spacing w:beforeAutospacing="0" w:afterAutospacing="0" w:line="440" w:lineRule="exact"/>
      </w:pPr>
      <w:r>
        <w:t>（二）部门预算执行情况</w:t>
      </w:r>
    </w:p>
    <w:p w14:paraId="133DC7F9">
      <w:pPr>
        <w:pStyle w:val="22"/>
        <w:ind w:firstLine="480"/>
      </w:pPr>
      <w:r>
        <w:t>1.基本支出情况</w:t>
      </w:r>
    </w:p>
    <w:p w14:paraId="63B84F60">
      <w:pPr>
        <w:pStyle w:val="22"/>
        <w:ind w:firstLine="480"/>
      </w:pPr>
      <w:r>
        <w:rPr>
          <w:rFonts w:hint="default"/>
          <w:lang w:val="en-US"/>
        </w:rPr>
        <w:t>2024</w:t>
      </w:r>
      <w:r>
        <w:rPr>
          <w:rFonts w:hint="eastAsia"/>
        </w:rPr>
        <w:t>年年初预算数为</w:t>
      </w:r>
      <w:r>
        <w:rPr>
          <w:rFonts w:hint="eastAsia"/>
          <w:lang w:val="en-US" w:eastAsia="zh-CN"/>
        </w:rPr>
        <w:t>208.19</w:t>
      </w:r>
      <w:r>
        <w:rPr>
          <w:rFonts w:hint="eastAsia"/>
        </w:rPr>
        <w:t>万元，全年预算数</w:t>
      </w:r>
      <w:r>
        <w:rPr>
          <w:rFonts w:hint="eastAsia"/>
          <w:lang w:val="en-US" w:eastAsia="zh-CN"/>
        </w:rPr>
        <w:t>208.19</w:t>
      </w:r>
      <w:r>
        <w:rPr>
          <w:rFonts w:hint="eastAsia"/>
        </w:rPr>
        <w:t>万元，实际支出</w:t>
      </w:r>
      <w:r>
        <w:rPr>
          <w:rFonts w:hint="eastAsia"/>
          <w:lang w:val="en-US" w:eastAsia="zh-CN"/>
        </w:rPr>
        <w:t>208.19</w:t>
      </w:r>
      <w:r>
        <w:rPr>
          <w:rFonts w:hint="eastAsia"/>
        </w:rPr>
        <w:t>万元，是指为保障单位机构正常运转、完成日常工作任务而发生的各项支出，包括用于基本工资</w:t>
      </w:r>
      <w:r>
        <w:rPr>
          <w:rFonts w:hint="eastAsia"/>
          <w:lang w:val="en-US" w:eastAsia="zh-CN"/>
        </w:rPr>
        <w:t>47.98</w:t>
      </w:r>
      <w:r>
        <w:rPr>
          <w:rFonts w:hint="eastAsia"/>
        </w:rPr>
        <w:t>万元、津贴补贴</w:t>
      </w:r>
      <w:r>
        <w:rPr>
          <w:rFonts w:hint="eastAsia"/>
          <w:lang w:val="en-US" w:eastAsia="zh-CN"/>
        </w:rPr>
        <w:t>27.21</w:t>
      </w:r>
      <w:r>
        <w:rPr>
          <w:rFonts w:hint="eastAsia"/>
        </w:rPr>
        <w:t>万元、奖金3</w:t>
      </w:r>
      <w:r>
        <w:t>5.</w:t>
      </w:r>
      <w:r>
        <w:rPr>
          <w:rFonts w:hint="eastAsia"/>
          <w:lang w:val="en-US" w:eastAsia="zh-CN"/>
        </w:rPr>
        <w:t>16</w:t>
      </w:r>
      <w:r>
        <w:rPr>
          <w:rFonts w:hint="eastAsia"/>
        </w:rPr>
        <w:t>万元、机关事业单位基本养老保险缴费</w:t>
      </w:r>
      <w:r>
        <w:rPr>
          <w:rFonts w:hint="eastAsia"/>
          <w:lang w:val="en-US" w:eastAsia="zh-CN"/>
        </w:rPr>
        <w:t>17.55</w:t>
      </w:r>
      <w:r>
        <w:rPr>
          <w:rFonts w:hint="eastAsia"/>
        </w:rPr>
        <w:t>万元、职工基本医疗保险缴费</w:t>
      </w:r>
      <w:r>
        <w:rPr>
          <w:rFonts w:hint="eastAsia"/>
          <w:lang w:val="en-US" w:eastAsia="zh-CN"/>
        </w:rPr>
        <w:t>7.41</w:t>
      </w:r>
      <w:r>
        <w:rPr>
          <w:rFonts w:hint="eastAsia"/>
        </w:rPr>
        <w:t>万元、 其他工资福利支出</w:t>
      </w:r>
      <w:r>
        <w:rPr>
          <w:rFonts w:hint="eastAsia"/>
          <w:lang w:val="en-US" w:eastAsia="zh-CN"/>
        </w:rPr>
        <w:t>2.4万元、</w:t>
      </w:r>
      <w:r>
        <w:rPr>
          <w:rFonts w:hint="eastAsia"/>
        </w:rPr>
        <w:t>办公费</w:t>
      </w:r>
      <w:r>
        <w:rPr>
          <w:rFonts w:hint="eastAsia"/>
          <w:lang w:val="en-US" w:eastAsia="zh-CN"/>
        </w:rPr>
        <w:t>2</w:t>
      </w:r>
      <w:r>
        <w:rPr>
          <w:rFonts w:hint="eastAsia"/>
        </w:rPr>
        <w:t>万元、</w:t>
      </w:r>
      <w:r>
        <w:rPr>
          <w:rFonts w:hint="eastAsia"/>
          <w:lang w:eastAsia="zh-CN"/>
        </w:rPr>
        <w:t>工会经费</w:t>
      </w:r>
      <w:r>
        <w:rPr>
          <w:rFonts w:hint="eastAsia"/>
          <w:lang w:val="en-US" w:eastAsia="zh-CN"/>
        </w:rPr>
        <w:t>5.5</w:t>
      </w:r>
      <w:r>
        <w:rPr>
          <w:rFonts w:hint="eastAsia"/>
        </w:rPr>
        <w:t>万元、差旅费4</w:t>
      </w:r>
      <w:r>
        <w:t>.17</w:t>
      </w:r>
      <w:r>
        <w:rPr>
          <w:rFonts w:hint="eastAsia"/>
        </w:rPr>
        <w:t>万元、维修（护）费0</w:t>
      </w:r>
      <w:r>
        <w:t>.29</w:t>
      </w:r>
      <w:r>
        <w:rPr>
          <w:rFonts w:hint="eastAsia"/>
        </w:rPr>
        <w:t>万元、公务接待费0</w:t>
      </w:r>
      <w:r>
        <w:t>.</w:t>
      </w:r>
      <w:r>
        <w:rPr>
          <w:rFonts w:hint="eastAsia"/>
          <w:lang w:val="en-US" w:eastAsia="zh-CN"/>
        </w:rPr>
        <w:t>36</w:t>
      </w:r>
      <w:r>
        <w:rPr>
          <w:rFonts w:hint="eastAsia"/>
        </w:rPr>
        <w:t>万元、</w:t>
      </w:r>
      <w:r>
        <w:rPr>
          <w:rFonts w:hint="eastAsia"/>
          <w:lang w:eastAsia="zh-CN"/>
        </w:rPr>
        <w:t>其他对单位和个人的补助支出</w:t>
      </w:r>
      <w:r>
        <w:rPr>
          <w:rFonts w:hint="eastAsia"/>
          <w:lang w:val="en-US" w:eastAsia="zh-CN"/>
        </w:rPr>
        <w:t>23.37万元</w:t>
      </w:r>
      <w:r>
        <w:rPr>
          <w:rFonts w:hint="eastAsia"/>
        </w:rPr>
        <w:t>、</w:t>
      </w:r>
      <w:r>
        <w:rPr>
          <w:rFonts w:hint="eastAsia"/>
          <w:lang w:eastAsia="zh-CN"/>
        </w:rPr>
        <w:t>退休费</w:t>
      </w:r>
      <w:r>
        <w:rPr>
          <w:rFonts w:hint="eastAsia"/>
          <w:lang w:val="en-US" w:eastAsia="zh-CN"/>
        </w:rPr>
        <w:t>11.61万元、</w:t>
      </w:r>
      <w:r>
        <w:rPr>
          <w:rFonts w:hint="eastAsia"/>
        </w:rPr>
        <w:t>其他商品和服务支出</w:t>
      </w:r>
      <w:r>
        <w:rPr>
          <w:rFonts w:hint="eastAsia"/>
          <w:lang w:val="en-US" w:eastAsia="zh-CN"/>
        </w:rPr>
        <w:t>14.65</w:t>
      </w:r>
      <w:r>
        <w:rPr>
          <w:rFonts w:hint="eastAsia"/>
        </w:rPr>
        <w:t>万元等。</w:t>
      </w:r>
    </w:p>
    <w:p w14:paraId="07057622">
      <w:pPr>
        <w:pStyle w:val="22"/>
        <w:ind w:firstLine="480"/>
      </w:pPr>
      <w:r>
        <w:rPr>
          <w:rFonts w:hint="eastAsia"/>
        </w:rPr>
        <w:t>2.项目支出情况</w:t>
      </w:r>
    </w:p>
    <w:p w14:paraId="7E10963D">
      <w:pPr>
        <w:pStyle w:val="22"/>
        <w:ind w:firstLine="480"/>
      </w:pPr>
      <w:r>
        <w:rPr>
          <w:rFonts w:hint="default"/>
          <w:lang w:val="en-US"/>
        </w:rPr>
        <w:t>2024</w:t>
      </w:r>
      <w:r>
        <w:rPr>
          <w:rFonts w:hint="eastAsia"/>
        </w:rPr>
        <w:t>年年初预算数为</w:t>
      </w:r>
      <w:r>
        <w:t>55.00</w:t>
      </w:r>
      <w:r>
        <w:rPr>
          <w:rFonts w:hint="eastAsia"/>
        </w:rPr>
        <w:t>万元，全年预算数</w:t>
      </w:r>
      <w:r>
        <w:rPr>
          <w:rFonts w:hint="eastAsia"/>
          <w:lang w:val="en-US" w:eastAsia="zh-CN"/>
        </w:rPr>
        <w:t>128.1</w:t>
      </w:r>
      <w:r>
        <w:rPr>
          <w:rFonts w:hint="eastAsia"/>
        </w:rPr>
        <w:t>万元，实际支出</w:t>
      </w:r>
      <w:r>
        <w:rPr>
          <w:rFonts w:hint="eastAsia"/>
          <w:lang w:val="en-US" w:eastAsia="zh-CN"/>
        </w:rPr>
        <w:t>128.1</w:t>
      </w:r>
      <w:r>
        <w:rPr>
          <w:rFonts w:hint="eastAsia"/>
        </w:rPr>
        <w:t>万元，其中年中追加预算</w:t>
      </w:r>
      <w:r>
        <w:rPr>
          <w:rFonts w:hint="eastAsia"/>
          <w:lang w:val="en-US" w:eastAsia="zh-CN"/>
        </w:rPr>
        <w:t>73.1</w:t>
      </w:r>
      <w:r>
        <w:rPr>
          <w:rFonts w:hint="eastAsia"/>
        </w:rPr>
        <w:t>万元。全年预算包括</w:t>
      </w:r>
      <w:r>
        <w:rPr>
          <w:rFonts w:hint="eastAsia"/>
          <w:highlight w:val="none"/>
        </w:rPr>
        <w:t>专项业务（工作）经费3</w:t>
      </w:r>
      <w:r>
        <w:rPr>
          <w:highlight w:val="none"/>
        </w:rPr>
        <w:t>5</w:t>
      </w:r>
      <w:r>
        <w:rPr>
          <w:rFonts w:hint="eastAsia"/>
          <w:highlight w:val="none"/>
        </w:rPr>
        <w:t>万元，《怀化文学》办刊经费2</w:t>
      </w:r>
      <w:r>
        <w:rPr>
          <w:highlight w:val="none"/>
        </w:rPr>
        <w:t>0</w:t>
      </w:r>
      <w:r>
        <w:rPr>
          <w:rFonts w:hint="eastAsia"/>
          <w:highlight w:val="none"/>
        </w:rPr>
        <w:t>万元，市直单位老干活动经费1</w:t>
      </w:r>
      <w:r>
        <w:rPr>
          <w:highlight w:val="none"/>
        </w:rPr>
        <w:t>0</w:t>
      </w:r>
      <w:r>
        <w:rPr>
          <w:rFonts w:hint="eastAsia"/>
          <w:highlight w:val="none"/>
        </w:rPr>
        <w:t>万元、两企三新党建工作经费2</w:t>
      </w:r>
      <w:r>
        <w:rPr>
          <w:rFonts w:hint="default"/>
          <w:highlight w:val="none"/>
          <w:lang w:val="en-US"/>
        </w:rPr>
        <w:t>.1</w:t>
      </w:r>
      <w:r>
        <w:rPr>
          <w:rFonts w:hint="eastAsia"/>
          <w:highlight w:val="none"/>
        </w:rPr>
        <w:t>万元、《稻花飘香》及举办主题民族音乐会经费</w:t>
      </w:r>
      <w:r>
        <w:rPr>
          <w:rFonts w:hint="default"/>
          <w:highlight w:val="none"/>
          <w:lang w:val="en-US"/>
        </w:rPr>
        <w:t>10</w:t>
      </w:r>
      <w:r>
        <w:rPr>
          <w:rFonts w:hint="eastAsia"/>
          <w:highlight w:val="none"/>
        </w:rPr>
        <w:t>万元、“聚文化之力助乡村振兴”武陵山杜鹃文化节活动经费2万元、《福地怀化》歌曲制作经费</w:t>
      </w:r>
      <w:r>
        <w:rPr>
          <w:rFonts w:hint="default"/>
          <w:highlight w:val="none"/>
          <w:lang w:val="en-US"/>
        </w:rPr>
        <w:t>2</w:t>
      </w:r>
      <w:r>
        <w:rPr>
          <w:rFonts w:hint="eastAsia"/>
          <w:highlight w:val="none"/>
          <w:lang w:val="en-US" w:eastAsia="zh-CN"/>
        </w:rPr>
        <w:t>万元、怀化市摄影家协会工作经费5万元、文体活动下乡下社区5万元、</w:t>
      </w:r>
      <w:r>
        <w:rPr>
          <w:rFonts w:hint="eastAsia"/>
          <w:highlight w:val="none"/>
        </w:rPr>
        <w:t>张维音乐专辑制作经费市文联“强国复兴新征程 砥砺奋进新时代”活动经费</w:t>
      </w:r>
      <w:r>
        <w:rPr>
          <w:rFonts w:hint="eastAsia"/>
          <w:highlight w:val="none"/>
          <w:lang w:val="en-US" w:eastAsia="zh-CN"/>
        </w:rPr>
        <w:t>9</w:t>
      </w:r>
      <w:r>
        <w:rPr>
          <w:rFonts w:hint="eastAsia"/>
          <w:highlight w:val="none"/>
        </w:rPr>
        <w:t>万</w:t>
      </w:r>
      <w:r>
        <w:rPr>
          <w:rFonts w:hint="eastAsia"/>
          <w:lang w:eastAsia="zh-CN"/>
        </w:rPr>
        <w:t>、《福地怀化诗文选》编辑出版经费</w:t>
      </w:r>
      <w:r>
        <w:rPr>
          <w:rFonts w:hint="eastAsia"/>
          <w:lang w:val="en-US" w:eastAsia="zh-CN"/>
        </w:rPr>
        <w:t>23万、《书写湘商的辉煌》5万元</w:t>
      </w:r>
      <w:r>
        <w:rPr>
          <w:rFonts w:hint="eastAsia"/>
        </w:rPr>
        <w:t>。项目支出是指单位为完成特定行政工作任务或事业发展目标而发生的支出，包括有关事业发展专项、专项业务费、基本建设支出等。本单位项目支出主要用于纪念袁隆平院士作品《稻花飘香》及举办主题民族音乐会经费、《怀化文学》办刊经费、用于积极推动文艺工作发展，持续强化文艺精品创作生产，加强人才队伍建设和自身建设，努力把市文联打造成广大文艺工作者温馨的“文艺工作者之家”。</w:t>
      </w:r>
    </w:p>
    <w:p w14:paraId="2FA942FF">
      <w:pPr>
        <w:pStyle w:val="22"/>
        <w:ind w:firstLine="480"/>
      </w:pPr>
      <w:r>
        <w:rPr>
          <w:rFonts w:hint="eastAsia"/>
        </w:rPr>
        <w:t>（三）“三公经费”使用和管理情况</w:t>
      </w:r>
    </w:p>
    <w:p w14:paraId="33AE8F01">
      <w:pPr>
        <w:pStyle w:val="25"/>
        <w:spacing w:line="440" w:lineRule="exact"/>
        <w:ind w:firstLine="420"/>
      </w:pPr>
      <w:r>
        <w:rPr>
          <w:rFonts w:hint="eastAsia"/>
        </w:rPr>
        <w:t xml:space="preserve">（1）  </w:t>
      </w:r>
      <w:r>
        <w:rPr>
          <w:rFonts w:hint="default"/>
          <w:lang w:val="en-US"/>
        </w:rPr>
        <w:t>2024</w:t>
      </w:r>
      <w:r>
        <w:rPr>
          <w:rFonts w:hint="eastAsia"/>
        </w:rPr>
        <w:t>年“三公经费”支出情况</w:t>
      </w:r>
    </w:p>
    <w:p w14:paraId="07B62203">
      <w:pPr>
        <w:pStyle w:val="25"/>
        <w:ind w:firstLine="6930" w:firstLineChars="3300"/>
      </w:pPr>
      <w:r>
        <w:t>单位：万元</w:t>
      </w:r>
    </w:p>
    <w:tbl>
      <w:tblPr>
        <w:tblStyle w:val="10"/>
        <w:tblW w:w="83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6"/>
        <w:gridCol w:w="1720"/>
        <w:gridCol w:w="1870"/>
        <w:gridCol w:w="1806"/>
      </w:tblGrid>
      <w:tr w14:paraId="43A4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 w:hRule="atLeast"/>
          <w:tblHeader/>
          <w:jc w:val="center"/>
        </w:trPr>
        <w:tc>
          <w:tcPr>
            <w:tcW w:w="2936" w:type="dxa"/>
            <w:vAlign w:val="center"/>
          </w:tcPr>
          <w:p w14:paraId="01F1B733">
            <w:pPr>
              <w:ind w:firstLine="420"/>
              <w:jc w:val="center"/>
              <w:rPr>
                <w:sz w:val="21"/>
                <w:szCs w:val="21"/>
              </w:rPr>
            </w:pPr>
            <w:r>
              <w:rPr>
                <w:sz w:val="21"/>
                <w:szCs w:val="21"/>
              </w:rPr>
              <w:t>费用项目</w:t>
            </w:r>
          </w:p>
        </w:tc>
        <w:tc>
          <w:tcPr>
            <w:tcW w:w="1720" w:type="dxa"/>
            <w:vAlign w:val="center"/>
          </w:tcPr>
          <w:p w14:paraId="0C195BBB">
            <w:pPr>
              <w:ind w:firstLine="0" w:firstLineChars="0"/>
              <w:jc w:val="center"/>
              <w:rPr>
                <w:sz w:val="21"/>
                <w:szCs w:val="21"/>
              </w:rPr>
            </w:pPr>
            <w:r>
              <w:rPr>
                <w:sz w:val="21"/>
                <w:szCs w:val="21"/>
              </w:rPr>
              <w:t>本年预算金额</w:t>
            </w:r>
          </w:p>
        </w:tc>
        <w:tc>
          <w:tcPr>
            <w:tcW w:w="1870" w:type="dxa"/>
            <w:vAlign w:val="center"/>
          </w:tcPr>
          <w:p w14:paraId="60ABFA4E">
            <w:pPr>
              <w:ind w:firstLine="0" w:firstLineChars="0"/>
              <w:jc w:val="center"/>
              <w:rPr>
                <w:sz w:val="21"/>
                <w:szCs w:val="21"/>
              </w:rPr>
            </w:pPr>
            <w:r>
              <w:rPr>
                <w:sz w:val="21"/>
                <w:szCs w:val="21"/>
              </w:rPr>
              <w:t>本年决算金额</w:t>
            </w:r>
          </w:p>
        </w:tc>
        <w:tc>
          <w:tcPr>
            <w:tcW w:w="1806" w:type="dxa"/>
            <w:vAlign w:val="center"/>
          </w:tcPr>
          <w:p w14:paraId="3E8AC64B">
            <w:pPr>
              <w:ind w:firstLine="0" w:firstLineChars="0"/>
              <w:jc w:val="center"/>
              <w:rPr>
                <w:sz w:val="21"/>
                <w:szCs w:val="21"/>
              </w:rPr>
            </w:pPr>
            <w:r>
              <w:rPr>
                <w:sz w:val="21"/>
                <w:szCs w:val="21"/>
              </w:rPr>
              <w:t>结余</w:t>
            </w:r>
            <w:r>
              <w:rPr>
                <w:rFonts w:hint="eastAsia"/>
                <w:sz w:val="21"/>
                <w:szCs w:val="21"/>
              </w:rPr>
              <w:t>“</w:t>
            </w:r>
            <w:r>
              <w:rPr>
                <w:sz w:val="21"/>
                <w:szCs w:val="21"/>
              </w:rPr>
              <w:t>-</w:t>
            </w:r>
            <w:r>
              <w:rPr>
                <w:rFonts w:hint="eastAsia"/>
                <w:sz w:val="21"/>
                <w:szCs w:val="21"/>
              </w:rPr>
              <w:t>”</w:t>
            </w:r>
            <w:r>
              <w:rPr>
                <w:sz w:val="21"/>
                <w:szCs w:val="21"/>
              </w:rPr>
              <w:t>/超支</w:t>
            </w:r>
            <w:r>
              <w:rPr>
                <w:rFonts w:hint="eastAsia"/>
                <w:sz w:val="21"/>
                <w:szCs w:val="21"/>
              </w:rPr>
              <w:t>“</w:t>
            </w:r>
            <w:r>
              <w:rPr>
                <w:sz w:val="21"/>
                <w:szCs w:val="21"/>
              </w:rPr>
              <w:t>+</w:t>
            </w:r>
            <w:r>
              <w:rPr>
                <w:rFonts w:hint="eastAsia"/>
                <w:sz w:val="21"/>
                <w:szCs w:val="21"/>
              </w:rPr>
              <w:t>”</w:t>
            </w:r>
          </w:p>
        </w:tc>
      </w:tr>
      <w:tr w14:paraId="223C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 w:hRule="atLeast"/>
          <w:jc w:val="center"/>
        </w:trPr>
        <w:tc>
          <w:tcPr>
            <w:tcW w:w="2936" w:type="dxa"/>
            <w:vAlign w:val="center"/>
          </w:tcPr>
          <w:p w14:paraId="5BDA00F2">
            <w:pPr>
              <w:ind w:firstLine="420"/>
              <w:jc w:val="center"/>
              <w:rPr>
                <w:sz w:val="21"/>
                <w:szCs w:val="21"/>
              </w:rPr>
            </w:pPr>
            <w:r>
              <w:rPr>
                <w:sz w:val="21"/>
                <w:szCs w:val="21"/>
              </w:rPr>
              <w:t>公务接待费</w:t>
            </w:r>
          </w:p>
        </w:tc>
        <w:tc>
          <w:tcPr>
            <w:tcW w:w="1720" w:type="dxa"/>
            <w:vAlign w:val="center"/>
          </w:tcPr>
          <w:p w14:paraId="7A112206">
            <w:pPr>
              <w:pStyle w:val="26"/>
              <w:rPr>
                <w:rFonts w:hint="default" w:eastAsiaTheme="minorEastAsia"/>
                <w:lang w:val="en-US" w:eastAsia="zh-CN"/>
              </w:rPr>
            </w:pPr>
            <w:r>
              <w:t>0.</w:t>
            </w:r>
            <w:r>
              <w:rPr>
                <w:rFonts w:hint="eastAsia"/>
                <w:lang w:val="en-US" w:eastAsia="zh-CN"/>
              </w:rPr>
              <w:t>36</w:t>
            </w:r>
          </w:p>
        </w:tc>
        <w:tc>
          <w:tcPr>
            <w:tcW w:w="1870" w:type="dxa"/>
            <w:vAlign w:val="center"/>
          </w:tcPr>
          <w:p w14:paraId="3AC0C0E7">
            <w:pPr>
              <w:pStyle w:val="26"/>
              <w:rPr>
                <w:rFonts w:hint="eastAsia" w:eastAsiaTheme="minorEastAsia"/>
                <w:lang w:eastAsia="zh-CN"/>
              </w:rPr>
            </w:pPr>
            <w:r>
              <w:t>0.2</w:t>
            </w:r>
            <w:r>
              <w:rPr>
                <w:rFonts w:hint="eastAsia"/>
                <w:lang w:val="en-US" w:eastAsia="zh-CN"/>
              </w:rPr>
              <w:t>2</w:t>
            </w:r>
          </w:p>
        </w:tc>
        <w:tc>
          <w:tcPr>
            <w:tcW w:w="1806" w:type="dxa"/>
            <w:vAlign w:val="center"/>
          </w:tcPr>
          <w:p w14:paraId="058E8A8F">
            <w:pPr>
              <w:pStyle w:val="26"/>
              <w:rPr>
                <w:rFonts w:hint="default" w:eastAsiaTheme="minorEastAsia"/>
                <w:lang w:val="en-US" w:eastAsia="zh-CN"/>
              </w:rPr>
            </w:pPr>
            <w:r>
              <w:t>-0.</w:t>
            </w:r>
            <w:r>
              <w:rPr>
                <w:rFonts w:hint="eastAsia"/>
                <w:lang w:val="en-US" w:eastAsia="zh-CN"/>
              </w:rPr>
              <w:t>14</w:t>
            </w:r>
          </w:p>
        </w:tc>
      </w:tr>
      <w:tr w14:paraId="1CD84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 w:hRule="atLeast"/>
          <w:jc w:val="center"/>
        </w:trPr>
        <w:tc>
          <w:tcPr>
            <w:tcW w:w="2936" w:type="dxa"/>
            <w:vAlign w:val="center"/>
          </w:tcPr>
          <w:p w14:paraId="35DE8252">
            <w:pPr>
              <w:ind w:firstLine="0" w:firstLineChars="0"/>
              <w:jc w:val="center"/>
              <w:rPr>
                <w:sz w:val="21"/>
                <w:szCs w:val="21"/>
              </w:rPr>
            </w:pPr>
            <w:r>
              <w:rPr>
                <w:rFonts w:hint="eastAsia"/>
                <w:sz w:val="21"/>
                <w:szCs w:val="21"/>
              </w:rPr>
              <w:t>公务用车购置及运行维护费</w:t>
            </w:r>
          </w:p>
        </w:tc>
        <w:tc>
          <w:tcPr>
            <w:tcW w:w="1720" w:type="dxa"/>
            <w:vAlign w:val="center"/>
          </w:tcPr>
          <w:p w14:paraId="205468F8">
            <w:pPr>
              <w:pStyle w:val="26"/>
            </w:pPr>
            <w:r>
              <w:rPr>
                <w:rFonts w:hint="eastAsia"/>
              </w:rPr>
              <w:t>0.00</w:t>
            </w:r>
          </w:p>
        </w:tc>
        <w:tc>
          <w:tcPr>
            <w:tcW w:w="1870" w:type="dxa"/>
            <w:vAlign w:val="center"/>
          </w:tcPr>
          <w:p w14:paraId="2E1712DB">
            <w:pPr>
              <w:pStyle w:val="26"/>
            </w:pPr>
            <w:r>
              <w:rPr>
                <w:rFonts w:hint="eastAsia"/>
              </w:rPr>
              <w:t>0.00</w:t>
            </w:r>
          </w:p>
        </w:tc>
        <w:tc>
          <w:tcPr>
            <w:tcW w:w="1806" w:type="dxa"/>
            <w:vAlign w:val="center"/>
          </w:tcPr>
          <w:p w14:paraId="7DD9D8D1">
            <w:pPr>
              <w:pStyle w:val="26"/>
            </w:pPr>
            <w:r>
              <w:rPr>
                <w:rFonts w:hint="eastAsia"/>
              </w:rPr>
              <w:t>0.00</w:t>
            </w:r>
          </w:p>
        </w:tc>
      </w:tr>
      <w:tr w14:paraId="6C04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 w:hRule="atLeast"/>
          <w:jc w:val="center"/>
        </w:trPr>
        <w:tc>
          <w:tcPr>
            <w:tcW w:w="2936" w:type="dxa"/>
            <w:vAlign w:val="center"/>
          </w:tcPr>
          <w:p w14:paraId="78C76675">
            <w:pPr>
              <w:ind w:firstLine="420"/>
              <w:jc w:val="center"/>
              <w:rPr>
                <w:sz w:val="21"/>
                <w:szCs w:val="21"/>
              </w:rPr>
            </w:pPr>
            <w:r>
              <w:rPr>
                <w:sz w:val="21"/>
                <w:szCs w:val="21"/>
              </w:rPr>
              <w:t>因公出国费用</w:t>
            </w:r>
          </w:p>
        </w:tc>
        <w:tc>
          <w:tcPr>
            <w:tcW w:w="1720" w:type="dxa"/>
            <w:vAlign w:val="center"/>
          </w:tcPr>
          <w:p w14:paraId="6B977CEB">
            <w:pPr>
              <w:pStyle w:val="26"/>
            </w:pPr>
            <w:r>
              <w:rPr>
                <w:rFonts w:hint="eastAsia"/>
              </w:rPr>
              <w:t>0.00</w:t>
            </w:r>
          </w:p>
        </w:tc>
        <w:tc>
          <w:tcPr>
            <w:tcW w:w="1870" w:type="dxa"/>
            <w:vAlign w:val="center"/>
          </w:tcPr>
          <w:p w14:paraId="16D447BF">
            <w:pPr>
              <w:pStyle w:val="26"/>
            </w:pPr>
            <w:r>
              <w:rPr>
                <w:rFonts w:hint="eastAsia"/>
              </w:rPr>
              <w:t>0.00</w:t>
            </w:r>
          </w:p>
        </w:tc>
        <w:tc>
          <w:tcPr>
            <w:tcW w:w="1806" w:type="dxa"/>
            <w:vAlign w:val="center"/>
          </w:tcPr>
          <w:p w14:paraId="7B6A67C2">
            <w:pPr>
              <w:pStyle w:val="26"/>
            </w:pPr>
            <w:r>
              <w:rPr>
                <w:rFonts w:hint="eastAsia"/>
              </w:rPr>
              <w:t>0.00</w:t>
            </w:r>
          </w:p>
        </w:tc>
      </w:tr>
      <w:tr w14:paraId="48ED8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 w:hRule="atLeast"/>
          <w:jc w:val="center"/>
        </w:trPr>
        <w:tc>
          <w:tcPr>
            <w:tcW w:w="2936" w:type="dxa"/>
            <w:vAlign w:val="center"/>
          </w:tcPr>
          <w:p w14:paraId="3753103E">
            <w:pPr>
              <w:ind w:firstLine="420"/>
              <w:jc w:val="center"/>
              <w:rPr>
                <w:sz w:val="21"/>
                <w:szCs w:val="21"/>
              </w:rPr>
            </w:pPr>
            <w:r>
              <w:rPr>
                <w:sz w:val="21"/>
                <w:szCs w:val="21"/>
              </w:rPr>
              <w:t>合计</w:t>
            </w:r>
          </w:p>
        </w:tc>
        <w:tc>
          <w:tcPr>
            <w:tcW w:w="1720" w:type="dxa"/>
            <w:vAlign w:val="center"/>
          </w:tcPr>
          <w:p w14:paraId="0B4A8D13">
            <w:pPr>
              <w:pStyle w:val="26"/>
              <w:ind w:firstLine="0" w:firstLineChars="0"/>
            </w:pPr>
            <w:r>
              <w:t>0.</w:t>
            </w:r>
            <w:r>
              <w:rPr>
                <w:rFonts w:hint="eastAsia"/>
                <w:lang w:val="en-US" w:eastAsia="zh-CN"/>
              </w:rPr>
              <w:t>36</w:t>
            </w:r>
          </w:p>
        </w:tc>
        <w:tc>
          <w:tcPr>
            <w:tcW w:w="1870" w:type="dxa"/>
            <w:vAlign w:val="center"/>
          </w:tcPr>
          <w:p w14:paraId="29F5EB70">
            <w:pPr>
              <w:pStyle w:val="26"/>
              <w:ind w:firstLine="0" w:firstLineChars="0"/>
            </w:pPr>
            <w:r>
              <w:t>0.2</w:t>
            </w:r>
            <w:r>
              <w:rPr>
                <w:rFonts w:hint="eastAsia"/>
                <w:lang w:val="en-US" w:eastAsia="zh-CN"/>
              </w:rPr>
              <w:t>2</w:t>
            </w:r>
          </w:p>
        </w:tc>
        <w:tc>
          <w:tcPr>
            <w:tcW w:w="1806" w:type="dxa"/>
            <w:vAlign w:val="center"/>
          </w:tcPr>
          <w:p w14:paraId="3FFC0391">
            <w:pPr>
              <w:pStyle w:val="26"/>
              <w:ind w:firstLine="0" w:firstLineChars="0"/>
            </w:pPr>
            <w:r>
              <w:t>-0.</w:t>
            </w:r>
            <w:r>
              <w:rPr>
                <w:rFonts w:hint="eastAsia"/>
                <w:lang w:val="en-US" w:eastAsia="zh-CN"/>
              </w:rPr>
              <w:t>14</w:t>
            </w:r>
          </w:p>
        </w:tc>
      </w:tr>
    </w:tbl>
    <w:p w14:paraId="7FCB3A27">
      <w:pPr>
        <w:pStyle w:val="27"/>
      </w:pPr>
      <w:r>
        <w:t>从上表分析，</w:t>
      </w:r>
      <w:r>
        <w:rPr>
          <w:lang w:val="en-US"/>
        </w:rPr>
        <w:t>2024</w:t>
      </w:r>
      <w:r>
        <w:rPr>
          <w:rFonts w:hint="eastAsia"/>
        </w:rPr>
        <w:t>“</w:t>
      </w:r>
      <w:r>
        <w:t>三公经费</w:t>
      </w:r>
      <w:r>
        <w:rPr>
          <w:rFonts w:hint="eastAsia"/>
        </w:rPr>
        <w:t>”</w:t>
      </w:r>
      <w:r>
        <w:t>预算支出</w:t>
      </w:r>
      <w:r>
        <w:rPr>
          <w:rFonts w:hint="eastAsia"/>
          <w:lang w:val="en-US" w:eastAsia="zh-CN"/>
        </w:rPr>
        <w:t>0.36</w:t>
      </w:r>
      <w:r>
        <w:t>万元，决算支出</w:t>
      </w:r>
      <w:r>
        <w:rPr>
          <w:rFonts w:hint="eastAsia"/>
          <w:lang w:val="en-US" w:eastAsia="zh-CN"/>
        </w:rPr>
        <w:t>0.22</w:t>
      </w:r>
      <w:r>
        <w:t>万元，结余</w:t>
      </w:r>
      <w:r>
        <w:rPr>
          <w:rFonts w:hint="eastAsia"/>
          <w:lang w:val="en-US" w:eastAsia="zh-CN"/>
        </w:rPr>
        <w:t>0.14</w:t>
      </w:r>
      <w:r>
        <w:t>万元，</w:t>
      </w:r>
      <w:r>
        <w:rPr>
          <w:rFonts w:hint="eastAsia"/>
        </w:rPr>
        <w:t>“</w:t>
      </w:r>
      <w:r>
        <w:t>三公经费</w:t>
      </w:r>
      <w:r>
        <w:rPr>
          <w:rFonts w:hint="eastAsia"/>
        </w:rPr>
        <w:t>”</w:t>
      </w:r>
      <w:r>
        <w:t>总额控制在预算范围内。</w:t>
      </w:r>
    </w:p>
    <w:p w14:paraId="1CD0DC90">
      <w:pPr>
        <w:pStyle w:val="27"/>
      </w:pPr>
      <w:r>
        <w:t>从</w:t>
      </w:r>
      <w:r>
        <w:rPr>
          <w:rFonts w:hint="eastAsia"/>
        </w:rPr>
        <w:t>“</w:t>
      </w:r>
      <w:r>
        <w:t>三公经费</w:t>
      </w:r>
      <w:r>
        <w:rPr>
          <w:rFonts w:hint="eastAsia"/>
        </w:rPr>
        <w:t>”</w:t>
      </w:r>
      <w:r>
        <w:t>的支出明细项目分析，公务接待费支出</w:t>
      </w:r>
      <w:r>
        <w:rPr>
          <w:rFonts w:hint="eastAsia"/>
          <w:lang w:val="en-US" w:eastAsia="zh-CN"/>
        </w:rPr>
        <w:t>0.22</w:t>
      </w:r>
      <w:r>
        <w:t>万元，结余</w:t>
      </w:r>
      <w:r>
        <w:rPr>
          <w:rFonts w:hint="eastAsia"/>
          <w:lang w:val="en-US" w:eastAsia="zh-CN"/>
        </w:rPr>
        <w:t>0.14</w:t>
      </w:r>
      <w:r>
        <w:t>万元；</w:t>
      </w:r>
      <w:r>
        <w:rPr>
          <w:rFonts w:hint="eastAsia"/>
        </w:rPr>
        <w:t>公务用车购置及运行维护费</w:t>
      </w:r>
      <w:r>
        <w:t>支出</w:t>
      </w:r>
      <w:r>
        <w:rPr>
          <w:rFonts w:hint="eastAsia"/>
        </w:rPr>
        <w:t>及</w:t>
      </w:r>
      <w:r>
        <w:t>因公出国费用支出</w:t>
      </w:r>
      <w:r>
        <w:rPr>
          <w:rFonts w:hint="eastAsia"/>
        </w:rPr>
        <w:t>均为0.00</w:t>
      </w:r>
      <w:r>
        <w:t>万元，</w:t>
      </w:r>
      <w:r>
        <w:rPr>
          <w:rFonts w:hint="eastAsia"/>
        </w:rPr>
        <w:t>“</w:t>
      </w:r>
      <w:r>
        <w:t>三公</w:t>
      </w:r>
      <w:r>
        <w:rPr>
          <w:rFonts w:hint="eastAsia"/>
        </w:rPr>
        <w:t>”</w:t>
      </w:r>
      <w:r>
        <w:t>经费明细均在</w:t>
      </w:r>
      <w:r>
        <w:rPr>
          <w:rFonts w:hint="eastAsia"/>
        </w:rPr>
        <w:t>预算指标控制范围内。</w:t>
      </w:r>
    </w:p>
    <w:p w14:paraId="183E0860">
      <w:pPr>
        <w:pStyle w:val="22"/>
        <w:ind w:firstLine="480"/>
      </w:pPr>
      <w:r>
        <w:t>（2）与上年度比较“三公经费”控制情况</w:t>
      </w:r>
    </w:p>
    <w:p w14:paraId="6C04BDAE">
      <w:pPr>
        <w:keepNext w:val="0"/>
        <w:keepLines w:val="0"/>
        <w:pageBreakBefore w:val="0"/>
        <w:widowControl/>
        <w:numPr>
          <w:ilvl w:val="0"/>
          <w:numId w:val="0"/>
        </w:numPr>
        <w:kinsoku/>
        <w:wordWrap/>
        <w:overflowPunct/>
        <w:topLinePunct w:val="0"/>
        <w:autoSpaceDE/>
        <w:autoSpaceDN/>
        <w:bidi w:val="0"/>
        <w:adjustRightInd/>
        <w:snapToGrid/>
        <w:spacing w:line="500" w:lineRule="auto"/>
        <w:ind w:left="0" w:leftChars="0" w:right="0" w:rightChars="0" w:firstLine="420" w:firstLineChars="200"/>
        <w:textAlignment w:val="auto"/>
        <w:outlineLvl w:val="9"/>
      </w:pPr>
      <w:r>
        <w:rPr>
          <w:rFonts w:hint="eastAsia" w:cs="Times New Roman" w:asciiTheme="minorHAnsi" w:hAnsiTheme="minorHAnsi" w:eastAsiaTheme="minorEastAsia"/>
          <w:sz w:val="21"/>
          <w:szCs w:val="21"/>
          <w:shd w:val="clear" w:color="auto" w:fill="FFFFFF"/>
          <w:lang w:val="en-US" w:eastAsia="zh-CN" w:bidi="ar-SA"/>
        </w:rPr>
        <w:t>2024年“三公”经费预算较上年预算数减少0.09万元，下降2%，主要因为：按照“三公”经费“只减不增”原则，从严从紧安排“三公”经费预算。</w:t>
      </w:r>
      <w:r>
        <w:rPr>
          <w:rFonts w:hint="default" w:cs="Times New Roman" w:asciiTheme="minorHAnsi" w:hAnsiTheme="minorHAnsi" w:eastAsiaTheme="minorEastAsia"/>
          <w:sz w:val="21"/>
          <w:szCs w:val="21"/>
          <w:shd w:val="clear" w:color="auto" w:fill="FFFFFF"/>
          <w:lang w:val="en-US" w:eastAsia="zh-CN" w:bidi="ar-SA"/>
        </w:rPr>
        <w:t>2024</w:t>
      </w:r>
      <w:r>
        <w:rPr>
          <w:rFonts w:hint="eastAsia" w:cs="Times New Roman" w:asciiTheme="minorHAnsi" w:hAnsiTheme="minorHAnsi" w:eastAsiaTheme="minorEastAsia"/>
          <w:sz w:val="21"/>
          <w:szCs w:val="21"/>
          <w:shd w:val="clear" w:color="auto" w:fill="FFFFFF"/>
          <w:lang w:val="en-US" w:eastAsia="zh-CN" w:bidi="ar-SA"/>
        </w:rPr>
        <w:t>年“三公经费”决算数较上年</w:t>
      </w:r>
      <w:r>
        <w:rPr>
          <w:rFonts w:hint="eastAsia" w:cs="Times New Roman"/>
          <w:sz w:val="21"/>
          <w:szCs w:val="21"/>
          <w:shd w:val="clear" w:color="auto" w:fill="FFFFFF"/>
          <w:lang w:val="en-US" w:eastAsia="zh-CN" w:bidi="ar-SA"/>
        </w:rPr>
        <w:t>减少</w:t>
      </w:r>
      <w:r>
        <w:rPr>
          <w:rFonts w:hint="eastAsia" w:cs="Times New Roman" w:asciiTheme="minorHAnsi" w:hAnsiTheme="minorHAnsi" w:eastAsiaTheme="minorEastAsia"/>
          <w:sz w:val="21"/>
          <w:szCs w:val="21"/>
          <w:shd w:val="clear" w:color="auto" w:fill="FFFFFF"/>
          <w:lang w:val="en-US" w:eastAsia="zh-CN" w:bidi="ar-SA"/>
        </w:rPr>
        <w:t>了</w:t>
      </w:r>
      <w:r>
        <w:rPr>
          <w:rFonts w:hint="eastAsia" w:cs="Times New Roman"/>
          <w:sz w:val="21"/>
          <w:szCs w:val="21"/>
          <w:shd w:val="clear" w:color="auto" w:fill="FFFFFF"/>
          <w:lang w:val="en-US" w:eastAsia="zh-CN" w:bidi="ar-SA"/>
        </w:rPr>
        <w:t>0.01</w:t>
      </w:r>
      <w:r>
        <w:rPr>
          <w:rFonts w:hint="eastAsia" w:cs="Times New Roman" w:asciiTheme="minorHAnsi" w:hAnsiTheme="minorHAnsi" w:eastAsiaTheme="minorEastAsia"/>
          <w:sz w:val="21"/>
          <w:szCs w:val="21"/>
          <w:shd w:val="clear" w:color="auto" w:fill="FFFFFF"/>
          <w:lang w:val="en-US" w:eastAsia="zh-CN" w:bidi="ar-SA"/>
        </w:rPr>
        <w:t>万元，</w:t>
      </w:r>
      <w:r>
        <w:rPr>
          <w:rFonts w:hint="eastAsia" w:cs="Times New Roman"/>
          <w:sz w:val="21"/>
          <w:szCs w:val="21"/>
          <w:shd w:val="clear" w:color="auto" w:fill="FFFFFF"/>
          <w:lang w:val="en-US" w:eastAsia="zh-CN" w:bidi="ar-SA"/>
        </w:rPr>
        <w:t>减少6.32</w:t>
      </w:r>
      <w:r>
        <w:rPr>
          <w:rFonts w:hint="eastAsia" w:cs="Times New Roman" w:asciiTheme="minorHAnsi" w:hAnsiTheme="minorHAnsi" w:eastAsiaTheme="minorEastAsia"/>
          <w:sz w:val="21"/>
          <w:szCs w:val="21"/>
          <w:shd w:val="clear" w:color="auto" w:fill="FFFFFF"/>
          <w:lang w:val="en-US" w:eastAsia="zh-CN" w:bidi="ar-SA"/>
        </w:rPr>
        <w:t>%，主要因为厉行节约，压减开支。</w:t>
      </w:r>
    </w:p>
    <w:p w14:paraId="4B6E4D90">
      <w:pPr>
        <w:pStyle w:val="22"/>
        <w:ind w:firstLine="480"/>
      </w:pPr>
      <w:r>
        <w:t>三</w:t>
      </w:r>
      <w:r>
        <w:rPr>
          <w:rFonts w:hint="eastAsia"/>
        </w:rPr>
        <w:t>、基金预算支出情况</w:t>
      </w:r>
    </w:p>
    <w:p w14:paraId="09CD223B">
      <w:pPr>
        <w:pStyle w:val="22"/>
        <w:ind w:firstLine="480"/>
      </w:pPr>
      <w:r>
        <w:rPr>
          <w:rFonts w:hint="default"/>
          <w:lang w:val="en-US"/>
        </w:rPr>
        <w:t>2024</w:t>
      </w:r>
      <w:r>
        <w:t>年无政府性基金</w:t>
      </w:r>
      <w:r>
        <w:rPr>
          <w:rFonts w:hint="eastAsia"/>
        </w:rPr>
        <w:t>预算</w:t>
      </w:r>
      <w:r>
        <w:t>支出</w:t>
      </w:r>
      <w:r>
        <w:rPr>
          <w:rFonts w:hint="eastAsia"/>
        </w:rPr>
        <w:t>。</w:t>
      </w:r>
    </w:p>
    <w:p w14:paraId="7922FBBD">
      <w:pPr>
        <w:pStyle w:val="22"/>
        <w:ind w:firstLine="480"/>
      </w:pPr>
      <w:r>
        <w:rPr>
          <w:rFonts w:hint="eastAsia"/>
        </w:rPr>
        <w:t>四、国有资本经营预算支出情况</w:t>
      </w:r>
    </w:p>
    <w:p w14:paraId="004E565F">
      <w:pPr>
        <w:pStyle w:val="22"/>
        <w:ind w:firstLine="480"/>
      </w:pPr>
      <w:r>
        <w:rPr>
          <w:rFonts w:hint="default"/>
          <w:lang w:val="en-US"/>
        </w:rPr>
        <w:t>2024</w:t>
      </w:r>
      <w:r>
        <w:rPr>
          <w:rFonts w:hint="eastAsia"/>
        </w:rPr>
        <w:t>年无国有资本经营预算支出</w:t>
      </w:r>
    </w:p>
    <w:p w14:paraId="763B4A18">
      <w:pPr>
        <w:pStyle w:val="22"/>
        <w:ind w:firstLine="480"/>
      </w:pPr>
      <w:r>
        <w:rPr>
          <w:rFonts w:hint="eastAsia"/>
        </w:rPr>
        <w:t>五、社会保险基金预算支出情况</w:t>
      </w:r>
    </w:p>
    <w:p w14:paraId="4FB9E4EC">
      <w:pPr>
        <w:pStyle w:val="22"/>
        <w:ind w:firstLine="480"/>
      </w:pPr>
      <w:r>
        <w:rPr>
          <w:rFonts w:hint="default"/>
          <w:lang w:val="en-US"/>
        </w:rPr>
        <w:t>2024</w:t>
      </w:r>
      <w:r>
        <w:rPr>
          <w:rFonts w:hint="eastAsia"/>
        </w:rPr>
        <w:t>年无社会保险基金预算支出。</w:t>
      </w:r>
    </w:p>
    <w:p w14:paraId="3BC92459">
      <w:pPr>
        <w:pStyle w:val="22"/>
        <w:ind w:firstLine="480"/>
      </w:pPr>
      <w:r>
        <w:rPr>
          <w:rFonts w:hint="eastAsia"/>
        </w:rPr>
        <w:t>六、部门整体支出绩效情况</w:t>
      </w:r>
    </w:p>
    <w:p w14:paraId="3825252D">
      <w:pPr>
        <w:pStyle w:val="22"/>
        <w:ind w:firstLine="480"/>
      </w:pPr>
      <w:r>
        <w:rPr>
          <w:rFonts w:cs="楷体_GB2312" w:asciiTheme="minorEastAsia" w:hAnsiTheme="minorEastAsia"/>
        </w:rPr>
        <w:t>（一）综合评价结论。</w:t>
      </w:r>
      <w:r>
        <w:t>反映自评得分及评价等级。</w:t>
      </w:r>
    </w:p>
    <w:p w14:paraId="0C95A61D">
      <w:pPr>
        <w:pStyle w:val="22"/>
        <w:ind w:firstLine="480"/>
      </w:pPr>
      <w:r>
        <w:rPr>
          <w:rFonts w:hint="eastAsia"/>
        </w:rPr>
        <w:t>根据部门整体支出绩效评价指标规定的内容，经我单位认真自评，总评分为100分，实际得分98分，</w:t>
      </w:r>
      <w:r>
        <w:rPr>
          <w:rFonts w:hint="default"/>
          <w:lang w:val="en-US"/>
        </w:rPr>
        <w:t>2024</w:t>
      </w:r>
      <w:r>
        <w:rPr>
          <w:rFonts w:hint="eastAsia"/>
        </w:rPr>
        <w:t>年度部门整体绩效评价为优秀。</w:t>
      </w:r>
    </w:p>
    <w:p w14:paraId="3D1D36BF">
      <w:pPr>
        <w:pStyle w:val="22"/>
        <w:keepNext w:val="0"/>
        <w:keepLines w:val="0"/>
        <w:pageBreakBefore w:val="0"/>
        <w:widowControl/>
        <w:kinsoku/>
        <w:wordWrap/>
        <w:overflowPunct/>
        <w:topLinePunct w:val="0"/>
        <w:autoSpaceDE/>
        <w:autoSpaceDN/>
        <w:bidi w:val="0"/>
        <w:adjustRightInd/>
        <w:snapToGrid/>
        <w:ind w:firstLine="480"/>
        <w:textAlignment w:val="auto"/>
      </w:pPr>
      <w:r>
        <w:rPr>
          <w:rFonts w:hint="eastAsia"/>
        </w:rPr>
        <w:t>按照市级部门预决算编制通知和有关要求，按时完成预决算编制工作，并及时在网上进行预决算公开。部门整体绩效目标编制完整、合理，项目绩效目标编制明确、量化。按要求严格预算执行管理，及时足额将专项资金按指标拨付。严格执行“三公经费”预算，按要求及时公开预算、决算、绩效等信息。按要求及时、准确、全面开展资产清查工作，上报国有资产报表数据的真实、准确、全面。内部控制制度健全完整并执行良好，在本年度内未出现廉政风险。</w:t>
      </w:r>
      <w:r>
        <w:rPr>
          <w:rFonts w:hint="default"/>
          <w:lang w:val="en-US"/>
        </w:rPr>
        <w:t>2024</w:t>
      </w:r>
      <w:r>
        <w:rPr>
          <w:rFonts w:hint="eastAsia"/>
        </w:rPr>
        <w:t>年单位党组深入学习贯彻党的二十大精神，扎实开展学习贯彻</w:t>
      </w:r>
      <w:r>
        <w:rPr>
          <w:rFonts w:hint="eastAsia"/>
          <w:lang w:eastAsia="zh-CN"/>
        </w:rPr>
        <w:t>党纪学习</w:t>
      </w:r>
      <w:r>
        <w:rPr>
          <w:rFonts w:hint="eastAsia"/>
        </w:rPr>
        <w:t>主题教育，深刻领会“两个确立”决定性意义，做到“两个维护”，深入贯彻落实上级部门的重要指示批示精神，坚持以习近平新时代中国特色社会主义思想、习近平文化思想和习近平总书记关于文艺工作重要论述为指导，充分发挥“团结引导、联络协调、服务管理、自律维权”职能，着力推动新时代怀化文艺高质量发展。</w:t>
      </w:r>
    </w:p>
    <w:p w14:paraId="129D058C">
      <w:pPr>
        <w:pStyle w:val="22"/>
        <w:ind w:firstLine="480"/>
      </w:pPr>
      <w:r>
        <w:t>（二）评价指标分析（或综合评价情况）。</w:t>
      </w:r>
    </w:p>
    <w:p w14:paraId="6D3F0860">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20" w:firstLineChars="200"/>
        <w:jc w:val="both"/>
        <w:textAlignment w:val="auto"/>
        <w:rPr>
          <w:rFonts w:hint="eastAsia" w:cs="Times New Roman" w:asciiTheme="minorHAnsi" w:hAnsiTheme="minorHAnsi" w:eastAsiaTheme="minorEastAsia"/>
          <w:sz w:val="24"/>
          <w:szCs w:val="18"/>
          <w:shd w:val="clear" w:color="auto" w:fill="FFFFFF"/>
          <w:lang w:val="en-US" w:eastAsia="zh-CN" w:bidi="ar-SA"/>
        </w:rPr>
      </w:pPr>
      <w:r>
        <w:rPr>
          <w:rFonts w:ascii="Calibri" w:hAnsi="Calibri" w:eastAsia="楷体_GB2312" w:cs="楷体_GB2312"/>
          <w:lang w:val="en-US"/>
        </w:rPr>
        <w:t>2024</w:t>
      </w:r>
      <w:r>
        <w:rPr>
          <w:rFonts w:hint="eastAsia"/>
        </w:rPr>
        <w:t>年，</w:t>
      </w:r>
      <w:r>
        <w:rPr>
          <w:rFonts w:hint="eastAsia" w:cs="Times New Roman" w:asciiTheme="minorHAnsi" w:hAnsiTheme="minorHAnsi" w:eastAsiaTheme="minorEastAsia"/>
          <w:sz w:val="24"/>
          <w:szCs w:val="18"/>
          <w:shd w:val="clear" w:color="auto" w:fill="FFFFFF"/>
          <w:lang w:val="en-US" w:eastAsia="zh-CN" w:bidi="ar-SA"/>
        </w:rPr>
        <w:t>聚焦主责主业，业务工作取得成效</w:t>
      </w:r>
      <w:r>
        <w:rPr>
          <w:rFonts w:hint="eastAsia" w:cs="Times New Roman"/>
          <w:sz w:val="24"/>
          <w:szCs w:val="18"/>
          <w:shd w:val="clear" w:color="auto" w:fill="FFFFFF"/>
          <w:lang w:val="en-US" w:eastAsia="zh-CN" w:bidi="ar-SA"/>
        </w:rPr>
        <w:t>。</w:t>
      </w:r>
      <w:r>
        <w:rPr>
          <w:rFonts w:hint="eastAsia" w:cs="Times New Roman" w:asciiTheme="minorHAnsi" w:hAnsiTheme="minorHAnsi" w:eastAsiaTheme="minorEastAsia"/>
          <w:sz w:val="24"/>
          <w:szCs w:val="18"/>
          <w:shd w:val="clear" w:color="auto" w:fill="FFFFFF"/>
          <w:lang w:val="en-US" w:eastAsia="zh-CN" w:bidi="ar-SA"/>
        </w:rPr>
        <w:t>一是扎实服务中心大局。编撰</w:t>
      </w:r>
      <w:r>
        <w:rPr>
          <w:rFonts w:hint="default" w:cs="Times New Roman" w:asciiTheme="minorHAnsi" w:hAnsiTheme="minorHAnsi" w:eastAsiaTheme="minorEastAsia"/>
          <w:sz w:val="24"/>
          <w:szCs w:val="18"/>
          <w:shd w:val="clear" w:color="auto" w:fill="FFFFFF"/>
          <w:lang w:val="en-US" w:eastAsia="zh-CN" w:bidi="ar-SA"/>
        </w:rPr>
        <w:t>、出版</w:t>
      </w:r>
      <w:r>
        <w:rPr>
          <w:rFonts w:hint="eastAsia" w:cs="Times New Roman" w:asciiTheme="minorHAnsi" w:hAnsiTheme="minorHAnsi" w:eastAsiaTheme="minorEastAsia"/>
          <w:sz w:val="24"/>
          <w:szCs w:val="18"/>
          <w:shd w:val="clear" w:color="auto" w:fill="FFFFFF"/>
          <w:lang w:val="en-US" w:eastAsia="zh-CN" w:bidi="ar-SA"/>
        </w:rPr>
        <w:t>《福地怀化诗文选》</w:t>
      </w:r>
      <w:r>
        <w:rPr>
          <w:rFonts w:hint="default" w:cs="Times New Roman" w:asciiTheme="minorHAnsi" w:hAnsiTheme="minorHAnsi" w:eastAsiaTheme="minorEastAsia"/>
          <w:sz w:val="24"/>
          <w:szCs w:val="18"/>
          <w:shd w:val="clear" w:color="auto" w:fill="FFFFFF"/>
          <w:lang w:val="en-US" w:eastAsia="zh-CN" w:bidi="ar-SA"/>
        </w:rPr>
        <w:t>，成为第十一届全球湘商大会、第三届怀化旅游发展大会重要外宣文化精品。</w:t>
      </w:r>
      <w:r>
        <w:rPr>
          <w:rFonts w:hint="eastAsia" w:cs="Times New Roman" w:asciiTheme="minorHAnsi" w:hAnsiTheme="minorHAnsi" w:eastAsiaTheme="minorEastAsia"/>
          <w:sz w:val="24"/>
          <w:szCs w:val="18"/>
          <w:shd w:val="clear" w:color="auto" w:fill="FFFFFF"/>
          <w:lang w:val="en-US" w:eastAsia="zh-CN" w:bidi="ar-SA"/>
        </w:rPr>
        <w:t>以举办“屈子行吟·诗歌之源”2024中国·怀化首届屈原爱国怀乡诗歌节活动</w:t>
      </w:r>
      <w:r>
        <w:rPr>
          <w:rFonts w:hint="default" w:cs="Times New Roman" w:asciiTheme="minorHAnsi" w:hAnsiTheme="minorHAnsi" w:eastAsiaTheme="minorEastAsia"/>
          <w:sz w:val="24"/>
          <w:szCs w:val="18"/>
          <w:shd w:val="clear" w:color="auto" w:fill="FFFFFF"/>
          <w:lang w:val="en-US" w:eastAsia="zh-CN" w:bidi="ar-SA"/>
        </w:rPr>
        <w:t>为契机</w:t>
      </w:r>
      <w:r>
        <w:rPr>
          <w:rFonts w:hint="eastAsia" w:cs="Times New Roman" w:asciiTheme="minorHAnsi" w:hAnsiTheme="minorHAnsi" w:eastAsiaTheme="minorEastAsia"/>
          <w:sz w:val="24"/>
          <w:szCs w:val="18"/>
          <w:shd w:val="clear" w:color="auto" w:fill="FFFFFF"/>
          <w:lang w:val="en-US" w:eastAsia="zh-CN" w:bidi="ar-SA"/>
        </w:rPr>
        <w:t>，组织60名省内外诗歌学者开展“福地怀化”采风活动。</w:t>
      </w:r>
      <w:r>
        <w:rPr>
          <w:rFonts w:hint="default" w:cs="Times New Roman" w:asciiTheme="minorHAnsi" w:hAnsiTheme="minorHAnsi" w:eastAsiaTheme="minorEastAsia"/>
          <w:sz w:val="24"/>
          <w:szCs w:val="18"/>
          <w:shd w:val="clear" w:color="auto" w:fill="FFFFFF"/>
          <w:lang w:val="en-US" w:eastAsia="zh-CN" w:bidi="ar-SA"/>
        </w:rPr>
        <w:t>组织“福地怀化——庆祝新中国成立75周年暨迎接第十一届全球湘商大会优秀文艺作品展”“一粒种子改变世界·福地怀化”美术书法篆刻名家作品邀请展、</w:t>
      </w:r>
      <w:r>
        <w:rPr>
          <w:rFonts w:hint="eastAsia" w:cs="Times New Roman" w:asciiTheme="minorHAnsi" w:hAnsiTheme="minorHAnsi" w:eastAsiaTheme="minorEastAsia"/>
          <w:sz w:val="24"/>
          <w:szCs w:val="18"/>
          <w:shd w:val="clear" w:color="auto" w:fill="FFFFFF"/>
          <w:lang w:val="en-US" w:eastAsia="zh-CN" w:bidi="ar-SA"/>
        </w:rPr>
        <w:t>“艺心向党”优秀文艺作品展</w:t>
      </w:r>
      <w:r>
        <w:rPr>
          <w:rFonts w:hint="default" w:cs="Times New Roman" w:asciiTheme="minorHAnsi" w:hAnsiTheme="minorHAnsi" w:eastAsiaTheme="minorEastAsia"/>
          <w:sz w:val="24"/>
          <w:szCs w:val="18"/>
          <w:shd w:val="clear" w:color="auto" w:fill="FFFFFF"/>
          <w:lang w:val="en-US" w:eastAsia="zh-CN" w:bidi="ar-SA"/>
        </w:rPr>
        <w:t>等系列活动。</w:t>
      </w:r>
      <w:r>
        <w:rPr>
          <w:rFonts w:hint="eastAsia" w:cs="Times New Roman" w:asciiTheme="minorHAnsi" w:hAnsiTheme="minorHAnsi" w:eastAsiaTheme="minorEastAsia"/>
          <w:sz w:val="24"/>
          <w:szCs w:val="18"/>
          <w:shd w:val="clear" w:color="auto" w:fill="FFFFFF"/>
          <w:lang w:val="en-US" w:eastAsia="zh-CN" w:bidi="ar-SA"/>
        </w:rPr>
        <w:t>积极开展主题文艺活动，如围绕中华人民共和国成立75周年等重要时间节点，组织了一系列文艺创作和展览展示活动，用文艺的形式生动诠释了党的光辉历程和伟大成就，激发了广大群众的爱国热情和民族自豪感。组织召开鹤中一体化发展“文艺先行”座谈会</w:t>
      </w:r>
      <w:r>
        <w:rPr>
          <w:rFonts w:hint="default" w:cs="Times New Roman" w:asciiTheme="minorHAnsi" w:hAnsiTheme="minorHAnsi" w:eastAsiaTheme="minorEastAsia"/>
          <w:sz w:val="24"/>
          <w:szCs w:val="18"/>
          <w:shd w:val="clear" w:color="auto" w:fill="FFFFFF"/>
          <w:lang w:val="en-US" w:eastAsia="zh-CN" w:bidi="ar-SA"/>
        </w:rPr>
        <w:t>，达成文艺活动联办、文艺创作共推等10项共识，开展创作、交流、展示等文艺活动30多场，用文艺之火点燃</w:t>
      </w:r>
      <w:r>
        <w:rPr>
          <w:rFonts w:hint="eastAsia" w:cs="Times New Roman" w:asciiTheme="minorHAnsi" w:hAnsiTheme="minorHAnsi" w:eastAsiaTheme="minorEastAsia"/>
          <w:sz w:val="24"/>
          <w:szCs w:val="18"/>
          <w:shd w:val="clear" w:color="auto" w:fill="FFFFFF"/>
          <w:lang w:val="en-US" w:eastAsia="zh-CN" w:bidi="ar-SA"/>
        </w:rPr>
        <w:t>市委、市政府推动鹤中一体化发展</w:t>
      </w:r>
      <w:r>
        <w:rPr>
          <w:rFonts w:hint="default" w:cs="Times New Roman" w:asciiTheme="minorHAnsi" w:hAnsiTheme="minorHAnsi" w:eastAsiaTheme="minorEastAsia"/>
          <w:sz w:val="24"/>
          <w:szCs w:val="18"/>
          <w:shd w:val="clear" w:color="auto" w:fill="FFFFFF"/>
          <w:lang w:val="en-US" w:eastAsia="zh-CN" w:bidi="ar-SA"/>
        </w:rPr>
        <w:t>进程。</w:t>
      </w:r>
      <w:r>
        <w:rPr>
          <w:rFonts w:hint="eastAsia" w:cs="Times New Roman" w:asciiTheme="minorHAnsi" w:hAnsiTheme="minorHAnsi" w:eastAsiaTheme="minorEastAsia"/>
          <w:sz w:val="24"/>
          <w:szCs w:val="18"/>
          <w:shd w:val="clear" w:color="auto" w:fill="FFFFFF"/>
          <w:lang w:val="en-US" w:eastAsia="zh-CN" w:bidi="ar-SA"/>
        </w:rPr>
        <w:t>7月，</w:t>
      </w:r>
      <w:r>
        <w:rPr>
          <w:rFonts w:hint="default" w:cs="Times New Roman" w:asciiTheme="minorHAnsi" w:hAnsiTheme="minorHAnsi" w:eastAsiaTheme="minorEastAsia"/>
          <w:sz w:val="24"/>
          <w:szCs w:val="18"/>
          <w:shd w:val="clear" w:color="auto" w:fill="FFFFFF"/>
          <w:lang w:val="en-US" w:eastAsia="zh-CN" w:bidi="ar-SA"/>
        </w:rPr>
        <w:t>赴云南昆明参加</w:t>
      </w:r>
      <w:r>
        <w:rPr>
          <w:rFonts w:hint="eastAsia" w:cs="Times New Roman" w:asciiTheme="minorHAnsi" w:hAnsiTheme="minorHAnsi" w:eastAsiaTheme="minorEastAsia"/>
          <w:sz w:val="24"/>
          <w:szCs w:val="18"/>
          <w:shd w:val="clear" w:color="auto" w:fill="FFFFFF"/>
          <w:lang w:val="en-US" w:eastAsia="zh-CN" w:bidi="ar-SA"/>
        </w:rPr>
        <w:t>第二届西部陆海新通道文联工作联席</w:t>
      </w:r>
      <w:r>
        <w:rPr>
          <w:rFonts w:hint="default" w:cs="Times New Roman" w:asciiTheme="minorHAnsi" w:hAnsiTheme="minorHAnsi" w:eastAsiaTheme="minorEastAsia"/>
          <w:sz w:val="24"/>
          <w:szCs w:val="18"/>
          <w:shd w:val="clear" w:color="auto" w:fill="FFFFFF"/>
          <w:lang w:val="en-US" w:eastAsia="zh-CN" w:bidi="ar-SA"/>
        </w:rPr>
        <w:t>会议，市文联主席江月卫、市美协主席祁璐分别作交流发言，</w:t>
      </w:r>
      <w:r>
        <w:rPr>
          <w:rFonts w:hint="eastAsia" w:cs="Times New Roman" w:asciiTheme="minorHAnsi" w:hAnsiTheme="minorHAnsi" w:eastAsiaTheme="minorEastAsia"/>
          <w:sz w:val="24"/>
          <w:szCs w:val="18"/>
          <w:shd w:val="clear" w:color="auto" w:fill="FFFFFF"/>
          <w:lang w:val="en-US" w:eastAsia="zh-CN" w:bidi="ar-SA"/>
        </w:rPr>
        <w:t>我市</w:t>
      </w:r>
      <w:r>
        <w:rPr>
          <w:rFonts w:hint="default" w:cs="Times New Roman" w:asciiTheme="minorHAnsi" w:hAnsiTheme="minorHAnsi" w:eastAsiaTheme="minorEastAsia"/>
          <w:sz w:val="24"/>
          <w:szCs w:val="18"/>
          <w:shd w:val="clear" w:color="auto" w:fill="FFFFFF"/>
          <w:lang w:val="en-US" w:eastAsia="zh-CN" w:bidi="ar-SA"/>
        </w:rPr>
        <w:t>10件美术、书法作品入展“彩云之约”优秀文艺作品展。</w:t>
      </w:r>
      <w:r>
        <w:rPr>
          <w:rFonts w:hint="eastAsia" w:cs="Times New Roman" w:asciiTheme="minorHAnsi" w:hAnsiTheme="minorHAnsi" w:eastAsiaTheme="minorEastAsia"/>
          <w:sz w:val="24"/>
          <w:szCs w:val="18"/>
          <w:shd w:val="clear" w:color="auto" w:fill="FFFFFF"/>
          <w:lang w:val="en-US" w:eastAsia="zh-CN" w:bidi="ar-SA"/>
        </w:rPr>
        <w:t>11月，赴重庆秀山参加首届书法艺术季暨书法大家写群众文化活动，促进接边地区文艺交流共同发展，推动不同地域文艺创作互鉴互融。二是深入开展文艺惠民。广泛开展“书画进乡村”志愿服务活动和春联艺术“百千万”光大工程，树立“强基工程——送福送联润民心”“文艺助力乡村振兴”等文艺志愿服务品牌。市文联和市各文艺家协会积极组织文艺志愿者深入基层、社区、农村、学校等开展各类文艺惠民活动</w:t>
      </w:r>
      <w:r>
        <w:rPr>
          <w:rFonts w:hint="default" w:cs="Times New Roman" w:asciiTheme="minorHAnsi" w:hAnsiTheme="minorHAnsi" w:eastAsiaTheme="minorEastAsia"/>
          <w:sz w:val="24"/>
          <w:szCs w:val="18"/>
          <w:shd w:val="clear" w:color="auto" w:fill="FFFFFF"/>
          <w:lang w:val="en-US" w:eastAsia="zh-CN" w:bidi="ar-SA"/>
        </w:rPr>
        <w:t>100余场</w:t>
      </w:r>
      <w:r>
        <w:rPr>
          <w:rFonts w:hint="eastAsia" w:cs="Times New Roman" w:asciiTheme="minorHAnsi" w:hAnsiTheme="minorHAnsi" w:eastAsiaTheme="minorEastAsia"/>
          <w:sz w:val="24"/>
          <w:szCs w:val="18"/>
          <w:shd w:val="clear" w:color="auto" w:fill="FFFFFF"/>
          <w:lang w:val="en-US" w:eastAsia="zh-CN" w:bidi="ar-SA"/>
        </w:rPr>
        <w:t>，为广大群众送去丰富多彩的文艺节目和文化服务。三是抓实文联自身建设。召开市文联四届二次全会，完成所有届满协会的换届工作，举办市文联行业党委支部书记述职评议会，命名授牌10家“怀化市文艺创作实践基地”，评选表彰市文联年度四类“十佳”先进单位和先进个人，创建“怀化文联”微信公众号。</w:t>
      </w:r>
      <w:r>
        <w:rPr>
          <w:rFonts w:hint="default" w:cs="Times New Roman" w:asciiTheme="minorHAnsi" w:hAnsiTheme="minorHAnsi" w:eastAsiaTheme="minorEastAsia"/>
          <w:sz w:val="24"/>
          <w:szCs w:val="18"/>
          <w:shd w:val="clear" w:color="auto" w:fill="FFFFFF"/>
          <w:lang w:val="en-US" w:eastAsia="zh-CN" w:bidi="ar-SA"/>
        </w:rPr>
        <w:t>邀请《民族文学》杂志社主编陈亚军、</w:t>
      </w:r>
      <w:r>
        <w:rPr>
          <w:rFonts w:hint="eastAsia" w:cs="Times New Roman" w:asciiTheme="minorHAnsi" w:hAnsiTheme="minorHAnsi" w:eastAsiaTheme="minorEastAsia"/>
          <w:sz w:val="24"/>
          <w:szCs w:val="18"/>
          <w:shd w:val="clear" w:color="auto" w:fill="FFFFFF"/>
          <w:lang w:val="en-US" w:eastAsia="zh-CN" w:bidi="ar-SA"/>
        </w:rPr>
        <w:t>《诗刊》主编李少君</w:t>
      </w:r>
      <w:r>
        <w:rPr>
          <w:rFonts w:hint="default" w:cs="Times New Roman" w:asciiTheme="minorHAnsi" w:hAnsiTheme="minorHAnsi" w:eastAsiaTheme="minorEastAsia"/>
          <w:sz w:val="24"/>
          <w:szCs w:val="18"/>
          <w:shd w:val="clear" w:color="auto" w:fill="FFFFFF"/>
          <w:lang w:val="en-US" w:eastAsia="zh-CN" w:bidi="ar-SA"/>
        </w:rPr>
        <w:t>、中国作协诗歌委员会主任吉狄马加、</w:t>
      </w:r>
      <w:r>
        <w:rPr>
          <w:rFonts w:hint="eastAsia" w:cs="Times New Roman" w:asciiTheme="minorHAnsi" w:hAnsiTheme="minorHAnsi" w:eastAsiaTheme="minorEastAsia"/>
          <w:sz w:val="24"/>
          <w:szCs w:val="18"/>
          <w:shd w:val="clear" w:color="auto" w:fill="FFFFFF"/>
          <w:lang w:val="en-US" w:eastAsia="zh-CN" w:bidi="ar-SA"/>
        </w:rPr>
        <w:t>《文艺报》副主编刘颋、</w:t>
      </w:r>
      <w:r>
        <w:rPr>
          <w:rFonts w:hint="default" w:cs="Times New Roman" w:asciiTheme="minorHAnsi" w:hAnsiTheme="minorHAnsi" w:eastAsiaTheme="minorEastAsia"/>
          <w:sz w:val="24"/>
          <w:szCs w:val="18"/>
          <w:shd w:val="clear" w:color="auto" w:fill="FFFFFF"/>
          <w:lang w:val="en-US" w:eastAsia="zh-CN" w:bidi="ar-SA"/>
        </w:rPr>
        <w:t>著名作家彭学明等来怀培训讲座。加强国家级、省级会员培育，现有国家级会员266人、省级1345人，今年仅市作协就有9人加入中国作协，创历史新高。选派吴辉等“文艺两新”骨干外出学习。我市蒋晖鹏、潘伟2人的书法作品入选第八届中国书法兰亭奖。</w:t>
      </w:r>
      <w:r>
        <w:rPr>
          <w:rFonts w:hint="eastAsia" w:cs="Times New Roman" w:asciiTheme="minorHAnsi" w:hAnsiTheme="minorHAnsi" w:eastAsiaTheme="minorEastAsia"/>
          <w:sz w:val="24"/>
          <w:szCs w:val="18"/>
          <w:shd w:val="clear" w:color="auto" w:fill="FFFFFF"/>
          <w:lang w:val="en-US" w:eastAsia="zh-CN" w:bidi="ar-SA"/>
        </w:rPr>
        <w:t>组织</w:t>
      </w:r>
      <w:r>
        <w:rPr>
          <w:rFonts w:hint="default" w:cs="Times New Roman" w:asciiTheme="minorHAnsi" w:hAnsiTheme="minorHAnsi" w:eastAsiaTheme="minorEastAsia"/>
          <w:sz w:val="24"/>
          <w:szCs w:val="18"/>
          <w:shd w:val="clear" w:color="auto" w:fill="FFFFFF"/>
          <w:lang w:val="en-US" w:eastAsia="zh-CN" w:bidi="ar-SA"/>
        </w:rPr>
        <w:t>“潇湘风采·湖南美术创作工程暨选送优秀美术作品参加第十四届全国美术作品展，36幅作品获得国展选送资格，3幅美术作品选送第十四届全国美展。</w:t>
      </w:r>
      <w:r>
        <w:rPr>
          <w:rFonts w:hint="eastAsia" w:cs="Times New Roman" w:asciiTheme="minorHAnsi" w:hAnsiTheme="minorHAnsi" w:eastAsiaTheme="minorEastAsia"/>
          <w:sz w:val="24"/>
          <w:szCs w:val="18"/>
          <w:shd w:val="clear" w:color="auto" w:fill="FFFFFF"/>
          <w:lang w:val="en-US" w:eastAsia="zh-CN" w:bidi="ar-SA"/>
        </w:rPr>
        <w:t>进一步加强了文联组织的建设和管理，完善了各项规章制度，提高了工作效率和服务水平。</w:t>
      </w:r>
      <w:r>
        <w:rPr>
          <w:rFonts w:hint="default" w:cs="Times New Roman" w:asciiTheme="minorHAnsi" w:hAnsiTheme="minorHAnsi" w:eastAsiaTheme="minorEastAsia"/>
          <w:sz w:val="24"/>
          <w:szCs w:val="18"/>
          <w:shd w:val="clear" w:color="auto" w:fill="FFFFFF"/>
          <w:lang w:val="en-US" w:eastAsia="zh-CN" w:bidi="ar-SA"/>
        </w:rPr>
        <w:t>激发全市广大文艺工作者的创作激情与工作热情，自觉承担起举旗帜、聚民心、育新人、兴文化、展形象的使命任务，进一步推动我市文艺事业繁荣发展。</w:t>
      </w:r>
    </w:p>
    <w:p w14:paraId="308C92CE">
      <w:pPr>
        <w:pStyle w:val="22"/>
        <w:ind w:firstLine="480"/>
      </w:pPr>
      <w:r>
        <w:rPr>
          <w:rFonts w:hint="eastAsia"/>
        </w:rPr>
        <w:t>七、存在的问题及原因分析</w:t>
      </w:r>
    </w:p>
    <w:p w14:paraId="0938ECC5">
      <w:pPr>
        <w:pStyle w:val="22"/>
        <w:ind w:firstLine="480"/>
      </w:pPr>
      <w:r>
        <w:rPr>
          <w:rFonts w:hint="eastAsia"/>
        </w:rPr>
        <w:t>1、全面预算绩效管理工作经验不太丰富，绩效管理专业人员匮乏，规范管理尚有盲点。</w:t>
      </w:r>
    </w:p>
    <w:p w14:paraId="75E3AB78">
      <w:pPr>
        <w:pStyle w:val="22"/>
        <w:ind w:firstLine="480"/>
      </w:pPr>
      <w:r>
        <w:rPr>
          <w:rFonts w:hint="eastAsia"/>
        </w:rPr>
        <w:t>2、部门预算编制的科学化、精细化有待提高。目前，预算编制要求经济科目细化到款级，但在实际编制过程中，由于有的预算支出项目具有预测性和不确定性等特点，造成实际支出与预算编制不符。</w:t>
      </w:r>
    </w:p>
    <w:p w14:paraId="270AAFB9">
      <w:pPr>
        <w:pStyle w:val="22"/>
        <w:ind w:firstLine="480"/>
      </w:pPr>
      <w:r>
        <w:rPr>
          <w:rFonts w:hint="eastAsia"/>
        </w:rPr>
        <w:t>八、下一步改进措施</w:t>
      </w:r>
    </w:p>
    <w:p w14:paraId="23406025">
      <w:pPr>
        <w:pStyle w:val="22"/>
        <w:ind w:firstLine="480"/>
      </w:pPr>
      <w:r>
        <w:rPr>
          <w:rFonts w:hint="eastAsia"/>
        </w:rPr>
        <w:t>1、我们将更加全面、细致地制定绩效目标，进一步严肃财经纪律，在实施过程中遵循“实事求是、尊重客观、力求精准”的原则，努力使项目资金落到实处。</w:t>
      </w:r>
    </w:p>
    <w:p w14:paraId="0CCC825A">
      <w:pPr>
        <w:pStyle w:val="22"/>
        <w:ind w:firstLine="480"/>
      </w:pPr>
      <w:r>
        <w:rPr>
          <w:rFonts w:hint="eastAsia"/>
        </w:rPr>
        <w:t>2、我们将落实内控制度，严肃执行“三重一大”的原则，深入开展政府购买社会化服务，切实引进社会化竞争机制，引进相关专业人才，保障项目在公开、公平、公正的监督环境中实施，有效节约项目资金，把有限的资金用在刀刃上。</w:t>
      </w:r>
    </w:p>
    <w:p w14:paraId="7D1FC54A">
      <w:pPr>
        <w:pStyle w:val="22"/>
        <w:ind w:firstLine="480"/>
      </w:pPr>
      <w:r>
        <w:rPr>
          <w:rFonts w:hint="eastAsia"/>
        </w:rPr>
        <w:t>3、加强对财政资金的拨付和使用管理，加强对财务干部职工的业务培训，强化预算管理意识，严格执行预算，做到专账核算，确保专款专用。</w:t>
      </w:r>
    </w:p>
    <w:p w14:paraId="32BFA272">
      <w:pPr>
        <w:pStyle w:val="22"/>
        <w:ind w:firstLine="480"/>
      </w:pPr>
      <w:r>
        <w:rPr>
          <w:rFonts w:hint="eastAsia"/>
        </w:rPr>
        <w:t>九、其他需要说明的情况</w:t>
      </w:r>
    </w:p>
    <w:p w14:paraId="2977E08F">
      <w:pPr>
        <w:pStyle w:val="22"/>
        <w:ind w:firstLine="480"/>
      </w:pPr>
      <w:r>
        <w:rPr>
          <w:rFonts w:hint="eastAsia"/>
        </w:rPr>
        <w:t>我单位</w:t>
      </w:r>
      <w:r>
        <w:rPr>
          <w:rFonts w:hint="default"/>
          <w:lang w:val="en-US"/>
        </w:rPr>
        <w:t>2024</w:t>
      </w:r>
      <w:r>
        <w:rPr>
          <w:rFonts w:hint="eastAsia"/>
        </w:rPr>
        <w:t>年无其他需要说明的情况。</w:t>
      </w:r>
    </w:p>
    <w:p w14:paraId="78CF7C9C">
      <w:pPr>
        <w:pStyle w:val="22"/>
        <w:ind w:firstLine="480"/>
      </w:pPr>
      <w:r>
        <w:t>报告包括以下附件：</w:t>
      </w:r>
    </w:p>
    <w:p w14:paraId="7BE5F86A">
      <w:pPr>
        <w:pStyle w:val="22"/>
        <w:ind w:firstLine="480"/>
      </w:pPr>
      <w:r>
        <w:rPr>
          <w:rFonts w:hint="eastAsia"/>
        </w:rPr>
        <w:t>1.</w:t>
      </w:r>
      <w:r>
        <w:t>部门整体支出绩效评价基础数据表</w:t>
      </w:r>
      <w:r>
        <w:rPr>
          <w:rFonts w:hint="eastAsia"/>
        </w:rPr>
        <w:t xml:space="preserve"> </w:t>
      </w:r>
    </w:p>
    <w:p w14:paraId="729BEF5F">
      <w:pPr>
        <w:pStyle w:val="22"/>
        <w:ind w:firstLine="480"/>
      </w:pPr>
      <w:r>
        <w:rPr>
          <w:rFonts w:hint="eastAsia"/>
        </w:rPr>
        <w:t>2.</w:t>
      </w:r>
      <w:r>
        <w:t>部门整体支出绩效自评表</w:t>
      </w:r>
    </w:p>
    <w:p w14:paraId="3CAB8C65">
      <w:pPr>
        <w:pStyle w:val="9"/>
      </w:pPr>
      <w:r>
        <w:drawing>
          <wp:inline distT="0" distB="0" distL="114300" distR="114300">
            <wp:extent cx="5915025" cy="8505825"/>
            <wp:effectExtent l="0" t="0" r="952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915025" cy="8505825"/>
                    </a:xfrm>
                    <a:prstGeom prst="rect">
                      <a:avLst/>
                    </a:prstGeom>
                    <a:noFill/>
                    <a:ln>
                      <a:noFill/>
                    </a:ln>
                  </pic:spPr>
                </pic:pic>
              </a:graphicData>
            </a:graphic>
          </wp:inline>
        </w:drawing>
      </w:r>
    </w:p>
    <w:p w14:paraId="3CFC2547">
      <w:pPr>
        <w:pStyle w:val="9"/>
      </w:pPr>
    </w:p>
    <w:p w14:paraId="0C29A1BB">
      <w:pPr>
        <w:pStyle w:val="9"/>
      </w:pPr>
    </w:p>
    <w:p w14:paraId="79A8B182">
      <w:pPr>
        <w:pStyle w:val="9"/>
      </w:pPr>
    </w:p>
    <w:p w14:paraId="2CE46ADC">
      <w:pPr>
        <w:pStyle w:val="9"/>
        <w:rPr>
          <w:sz w:val="72"/>
          <w:szCs w:val="72"/>
        </w:rPr>
      </w:pPr>
      <w:r>
        <w:drawing>
          <wp:inline distT="0" distB="0" distL="114300" distR="114300">
            <wp:extent cx="6640830" cy="10114915"/>
            <wp:effectExtent l="0" t="0" r="7620"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4"/>
                    <a:stretch>
                      <a:fillRect/>
                    </a:stretch>
                  </pic:blipFill>
                  <pic:spPr>
                    <a:xfrm>
                      <a:off x="0" y="0"/>
                      <a:ext cx="6640830" cy="10114915"/>
                    </a:xfrm>
                    <a:prstGeom prst="rect">
                      <a:avLst/>
                    </a:prstGeom>
                    <a:noFill/>
                    <a:ln>
                      <a:noFill/>
                    </a:ln>
                  </pic:spPr>
                </pic:pic>
              </a:graphicData>
            </a:graphic>
          </wp:inline>
        </w:drawing>
      </w:r>
    </w:p>
    <w:sectPr>
      <w:pgSz w:w="11906" w:h="16838"/>
      <w:pgMar w:top="720" w:right="720" w:bottom="720" w:left="72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Nimbus Roman No9 L"/>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小标宋_GBK">
    <w:panose1 w:val="02000000000000000000"/>
    <w:charset w:val="86"/>
    <w:family w:val="script"/>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EC6C69"/>
    <w:multiLevelType w:val="singleLevel"/>
    <w:tmpl w:val="FBEC6C69"/>
    <w:lvl w:ilvl="0" w:tentative="0">
      <w:start w:val="7"/>
      <w:numFmt w:val="chineseCounting"/>
      <w:suff w:val="nothing"/>
      <w:lvlText w:val="%1、"/>
      <w:lvlJc w:val="left"/>
      <w:rPr>
        <w:rFonts w:hint="eastAsia"/>
      </w:rPr>
    </w:lvl>
  </w:abstractNum>
  <w:abstractNum w:abstractNumId="1">
    <w:nsid w:val="373518C1"/>
    <w:multiLevelType w:val="multilevel"/>
    <w:tmpl w:val="373518C1"/>
    <w:lvl w:ilvl="0" w:tentative="0">
      <w:start w:val="1"/>
      <w:numFmt w:val="none"/>
      <w:lvlText w:val="一、"/>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6F9"/>
    <w:rsid w:val="0002229B"/>
    <w:rsid w:val="000273BD"/>
    <w:rsid w:val="00040CBC"/>
    <w:rsid w:val="000415B7"/>
    <w:rsid w:val="00041E3F"/>
    <w:rsid w:val="000443E1"/>
    <w:rsid w:val="00055DAA"/>
    <w:rsid w:val="00061F7B"/>
    <w:rsid w:val="000658A3"/>
    <w:rsid w:val="00074155"/>
    <w:rsid w:val="000A3F69"/>
    <w:rsid w:val="000C6167"/>
    <w:rsid w:val="00103957"/>
    <w:rsid w:val="00150363"/>
    <w:rsid w:val="00152C6D"/>
    <w:rsid w:val="00162D39"/>
    <w:rsid w:val="001678BD"/>
    <w:rsid w:val="00173FA5"/>
    <w:rsid w:val="00182373"/>
    <w:rsid w:val="001A67DB"/>
    <w:rsid w:val="001C3C29"/>
    <w:rsid w:val="001D51E5"/>
    <w:rsid w:val="001E080D"/>
    <w:rsid w:val="001E53D0"/>
    <w:rsid w:val="001F0C3B"/>
    <w:rsid w:val="00202C82"/>
    <w:rsid w:val="00214427"/>
    <w:rsid w:val="00226CB7"/>
    <w:rsid w:val="00264552"/>
    <w:rsid w:val="00264EF9"/>
    <w:rsid w:val="00265724"/>
    <w:rsid w:val="0027426B"/>
    <w:rsid w:val="0029566D"/>
    <w:rsid w:val="002E0A30"/>
    <w:rsid w:val="00302C38"/>
    <w:rsid w:val="003130C4"/>
    <w:rsid w:val="00316C4B"/>
    <w:rsid w:val="0032192B"/>
    <w:rsid w:val="003479BD"/>
    <w:rsid w:val="0037197D"/>
    <w:rsid w:val="003768D5"/>
    <w:rsid w:val="003926B9"/>
    <w:rsid w:val="003C47E6"/>
    <w:rsid w:val="003C4FC2"/>
    <w:rsid w:val="003F4103"/>
    <w:rsid w:val="00410400"/>
    <w:rsid w:val="00416E61"/>
    <w:rsid w:val="0042790C"/>
    <w:rsid w:val="004506F9"/>
    <w:rsid w:val="00465905"/>
    <w:rsid w:val="004717A2"/>
    <w:rsid w:val="00473DF3"/>
    <w:rsid w:val="00487911"/>
    <w:rsid w:val="00491741"/>
    <w:rsid w:val="004B0CEE"/>
    <w:rsid w:val="004C3F57"/>
    <w:rsid w:val="004F5A05"/>
    <w:rsid w:val="00500E5F"/>
    <w:rsid w:val="005122EF"/>
    <w:rsid w:val="0051441A"/>
    <w:rsid w:val="00517C33"/>
    <w:rsid w:val="00517D5F"/>
    <w:rsid w:val="00523644"/>
    <w:rsid w:val="0054069E"/>
    <w:rsid w:val="00544866"/>
    <w:rsid w:val="005767CC"/>
    <w:rsid w:val="00590D9F"/>
    <w:rsid w:val="00595D26"/>
    <w:rsid w:val="005A74E6"/>
    <w:rsid w:val="005B404E"/>
    <w:rsid w:val="005C7F19"/>
    <w:rsid w:val="005D4D55"/>
    <w:rsid w:val="005E2CFB"/>
    <w:rsid w:val="005F2103"/>
    <w:rsid w:val="005F3D1C"/>
    <w:rsid w:val="0062378F"/>
    <w:rsid w:val="00641842"/>
    <w:rsid w:val="006435AD"/>
    <w:rsid w:val="00651EEC"/>
    <w:rsid w:val="00671152"/>
    <w:rsid w:val="00686673"/>
    <w:rsid w:val="00691E8C"/>
    <w:rsid w:val="006A22C4"/>
    <w:rsid w:val="006A351B"/>
    <w:rsid w:val="006B0422"/>
    <w:rsid w:val="006C1B53"/>
    <w:rsid w:val="006C2087"/>
    <w:rsid w:val="006C4FAF"/>
    <w:rsid w:val="006D7730"/>
    <w:rsid w:val="006E5284"/>
    <w:rsid w:val="006E793D"/>
    <w:rsid w:val="006F3EB5"/>
    <w:rsid w:val="00702E34"/>
    <w:rsid w:val="00704395"/>
    <w:rsid w:val="00710FE7"/>
    <w:rsid w:val="00717621"/>
    <w:rsid w:val="00720FF1"/>
    <w:rsid w:val="00727A53"/>
    <w:rsid w:val="007642E9"/>
    <w:rsid w:val="00787B42"/>
    <w:rsid w:val="00790CE4"/>
    <w:rsid w:val="007C4539"/>
    <w:rsid w:val="007D3C67"/>
    <w:rsid w:val="007F3657"/>
    <w:rsid w:val="00812ED5"/>
    <w:rsid w:val="008277D9"/>
    <w:rsid w:val="0084478C"/>
    <w:rsid w:val="0086638C"/>
    <w:rsid w:val="008A3E8D"/>
    <w:rsid w:val="008C14A4"/>
    <w:rsid w:val="008C51CC"/>
    <w:rsid w:val="009237C4"/>
    <w:rsid w:val="00937E72"/>
    <w:rsid w:val="00944C48"/>
    <w:rsid w:val="00950022"/>
    <w:rsid w:val="00950252"/>
    <w:rsid w:val="00967F5D"/>
    <w:rsid w:val="00980D66"/>
    <w:rsid w:val="009A0F95"/>
    <w:rsid w:val="009B3ADF"/>
    <w:rsid w:val="009C3B52"/>
    <w:rsid w:val="009E6817"/>
    <w:rsid w:val="009E6E9A"/>
    <w:rsid w:val="00A01D2B"/>
    <w:rsid w:val="00A42218"/>
    <w:rsid w:val="00A70249"/>
    <w:rsid w:val="00A70B02"/>
    <w:rsid w:val="00A71D9F"/>
    <w:rsid w:val="00A92E9F"/>
    <w:rsid w:val="00AB18FF"/>
    <w:rsid w:val="00B3388C"/>
    <w:rsid w:val="00B33BEA"/>
    <w:rsid w:val="00B57C9F"/>
    <w:rsid w:val="00B6341F"/>
    <w:rsid w:val="00B63572"/>
    <w:rsid w:val="00B845B3"/>
    <w:rsid w:val="00B85D8B"/>
    <w:rsid w:val="00BB4A40"/>
    <w:rsid w:val="00BD6C3E"/>
    <w:rsid w:val="00BE3674"/>
    <w:rsid w:val="00C10681"/>
    <w:rsid w:val="00C3049A"/>
    <w:rsid w:val="00C31B1E"/>
    <w:rsid w:val="00C55FD5"/>
    <w:rsid w:val="00C77645"/>
    <w:rsid w:val="00CE04C3"/>
    <w:rsid w:val="00CE76A0"/>
    <w:rsid w:val="00D148C6"/>
    <w:rsid w:val="00D17A8A"/>
    <w:rsid w:val="00D415BA"/>
    <w:rsid w:val="00D63780"/>
    <w:rsid w:val="00D644EE"/>
    <w:rsid w:val="00DD06FF"/>
    <w:rsid w:val="00DD5FE9"/>
    <w:rsid w:val="00E00C7A"/>
    <w:rsid w:val="00E36A54"/>
    <w:rsid w:val="00E37D6C"/>
    <w:rsid w:val="00E55B68"/>
    <w:rsid w:val="00E561AE"/>
    <w:rsid w:val="00E609FA"/>
    <w:rsid w:val="00E67BE6"/>
    <w:rsid w:val="00E71336"/>
    <w:rsid w:val="00E8683C"/>
    <w:rsid w:val="00EA2B72"/>
    <w:rsid w:val="00F27995"/>
    <w:rsid w:val="00F46C89"/>
    <w:rsid w:val="00F74360"/>
    <w:rsid w:val="00F820A7"/>
    <w:rsid w:val="00FB462F"/>
    <w:rsid w:val="00FE16FA"/>
    <w:rsid w:val="00FE328A"/>
    <w:rsid w:val="00FE6269"/>
    <w:rsid w:val="00FF5CD6"/>
    <w:rsid w:val="03FFAE12"/>
    <w:rsid w:val="079F7A2D"/>
    <w:rsid w:val="07DFC68C"/>
    <w:rsid w:val="0FBBBE26"/>
    <w:rsid w:val="0FEB2525"/>
    <w:rsid w:val="1D97DEFF"/>
    <w:rsid w:val="1D9D7568"/>
    <w:rsid w:val="1DE4A31D"/>
    <w:rsid w:val="1DFF72E5"/>
    <w:rsid w:val="1EF5386D"/>
    <w:rsid w:val="1EFC6F07"/>
    <w:rsid w:val="1F796279"/>
    <w:rsid w:val="1F7BBD08"/>
    <w:rsid w:val="1FF7164F"/>
    <w:rsid w:val="1FFF8317"/>
    <w:rsid w:val="2DDF4B05"/>
    <w:rsid w:val="2EBF4721"/>
    <w:rsid w:val="2F3BAF4F"/>
    <w:rsid w:val="2F79DB98"/>
    <w:rsid w:val="2FAF67C2"/>
    <w:rsid w:val="2FDF85B8"/>
    <w:rsid w:val="2FFFEE04"/>
    <w:rsid w:val="33A6DD69"/>
    <w:rsid w:val="33A7CDDC"/>
    <w:rsid w:val="34DF85B0"/>
    <w:rsid w:val="34F79F63"/>
    <w:rsid w:val="35A50256"/>
    <w:rsid w:val="36AF225B"/>
    <w:rsid w:val="36DF1B45"/>
    <w:rsid w:val="371E34D3"/>
    <w:rsid w:val="373E8BA7"/>
    <w:rsid w:val="37EED69C"/>
    <w:rsid w:val="37FE07AF"/>
    <w:rsid w:val="3B1C979C"/>
    <w:rsid w:val="3B3D2313"/>
    <w:rsid w:val="3B8F36BC"/>
    <w:rsid w:val="3BE88FD7"/>
    <w:rsid w:val="3BF6B378"/>
    <w:rsid w:val="3DAE23FA"/>
    <w:rsid w:val="3DB6C48B"/>
    <w:rsid w:val="3DBE1870"/>
    <w:rsid w:val="3DDBDE10"/>
    <w:rsid w:val="3DFBABCB"/>
    <w:rsid w:val="3EA66CC9"/>
    <w:rsid w:val="3EF51887"/>
    <w:rsid w:val="3EFF6DDD"/>
    <w:rsid w:val="3F1788E7"/>
    <w:rsid w:val="3F5C959C"/>
    <w:rsid w:val="3FDF1BAC"/>
    <w:rsid w:val="491FF225"/>
    <w:rsid w:val="49EF150F"/>
    <w:rsid w:val="4FEB77E3"/>
    <w:rsid w:val="4FF6980B"/>
    <w:rsid w:val="4FFD214C"/>
    <w:rsid w:val="537D4B49"/>
    <w:rsid w:val="56279340"/>
    <w:rsid w:val="56B56D82"/>
    <w:rsid w:val="5777D4F5"/>
    <w:rsid w:val="577D47DC"/>
    <w:rsid w:val="595B2E93"/>
    <w:rsid w:val="59DD8326"/>
    <w:rsid w:val="5A7CB913"/>
    <w:rsid w:val="5D78A3C1"/>
    <w:rsid w:val="5DDD5FE5"/>
    <w:rsid w:val="5DEF592A"/>
    <w:rsid w:val="5DFD6A9C"/>
    <w:rsid w:val="5F662F95"/>
    <w:rsid w:val="5FB6FD21"/>
    <w:rsid w:val="5FC6BB1E"/>
    <w:rsid w:val="5FD3892E"/>
    <w:rsid w:val="5FDCA6E1"/>
    <w:rsid w:val="5FEE523D"/>
    <w:rsid w:val="5FF720F1"/>
    <w:rsid w:val="5FFD445B"/>
    <w:rsid w:val="5FFFC88C"/>
    <w:rsid w:val="62F26963"/>
    <w:rsid w:val="63FD2634"/>
    <w:rsid w:val="65FDC76C"/>
    <w:rsid w:val="6637BED8"/>
    <w:rsid w:val="66BED5F5"/>
    <w:rsid w:val="66FD7B6D"/>
    <w:rsid w:val="67AB88C0"/>
    <w:rsid w:val="67FB84DD"/>
    <w:rsid w:val="67FDF964"/>
    <w:rsid w:val="67FF5C0B"/>
    <w:rsid w:val="6A7691B0"/>
    <w:rsid w:val="6BE7ACFC"/>
    <w:rsid w:val="6C6E55A4"/>
    <w:rsid w:val="6DB6F6D6"/>
    <w:rsid w:val="6DDF683E"/>
    <w:rsid w:val="6DFFEFE0"/>
    <w:rsid w:val="6E3F319D"/>
    <w:rsid w:val="6EE7AF4E"/>
    <w:rsid w:val="6EFC0924"/>
    <w:rsid w:val="6F7B60DF"/>
    <w:rsid w:val="6FB74722"/>
    <w:rsid w:val="6FBF20F1"/>
    <w:rsid w:val="6FBFDD96"/>
    <w:rsid w:val="6FEF8B7E"/>
    <w:rsid w:val="6FEFFC26"/>
    <w:rsid w:val="71A6591B"/>
    <w:rsid w:val="71D6CEE5"/>
    <w:rsid w:val="737D59BA"/>
    <w:rsid w:val="73E63369"/>
    <w:rsid w:val="73EDB087"/>
    <w:rsid w:val="73F961B4"/>
    <w:rsid w:val="75FF7B3F"/>
    <w:rsid w:val="75FFA276"/>
    <w:rsid w:val="76F56E64"/>
    <w:rsid w:val="7777CE89"/>
    <w:rsid w:val="777DAAEE"/>
    <w:rsid w:val="77C37683"/>
    <w:rsid w:val="77DC5DC0"/>
    <w:rsid w:val="77DF0E7C"/>
    <w:rsid w:val="77F7BB05"/>
    <w:rsid w:val="77FB6CCE"/>
    <w:rsid w:val="79AD50FF"/>
    <w:rsid w:val="79CBB99C"/>
    <w:rsid w:val="79ECE7BA"/>
    <w:rsid w:val="79FBBEE2"/>
    <w:rsid w:val="79FD1DD8"/>
    <w:rsid w:val="79FD494B"/>
    <w:rsid w:val="79FF515B"/>
    <w:rsid w:val="7AFEA208"/>
    <w:rsid w:val="7B9D6ABC"/>
    <w:rsid w:val="7BAF07F8"/>
    <w:rsid w:val="7BBF785B"/>
    <w:rsid w:val="7BFE25CC"/>
    <w:rsid w:val="7D053F9A"/>
    <w:rsid w:val="7D7D33AE"/>
    <w:rsid w:val="7D7D5FF0"/>
    <w:rsid w:val="7DEF48A1"/>
    <w:rsid w:val="7DFB28FA"/>
    <w:rsid w:val="7DFE8106"/>
    <w:rsid w:val="7E9E1962"/>
    <w:rsid w:val="7E9E60EC"/>
    <w:rsid w:val="7E9F11B4"/>
    <w:rsid w:val="7EB579F1"/>
    <w:rsid w:val="7EBB6C7D"/>
    <w:rsid w:val="7EF88393"/>
    <w:rsid w:val="7F1C1942"/>
    <w:rsid w:val="7F2FF895"/>
    <w:rsid w:val="7F37EC1E"/>
    <w:rsid w:val="7F3D2D7C"/>
    <w:rsid w:val="7F4EE752"/>
    <w:rsid w:val="7F4F7F5D"/>
    <w:rsid w:val="7F57D803"/>
    <w:rsid w:val="7F7DCD9D"/>
    <w:rsid w:val="7F970A6F"/>
    <w:rsid w:val="7F9EE015"/>
    <w:rsid w:val="7F9FDA1C"/>
    <w:rsid w:val="7FBB5695"/>
    <w:rsid w:val="7FBF35C3"/>
    <w:rsid w:val="7FBFBDB8"/>
    <w:rsid w:val="7FC1FFF3"/>
    <w:rsid w:val="7FC3BD67"/>
    <w:rsid w:val="7FC69637"/>
    <w:rsid w:val="7FC7AB6F"/>
    <w:rsid w:val="7FDB4A24"/>
    <w:rsid w:val="7FDDF63D"/>
    <w:rsid w:val="7FDE64A1"/>
    <w:rsid w:val="7FDF8620"/>
    <w:rsid w:val="7FDF978F"/>
    <w:rsid w:val="7FE3C2E9"/>
    <w:rsid w:val="7FE717FD"/>
    <w:rsid w:val="7FF3FD68"/>
    <w:rsid w:val="7FF75DA9"/>
    <w:rsid w:val="7FFB242F"/>
    <w:rsid w:val="7FFD9B42"/>
    <w:rsid w:val="7FFDB408"/>
    <w:rsid w:val="7FFE49D2"/>
    <w:rsid w:val="7FFE4EEB"/>
    <w:rsid w:val="7FFFB78E"/>
    <w:rsid w:val="83E70D71"/>
    <w:rsid w:val="8FFF0F78"/>
    <w:rsid w:val="93F65494"/>
    <w:rsid w:val="95F5F413"/>
    <w:rsid w:val="95FB2B98"/>
    <w:rsid w:val="97635ADE"/>
    <w:rsid w:val="97ADE3E2"/>
    <w:rsid w:val="9A639BC2"/>
    <w:rsid w:val="9BA55330"/>
    <w:rsid w:val="9BFABD84"/>
    <w:rsid w:val="9F7B9DB3"/>
    <w:rsid w:val="9F7F3200"/>
    <w:rsid w:val="9F9FA5D5"/>
    <w:rsid w:val="9FF5DE01"/>
    <w:rsid w:val="9FF7D786"/>
    <w:rsid w:val="A67DF639"/>
    <w:rsid w:val="A7BF7980"/>
    <w:rsid w:val="AB3DA5D7"/>
    <w:rsid w:val="ABBFB23D"/>
    <w:rsid w:val="AF7E8E1B"/>
    <w:rsid w:val="AFD8F876"/>
    <w:rsid w:val="AFEF7735"/>
    <w:rsid w:val="B4576AD2"/>
    <w:rsid w:val="B59F868E"/>
    <w:rsid w:val="B65F2C24"/>
    <w:rsid w:val="B7D39F64"/>
    <w:rsid w:val="B9FB344B"/>
    <w:rsid w:val="BAFBA3DD"/>
    <w:rsid w:val="BB5E22BB"/>
    <w:rsid w:val="BBEFE32C"/>
    <w:rsid w:val="BBFA9B5E"/>
    <w:rsid w:val="BC7F240D"/>
    <w:rsid w:val="BDDD0940"/>
    <w:rsid w:val="BDDF4B13"/>
    <w:rsid w:val="BDFFABCA"/>
    <w:rsid w:val="BEAB2A9E"/>
    <w:rsid w:val="BEB64EE1"/>
    <w:rsid w:val="BEFFE22E"/>
    <w:rsid w:val="BF6FF36D"/>
    <w:rsid w:val="BF895D3E"/>
    <w:rsid w:val="BFFE7243"/>
    <w:rsid w:val="BFFF357D"/>
    <w:rsid w:val="C3B4DA5A"/>
    <w:rsid w:val="C7BCCB13"/>
    <w:rsid w:val="CB56647C"/>
    <w:rsid w:val="CBF868DA"/>
    <w:rsid w:val="CBFF3D9F"/>
    <w:rsid w:val="CBFF70E0"/>
    <w:rsid w:val="CE5F044D"/>
    <w:rsid w:val="CFBB1ABC"/>
    <w:rsid w:val="CFF50B82"/>
    <w:rsid w:val="CFF7DAC0"/>
    <w:rsid w:val="CFFFAD89"/>
    <w:rsid w:val="D79E4358"/>
    <w:rsid w:val="D87DAAD5"/>
    <w:rsid w:val="D9FBBF9C"/>
    <w:rsid w:val="DA9A115C"/>
    <w:rsid w:val="DBE51C66"/>
    <w:rsid w:val="DBF25BF2"/>
    <w:rsid w:val="DBF322B9"/>
    <w:rsid w:val="DBFF0116"/>
    <w:rsid w:val="DF2B1FAF"/>
    <w:rsid w:val="DFAF4A73"/>
    <w:rsid w:val="DFDA3472"/>
    <w:rsid w:val="DFEF9DE0"/>
    <w:rsid w:val="DFF748C1"/>
    <w:rsid w:val="DFFE359E"/>
    <w:rsid w:val="DFFE4FFD"/>
    <w:rsid w:val="DFFF5C95"/>
    <w:rsid w:val="DFFF8660"/>
    <w:rsid w:val="E37783F0"/>
    <w:rsid w:val="E57FA5B1"/>
    <w:rsid w:val="E5C9EC1D"/>
    <w:rsid w:val="E6FD0194"/>
    <w:rsid w:val="E7EB73E1"/>
    <w:rsid w:val="EBE154C1"/>
    <w:rsid w:val="ECE31073"/>
    <w:rsid w:val="EDCF32E9"/>
    <w:rsid w:val="EDDF6674"/>
    <w:rsid w:val="EEABED75"/>
    <w:rsid w:val="EF3B511F"/>
    <w:rsid w:val="EF87C589"/>
    <w:rsid w:val="EFBF1F6B"/>
    <w:rsid w:val="EFF66F78"/>
    <w:rsid w:val="EFF71382"/>
    <w:rsid w:val="F1F7E36D"/>
    <w:rsid w:val="F2DE8EFE"/>
    <w:rsid w:val="F3BFAD9F"/>
    <w:rsid w:val="F3FF72CF"/>
    <w:rsid w:val="F56FDF51"/>
    <w:rsid w:val="F57348C7"/>
    <w:rsid w:val="F59E65DA"/>
    <w:rsid w:val="F5CA4E6A"/>
    <w:rsid w:val="F5FF3572"/>
    <w:rsid w:val="F6B69F17"/>
    <w:rsid w:val="F6DBF6EA"/>
    <w:rsid w:val="F6DFEE81"/>
    <w:rsid w:val="F6FE8B78"/>
    <w:rsid w:val="F73FF432"/>
    <w:rsid w:val="F7472A7D"/>
    <w:rsid w:val="F76F741F"/>
    <w:rsid w:val="F77F1D61"/>
    <w:rsid w:val="F7AD4BE1"/>
    <w:rsid w:val="F7B73182"/>
    <w:rsid w:val="F7BF658A"/>
    <w:rsid w:val="F7F91857"/>
    <w:rsid w:val="F7FED3A9"/>
    <w:rsid w:val="F87FE4C0"/>
    <w:rsid w:val="F8C9DB26"/>
    <w:rsid w:val="F97E8EAE"/>
    <w:rsid w:val="F9BB0D27"/>
    <w:rsid w:val="FAFF0FCB"/>
    <w:rsid w:val="FB36E1A6"/>
    <w:rsid w:val="FB3BE134"/>
    <w:rsid w:val="FB7F0CEE"/>
    <w:rsid w:val="FB9C6CDC"/>
    <w:rsid w:val="FBA8B0B4"/>
    <w:rsid w:val="FBCD4138"/>
    <w:rsid w:val="FBDDF5C0"/>
    <w:rsid w:val="FBE74AA6"/>
    <w:rsid w:val="FBEC799E"/>
    <w:rsid w:val="FBEF3C56"/>
    <w:rsid w:val="FBFB4438"/>
    <w:rsid w:val="FBFDF3FD"/>
    <w:rsid w:val="FCE51A82"/>
    <w:rsid w:val="FCE7CE65"/>
    <w:rsid w:val="FCFF4275"/>
    <w:rsid w:val="FD137091"/>
    <w:rsid w:val="FD5C551D"/>
    <w:rsid w:val="FD6F8B59"/>
    <w:rsid w:val="FD758372"/>
    <w:rsid w:val="FD7FEEEA"/>
    <w:rsid w:val="FDB9E947"/>
    <w:rsid w:val="FDD772FA"/>
    <w:rsid w:val="FDDF1E06"/>
    <w:rsid w:val="FDF74758"/>
    <w:rsid w:val="FDFFB577"/>
    <w:rsid w:val="FDFFCA5E"/>
    <w:rsid w:val="FDFFFB66"/>
    <w:rsid w:val="FE5FB90A"/>
    <w:rsid w:val="FEBBD211"/>
    <w:rsid w:val="FEEA50FE"/>
    <w:rsid w:val="FEEF91EE"/>
    <w:rsid w:val="FEF699DF"/>
    <w:rsid w:val="FEFA48D2"/>
    <w:rsid w:val="FF232C7C"/>
    <w:rsid w:val="FF253BEB"/>
    <w:rsid w:val="FF679CF3"/>
    <w:rsid w:val="FF77F127"/>
    <w:rsid w:val="FF7CF1E0"/>
    <w:rsid w:val="FF7D47A9"/>
    <w:rsid w:val="FF7F6F4F"/>
    <w:rsid w:val="FF8ED138"/>
    <w:rsid w:val="FFBC22D0"/>
    <w:rsid w:val="FFBF5419"/>
    <w:rsid w:val="FFBF75EE"/>
    <w:rsid w:val="FFCD06A4"/>
    <w:rsid w:val="FFCF21CB"/>
    <w:rsid w:val="FFD63096"/>
    <w:rsid w:val="FFDBC055"/>
    <w:rsid w:val="FFEB4030"/>
    <w:rsid w:val="FFEF37FF"/>
    <w:rsid w:val="FFFB4531"/>
    <w:rsid w:val="FFFF1C8B"/>
    <w:rsid w:val="FFFFA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next w:val="4"/>
    <w:unhideWhenUsed/>
    <w:qFormat/>
    <w:uiPriority w:val="99"/>
    <w:pPr>
      <w:widowControl/>
      <w:spacing w:after="120"/>
      <w:ind w:left="420" w:leftChars="200"/>
      <w:jc w:val="left"/>
    </w:pPr>
    <w:rPr>
      <w:rFonts w:ascii="宋体" w:hAnsi="宋体" w:eastAsia="宋体" w:cs="宋体"/>
      <w:kern w:val="0"/>
      <w:sz w:val="24"/>
    </w:rPr>
  </w:style>
  <w:style w:type="paragraph" w:styleId="4">
    <w:name w:val="Body Text First Indent 2"/>
    <w:basedOn w:val="3"/>
    <w:next w:val="1"/>
    <w:unhideWhenUsed/>
    <w:qFormat/>
    <w:uiPriority w:val="99"/>
    <w:pPr>
      <w:ind w:firstLine="420" w:firstLineChars="200"/>
    </w:pPr>
  </w:style>
  <w:style w:type="paragraph" w:styleId="5">
    <w:name w:val="Balloon Text"/>
    <w:basedOn w:val="1"/>
    <w:link w:val="18"/>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footnote text"/>
    <w:basedOn w:val="1"/>
    <w:next w:val="4"/>
    <w:semiHidden/>
    <w:qFormat/>
    <w:uiPriority w:val="0"/>
    <w:pPr>
      <w:snapToGrid w:val="0"/>
      <w:jc w:val="left"/>
    </w:pPr>
    <w:rPr>
      <w:sz w:val="18"/>
      <w:szCs w:val="18"/>
    </w:rPr>
  </w:style>
  <w:style w:type="paragraph" w:styleId="9">
    <w:name w:val="Normal (Web)"/>
    <w:basedOn w:val="1"/>
    <w:link w:val="24"/>
    <w:qFormat/>
    <w:uiPriority w:val="0"/>
    <w:pPr>
      <w:spacing w:beforeAutospacing="1" w:afterAutospacing="1"/>
      <w:jc w:val="left"/>
    </w:pPr>
  </w:style>
  <w:style w:type="character" w:styleId="12">
    <w:name w:val="Strong"/>
    <w:basedOn w:val="11"/>
    <w:qFormat/>
    <w:uiPriority w:val="0"/>
    <w:rPr>
      <w:b/>
    </w:rPr>
  </w:style>
  <w:style w:type="paragraph" w:customStyle="1" w:styleId="13">
    <w:name w:val="UserStyle_0"/>
    <w:basedOn w:val="1"/>
    <w:qFormat/>
    <w:uiPriority w:val="0"/>
    <w:pPr>
      <w:spacing w:after="120" w:afterLines="0"/>
      <w:textAlignment w:val="baseline"/>
    </w:pPr>
    <w:rPr>
      <w:rFonts w:ascii="Times New Roman" w:hAnsi="Times New Roman" w:eastAsia="宋体" w:cs="Times New Roman"/>
    </w:rPr>
  </w:style>
  <w:style w:type="character" w:customStyle="1" w:styleId="14">
    <w:name w:val="页眉 字符"/>
    <w:basedOn w:val="11"/>
    <w:link w:val="7"/>
    <w:qFormat/>
    <w:uiPriority w:val="99"/>
    <w:rPr>
      <w:sz w:val="18"/>
      <w:szCs w:val="18"/>
    </w:rPr>
  </w:style>
  <w:style w:type="character" w:customStyle="1" w:styleId="15">
    <w:name w:val="页脚 字符"/>
    <w:basedOn w:val="11"/>
    <w:link w:val="6"/>
    <w:qFormat/>
    <w:uiPriority w:val="99"/>
    <w:rPr>
      <w:sz w:val="18"/>
      <w:szCs w:val="18"/>
    </w:rPr>
  </w:style>
  <w:style w:type="paragraph" w:customStyle="1" w:styleId="16">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paragraph" w:styleId="17">
    <w:name w:val="List Paragraph"/>
    <w:basedOn w:val="1"/>
    <w:qFormat/>
    <w:uiPriority w:val="34"/>
    <w:pPr>
      <w:ind w:firstLine="420" w:firstLineChars="200"/>
    </w:pPr>
  </w:style>
  <w:style w:type="character" w:customStyle="1" w:styleId="18">
    <w:name w:val="批注框文本 字符"/>
    <w:basedOn w:val="11"/>
    <w:link w:val="5"/>
    <w:semiHidden/>
    <w:qFormat/>
    <w:uiPriority w:val="99"/>
    <w:rPr>
      <w:sz w:val="18"/>
      <w:szCs w:val="18"/>
    </w:rPr>
  </w:style>
  <w:style w:type="character" w:customStyle="1" w:styleId="19">
    <w:name w:val="font01"/>
    <w:basedOn w:val="11"/>
    <w:qFormat/>
    <w:uiPriority w:val="0"/>
    <w:rPr>
      <w:rFonts w:hint="eastAsia" w:ascii="宋体" w:hAnsi="宋体" w:eastAsia="宋体" w:cs="宋体"/>
      <w:color w:val="000000"/>
      <w:sz w:val="22"/>
      <w:szCs w:val="22"/>
      <w:u w:val="none"/>
    </w:rPr>
  </w:style>
  <w:style w:type="character" w:customStyle="1" w:styleId="20">
    <w:name w:val="font21"/>
    <w:basedOn w:val="11"/>
    <w:qFormat/>
    <w:uiPriority w:val="0"/>
    <w:rPr>
      <w:rFonts w:hint="eastAsia" w:ascii="宋体" w:hAnsi="宋体" w:eastAsia="宋体" w:cs="宋体"/>
      <w:color w:val="000000"/>
      <w:sz w:val="24"/>
      <w:szCs w:val="24"/>
      <w:u w:val="none"/>
    </w:rPr>
  </w:style>
  <w:style w:type="character" w:customStyle="1" w:styleId="21">
    <w:name w:val="font11"/>
    <w:basedOn w:val="11"/>
    <w:qFormat/>
    <w:uiPriority w:val="0"/>
    <w:rPr>
      <w:rFonts w:hint="eastAsia" w:ascii="宋体" w:hAnsi="宋体" w:eastAsia="宋体" w:cs="宋体"/>
      <w:color w:val="000000"/>
      <w:sz w:val="24"/>
      <w:szCs w:val="24"/>
      <w:u w:val="none"/>
    </w:rPr>
  </w:style>
  <w:style w:type="paragraph" w:customStyle="1" w:styleId="22">
    <w:name w:val="正文2"/>
    <w:basedOn w:val="9"/>
    <w:link w:val="23"/>
    <w:qFormat/>
    <w:uiPriority w:val="0"/>
    <w:pPr>
      <w:spacing w:beforeAutospacing="0" w:afterAutospacing="0" w:line="440" w:lineRule="exact"/>
      <w:ind w:firstLine="200"/>
      <w:jc w:val="both"/>
    </w:pPr>
  </w:style>
  <w:style w:type="character" w:customStyle="1" w:styleId="23">
    <w:name w:val="正文2 字符"/>
    <w:basedOn w:val="24"/>
    <w:link w:val="22"/>
    <w:qFormat/>
    <w:uiPriority w:val="0"/>
  </w:style>
  <w:style w:type="character" w:customStyle="1" w:styleId="24">
    <w:name w:val="普通(网站) 字符"/>
    <w:basedOn w:val="11"/>
    <w:link w:val="9"/>
    <w:qFormat/>
    <w:uiPriority w:val="0"/>
  </w:style>
  <w:style w:type="paragraph" w:customStyle="1" w:styleId="25">
    <w:name w:val="列出段落"/>
    <w:basedOn w:val="1"/>
    <w:qFormat/>
    <w:uiPriority w:val="0"/>
    <w:pPr>
      <w:widowControl w:val="0"/>
      <w:spacing w:line="240" w:lineRule="auto"/>
      <w:ind w:firstLine="200"/>
    </w:pPr>
    <w:rPr>
      <w:rFonts w:ascii="Calibri" w:hAnsi="Calibri" w:eastAsia="宋体"/>
      <w:sz w:val="21"/>
      <w:szCs w:val="22"/>
    </w:rPr>
  </w:style>
  <w:style w:type="paragraph" w:customStyle="1" w:styleId="26">
    <w:name w:val="正文表格内"/>
    <w:basedOn w:val="1"/>
    <w:qFormat/>
    <w:uiPriority w:val="0"/>
    <w:pPr>
      <w:spacing w:line="440" w:lineRule="exact"/>
      <w:ind w:firstLine="0" w:firstLineChars="0"/>
      <w:jc w:val="center"/>
    </w:pPr>
    <w:rPr>
      <w:sz w:val="21"/>
      <w:szCs w:val="21"/>
    </w:rPr>
  </w:style>
  <w:style w:type="paragraph" w:customStyle="1" w:styleId="27">
    <w:name w:val="正文表格"/>
    <w:basedOn w:val="26"/>
    <w:qFormat/>
    <w:uiPriority w:val="0"/>
    <w:pPr>
      <w:jc w:val="both"/>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738</Words>
  <Characters>4207</Characters>
  <Lines>35</Lines>
  <Paragraphs>9</Paragraphs>
  <TotalTime>14</TotalTime>
  <ScaleCrop>false</ScaleCrop>
  <LinksUpToDate>false</LinksUpToDate>
  <CharactersWithSpaces>4936</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2020-07-11T10:32:00Z</dcterms:created>
  <dc:creator>李航 null</dc:creator>
  <cp:lastModifiedBy>greatwall</cp:lastModifiedBy>
  <cp:lastPrinted>2024-08-11T18:20:00Z</cp:lastPrinted>
  <dcterms:modified xsi:type="dcterms:W3CDTF">2025-09-19T09:59:12Z</dcterms:modified>
  <cp:revision>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BCEB5A4035F72555F138C2685D3EC037_42</vt:lpwstr>
  </property>
</Properties>
</file>