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C344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1788D33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239D1BB8">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733"/>
        <w:gridCol w:w="725"/>
        <w:gridCol w:w="230"/>
        <w:gridCol w:w="1129"/>
        <w:gridCol w:w="881"/>
        <w:gridCol w:w="230"/>
        <w:gridCol w:w="969"/>
        <w:gridCol w:w="863"/>
      </w:tblGrid>
      <w:tr w14:paraId="1B0F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Merge w:val="restart"/>
            <w:vAlign w:val="center"/>
          </w:tcPr>
          <w:p w14:paraId="6EE22D1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1458" w:type="dxa"/>
            <w:gridSpan w:val="2"/>
            <w:vAlign w:val="center"/>
          </w:tcPr>
          <w:p w14:paraId="1E15D6E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3"/>
            <w:vAlign w:val="center"/>
          </w:tcPr>
          <w:p w14:paraId="52EF3A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2062" w:type="dxa"/>
            <w:gridSpan w:val="3"/>
            <w:vAlign w:val="center"/>
          </w:tcPr>
          <w:p w14:paraId="151BF18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7F8C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934" w:type="dxa"/>
            <w:vMerge w:val="continue"/>
            <w:vAlign w:val="center"/>
          </w:tcPr>
          <w:p w14:paraId="565B2F37">
            <w:pPr>
              <w:widowControl/>
              <w:jc w:val="left"/>
              <w:rPr>
                <w:rFonts w:hint="eastAsia" w:ascii="仿宋" w:hAnsi="仿宋" w:eastAsia="仿宋" w:cs="仿宋"/>
                <w:b w:val="0"/>
                <w:bCs w:val="0"/>
                <w:kern w:val="0"/>
                <w:sz w:val="20"/>
                <w:szCs w:val="20"/>
              </w:rPr>
            </w:pPr>
          </w:p>
        </w:tc>
        <w:tc>
          <w:tcPr>
            <w:tcW w:w="1458" w:type="dxa"/>
            <w:gridSpan w:val="2"/>
            <w:vAlign w:val="center"/>
          </w:tcPr>
          <w:p w14:paraId="118E8CB0">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26</w:t>
            </w:r>
          </w:p>
        </w:tc>
        <w:tc>
          <w:tcPr>
            <w:tcW w:w="2240" w:type="dxa"/>
            <w:gridSpan w:val="3"/>
            <w:vAlign w:val="center"/>
          </w:tcPr>
          <w:p w14:paraId="4F9404E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25</w:t>
            </w:r>
          </w:p>
        </w:tc>
        <w:tc>
          <w:tcPr>
            <w:tcW w:w="2062" w:type="dxa"/>
            <w:gridSpan w:val="3"/>
            <w:vAlign w:val="center"/>
          </w:tcPr>
          <w:p w14:paraId="1A664C8C">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96.15%</w:t>
            </w:r>
          </w:p>
        </w:tc>
      </w:tr>
      <w:tr w14:paraId="3CAD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0FC6484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1458" w:type="dxa"/>
            <w:gridSpan w:val="2"/>
            <w:vAlign w:val="center"/>
          </w:tcPr>
          <w:p w14:paraId="3AEE459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3"/>
            <w:vAlign w:val="center"/>
          </w:tcPr>
          <w:p w14:paraId="537FF91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2062" w:type="dxa"/>
            <w:gridSpan w:val="3"/>
            <w:vAlign w:val="center"/>
          </w:tcPr>
          <w:p w14:paraId="11F42EA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4FB9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53C43CD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1458" w:type="dxa"/>
            <w:gridSpan w:val="2"/>
            <w:vAlign w:val="center"/>
          </w:tcPr>
          <w:p w14:paraId="0322A465">
            <w:pPr>
              <w:wordWrap w:val="0"/>
              <w:spacing w:before="0" w:after="0" w:line="334" w:lineRule="auto"/>
              <w:ind w:firstLine="0" w:firstLineChars="0"/>
              <w:jc w:val="center"/>
              <w:rPr>
                <w:rFonts w:hint="eastAsia" w:ascii="仿宋" w:hAnsi="仿宋" w:eastAsia="仿宋" w:cs="仿宋"/>
                <w:b w:val="0"/>
                <w:bCs w:val="0"/>
                <w:kern w:val="0"/>
                <w:sz w:val="20"/>
                <w:szCs w:val="20"/>
              </w:rPr>
            </w:pPr>
            <w:r>
              <w:rPr>
                <w:rFonts w:hint="eastAsia" w:ascii="仿宋" w:hAnsi="仿宋" w:eastAsia="仿宋" w:cs="仿宋"/>
                <w:color w:val="000000"/>
                <w:sz w:val="20"/>
                <w:szCs w:val="20"/>
                <w:lang w:val="en-US" w:eastAsia="zh-CN"/>
              </w:rPr>
              <w:t>2.1</w:t>
            </w:r>
          </w:p>
        </w:tc>
        <w:tc>
          <w:tcPr>
            <w:tcW w:w="2240" w:type="dxa"/>
            <w:gridSpan w:val="3"/>
            <w:vAlign w:val="center"/>
          </w:tcPr>
          <w:p w14:paraId="15398DE6">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3</w:t>
            </w:r>
          </w:p>
        </w:tc>
        <w:tc>
          <w:tcPr>
            <w:tcW w:w="2062" w:type="dxa"/>
            <w:gridSpan w:val="3"/>
            <w:vAlign w:val="center"/>
          </w:tcPr>
          <w:p w14:paraId="2D109E42">
            <w:pPr>
              <w:wordWrap w:val="0"/>
              <w:spacing w:before="0" w:after="0" w:line="334" w:lineRule="auto"/>
              <w:ind w:firstLine="0" w:firstLineChars="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2.07</w:t>
            </w:r>
          </w:p>
        </w:tc>
      </w:tr>
      <w:tr w14:paraId="05D9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611BE17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1458" w:type="dxa"/>
            <w:gridSpan w:val="2"/>
            <w:vAlign w:val="center"/>
          </w:tcPr>
          <w:p w14:paraId="2A7A37DA">
            <w:pPr>
              <w:wordWrap w:val="0"/>
              <w:spacing w:before="0" w:after="0" w:line="334" w:lineRule="auto"/>
              <w:ind w:firstLine="0" w:firstLineChars="0"/>
              <w:jc w:val="center"/>
              <w:rPr>
                <w:rFonts w:hint="eastAsia" w:ascii="仿宋" w:hAnsi="仿宋" w:eastAsia="仿宋" w:cs="仿宋"/>
                <w:b w:val="0"/>
                <w:bCs w:val="0"/>
                <w:kern w:val="0"/>
                <w:sz w:val="20"/>
                <w:szCs w:val="20"/>
              </w:rPr>
            </w:pPr>
            <w:r>
              <w:rPr>
                <w:rFonts w:hint="eastAsia" w:ascii="仿宋" w:hAnsi="仿宋" w:eastAsia="仿宋" w:cs="仿宋"/>
                <w:color w:val="000000"/>
                <w:sz w:val="20"/>
                <w:szCs w:val="20"/>
                <w:lang w:val="en-US" w:eastAsia="zh-CN"/>
              </w:rPr>
              <w:t>1.83</w:t>
            </w:r>
          </w:p>
        </w:tc>
        <w:tc>
          <w:tcPr>
            <w:tcW w:w="2240" w:type="dxa"/>
            <w:gridSpan w:val="3"/>
            <w:vAlign w:val="center"/>
          </w:tcPr>
          <w:p w14:paraId="49E118E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w:t>
            </w:r>
            <w:r>
              <w:rPr>
                <w:rFonts w:hint="eastAsia" w:ascii="仿宋" w:hAnsi="仿宋" w:eastAsia="仿宋" w:cs="仿宋"/>
                <w:b w:val="0"/>
                <w:bCs w:val="0"/>
                <w:kern w:val="0"/>
                <w:sz w:val="20"/>
                <w:szCs w:val="20"/>
              </w:rPr>
              <w:t>　</w:t>
            </w:r>
          </w:p>
        </w:tc>
        <w:tc>
          <w:tcPr>
            <w:tcW w:w="2062" w:type="dxa"/>
            <w:gridSpan w:val="3"/>
            <w:vAlign w:val="center"/>
          </w:tcPr>
          <w:p w14:paraId="4B4620A9">
            <w:pPr>
              <w:wordWrap w:val="0"/>
              <w:spacing w:before="0" w:after="0" w:line="334" w:lineRule="auto"/>
              <w:ind w:firstLine="0" w:firstLineChars="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w:t>
            </w:r>
          </w:p>
        </w:tc>
      </w:tr>
      <w:tr w14:paraId="020A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79B93C3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1458" w:type="dxa"/>
            <w:gridSpan w:val="2"/>
            <w:vAlign w:val="center"/>
          </w:tcPr>
          <w:p w14:paraId="69072C53">
            <w:pPr>
              <w:wordWrap w:val="0"/>
              <w:spacing w:before="0" w:after="0" w:line="384" w:lineRule="auto"/>
              <w:ind w:firstLine="0" w:firstLineChars="0"/>
              <w:jc w:val="center"/>
              <w:rPr>
                <w:rFonts w:hint="eastAsia" w:ascii="仿宋" w:hAnsi="仿宋" w:eastAsia="仿宋" w:cs="仿宋"/>
                <w:b w:val="0"/>
                <w:bCs w:val="0"/>
                <w:kern w:val="0"/>
                <w:sz w:val="20"/>
                <w:szCs w:val="20"/>
              </w:rPr>
            </w:pPr>
          </w:p>
        </w:tc>
        <w:tc>
          <w:tcPr>
            <w:tcW w:w="2240" w:type="dxa"/>
            <w:gridSpan w:val="3"/>
            <w:vAlign w:val="center"/>
          </w:tcPr>
          <w:p w14:paraId="3C3D549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062" w:type="dxa"/>
            <w:gridSpan w:val="3"/>
            <w:vAlign w:val="center"/>
          </w:tcPr>
          <w:p w14:paraId="51314755">
            <w:pPr>
              <w:wordWrap w:val="0"/>
              <w:spacing w:before="0" w:after="0" w:line="384" w:lineRule="auto"/>
              <w:ind w:firstLine="0" w:firstLineChars="0"/>
              <w:jc w:val="center"/>
              <w:rPr>
                <w:rFonts w:hint="eastAsia" w:ascii="仿宋" w:hAnsi="仿宋" w:eastAsia="仿宋" w:cs="仿宋"/>
                <w:b w:val="0"/>
                <w:bCs w:val="0"/>
                <w:kern w:val="0"/>
                <w:sz w:val="20"/>
                <w:szCs w:val="20"/>
              </w:rPr>
            </w:pPr>
          </w:p>
        </w:tc>
      </w:tr>
      <w:tr w14:paraId="4122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0A3A4A7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1458" w:type="dxa"/>
            <w:gridSpan w:val="2"/>
            <w:vAlign w:val="center"/>
          </w:tcPr>
          <w:p w14:paraId="175F082D">
            <w:pPr>
              <w:wordWrap w:val="0"/>
              <w:spacing w:before="0" w:after="0" w:line="299" w:lineRule="auto"/>
              <w:ind w:firstLine="0" w:firstLineChars="0"/>
              <w:jc w:val="center"/>
              <w:rPr>
                <w:rFonts w:hint="eastAsia" w:ascii="仿宋" w:hAnsi="仿宋" w:eastAsia="仿宋" w:cs="仿宋"/>
                <w:b w:val="0"/>
                <w:bCs w:val="0"/>
                <w:kern w:val="0"/>
                <w:sz w:val="20"/>
                <w:szCs w:val="20"/>
              </w:rPr>
            </w:pPr>
            <w:r>
              <w:rPr>
                <w:rFonts w:hint="eastAsia" w:ascii="仿宋" w:hAnsi="仿宋" w:eastAsia="仿宋" w:cs="仿宋"/>
                <w:color w:val="000000"/>
                <w:sz w:val="20"/>
                <w:szCs w:val="20"/>
                <w:lang w:val="en-US" w:eastAsia="zh-CN"/>
              </w:rPr>
              <w:t>1.83</w:t>
            </w:r>
          </w:p>
        </w:tc>
        <w:tc>
          <w:tcPr>
            <w:tcW w:w="2240" w:type="dxa"/>
            <w:gridSpan w:val="3"/>
            <w:vAlign w:val="center"/>
          </w:tcPr>
          <w:p w14:paraId="6142ABD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w:t>
            </w:r>
            <w:r>
              <w:rPr>
                <w:rFonts w:hint="eastAsia" w:ascii="仿宋" w:hAnsi="仿宋" w:eastAsia="仿宋" w:cs="仿宋"/>
                <w:b w:val="0"/>
                <w:bCs w:val="0"/>
                <w:kern w:val="0"/>
                <w:sz w:val="20"/>
                <w:szCs w:val="20"/>
              </w:rPr>
              <w:t>　</w:t>
            </w:r>
          </w:p>
        </w:tc>
        <w:tc>
          <w:tcPr>
            <w:tcW w:w="2062" w:type="dxa"/>
            <w:gridSpan w:val="3"/>
            <w:vAlign w:val="center"/>
          </w:tcPr>
          <w:p w14:paraId="2D33F518">
            <w:pPr>
              <w:wordWrap w:val="0"/>
              <w:spacing w:before="0" w:after="0" w:line="299" w:lineRule="auto"/>
              <w:ind w:firstLine="0" w:firstLineChars="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w:t>
            </w:r>
          </w:p>
        </w:tc>
      </w:tr>
      <w:tr w14:paraId="7EFC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35CD422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1458" w:type="dxa"/>
            <w:gridSpan w:val="2"/>
            <w:vAlign w:val="center"/>
          </w:tcPr>
          <w:p w14:paraId="28960B4E">
            <w:pPr>
              <w:wordWrap w:val="0"/>
              <w:spacing w:before="0" w:after="0" w:line="369" w:lineRule="auto"/>
              <w:ind w:firstLine="0" w:firstLineChars="0"/>
              <w:jc w:val="center"/>
              <w:rPr>
                <w:rFonts w:hint="eastAsia" w:ascii="仿宋" w:hAnsi="仿宋" w:eastAsia="仿宋" w:cs="仿宋"/>
                <w:b w:val="0"/>
                <w:bCs w:val="0"/>
                <w:kern w:val="0"/>
                <w:sz w:val="20"/>
                <w:szCs w:val="20"/>
              </w:rPr>
            </w:pPr>
          </w:p>
        </w:tc>
        <w:tc>
          <w:tcPr>
            <w:tcW w:w="2240" w:type="dxa"/>
            <w:gridSpan w:val="3"/>
            <w:vAlign w:val="center"/>
          </w:tcPr>
          <w:p w14:paraId="53E2DEC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062" w:type="dxa"/>
            <w:gridSpan w:val="3"/>
            <w:vAlign w:val="center"/>
          </w:tcPr>
          <w:p w14:paraId="1D5E6362">
            <w:pPr>
              <w:wordWrap w:val="0"/>
              <w:spacing w:before="0" w:after="0" w:line="369" w:lineRule="auto"/>
              <w:ind w:firstLine="0" w:firstLineChars="0"/>
              <w:jc w:val="center"/>
              <w:rPr>
                <w:rFonts w:hint="eastAsia" w:ascii="仿宋" w:hAnsi="仿宋" w:eastAsia="仿宋" w:cs="仿宋"/>
                <w:b w:val="0"/>
                <w:bCs w:val="0"/>
                <w:kern w:val="0"/>
                <w:sz w:val="20"/>
                <w:szCs w:val="20"/>
              </w:rPr>
            </w:pPr>
          </w:p>
        </w:tc>
      </w:tr>
      <w:tr w14:paraId="6852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0C72B71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1458" w:type="dxa"/>
            <w:gridSpan w:val="2"/>
            <w:vAlign w:val="center"/>
          </w:tcPr>
          <w:p w14:paraId="7456A0DC">
            <w:pPr>
              <w:wordWrap w:val="0"/>
              <w:spacing w:before="0" w:after="0" w:line="316" w:lineRule="auto"/>
              <w:ind w:firstLine="0" w:firstLineChars="0"/>
              <w:jc w:val="center"/>
              <w:rPr>
                <w:rFonts w:hint="eastAsia" w:ascii="仿宋" w:hAnsi="仿宋" w:eastAsia="仿宋" w:cs="仿宋"/>
                <w:b w:val="0"/>
                <w:bCs w:val="0"/>
                <w:kern w:val="0"/>
                <w:sz w:val="20"/>
                <w:szCs w:val="20"/>
              </w:rPr>
            </w:pPr>
            <w:r>
              <w:rPr>
                <w:rFonts w:hint="eastAsia" w:ascii="仿宋" w:hAnsi="仿宋" w:eastAsia="仿宋" w:cs="仿宋"/>
                <w:color w:val="000000"/>
                <w:sz w:val="20"/>
                <w:szCs w:val="20"/>
                <w:lang w:val="en-US" w:eastAsia="zh-CN"/>
              </w:rPr>
              <w:t>0.26</w:t>
            </w:r>
          </w:p>
        </w:tc>
        <w:tc>
          <w:tcPr>
            <w:tcW w:w="2240" w:type="dxa"/>
            <w:gridSpan w:val="3"/>
            <w:vAlign w:val="center"/>
          </w:tcPr>
          <w:p w14:paraId="7E69FB88">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w:t>
            </w:r>
          </w:p>
        </w:tc>
        <w:tc>
          <w:tcPr>
            <w:tcW w:w="2062" w:type="dxa"/>
            <w:gridSpan w:val="3"/>
            <w:vAlign w:val="center"/>
          </w:tcPr>
          <w:p w14:paraId="279FA5A0">
            <w:pPr>
              <w:wordWrap w:val="0"/>
              <w:spacing w:before="0" w:after="0" w:line="316" w:lineRule="auto"/>
              <w:ind w:firstLine="0" w:firstLineChars="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0.07</w:t>
            </w:r>
          </w:p>
        </w:tc>
      </w:tr>
      <w:tr w14:paraId="1866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934" w:type="dxa"/>
            <w:vAlign w:val="center"/>
          </w:tcPr>
          <w:p w14:paraId="48BF0FEB">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1458" w:type="dxa"/>
            <w:gridSpan w:val="2"/>
            <w:shd w:val="clear" w:color="auto" w:fill="auto"/>
            <w:vAlign w:val="center"/>
          </w:tcPr>
          <w:p w14:paraId="4F0F031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659.54</w:t>
            </w:r>
          </w:p>
        </w:tc>
        <w:tc>
          <w:tcPr>
            <w:tcW w:w="2240" w:type="dxa"/>
            <w:gridSpan w:val="3"/>
            <w:vAlign w:val="center"/>
          </w:tcPr>
          <w:p w14:paraId="457F003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204.70</w:t>
            </w:r>
          </w:p>
        </w:tc>
        <w:tc>
          <w:tcPr>
            <w:tcW w:w="2062" w:type="dxa"/>
            <w:gridSpan w:val="3"/>
            <w:vAlign w:val="center"/>
          </w:tcPr>
          <w:p w14:paraId="41322B3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253.68</w:t>
            </w:r>
          </w:p>
        </w:tc>
      </w:tr>
      <w:tr w14:paraId="0492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216C9D3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1458" w:type="dxa"/>
            <w:gridSpan w:val="2"/>
            <w:shd w:val="clear" w:color="auto" w:fill="auto"/>
            <w:vAlign w:val="center"/>
          </w:tcPr>
          <w:p w14:paraId="4A029431">
            <w:pPr>
              <w:wordWrap w:val="0"/>
              <w:spacing w:before="0" w:after="0" w:line="334" w:lineRule="auto"/>
              <w:ind w:firstLine="0" w:firstLineChars="0"/>
              <w:jc w:val="center"/>
              <w:rPr>
                <w:rFonts w:hint="eastAsia" w:ascii="仿宋" w:hAnsi="仿宋" w:eastAsia="仿宋" w:cs="仿宋"/>
                <w:color w:val="000000"/>
                <w:kern w:val="2"/>
                <w:sz w:val="20"/>
                <w:szCs w:val="20"/>
                <w:lang w:val="en-US" w:eastAsia="zh-CN" w:bidi="ar-SA"/>
              </w:rPr>
            </w:pPr>
          </w:p>
        </w:tc>
        <w:tc>
          <w:tcPr>
            <w:tcW w:w="2240" w:type="dxa"/>
            <w:gridSpan w:val="3"/>
            <w:vAlign w:val="center"/>
          </w:tcPr>
          <w:p w14:paraId="23501D7D">
            <w:pPr>
              <w:widowControl/>
              <w:jc w:val="center"/>
              <w:rPr>
                <w:rFonts w:hint="eastAsia" w:ascii="仿宋" w:hAnsi="仿宋" w:eastAsia="仿宋" w:cs="仿宋"/>
                <w:b w:val="0"/>
                <w:bCs w:val="0"/>
                <w:kern w:val="0"/>
                <w:sz w:val="20"/>
                <w:szCs w:val="20"/>
              </w:rPr>
            </w:pPr>
          </w:p>
        </w:tc>
        <w:tc>
          <w:tcPr>
            <w:tcW w:w="2062" w:type="dxa"/>
            <w:gridSpan w:val="3"/>
            <w:vAlign w:val="center"/>
          </w:tcPr>
          <w:p w14:paraId="268D165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FB6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vAlign w:val="center"/>
          </w:tcPr>
          <w:p w14:paraId="4764C42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1458" w:type="dxa"/>
            <w:gridSpan w:val="2"/>
            <w:shd w:val="clear" w:color="auto" w:fill="auto"/>
            <w:vAlign w:val="center"/>
          </w:tcPr>
          <w:p w14:paraId="7B6FC46F">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p>
        </w:tc>
        <w:tc>
          <w:tcPr>
            <w:tcW w:w="2240" w:type="dxa"/>
            <w:gridSpan w:val="3"/>
            <w:vAlign w:val="center"/>
          </w:tcPr>
          <w:p w14:paraId="642A5B5E">
            <w:pPr>
              <w:widowControl/>
              <w:jc w:val="center"/>
              <w:rPr>
                <w:rFonts w:hint="eastAsia" w:ascii="仿宋" w:hAnsi="仿宋" w:eastAsia="仿宋" w:cs="仿宋"/>
                <w:b w:val="0"/>
                <w:bCs w:val="0"/>
                <w:kern w:val="0"/>
                <w:sz w:val="20"/>
                <w:szCs w:val="20"/>
              </w:rPr>
            </w:pPr>
          </w:p>
        </w:tc>
        <w:tc>
          <w:tcPr>
            <w:tcW w:w="2062" w:type="dxa"/>
            <w:gridSpan w:val="3"/>
            <w:vAlign w:val="center"/>
          </w:tcPr>
          <w:p w14:paraId="2094C876">
            <w:pPr>
              <w:widowControl/>
              <w:jc w:val="center"/>
              <w:rPr>
                <w:rFonts w:hint="default" w:ascii="仿宋" w:hAnsi="仿宋" w:eastAsia="仿宋" w:cs="仿宋"/>
                <w:b w:val="0"/>
                <w:bCs w:val="0"/>
                <w:kern w:val="0"/>
                <w:sz w:val="20"/>
                <w:szCs w:val="20"/>
                <w:lang w:val="en-US" w:eastAsia="zh-CN"/>
              </w:rPr>
            </w:pPr>
          </w:p>
        </w:tc>
      </w:tr>
      <w:tr w14:paraId="1AC6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4" w:type="dxa"/>
            <w:vAlign w:val="center"/>
          </w:tcPr>
          <w:p w14:paraId="3C409C98">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143223C3">
            <w:pPr>
              <w:widowControl/>
              <w:ind w:firstLine="600" w:firstLineChars="300"/>
              <w:jc w:val="left"/>
              <w:rPr>
                <w:rFonts w:hint="eastAsia" w:ascii="仿宋" w:hAnsi="仿宋" w:eastAsia="仿宋" w:cs="仿宋"/>
                <w:b w:val="0"/>
                <w:bCs w:val="0"/>
                <w:kern w:val="0"/>
                <w:sz w:val="20"/>
                <w:szCs w:val="20"/>
              </w:rPr>
            </w:pPr>
          </w:p>
        </w:tc>
        <w:tc>
          <w:tcPr>
            <w:tcW w:w="1458" w:type="dxa"/>
            <w:gridSpan w:val="2"/>
            <w:shd w:val="clear" w:color="auto" w:fill="auto"/>
            <w:vAlign w:val="center"/>
          </w:tcPr>
          <w:p w14:paraId="680D98F8">
            <w:pPr>
              <w:wordWrap w:val="0"/>
              <w:spacing w:before="0" w:after="0" w:line="384" w:lineRule="auto"/>
              <w:ind w:firstLine="0" w:firstLineChars="0"/>
              <w:jc w:val="center"/>
              <w:rPr>
                <w:rFonts w:hint="eastAsia" w:ascii="仿宋" w:hAnsi="仿宋" w:eastAsia="仿宋" w:cs="仿宋"/>
                <w:color w:val="FF0000"/>
                <w:kern w:val="2"/>
                <w:sz w:val="20"/>
                <w:szCs w:val="20"/>
                <w:lang w:val="en-US" w:eastAsia="zh-CN" w:bidi="ar-SA"/>
              </w:rPr>
            </w:pPr>
            <w:r>
              <w:rPr>
                <w:rFonts w:hint="eastAsia" w:ascii="仿宋" w:hAnsi="仿宋" w:eastAsia="仿宋" w:cs="仿宋"/>
                <w:color w:val="000000"/>
                <w:sz w:val="20"/>
                <w:szCs w:val="20"/>
                <w:lang w:val="en-US" w:eastAsia="zh-CN"/>
              </w:rPr>
              <w:t>659.54</w:t>
            </w:r>
          </w:p>
        </w:tc>
        <w:tc>
          <w:tcPr>
            <w:tcW w:w="2240" w:type="dxa"/>
            <w:gridSpan w:val="3"/>
            <w:vAlign w:val="center"/>
          </w:tcPr>
          <w:p w14:paraId="6AD736FD">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kern w:val="0"/>
                <w:sz w:val="20"/>
                <w:szCs w:val="20"/>
                <w:lang w:val="en-US" w:eastAsia="zh-CN"/>
              </w:rPr>
              <w:t>204.70</w:t>
            </w:r>
          </w:p>
        </w:tc>
        <w:tc>
          <w:tcPr>
            <w:tcW w:w="2062" w:type="dxa"/>
            <w:gridSpan w:val="3"/>
            <w:vAlign w:val="center"/>
          </w:tcPr>
          <w:p w14:paraId="025E11C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253.68</w:t>
            </w:r>
          </w:p>
        </w:tc>
      </w:tr>
      <w:tr w14:paraId="05FC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4" w:type="dxa"/>
            <w:vAlign w:val="center"/>
          </w:tcPr>
          <w:p w14:paraId="55B41F75">
            <w:pPr>
              <w:widowControl/>
              <w:ind w:firstLine="400" w:firstLineChars="200"/>
              <w:jc w:val="left"/>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3.1市级非遗传承人补助经费</w:t>
            </w:r>
          </w:p>
        </w:tc>
        <w:tc>
          <w:tcPr>
            <w:tcW w:w="1458" w:type="dxa"/>
            <w:gridSpan w:val="2"/>
            <w:shd w:val="clear" w:color="auto" w:fill="auto"/>
            <w:vAlign w:val="center"/>
          </w:tcPr>
          <w:p w14:paraId="7E00AE76">
            <w:pPr>
              <w:wordWrap w:val="0"/>
              <w:spacing w:before="0" w:after="0" w:line="384" w:lineRule="auto"/>
              <w:ind w:firstLine="0" w:firstLineChars="0"/>
              <w:jc w:val="center"/>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49.8</w:t>
            </w:r>
          </w:p>
        </w:tc>
        <w:tc>
          <w:tcPr>
            <w:tcW w:w="2240" w:type="dxa"/>
            <w:gridSpan w:val="3"/>
            <w:vAlign w:val="center"/>
          </w:tcPr>
          <w:p w14:paraId="1D707726">
            <w:pPr>
              <w:widowControl/>
              <w:jc w:val="center"/>
              <w:rPr>
                <w:rFonts w:hint="eastAsia" w:ascii="仿宋" w:hAnsi="仿宋" w:eastAsia="仿宋" w:cs="仿宋"/>
                <w:b w:val="0"/>
                <w:bCs w:val="0"/>
                <w:color w:val="FF0000"/>
                <w:kern w:val="0"/>
                <w:sz w:val="20"/>
                <w:szCs w:val="20"/>
                <w:lang w:val="en-US" w:eastAsia="zh-CN"/>
              </w:rPr>
            </w:pPr>
          </w:p>
        </w:tc>
        <w:tc>
          <w:tcPr>
            <w:tcW w:w="2062" w:type="dxa"/>
            <w:gridSpan w:val="3"/>
            <w:vAlign w:val="center"/>
          </w:tcPr>
          <w:p w14:paraId="0906940E">
            <w:pPr>
              <w:widowControl/>
              <w:jc w:val="center"/>
              <w:rPr>
                <w:rFonts w:hint="eastAsia" w:ascii="仿宋" w:hAnsi="仿宋" w:eastAsia="仿宋" w:cs="仿宋"/>
                <w:b w:val="0"/>
                <w:bCs w:val="0"/>
                <w:kern w:val="0"/>
                <w:sz w:val="20"/>
                <w:szCs w:val="20"/>
              </w:rPr>
            </w:pPr>
          </w:p>
        </w:tc>
      </w:tr>
      <w:tr w14:paraId="204E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934" w:type="dxa"/>
            <w:shd w:val="clear" w:color="auto" w:fill="auto"/>
            <w:vAlign w:val="top"/>
          </w:tcPr>
          <w:p w14:paraId="757B861B">
            <w:pPr>
              <w:spacing w:before="0" w:after="0" w:line="283" w:lineRule="auto"/>
              <w:ind w:right="1235" w:rightChars="0" w:firstLine="400" w:firstLineChars="200"/>
              <w:jc w:val="both"/>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3.2非遗活化利用专项经费</w:t>
            </w:r>
          </w:p>
        </w:tc>
        <w:tc>
          <w:tcPr>
            <w:tcW w:w="1458" w:type="dxa"/>
            <w:gridSpan w:val="2"/>
            <w:shd w:val="clear" w:color="auto" w:fill="auto"/>
            <w:vAlign w:val="center"/>
          </w:tcPr>
          <w:p w14:paraId="2A39385A">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139.10</w:t>
            </w:r>
          </w:p>
        </w:tc>
        <w:tc>
          <w:tcPr>
            <w:tcW w:w="2240" w:type="dxa"/>
            <w:gridSpan w:val="3"/>
            <w:shd w:val="clear" w:color="auto" w:fill="auto"/>
            <w:vAlign w:val="center"/>
          </w:tcPr>
          <w:p w14:paraId="5F23FAD8">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7A54CBBA">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787A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4" w:type="dxa"/>
            <w:shd w:val="clear" w:color="auto" w:fill="auto"/>
            <w:vAlign w:val="top"/>
          </w:tcPr>
          <w:p w14:paraId="51C321B1">
            <w:pPr>
              <w:spacing w:before="0" w:after="0" w:line="283" w:lineRule="auto"/>
              <w:ind w:right="1235" w:rightChars="0" w:firstLine="400" w:firstLineChars="200"/>
              <w:jc w:val="both"/>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3.3非遗保护工作经费</w:t>
            </w:r>
          </w:p>
        </w:tc>
        <w:tc>
          <w:tcPr>
            <w:tcW w:w="1458" w:type="dxa"/>
            <w:gridSpan w:val="2"/>
            <w:shd w:val="clear" w:color="auto" w:fill="auto"/>
            <w:vAlign w:val="center"/>
          </w:tcPr>
          <w:p w14:paraId="40DC9BA7">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50</w:t>
            </w:r>
          </w:p>
        </w:tc>
        <w:tc>
          <w:tcPr>
            <w:tcW w:w="2240" w:type="dxa"/>
            <w:gridSpan w:val="3"/>
            <w:shd w:val="clear" w:color="auto" w:fill="auto"/>
            <w:vAlign w:val="center"/>
          </w:tcPr>
          <w:p w14:paraId="3CFC316F">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50</w:t>
            </w:r>
          </w:p>
        </w:tc>
        <w:tc>
          <w:tcPr>
            <w:tcW w:w="2062" w:type="dxa"/>
            <w:gridSpan w:val="3"/>
            <w:shd w:val="clear" w:color="auto" w:fill="auto"/>
            <w:vAlign w:val="center"/>
          </w:tcPr>
          <w:p w14:paraId="45943109">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50</w:t>
            </w:r>
          </w:p>
        </w:tc>
      </w:tr>
      <w:tr w14:paraId="62D6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4" w:type="dxa"/>
            <w:shd w:val="clear" w:color="auto" w:fill="auto"/>
            <w:vAlign w:val="top"/>
          </w:tcPr>
          <w:p w14:paraId="64B8FFB0">
            <w:pPr>
              <w:spacing w:before="0" w:after="0" w:line="283" w:lineRule="auto"/>
              <w:ind w:right="1235" w:rightChars="0" w:firstLine="400" w:firstLineChars="200"/>
              <w:jc w:val="both"/>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3.4文物修复与征集</w:t>
            </w:r>
          </w:p>
        </w:tc>
        <w:tc>
          <w:tcPr>
            <w:tcW w:w="1458" w:type="dxa"/>
            <w:gridSpan w:val="2"/>
            <w:shd w:val="clear" w:color="auto" w:fill="auto"/>
            <w:vAlign w:val="center"/>
          </w:tcPr>
          <w:p w14:paraId="04C2EEEB">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29.98</w:t>
            </w:r>
          </w:p>
        </w:tc>
        <w:tc>
          <w:tcPr>
            <w:tcW w:w="2240" w:type="dxa"/>
            <w:gridSpan w:val="3"/>
            <w:shd w:val="clear" w:color="auto" w:fill="auto"/>
            <w:vAlign w:val="center"/>
          </w:tcPr>
          <w:p w14:paraId="73860EFA">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20</w:t>
            </w:r>
          </w:p>
        </w:tc>
        <w:tc>
          <w:tcPr>
            <w:tcW w:w="2062" w:type="dxa"/>
            <w:gridSpan w:val="3"/>
            <w:shd w:val="clear" w:color="auto" w:fill="auto"/>
            <w:vAlign w:val="center"/>
          </w:tcPr>
          <w:p w14:paraId="5951B4D9">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42CE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4" w:type="dxa"/>
            <w:shd w:val="clear" w:color="auto" w:fill="auto"/>
            <w:vAlign w:val="top"/>
          </w:tcPr>
          <w:p w14:paraId="7C2C9C8D">
            <w:pPr>
              <w:spacing w:before="0" w:after="0" w:line="283" w:lineRule="auto"/>
              <w:ind w:right="1235" w:rightChars="0" w:firstLine="400" w:firstLineChars="200"/>
              <w:jc w:val="both"/>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3.5博物馆中央免费开放资金</w:t>
            </w:r>
          </w:p>
        </w:tc>
        <w:tc>
          <w:tcPr>
            <w:tcW w:w="1458" w:type="dxa"/>
            <w:gridSpan w:val="2"/>
            <w:shd w:val="clear" w:color="auto" w:fill="auto"/>
            <w:vAlign w:val="center"/>
          </w:tcPr>
          <w:p w14:paraId="0AA4CD2C">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121</w:t>
            </w:r>
          </w:p>
        </w:tc>
        <w:tc>
          <w:tcPr>
            <w:tcW w:w="2240" w:type="dxa"/>
            <w:gridSpan w:val="3"/>
            <w:shd w:val="clear" w:color="auto" w:fill="auto"/>
            <w:vAlign w:val="center"/>
          </w:tcPr>
          <w:p w14:paraId="2ECC867E">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10</w:t>
            </w:r>
          </w:p>
        </w:tc>
        <w:tc>
          <w:tcPr>
            <w:tcW w:w="2062" w:type="dxa"/>
            <w:gridSpan w:val="3"/>
            <w:shd w:val="clear" w:color="auto" w:fill="auto"/>
            <w:vAlign w:val="center"/>
          </w:tcPr>
          <w:p w14:paraId="0581DEAA">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53</w:t>
            </w:r>
          </w:p>
        </w:tc>
      </w:tr>
      <w:tr w14:paraId="2824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19214E9E">
            <w:pPr>
              <w:spacing w:before="0" w:after="0" w:line="283" w:lineRule="auto"/>
              <w:ind w:left="599" w:leftChars="190" w:right="1235" w:rightChars="0" w:hanging="200" w:hangingChars="100"/>
              <w:jc w:val="both"/>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3.6革命军事文物征集工作专项经费</w:t>
            </w:r>
          </w:p>
        </w:tc>
        <w:tc>
          <w:tcPr>
            <w:tcW w:w="1458" w:type="dxa"/>
            <w:gridSpan w:val="2"/>
            <w:shd w:val="clear" w:color="auto" w:fill="auto"/>
            <w:vAlign w:val="center"/>
          </w:tcPr>
          <w:p w14:paraId="5621719A">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22</w:t>
            </w:r>
          </w:p>
        </w:tc>
        <w:tc>
          <w:tcPr>
            <w:tcW w:w="2240" w:type="dxa"/>
            <w:gridSpan w:val="3"/>
            <w:shd w:val="clear" w:color="auto" w:fill="auto"/>
            <w:vAlign w:val="center"/>
          </w:tcPr>
          <w:p w14:paraId="075DAC7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393EFFE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0557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934" w:type="dxa"/>
            <w:shd w:val="clear" w:color="auto" w:fill="auto"/>
            <w:vAlign w:val="top"/>
          </w:tcPr>
          <w:p w14:paraId="773AA80D">
            <w:pPr>
              <w:spacing w:before="0" w:after="0" w:line="283" w:lineRule="auto"/>
              <w:ind w:right="1235" w:rightChars="0" w:firstLine="400" w:firstLineChars="20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3.7考古调查勘探发掘经费</w:t>
            </w:r>
          </w:p>
        </w:tc>
        <w:tc>
          <w:tcPr>
            <w:tcW w:w="1458" w:type="dxa"/>
            <w:gridSpan w:val="2"/>
            <w:shd w:val="clear" w:color="auto" w:fill="auto"/>
            <w:vAlign w:val="center"/>
          </w:tcPr>
          <w:p w14:paraId="4B83FB05">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28.89</w:t>
            </w:r>
          </w:p>
        </w:tc>
        <w:tc>
          <w:tcPr>
            <w:tcW w:w="2240" w:type="dxa"/>
            <w:gridSpan w:val="3"/>
            <w:shd w:val="clear" w:color="auto" w:fill="auto"/>
            <w:vAlign w:val="center"/>
          </w:tcPr>
          <w:p w14:paraId="0A8146E9">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72.20</w:t>
            </w:r>
          </w:p>
        </w:tc>
        <w:tc>
          <w:tcPr>
            <w:tcW w:w="2062" w:type="dxa"/>
            <w:gridSpan w:val="3"/>
            <w:shd w:val="clear" w:color="auto" w:fill="auto"/>
            <w:vAlign w:val="center"/>
          </w:tcPr>
          <w:p w14:paraId="7FCFA35C">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7EE0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4660783B">
            <w:pPr>
              <w:spacing w:before="0" w:after="0" w:line="283" w:lineRule="auto"/>
              <w:ind w:right="1235" w:rightChars="0" w:firstLine="400" w:firstLineChars="200"/>
              <w:jc w:val="left"/>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3.8金属文物保护修复项目</w:t>
            </w:r>
          </w:p>
        </w:tc>
        <w:tc>
          <w:tcPr>
            <w:tcW w:w="1458" w:type="dxa"/>
            <w:gridSpan w:val="2"/>
            <w:shd w:val="clear" w:color="auto" w:fill="auto"/>
            <w:vAlign w:val="center"/>
          </w:tcPr>
          <w:p w14:paraId="237E9C8E">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34</w:t>
            </w:r>
          </w:p>
        </w:tc>
        <w:tc>
          <w:tcPr>
            <w:tcW w:w="2240" w:type="dxa"/>
            <w:gridSpan w:val="3"/>
            <w:shd w:val="clear" w:color="auto" w:fill="auto"/>
            <w:vAlign w:val="center"/>
          </w:tcPr>
          <w:p w14:paraId="0113F482">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3152C851">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0B60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3934" w:type="dxa"/>
            <w:shd w:val="clear" w:color="auto" w:fill="auto"/>
            <w:vAlign w:val="top"/>
          </w:tcPr>
          <w:p w14:paraId="6A0A459A">
            <w:pPr>
              <w:spacing w:before="0" w:after="0" w:line="283" w:lineRule="auto"/>
              <w:ind w:left="920" w:leftChars="0" w:right="1235" w:rightChars="0" w:hanging="320" w:firstLineChars="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3.9消防升级改造工程</w:t>
            </w:r>
          </w:p>
        </w:tc>
        <w:tc>
          <w:tcPr>
            <w:tcW w:w="1458" w:type="dxa"/>
            <w:gridSpan w:val="2"/>
            <w:shd w:val="clear" w:color="auto" w:fill="auto"/>
            <w:vAlign w:val="center"/>
          </w:tcPr>
          <w:p w14:paraId="523C390C">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28</w:t>
            </w:r>
          </w:p>
        </w:tc>
        <w:tc>
          <w:tcPr>
            <w:tcW w:w="2240" w:type="dxa"/>
            <w:gridSpan w:val="3"/>
            <w:shd w:val="clear" w:color="auto" w:fill="auto"/>
            <w:vAlign w:val="center"/>
          </w:tcPr>
          <w:p w14:paraId="72E6BC3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5AA29459">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20B4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75CB56B6">
            <w:pPr>
              <w:spacing w:before="0" w:after="0" w:line="283" w:lineRule="auto"/>
              <w:ind w:left="920" w:leftChars="0" w:right="1235" w:rightChars="0" w:hanging="320" w:firstLineChars="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3.10省级传承人补助经费</w:t>
            </w:r>
          </w:p>
        </w:tc>
        <w:tc>
          <w:tcPr>
            <w:tcW w:w="1458" w:type="dxa"/>
            <w:gridSpan w:val="2"/>
            <w:shd w:val="clear" w:color="auto" w:fill="auto"/>
            <w:vAlign w:val="center"/>
          </w:tcPr>
          <w:p w14:paraId="359297F7">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w:t>
            </w:r>
          </w:p>
        </w:tc>
        <w:tc>
          <w:tcPr>
            <w:tcW w:w="2240" w:type="dxa"/>
            <w:gridSpan w:val="3"/>
            <w:shd w:val="clear" w:color="auto" w:fill="auto"/>
            <w:vAlign w:val="center"/>
          </w:tcPr>
          <w:p w14:paraId="7ECC37A5">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52.50</w:t>
            </w:r>
          </w:p>
        </w:tc>
        <w:tc>
          <w:tcPr>
            <w:tcW w:w="2062" w:type="dxa"/>
            <w:gridSpan w:val="3"/>
            <w:shd w:val="clear" w:color="auto" w:fill="auto"/>
            <w:vAlign w:val="center"/>
          </w:tcPr>
          <w:p w14:paraId="79DF864F">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56.00</w:t>
            </w:r>
          </w:p>
        </w:tc>
      </w:tr>
      <w:tr w14:paraId="462F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934" w:type="dxa"/>
            <w:shd w:val="clear" w:color="auto" w:fill="auto"/>
            <w:vAlign w:val="top"/>
          </w:tcPr>
          <w:p w14:paraId="5140A285">
            <w:pPr>
              <w:spacing w:before="0" w:after="0" w:line="283" w:lineRule="auto"/>
              <w:ind w:left="920" w:leftChars="0" w:right="1235" w:rightChars="0" w:hanging="320" w:firstLineChars="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3.11国家级传承人补助经费</w:t>
            </w:r>
          </w:p>
        </w:tc>
        <w:tc>
          <w:tcPr>
            <w:tcW w:w="1458" w:type="dxa"/>
            <w:gridSpan w:val="2"/>
            <w:shd w:val="clear" w:color="auto" w:fill="auto"/>
            <w:vAlign w:val="center"/>
          </w:tcPr>
          <w:p w14:paraId="0C3D8668">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21</w:t>
            </w:r>
          </w:p>
        </w:tc>
        <w:tc>
          <w:tcPr>
            <w:tcW w:w="2240" w:type="dxa"/>
            <w:gridSpan w:val="3"/>
            <w:shd w:val="clear" w:color="auto" w:fill="auto"/>
            <w:vAlign w:val="center"/>
          </w:tcPr>
          <w:p w14:paraId="1A920D2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6F596299">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19.50</w:t>
            </w:r>
          </w:p>
        </w:tc>
      </w:tr>
      <w:tr w14:paraId="30C9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2BCD5717">
            <w:pPr>
              <w:spacing w:before="0" w:after="0" w:line="283" w:lineRule="auto"/>
              <w:ind w:left="920" w:leftChars="0" w:right="1235" w:rightChars="0" w:hanging="320" w:firstLineChars="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3.12文化强省专项资金（非遗保护传承利用）</w:t>
            </w:r>
          </w:p>
        </w:tc>
        <w:tc>
          <w:tcPr>
            <w:tcW w:w="1458" w:type="dxa"/>
            <w:gridSpan w:val="2"/>
            <w:shd w:val="clear" w:color="auto" w:fill="auto"/>
            <w:vAlign w:val="center"/>
          </w:tcPr>
          <w:p w14:paraId="15D3DDA7">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auto"/>
                <w:sz w:val="20"/>
                <w:szCs w:val="20"/>
                <w:lang w:val="en-US" w:eastAsia="zh-CN"/>
              </w:rPr>
              <w:t>103.96</w:t>
            </w:r>
          </w:p>
        </w:tc>
        <w:tc>
          <w:tcPr>
            <w:tcW w:w="2240" w:type="dxa"/>
            <w:gridSpan w:val="3"/>
            <w:shd w:val="clear" w:color="auto" w:fill="auto"/>
            <w:vAlign w:val="center"/>
          </w:tcPr>
          <w:p w14:paraId="50F179C3">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66D6E6A5">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42.32</w:t>
            </w:r>
          </w:p>
        </w:tc>
      </w:tr>
      <w:tr w14:paraId="5308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32BFA0FB">
            <w:pPr>
              <w:spacing w:before="0" w:after="0" w:line="283" w:lineRule="auto"/>
              <w:ind w:left="920" w:leftChars="0" w:right="1235" w:rightChars="0" w:hanging="320" w:firstLineChars="0"/>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3.13 2024年住房公积金财政配套资金</w:t>
            </w:r>
          </w:p>
        </w:tc>
        <w:tc>
          <w:tcPr>
            <w:tcW w:w="1458" w:type="dxa"/>
            <w:gridSpan w:val="2"/>
            <w:shd w:val="clear" w:color="auto" w:fill="auto"/>
            <w:vAlign w:val="center"/>
          </w:tcPr>
          <w:p w14:paraId="5CF4AB7F">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0.81</w:t>
            </w:r>
          </w:p>
        </w:tc>
        <w:tc>
          <w:tcPr>
            <w:tcW w:w="2240" w:type="dxa"/>
            <w:gridSpan w:val="3"/>
            <w:shd w:val="clear" w:color="auto" w:fill="auto"/>
            <w:vAlign w:val="center"/>
          </w:tcPr>
          <w:p w14:paraId="7DEBFD2E">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31595E7C">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r>
      <w:tr w14:paraId="55E1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0F93A29F">
            <w:pPr>
              <w:spacing w:before="0" w:after="0" w:line="283" w:lineRule="auto"/>
              <w:ind w:left="920" w:leftChars="0" w:right="1235" w:rightChars="0" w:hanging="320" w:firstLineChars="0"/>
              <w:jc w:val="left"/>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3.14人才引进补贴及考核奖金</w:t>
            </w:r>
          </w:p>
        </w:tc>
        <w:tc>
          <w:tcPr>
            <w:tcW w:w="1458" w:type="dxa"/>
            <w:gridSpan w:val="2"/>
            <w:shd w:val="clear" w:color="auto" w:fill="auto"/>
            <w:vAlign w:val="center"/>
          </w:tcPr>
          <w:p w14:paraId="5FEF016E">
            <w:pPr>
              <w:wordWrap w:val="0"/>
              <w:spacing w:before="0" w:after="0" w:line="384" w:lineRule="auto"/>
              <w:ind w:firstLine="0" w:firstLineChars="0"/>
              <w:jc w:val="center"/>
              <w:rPr>
                <w:rFonts w:hint="eastAsia" w:ascii="仿宋" w:hAnsi="仿宋" w:eastAsia="仿宋" w:cs="仿宋"/>
                <w:color w:val="000000"/>
                <w:sz w:val="20"/>
                <w:szCs w:val="20"/>
                <w:lang w:val="en-US" w:eastAsia="zh-CN"/>
              </w:rPr>
            </w:pPr>
          </w:p>
        </w:tc>
        <w:tc>
          <w:tcPr>
            <w:tcW w:w="2240" w:type="dxa"/>
            <w:gridSpan w:val="3"/>
            <w:shd w:val="clear" w:color="auto" w:fill="auto"/>
            <w:vAlign w:val="center"/>
          </w:tcPr>
          <w:p w14:paraId="66AB55BE">
            <w:pPr>
              <w:wordWrap w:val="0"/>
              <w:spacing w:before="0" w:after="0" w:line="384"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39EE2F96">
            <w:pPr>
              <w:wordWrap w:val="0"/>
              <w:spacing w:before="0" w:after="0" w:line="38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32.86</w:t>
            </w:r>
          </w:p>
        </w:tc>
      </w:tr>
      <w:tr w14:paraId="3082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6E6EA3DC">
            <w:pPr>
              <w:spacing w:before="141" w:after="0" w:line="239" w:lineRule="auto"/>
              <w:ind w:firstLine="600" w:firstLineChars="0"/>
              <w:jc w:val="both"/>
              <w:rPr>
                <w:rFonts w:hint="eastAsia" w:ascii="仿宋" w:hAnsi="仿宋" w:eastAsia="仿宋" w:cs="仿宋"/>
                <w:kern w:val="2"/>
                <w:sz w:val="20"/>
                <w:szCs w:val="20"/>
                <w:lang w:val="en-US" w:eastAsia="zh-CN" w:bidi="ar-SA"/>
              </w:rPr>
            </w:pPr>
            <w:r>
              <w:rPr>
                <w:rFonts w:hint="eastAsia" w:ascii="仿宋" w:hAnsi="仿宋" w:eastAsia="仿宋" w:cs="仿宋"/>
                <w:color w:val="000000"/>
                <w:sz w:val="20"/>
                <w:szCs w:val="20"/>
              </w:rPr>
              <w:t>4、其他事业类发展资金</w:t>
            </w:r>
          </w:p>
        </w:tc>
        <w:tc>
          <w:tcPr>
            <w:tcW w:w="1458" w:type="dxa"/>
            <w:gridSpan w:val="2"/>
            <w:shd w:val="clear" w:color="auto" w:fill="auto"/>
            <w:vAlign w:val="center"/>
          </w:tcPr>
          <w:p w14:paraId="5FF9FF23">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p>
        </w:tc>
        <w:tc>
          <w:tcPr>
            <w:tcW w:w="2240" w:type="dxa"/>
            <w:gridSpan w:val="3"/>
            <w:shd w:val="clear" w:color="auto" w:fill="auto"/>
            <w:vAlign w:val="center"/>
          </w:tcPr>
          <w:p w14:paraId="587F0DBD">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p>
        </w:tc>
        <w:tc>
          <w:tcPr>
            <w:tcW w:w="2062" w:type="dxa"/>
            <w:gridSpan w:val="3"/>
            <w:shd w:val="clear" w:color="auto" w:fill="auto"/>
            <w:vAlign w:val="center"/>
          </w:tcPr>
          <w:p w14:paraId="688E1BB4">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p>
        </w:tc>
      </w:tr>
      <w:tr w14:paraId="7E9B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3ECA6AD0">
            <w:pPr>
              <w:spacing w:before="82" w:after="0" w:line="239" w:lineRule="auto"/>
              <w:jc w:val="both"/>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rPr>
              <w:t>公用经费</w:t>
            </w:r>
          </w:p>
        </w:tc>
        <w:tc>
          <w:tcPr>
            <w:tcW w:w="1458" w:type="dxa"/>
            <w:gridSpan w:val="2"/>
            <w:shd w:val="clear" w:color="auto" w:fill="auto"/>
            <w:vAlign w:val="center"/>
          </w:tcPr>
          <w:p w14:paraId="294C9810">
            <w:pPr>
              <w:wordWrap w:val="0"/>
              <w:spacing w:before="0" w:after="0" w:line="334"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47.09</w:t>
            </w:r>
          </w:p>
        </w:tc>
        <w:tc>
          <w:tcPr>
            <w:tcW w:w="2240" w:type="dxa"/>
            <w:gridSpan w:val="3"/>
            <w:shd w:val="clear" w:color="auto" w:fill="auto"/>
            <w:vAlign w:val="center"/>
          </w:tcPr>
          <w:p w14:paraId="19B1A41A">
            <w:pPr>
              <w:wordWrap w:val="0"/>
              <w:spacing w:before="0" w:after="0" w:line="33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58.42</w:t>
            </w:r>
          </w:p>
        </w:tc>
        <w:tc>
          <w:tcPr>
            <w:tcW w:w="2062" w:type="dxa"/>
            <w:gridSpan w:val="3"/>
            <w:shd w:val="clear" w:color="auto" w:fill="auto"/>
            <w:vAlign w:val="center"/>
          </w:tcPr>
          <w:p w14:paraId="35EE44E8">
            <w:pPr>
              <w:wordWrap w:val="0"/>
              <w:spacing w:before="0" w:after="0" w:line="334"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128.11</w:t>
            </w:r>
          </w:p>
        </w:tc>
      </w:tr>
      <w:tr w14:paraId="7D7E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68149ED3">
            <w:pPr>
              <w:spacing w:before="103" w:after="0" w:line="239" w:lineRule="auto"/>
              <w:ind w:firstLine="620" w:firstLineChars="0"/>
              <w:jc w:val="both"/>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rPr>
              <w:t>其中：办公费</w:t>
            </w:r>
          </w:p>
        </w:tc>
        <w:tc>
          <w:tcPr>
            <w:tcW w:w="1458" w:type="dxa"/>
            <w:gridSpan w:val="2"/>
            <w:shd w:val="clear" w:color="auto" w:fill="auto"/>
            <w:vAlign w:val="center"/>
          </w:tcPr>
          <w:p w14:paraId="6510A454">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2.68</w:t>
            </w:r>
          </w:p>
        </w:tc>
        <w:tc>
          <w:tcPr>
            <w:tcW w:w="2240" w:type="dxa"/>
            <w:gridSpan w:val="3"/>
            <w:shd w:val="clear" w:color="auto" w:fill="auto"/>
            <w:vAlign w:val="center"/>
          </w:tcPr>
          <w:p w14:paraId="177DB174">
            <w:pPr>
              <w:wordWrap w:val="0"/>
              <w:spacing w:before="0" w:after="0" w:line="351"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3</w:t>
            </w:r>
          </w:p>
        </w:tc>
        <w:tc>
          <w:tcPr>
            <w:tcW w:w="2062" w:type="dxa"/>
            <w:gridSpan w:val="3"/>
            <w:shd w:val="clear" w:color="auto" w:fill="auto"/>
            <w:vAlign w:val="center"/>
          </w:tcPr>
          <w:p w14:paraId="5498734D">
            <w:pPr>
              <w:wordWrap w:val="0"/>
              <w:spacing w:before="0" w:after="0" w:line="351"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16.27</w:t>
            </w:r>
          </w:p>
        </w:tc>
      </w:tr>
      <w:tr w14:paraId="45CA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3050FCBE">
            <w:pPr>
              <w:spacing w:before="104" w:after="0" w:line="239" w:lineRule="auto"/>
              <w:ind w:firstLine="1280" w:firstLineChars="0"/>
              <w:jc w:val="both"/>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rPr>
              <w:t>水费、电费、差旅费</w:t>
            </w:r>
          </w:p>
        </w:tc>
        <w:tc>
          <w:tcPr>
            <w:tcW w:w="1458" w:type="dxa"/>
            <w:gridSpan w:val="2"/>
            <w:shd w:val="clear" w:color="auto" w:fill="auto"/>
            <w:vAlign w:val="center"/>
          </w:tcPr>
          <w:p w14:paraId="03EAA7A8">
            <w:pPr>
              <w:wordWrap w:val="0"/>
              <w:spacing w:before="0" w:after="0" w:line="351"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w:t>
            </w:r>
          </w:p>
        </w:tc>
        <w:tc>
          <w:tcPr>
            <w:tcW w:w="2240" w:type="dxa"/>
            <w:gridSpan w:val="3"/>
            <w:shd w:val="clear" w:color="auto" w:fill="auto"/>
            <w:vAlign w:val="center"/>
          </w:tcPr>
          <w:p w14:paraId="7B7F22C0">
            <w:pPr>
              <w:wordWrap w:val="0"/>
              <w:spacing w:before="0" w:after="0" w:line="351"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6</w:t>
            </w:r>
          </w:p>
        </w:tc>
        <w:tc>
          <w:tcPr>
            <w:tcW w:w="2062" w:type="dxa"/>
            <w:gridSpan w:val="3"/>
            <w:shd w:val="clear" w:color="auto" w:fill="auto"/>
            <w:vAlign w:val="center"/>
          </w:tcPr>
          <w:p w14:paraId="52B26F1B">
            <w:pPr>
              <w:wordWrap w:val="0"/>
              <w:spacing w:before="0" w:after="0" w:line="351"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12.78</w:t>
            </w:r>
          </w:p>
        </w:tc>
      </w:tr>
      <w:tr w14:paraId="298E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2A174C91">
            <w:pPr>
              <w:spacing w:before="65" w:after="0" w:line="239" w:lineRule="auto"/>
              <w:ind w:firstLine="1300" w:firstLineChars="0"/>
              <w:jc w:val="both"/>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rPr>
              <w:t>会议费、培训费</w:t>
            </w:r>
          </w:p>
        </w:tc>
        <w:tc>
          <w:tcPr>
            <w:tcW w:w="1458" w:type="dxa"/>
            <w:gridSpan w:val="2"/>
            <w:shd w:val="clear" w:color="auto" w:fill="auto"/>
            <w:vAlign w:val="center"/>
          </w:tcPr>
          <w:p w14:paraId="55D3FE7A">
            <w:pPr>
              <w:wordWrap w:val="0"/>
              <w:spacing w:before="0" w:after="0" w:line="299" w:lineRule="auto"/>
              <w:ind w:firstLine="0" w:firstLineChars="0"/>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0</w:t>
            </w:r>
          </w:p>
        </w:tc>
        <w:tc>
          <w:tcPr>
            <w:tcW w:w="2240" w:type="dxa"/>
            <w:gridSpan w:val="3"/>
            <w:shd w:val="clear" w:color="auto" w:fill="auto"/>
            <w:vAlign w:val="center"/>
          </w:tcPr>
          <w:p w14:paraId="304280C5">
            <w:pPr>
              <w:wordWrap w:val="0"/>
              <w:spacing w:before="0" w:after="0" w:line="299"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0</w:t>
            </w:r>
          </w:p>
        </w:tc>
        <w:tc>
          <w:tcPr>
            <w:tcW w:w="2062" w:type="dxa"/>
            <w:gridSpan w:val="3"/>
            <w:shd w:val="clear" w:color="auto" w:fill="auto"/>
            <w:vAlign w:val="center"/>
          </w:tcPr>
          <w:p w14:paraId="5E2BB337">
            <w:pPr>
              <w:wordWrap w:val="0"/>
              <w:spacing w:before="0" w:after="0" w:line="299" w:lineRule="auto"/>
              <w:ind w:firstLine="0" w:firstLineChars="0"/>
              <w:jc w:val="center"/>
              <w:rPr>
                <w:rFonts w:hint="default"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0</w:t>
            </w:r>
          </w:p>
        </w:tc>
      </w:tr>
      <w:tr w14:paraId="0C82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34" w:type="dxa"/>
            <w:shd w:val="clear" w:color="auto" w:fill="auto"/>
            <w:vAlign w:val="top"/>
          </w:tcPr>
          <w:p w14:paraId="28713548">
            <w:pPr>
              <w:spacing w:before="105" w:after="0" w:line="239" w:lineRule="auto"/>
              <w:ind w:firstLine="160" w:firstLineChars="0"/>
              <w:jc w:val="both"/>
              <w:rPr>
                <w:rFonts w:hint="eastAsia" w:ascii="仿宋" w:hAnsi="仿宋" w:eastAsia="仿宋" w:cs="仿宋"/>
                <w:color w:val="auto"/>
                <w:kern w:val="2"/>
                <w:sz w:val="20"/>
                <w:szCs w:val="20"/>
                <w:lang w:val="en-US" w:eastAsia="zh-CN" w:bidi="ar-SA"/>
              </w:rPr>
            </w:pPr>
            <w:r>
              <w:rPr>
                <w:rFonts w:hint="eastAsia" w:ascii="仿宋" w:hAnsi="仿宋" w:eastAsia="仿宋" w:cs="仿宋"/>
                <w:color w:val="auto"/>
                <w:sz w:val="20"/>
                <w:szCs w:val="20"/>
              </w:rPr>
              <w:t>政府采购金额</w:t>
            </w:r>
          </w:p>
        </w:tc>
        <w:tc>
          <w:tcPr>
            <w:tcW w:w="1458" w:type="dxa"/>
            <w:gridSpan w:val="2"/>
            <w:shd w:val="clear" w:color="auto" w:fill="auto"/>
            <w:vAlign w:val="center"/>
          </w:tcPr>
          <w:p w14:paraId="66BE5B2C">
            <w:pPr>
              <w:wordWrap w:val="0"/>
              <w:spacing w:before="0" w:after="0" w:line="351" w:lineRule="auto"/>
              <w:ind w:firstLine="0" w:firstLineChars="0"/>
              <w:jc w:val="center"/>
              <w:rPr>
                <w:rFonts w:hint="eastAsia" w:ascii="仿宋" w:hAnsi="仿宋" w:eastAsia="仿宋" w:cs="仿宋"/>
                <w:color w:val="auto"/>
                <w:kern w:val="2"/>
                <w:sz w:val="20"/>
                <w:szCs w:val="20"/>
                <w:lang w:val="en-US" w:eastAsia="zh-CN" w:bidi="ar-SA"/>
              </w:rPr>
            </w:pPr>
            <w:r>
              <w:rPr>
                <w:rFonts w:hint="eastAsia" w:ascii="仿宋" w:hAnsi="仿宋" w:eastAsia="仿宋" w:cs="仿宋"/>
                <w:color w:val="auto"/>
                <w:sz w:val="20"/>
                <w:szCs w:val="20"/>
                <w:lang w:val="en-US" w:eastAsia="zh-CN"/>
              </w:rPr>
              <w:t>371.36</w:t>
            </w:r>
          </w:p>
        </w:tc>
        <w:tc>
          <w:tcPr>
            <w:tcW w:w="2240" w:type="dxa"/>
            <w:gridSpan w:val="3"/>
            <w:shd w:val="clear" w:color="auto" w:fill="auto"/>
            <w:vAlign w:val="center"/>
          </w:tcPr>
          <w:p w14:paraId="66A4879D">
            <w:pPr>
              <w:wordWrap w:val="0"/>
              <w:spacing w:before="0" w:after="0" w:line="351" w:lineRule="auto"/>
              <w:ind w:firstLine="0" w:firstLineChars="0"/>
              <w:jc w:val="center"/>
              <w:rPr>
                <w:rFonts w:hint="eastAsia" w:ascii="仿宋" w:hAnsi="仿宋" w:eastAsia="仿宋" w:cs="仿宋"/>
                <w:color w:val="auto"/>
                <w:kern w:val="2"/>
                <w:sz w:val="20"/>
                <w:szCs w:val="20"/>
                <w:lang w:val="en-US" w:eastAsia="zh-CN" w:bidi="ar-SA"/>
              </w:rPr>
            </w:pPr>
          </w:p>
        </w:tc>
        <w:tc>
          <w:tcPr>
            <w:tcW w:w="2062" w:type="dxa"/>
            <w:gridSpan w:val="3"/>
            <w:shd w:val="clear" w:color="auto" w:fill="auto"/>
            <w:vAlign w:val="center"/>
          </w:tcPr>
          <w:p w14:paraId="13B51677">
            <w:pPr>
              <w:wordWrap w:val="0"/>
              <w:spacing w:before="0" w:after="0" w:line="351" w:lineRule="auto"/>
              <w:ind w:firstLine="0" w:firstLineChars="0"/>
              <w:jc w:val="center"/>
              <w:rPr>
                <w:rFonts w:hint="eastAsia" w:ascii="仿宋" w:hAnsi="仿宋" w:eastAsia="仿宋" w:cs="仿宋"/>
                <w:color w:val="auto"/>
                <w:kern w:val="2"/>
                <w:sz w:val="20"/>
                <w:szCs w:val="20"/>
                <w:lang w:val="en-US" w:eastAsia="zh-CN" w:bidi="ar-SA"/>
              </w:rPr>
            </w:pPr>
          </w:p>
        </w:tc>
      </w:tr>
      <w:tr w14:paraId="122D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934" w:type="dxa"/>
            <w:shd w:val="clear" w:color="auto" w:fill="auto"/>
            <w:vAlign w:val="top"/>
          </w:tcPr>
          <w:p w14:paraId="1DD0E6CF">
            <w:pPr>
              <w:spacing w:before="106" w:after="0" w:line="239" w:lineRule="auto"/>
              <w:ind w:firstLine="180" w:firstLineChars="0"/>
              <w:jc w:val="both"/>
              <w:rPr>
                <w:rFonts w:hint="eastAsia" w:ascii="仿宋" w:hAnsi="仿宋" w:eastAsia="仿宋" w:cs="仿宋"/>
                <w:color w:val="auto"/>
                <w:kern w:val="2"/>
                <w:sz w:val="20"/>
                <w:szCs w:val="20"/>
                <w:lang w:val="en-US" w:eastAsia="zh-CN" w:bidi="ar-SA"/>
              </w:rPr>
            </w:pPr>
            <w:r>
              <w:rPr>
                <w:rFonts w:hint="eastAsia" w:ascii="仿宋" w:hAnsi="仿宋" w:eastAsia="仿宋" w:cs="仿宋"/>
                <w:color w:val="auto"/>
                <w:sz w:val="20"/>
                <w:szCs w:val="20"/>
              </w:rPr>
              <w:t>部门基本支出预算调整</w:t>
            </w:r>
          </w:p>
        </w:tc>
        <w:tc>
          <w:tcPr>
            <w:tcW w:w="1458" w:type="dxa"/>
            <w:gridSpan w:val="2"/>
            <w:shd w:val="clear" w:color="auto" w:fill="auto"/>
            <w:vAlign w:val="center"/>
          </w:tcPr>
          <w:p w14:paraId="4C7175B0">
            <w:pPr>
              <w:wordWrap w:val="0"/>
              <w:spacing w:before="0" w:after="0" w:line="351" w:lineRule="auto"/>
              <w:ind w:firstLine="0" w:firstLineChars="0"/>
              <w:jc w:val="center"/>
              <w:rPr>
                <w:rFonts w:hint="eastAsia" w:ascii="仿宋" w:hAnsi="仿宋" w:eastAsia="仿宋" w:cs="仿宋"/>
                <w:color w:val="auto"/>
                <w:kern w:val="2"/>
                <w:sz w:val="20"/>
                <w:szCs w:val="20"/>
                <w:lang w:val="en-US" w:eastAsia="zh-CN" w:bidi="ar-SA"/>
              </w:rPr>
            </w:pPr>
            <w:r>
              <w:rPr>
                <w:rFonts w:hint="eastAsia" w:ascii="仿宋" w:hAnsi="仿宋" w:eastAsia="仿宋" w:cs="仿宋"/>
                <w:color w:val="auto"/>
                <w:sz w:val="20"/>
                <w:szCs w:val="20"/>
                <w:lang w:val="en-US" w:eastAsia="zh-CN"/>
              </w:rPr>
              <w:t>472.54</w:t>
            </w:r>
          </w:p>
        </w:tc>
        <w:tc>
          <w:tcPr>
            <w:tcW w:w="2240" w:type="dxa"/>
            <w:gridSpan w:val="3"/>
            <w:shd w:val="clear" w:color="auto" w:fill="auto"/>
            <w:vAlign w:val="center"/>
          </w:tcPr>
          <w:p w14:paraId="2E78D0CC">
            <w:pPr>
              <w:wordWrap w:val="0"/>
              <w:spacing w:before="0" w:after="0" w:line="351" w:lineRule="auto"/>
              <w:ind w:firstLine="0" w:firstLineChars="0"/>
              <w:jc w:val="center"/>
              <w:rPr>
                <w:rFonts w:hint="default" w:ascii="仿宋" w:hAnsi="仿宋" w:eastAsia="仿宋" w:cs="仿宋"/>
                <w:color w:val="auto"/>
                <w:kern w:val="2"/>
                <w:sz w:val="20"/>
                <w:szCs w:val="20"/>
                <w:lang w:val="en-US" w:eastAsia="zh-CN" w:bidi="ar-SA"/>
              </w:rPr>
            </w:pPr>
            <w:r>
              <w:rPr>
                <w:rFonts w:hint="eastAsia" w:ascii="仿宋" w:hAnsi="仿宋" w:eastAsia="仿宋" w:cs="仿宋"/>
                <w:color w:val="auto"/>
                <w:kern w:val="2"/>
                <w:sz w:val="20"/>
                <w:szCs w:val="20"/>
                <w:lang w:val="en-US" w:eastAsia="zh-CN" w:bidi="ar-SA"/>
              </w:rPr>
              <w:t>567.13</w:t>
            </w:r>
          </w:p>
        </w:tc>
        <w:tc>
          <w:tcPr>
            <w:tcW w:w="2062" w:type="dxa"/>
            <w:gridSpan w:val="3"/>
            <w:shd w:val="clear" w:color="auto" w:fill="auto"/>
            <w:vAlign w:val="center"/>
          </w:tcPr>
          <w:p w14:paraId="41530C2E">
            <w:pPr>
              <w:wordWrap w:val="0"/>
              <w:spacing w:before="0" w:after="0" w:line="351" w:lineRule="auto"/>
              <w:ind w:firstLine="0" w:firstLineChars="0"/>
              <w:jc w:val="center"/>
              <w:rPr>
                <w:rFonts w:hint="default" w:ascii="仿宋" w:hAnsi="仿宋" w:eastAsia="仿宋" w:cs="仿宋"/>
                <w:color w:val="auto"/>
                <w:kern w:val="2"/>
                <w:sz w:val="20"/>
                <w:szCs w:val="20"/>
                <w:lang w:val="en-US" w:eastAsia="zh-CN" w:bidi="ar-SA"/>
              </w:rPr>
            </w:pPr>
            <w:r>
              <w:rPr>
                <w:rFonts w:hint="eastAsia" w:ascii="仿宋" w:hAnsi="仿宋" w:eastAsia="仿宋" w:cs="仿宋"/>
                <w:color w:val="auto"/>
                <w:kern w:val="2"/>
                <w:sz w:val="20"/>
                <w:szCs w:val="20"/>
                <w:lang w:val="en-US" w:eastAsia="zh-CN" w:bidi="ar-SA"/>
              </w:rPr>
              <w:t>562.58</w:t>
            </w:r>
          </w:p>
        </w:tc>
      </w:tr>
      <w:tr w14:paraId="10AB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934" w:type="dxa"/>
            <w:vMerge w:val="restart"/>
            <w:vAlign w:val="center"/>
          </w:tcPr>
          <w:p w14:paraId="69AD7F38">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733" w:type="dxa"/>
            <w:vAlign w:val="center"/>
          </w:tcPr>
          <w:p w14:paraId="501181A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955" w:type="dxa"/>
            <w:gridSpan w:val="2"/>
            <w:vAlign w:val="center"/>
          </w:tcPr>
          <w:p w14:paraId="101605B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vAlign w:val="center"/>
          </w:tcPr>
          <w:p w14:paraId="74A998A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gridSpan w:val="2"/>
            <w:vAlign w:val="center"/>
          </w:tcPr>
          <w:p w14:paraId="23C1B177">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vAlign w:val="center"/>
          </w:tcPr>
          <w:p w14:paraId="0B698AE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vAlign w:val="center"/>
          </w:tcPr>
          <w:p w14:paraId="394C62CB">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6404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34" w:type="dxa"/>
            <w:vMerge w:val="continue"/>
            <w:vAlign w:val="center"/>
          </w:tcPr>
          <w:p w14:paraId="16DC1631">
            <w:pPr>
              <w:widowControl/>
              <w:jc w:val="left"/>
              <w:rPr>
                <w:rFonts w:hint="eastAsia" w:ascii="仿宋" w:hAnsi="仿宋" w:eastAsia="仿宋" w:cs="仿宋"/>
                <w:b w:val="0"/>
                <w:bCs w:val="0"/>
                <w:kern w:val="0"/>
                <w:sz w:val="20"/>
                <w:szCs w:val="20"/>
              </w:rPr>
            </w:pPr>
          </w:p>
        </w:tc>
        <w:tc>
          <w:tcPr>
            <w:tcW w:w="733" w:type="dxa"/>
            <w:vAlign w:val="center"/>
          </w:tcPr>
          <w:p w14:paraId="6A65D046">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55" w:type="dxa"/>
            <w:gridSpan w:val="2"/>
            <w:vAlign w:val="center"/>
          </w:tcPr>
          <w:p w14:paraId="2ED69E27">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vAlign w:val="center"/>
          </w:tcPr>
          <w:p w14:paraId="7BEF5BCD">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gridSpan w:val="2"/>
            <w:vAlign w:val="center"/>
          </w:tcPr>
          <w:p w14:paraId="172CF2FE">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vAlign w:val="center"/>
          </w:tcPr>
          <w:p w14:paraId="16982DCC">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vAlign w:val="center"/>
          </w:tcPr>
          <w:p w14:paraId="23A474A5">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548C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934" w:type="dxa"/>
            <w:vAlign w:val="center"/>
          </w:tcPr>
          <w:p w14:paraId="53C470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5760" w:type="dxa"/>
            <w:gridSpan w:val="8"/>
            <w:vAlign w:val="center"/>
          </w:tcPr>
          <w:p w14:paraId="4204AA0D">
            <w:pPr>
              <w:widowControl/>
              <w:jc w:val="center"/>
              <w:rPr>
                <w:rFonts w:hint="eastAsia" w:ascii="仿宋" w:hAnsi="仿宋" w:eastAsia="仿宋" w:cs="仿宋"/>
                <w:b w:val="0"/>
                <w:bCs w:val="0"/>
                <w:kern w:val="0"/>
                <w:sz w:val="20"/>
                <w:szCs w:val="20"/>
              </w:rPr>
            </w:pPr>
            <w:r>
              <w:rPr>
                <w:rFonts w:hint="eastAsia" w:ascii="仿宋" w:hAnsi="仿宋" w:eastAsia="仿宋" w:cs="仿宋"/>
                <w:kern w:val="2"/>
                <w:sz w:val="18"/>
                <w:szCs w:val="18"/>
              </w:rPr>
              <w:t>严格</w:t>
            </w:r>
            <w:r>
              <w:rPr>
                <w:rFonts w:hint="eastAsia" w:ascii="仿宋" w:hAnsi="仿宋" w:eastAsia="仿宋" w:cs="仿宋"/>
                <w:kern w:val="2"/>
                <w:sz w:val="18"/>
                <w:szCs w:val="18"/>
                <w:lang w:val="en-US" w:eastAsia="zh-CN"/>
              </w:rPr>
              <w:t>各项管理制度</w:t>
            </w:r>
            <w:r>
              <w:rPr>
                <w:rFonts w:hint="eastAsia" w:ascii="仿宋" w:hAnsi="仿宋" w:eastAsia="仿宋" w:cs="仿宋"/>
                <w:kern w:val="2"/>
                <w:sz w:val="18"/>
                <w:szCs w:val="18"/>
              </w:rPr>
              <w:t>，</w:t>
            </w:r>
            <w:r>
              <w:rPr>
                <w:rFonts w:hint="eastAsia" w:ascii="仿宋" w:hAnsi="仿宋" w:eastAsia="仿宋" w:cs="仿宋"/>
                <w:kern w:val="2"/>
                <w:sz w:val="18"/>
                <w:szCs w:val="18"/>
                <w:lang w:val="en-US" w:eastAsia="zh-CN"/>
              </w:rPr>
              <w:t>责任落实到人。</w:t>
            </w:r>
            <w:r>
              <w:rPr>
                <w:rFonts w:hint="eastAsia" w:ascii="仿宋" w:hAnsi="仿宋" w:eastAsia="仿宋" w:cs="仿宋"/>
                <w:kern w:val="2"/>
                <w:sz w:val="18"/>
                <w:szCs w:val="18"/>
              </w:rPr>
              <w:t>正确使用各种自动化办公</w:t>
            </w:r>
            <w:r>
              <w:rPr>
                <w:rFonts w:hint="eastAsia" w:ascii="仿宋" w:hAnsi="仿宋" w:eastAsia="仿宋" w:cs="仿宋"/>
                <w:kern w:val="2"/>
                <w:sz w:val="18"/>
                <w:szCs w:val="18"/>
                <w:lang w:val="en-US" w:eastAsia="zh-CN"/>
              </w:rPr>
              <w:t>系统及</w:t>
            </w:r>
            <w:r>
              <w:rPr>
                <w:rFonts w:hint="eastAsia" w:ascii="仿宋" w:hAnsi="仿宋" w:eastAsia="仿宋" w:cs="仿宋"/>
                <w:kern w:val="2"/>
                <w:sz w:val="18"/>
                <w:szCs w:val="18"/>
              </w:rPr>
              <w:t>设备，加强单位用电用水管理，</w:t>
            </w:r>
            <w:r>
              <w:rPr>
                <w:rFonts w:hint="eastAsia" w:ascii="仿宋" w:hAnsi="仿宋" w:eastAsia="仿宋" w:cs="仿宋"/>
                <w:kern w:val="2"/>
                <w:sz w:val="18"/>
                <w:szCs w:val="18"/>
                <w:lang w:val="en-US" w:eastAsia="zh-CN"/>
              </w:rPr>
              <w:t>厉行各项节能措施。</w:t>
            </w:r>
            <w:r>
              <w:rPr>
                <w:rFonts w:hint="eastAsia" w:ascii="仿宋" w:hAnsi="仿宋" w:eastAsia="仿宋" w:cs="仿宋"/>
                <w:kern w:val="2"/>
                <w:sz w:val="18"/>
                <w:szCs w:val="18"/>
              </w:rPr>
              <w:t>经常对设备进行保养和系统维护；妥善保管单位办公用物品，</w:t>
            </w:r>
            <w:r>
              <w:rPr>
                <w:rFonts w:hint="eastAsia" w:ascii="仿宋" w:hAnsi="仿宋" w:eastAsia="仿宋" w:cs="仿宋"/>
                <w:kern w:val="2"/>
                <w:sz w:val="18"/>
                <w:szCs w:val="18"/>
                <w:lang w:val="en-US" w:eastAsia="zh-CN"/>
              </w:rPr>
              <w:t>严格实行登记领取制度。</w:t>
            </w:r>
            <w:r>
              <w:rPr>
                <w:rFonts w:hint="eastAsia" w:ascii="仿宋" w:hAnsi="仿宋" w:eastAsia="仿宋" w:cs="仿宋"/>
                <w:kern w:val="2"/>
                <w:sz w:val="18"/>
                <w:szCs w:val="18"/>
              </w:rPr>
              <w:t>严禁侵占公物行为，对因管理不力，使用不善而造成公物灭失或损坏的由其责任人依据现行同类物件标准给予赔偿</w:t>
            </w:r>
            <w:r>
              <w:rPr>
                <w:rFonts w:hint="eastAsia" w:ascii="仿宋" w:hAnsi="仿宋" w:eastAsia="仿宋" w:cs="仿宋"/>
                <w:kern w:val="2"/>
                <w:sz w:val="18"/>
                <w:szCs w:val="18"/>
                <w:lang w:val="en-US" w:eastAsia="zh-CN"/>
              </w:rPr>
              <w:t>.</w:t>
            </w:r>
            <w:r>
              <w:rPr>
                <w:rFonts w:hint="eastAsia" w:ascii="仿宋" w:hAnsi="仿宋" w:eastAsia="仿宋" w:cs="仿宋"/>
                <w:b w:val="0"/>
                <w:bCs w:val="0"/>
                <w:kern w:val="0"/>
                <w:sz w:val="20"/>
                <w:szCs w:val="20"/>
              </w:rPr>
              <w:t>　</w:t>
            </w:r>
          </w:p>
        </w:tc>
      </w:tr>
    </w:tbl>
    <w:p w14:paraId="137F1FC6">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0"/>
          <w:szCs w:val="20"/>
          <w:lang w:val="en-US" w:eastAsia="zh-CN"/>
        </w:rPr>
      </w:pPr>
      <w:r>
        <w:rPr>
          <w:rFonts w:hint="eastAsia" w:ascii="仿宋" w:hAnsi="仿宋" w:eastAsia="仿宋" w:cs="仿宋"/>
          <w:kern w:val="0"/>
          <w:sz w:val="20"/>
          <w:szCs w:val="20"/>
        </w:rPr>
        <w:t>说明：“项目支出”需要填报基本支出以外的所有项目支出情况，“公用经费”填报基本支出中的一般商品和服务支出。</w:t>
      </w:r>
    </w:p>
    <w:p w14:paraId="4221FCAE">
      <w:pPr>
        <w:widowControl w:val="0"/>
        <w:kinsoku/>
        <w:autoSpaceDE/>
        <w:autoSpaceDN/>
        <w:adjustRightInd/>
        <w:snapToGrid/>
        <w:spacing w:line="600" w:lineRule="exact"/>
        <w:jc w:val="both"/>
        <w:textAlignment w:val="auto"/>
        <w:rPr>
          <w:rFonts w:hint="eastAsia" w:ascii="仿宋" w:hAnsi="仿宋" w:eastAsia="仿宋" w:cs="仿宋"/>
          <w:i w:val="0"/>
          <w:iCs w:val="0"/>
          <w:caps w:val="0"/>
          <w:color w:val="000000"/>
          <w:spacing w:val="0"/>
          <w:sz w:val="20"/>
          <w:szCs w:val="20"/>
          <w:shd w:val="clear" w:fill="FFFFFF"/>
          <w:lang w:val="en-US" w:eastAsia="zh-CN"/>
        </w:rPr>
      </w:pPr>
      <w:r>
        <w:rPr>
          <w:rFonts w:hint="eastAsia" w:ascii="仿宋" w:hAnsi="仿宋" w:eastAsia="仿宋" w:cs="仿宋"/>
          <w:snapToGrid/>
          <w:color w:val="000000"/>
          <w:kern w:val="0"/>
          <w:sz w:val="20"/>
          <w:szCs w:val="20"/>
          <w:lang w:val="en-US" w:eastAsia="zh-CN" w:bidi="ar-SA"/>
        </w:rPr>
        <w:t>填表人： 陈宽裕                  填报日期：2026.6.26          联系电话： 13607410966</w:t>
      </w:r>
    </w:p>
    <w:p w14:paraId="047C8A9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252A0179">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153"/>
        <w:gridCol w:w="959"/>
        <w:gridCol w:w="1704"/>
        <w:gridCol w:w="1116"/>
        <w:gridCol w:w="240"/>
        <w:gridCol w:w="525"/>
        <w:gridCol w:w="520"/>
        <w:gridCol w:w="498"/>
        <w:gridCol w:w="1616"/>
      </w:tblGrid>
      <w:tr w14:paraId="5E06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41" w:type="dxa"/>
            <w:vAlign w:val="center"/>
          </w:tcPr>
          <w:p w14:paraId="223CCC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331" w:type="dxa"/>
            <w:gridSpan w:val="9"/>
            <w:vAlign w:val="center"/>
          </w:tcPr>
          <w:p w14:paraId="68C4D2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怀化市文化遗产保护中心（博物馆）</w:t>
            </w:r>
            <w:r>
              <w:rPr>
                <w:rFonts w:hint="eastAsia" w:ascii="仿宋" w:hAnsi="仿宋" w:eastAsia="仿宋" w:cs="仿宋"/>
                <w:color w:val="000000"/>
                <w:kern w:val="0"/>
                <w:sz w:val="20"/>
                <w:szCs w:val="20"/>
              </w:rPr>
              <w:t>　</w:t>
            </w:r>
          </w:p>
        </w:tc>
      </w:tr>
      <w:tr w14:paraId="607A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41" w:type="dxa"/>
            <w:vMerge w:val="restart"/>
            <w:vAlign w:val="center"/>
          </w:tcPr>
          <w:p w14:paraId="44C7FE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91948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12" w:type="dxa"/>
            <w:gridSpan w:val="2"/>
            <w:vAlign w:val="center"/>
          </w:tcPr>
          <w:p w14:paraId="6ACF9F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704" w:type="dxa"/>
            <w:vAlign w:val="center"/>
          </w:tcPr>
          <w:p w14:paraId="4584DA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27F846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356" w:type="dxa"/>
            <w:gridSpan w:val="2"/>
            <w:vAlign w:val="center"/>
          </w:tcPr>
          <w:p w14:paraId="106CB4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525" w:type="dxa"/>
            <w:vAlign w:val="center"/>
          </w:tcPr>
          <w:p w14:paraId="2A968A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7AC6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520" w:type="dxa"/>
            <w:vAlign w:val="center"/>
          </w:tcPr>
          <w:p w14:paraId="5DD43F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498" w:type="dxa"/>
            <w:vAlign w:val="center"/>
          </w:tcPr>
          <w:p w14:paraId="5D8C79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616" w:type="dxa"/>
            <w:vAlign w:val="center"/>
          </w:tcPr>
          <w:p w14:paraId="19A8EF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788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1" w:type="dxa"/>
            <w:vMerge w:val="continue"/>
            <w:vAlign w:val="center"/>
          </w:tcPr>
          <w:p w14:paraId="45BE49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12" w:type="dxa"/>
            <w:gridSpan w:val="2"/>
            <w:vAlign w:val="center"/>
          </w:tcPr>
          <w:p w14:paraId="22EDD7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704" w:type="dxa"/>
            <w:vAlign w:val="center"/>
          </w:tcPr>
          <w:p w14:paraId="183E29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676.95</w:t>
            </w:r>
          </w:p>
        </w:tc>
        <w:tc>
          <w:tcPr>
            <w:tcW w:w="1356" w:type="dxa"/>
            <w:gridSpan w:val="2"/>
            <w:vAlign w:val="center"/>
          </w:tcPr>
          <w:p w14:paraId="53E447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820.81</w:t>
            </w:r>
          </w:p>
        </w:tc>
        <w:tc>
          <w:tcPr>
            <w:tcW w:w="525" w:type="dxa"/>
            <w:vAlign w:val="center"/>
          </w:tcPr>
          <w:p w14:paraId="064EAB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816.26</w:t>
            </w:r>
          </w:p>
        </w:tc>
        <w:tc>
          <w:tcPr>
            <w:tcW w:w="520" w:type="dxa"/>
            <w:vAlign w:val="center"/>
          </w:tcPr>
          <w:p w14:paraId="20CD72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498" w:type="dxa"/>
            <w:vAlign w:val="center"/>
          </w:tcPr>
          <w:p w14:paraId="3FCF8E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99.4%</w:t>
            </w:r>
          </w:p>
        </w:tc>
        <w:tc>
          <w:tcPr>
            <w:tcW w:w="1616" w:type="dxa"/>
            <w:vAlign w:val="center"/>
          </w:tcPr>
          <w:p w14:paraId="551BEB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99.40</w:t>
            </w:r>
          </w:p>
        </w:tc>
      </w:tr>
      <w:tr w14:paraId="5E55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41" w:type="dxa"/>
            <w:vMerge w:val="continue"/>
            <w:vAlign w:val="center"/>
          </w:tcPr>
          <w:p w14:paraId="3E1569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1A9395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按收入性质分：</w:t>
            </w:r>
            <w:r>
              <w:rPr>
                <w:rFonts w:hint="eastAsia" w:ascii="仿宋" w:hAnsi="仿宋" w:eastAsia="仿宋" w:cs="仿宋"/>
                <w:color w:val="000000"/>
                <w:kern w:val="0"/>
                <w:sz w:val="20"/>
                <w:szCs w:val="20"/>
                <w:lang w:val="en-US" w:eastAsia="zh-CN"/>
              </w:rPr>
              <w:t>816.26</w:t>
            </w:r>
          </w:p>
        </w:tc>
        <w:tc>
          <w:tcPr>
            <w:tcW w:w="3159" w:type="dxa"/>
            <w:gridSpan w:val="4"/>
            <w:vAlign w:val="center"/>
          </w:tcPr>
          <w:p w14:paraId="637A01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按支出性质分：</w:t>
            </w:r>
            <w:r>
              <w:rPr>
                <w:rFonts w:hint="eastAsia" w:ascii="仿宋" w:hAnsi="仿宋" w:eastAsia="仿宋" w:cs="仿宋"/>
                <w:color w:val="000000"/>
                <w:kern w:val="0"/>
                <w:sz w:val="20"/>
                <w:szCs w:val="20"/>
                <w:lang w:val="en-US" w:eastAsia="zh-CN"/>
              </w:rPr>
              <w:t>816.26</w:t>
            </w:r>
          </w:p>
        </w:tc>
      </w:tr>
      <w:tr w14:paraId="2A90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1" w:type="dxa"/>
            <w:vMerge w:val="continue"/>
            <w:vAlign w:val="center"/>
          </w:tcPr>
          <w:p w14:paraId="572070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241E13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740.68</w:t>
            </w:r>
          </w:p>
        </w:tc>
        <w:tc>
          <w:tcPr>
            <w:tcW w:w="3159" w:type="dxa"/>
            <w:gridSpan w:val="4"/>
            <w:vAlign w:val="center"/>
          </w:tcPr>
          <w:p w14:paraId="35EB06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562.58</w:t>
            </w:r>
          </w:p>
        </w:tc>
      </w:tr>
      <w:tr w14:paraId="2D75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1" w:type="dxa"/>
            <w:vMerge w:val="continue"/>
            <w:vAlign w:val="center"/>
          </w:tcPr>
          <w:p w14:paraId="5F9D08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69313994">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159" w:type="dxa"/>
            <w:gridSpan w:val="4"/>
            <w:vAlign w:val="center"/>
          </w:tcPr>
          <w:p w14:paraId="6893EF77">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253.68</w:t>
            </w:r>
          </w:p>
        </w:tc>
      </w:tr>
      <w:tr w14:paraId="1DF1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1" w:type="dxa"/>
            <w:vMerge w:val="continue"/>
            <w:vAlign w:val="center"/>
          </w:tcPr>
          <w:p w14:paraId="4CBCBF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0B6040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75.58</w:t>
            </w:r>
          </w:p>
        </w:tc>
        <w:tc>
          <w:tcPr>
            <w:tcW w:w="3159" w:type="dxa"/>
            <w:gridSpan w:val="4"/>
            <w:vAlign w:val="center"/>
          </w:tcPr>
          <w:p w14:paraId="37A1EC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31C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41" w:type="dxa"/>
            <w:vMerge w:val="continue"/>
            <w:vAlign w:val="center"/>
          </w:tcPr>
          <w:p w14:paraId="6E2637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1AB01927">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159" w:type="dxa"/>
            <w:gridSpan w:val="4"/>
            <w:vAlign w:val="center"/>
          </w:tcPr>
          <w:p w14:paraId="0EDDA0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C35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1" w:type="dxa"/>
            <w:vMerge w:val="restart"/>
            <w:vAlign w:val="center"/>
          </w:tcPr>
          <w:p w14:paraId="7F761F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172" w:type="dxa"/>
            <w:gridSpan w:val="5"/>
            <w:vAlign w:val="center"/>
          </w:tcPr>
          <w:p w14:paraId="4E97FB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159" w:type="dxa"/>
            <w:gridSpan w:val="4"/>
            <w:vAlign w:val="center"/>
          </w:tcPr>
          <w:p w14:paraId="671854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04F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5" w:hRule="atLeast"/>
          <w:jc w:val="center"/>
        </w:trPr>
        <w:tc>
          <w:tcPr>
            <w:tcW w:w="1141" w:type="dxa"/>
            <w:vMerge w:val="continue"/>
            <w:vAlign w:val="center"/>
          </w:tcPr>
          <w:p w14:paraId="68BC65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72" w:type="dxa"/>
            <w:gridSpan w:val="5"/>
            <w:vAlign w:val="center"/>
          </w:tcPr>
          <w:p w14:paraId="7B4F14E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非遗代表性项目得到更有效的保护，保护传承体系更加健全，人民群众对非遗的认同感、参与感、获得感明显提高，非遗服务当代、造福人民的作用进一步发挥。推出更多人民群众喜爱、看得懂的展览，使人民日益增长的精神文化需求得到进一步满足。借力发力，加快考古成果落地和成果转化，进一步挖掘怀化本土文化（文物）资源，促进怀化考古与文旅的纵深融合发展。　　</w:t>
            </w:r>
          </w:p>
        </w:tc>
        <w:tc>
          <w:tcPr>
            <w:tcW w:w="3159" w:type="dxa"/>
            <w:gridSpan w:val="4"/>
            <w:vAlign w:val="center"/>
          </w:tcPr>
          <w:p w14:paraId="0D994F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方正仿宋_GB2312" w:hAnsi="方正仿宋_GB2312" w:eastAsia="方正仿宋_GB2312" w:cs="方正仿宋_GB2312"/>
                <w:color w:val="000000"/>
                <w:kern w:val="0"/>
                <w:sz w:val="20"/>
                <w:szCs w:val="20"/>
              </w:rPr>
            </w:pPr>
          </w:p>
          <w:p w14:paraId="026743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方正仿宋_GB2312" w:hAnsi="方正仿宋_GB2312" w:eastAsia="方正仿宋_GB2312" w:cs="方正仿宋_GB2312"/>
                <w:color w:val="000000"/>
                <w:kern w:val="0"/>
                <w:sz w:val="20"/>
                <w:szCs w:val="20"/>
              </w:rPr>
            </w:pPr>
            <w:r>
              <w:rPr>
                <w:rFonts w:hint="eastAsia" w:ascii="方正仿宋_GB2312" w:hAnsi="方正仿宋_GB2312" w:eastAsia="方正仿宋_GB2312" w:cs="方正仿宋_GB2312"/>
                <w:color w:val="000000"/>
                <w:kern w:val="0"/>
                <w:sz w:val="20"/>
                <w:szCs w:val="20"/>
              </w:rPr>
              <w:t>2025年度，非遗工作各项绩效目标圆满完成。一是成功举办“第七届怀化非遗展示活动”，有效搭建了展示交流平台；二是组织完成了第八批市级非遗代表性传承人专家评审工作，规范了传承人队伍建设；三是运营“怀化非遗”抖音号，制作并发布系列短视频，拓展了</w:t>
            </w:r>
            <w:r>
              <w:rPr>
                <w:rFonts w:hint="eastAsia" w:ascii="方正仿宋_GB2312" w:hAnsi="方正仿宋_GB2312" w:eastAsia="方正仿宋_GB2312" w:cs="方正仿宋_GB2312"/>
                <w:color w:val="000000"/>
                <w:kern w:val="0"/>
                <w:sz w:val="20"/>
                <w:szCs w:val="20"/>
                <w:lang w:val="en-US" w:eastAsia="zh-CN"/>
              </w:rPr>
              <w:t>怀化</w:t>
            </w:r>
            <w:r>
              <w:rPr>
                <w:rFonts w:hint="eastAsia" w:ascii="方正仿宋_GB2312" w:hAnsi="方正仿宋_GB2312" w:eastAsia="方正仿宋_GB2312" w:cs="方正仿宋_GB2312"/>
                <w:color w:val="000000"/>
                <w:kern w:val="0"/>
                <w:sz w:val="20"/>
                <w:szCs w:val="20"/>
              </w:rPr>
              <w:t>非遗传播新途径</w:t>
            </w:r>
            <w:r>
              <w:rPr>
                <w:rFonts w:hint="eastAsia" w:ascii="方正仿宋_GB2312" w:hAnsi="方正仿宋_GB2312" w:eastAsia="方正仿宋_GB2312" w:cs="方正仿宋_GB2312"/>
                <w:color w:val="000000"/>
                <w:kern w:val="0"/>
                <w:sz w:val="20"/>
                <w:szCs w:val="20"/>
                <w:lang w:eastAsia="zh-CN"/>
              </w:rPr>
              <w:t>，</w:t>
            </w:r>
            <w:r>
              <w:rPr>
                <w:rFonts w:hint="eastAsia" w:ascii="方正仿宋_GB2312" w:hAnsi="方正仿宋_GB2312" w:eastAsia="方正仿宋_GB2312" w:cs="方正仿宋_GB2312"/>
                <w:color w:val="000000"/>
                <w:kern w:val="0"/>
                <w:sz w:val="20"/>
                <w:szCs w:val="20"/>
                <w:lang w:val="en-US" w:eastAsia="zh-CN"/>
              </w:rPr>
              <w:t>有效提升怀化非遗知名度</w:t>
            </w:r>
            <w:r>
              <w:rPr>
                <w:rFonts w:hint="eastAsia" w:ascii="方正仿宋_GB2312" w:hAnsi="方正仿宋_GB2312" w:eastAsia="方正仿宋_GB2312" w:cs="方正仿宋_GB2312"/>
                <w:color w:val="000000"/>
                <w:kern w:val="0"/>
                <w:sz w:val="20"/>
                <w:szCs w:val="20"/>
              </w:rPr>
              <w:t>。此外，相关差旅、办公等费用切实保障了上述重点工作及日常管理事务的顺利开展。</w:t>
            </w:r>
            <w:r>
              <w:rPr>
                <w:rFonts w:hint="eastAsia" w:ascii="方正仿宋_GB2312" w:hAnsi="方正仿宋_GB2312" w:eastAsia="方正仿宋_GB2312" w:cs="方正仿宋_GB2312"/>
                <w:color w:val="000000"/>
                <w:kern w:val="0"/>
                <w:sz w:val="20"/>
                <w:szCs w:val="20"/>
                <w:lang w:val="en-US" w:eastAsia="zh-CN"/>
              </w:rPr>
              <w:t>整体</w:t>
            </w:r>
            <w:r>
              <w:rPr>
                <w:rFonts w:hint="eastAsia" w:ascii="方正仿宋_GB2312" w:hAnsi="方正仿宋_GB2312" w:eastAsia="方正仿宋_GB2312" w:cs="方正仿宋_GB2312"/>
                <w:color w:val="000000"/>
                <w:kern w:val="0"/>
                <w:sz w:val="20"/>
                <w:szCs w:val="20"/>
              </w:rPr>
              <w:t>经费执行率达</w:t>
            </w:r>
            <w:r>
              <w:rPr>
                <w:rFonts w:hint="eastAsia" w:ascii="方正仿宋_GB2312" w:hAnsi="方正仿宋_GB2312" w:eastAsia="方正仿宋_GB2312" w:cs="方正仿宋_GB2312"/>
                <w:color w:val="000000"/>
                <w:kern w:val="0"/>
                <w:sz w:val="20"/>
                <w:szCs w:val="20"/>
                <w:lang w:val="en-US" w:eastAsia="zh-CN"/>
              </w:rPr>
              <w:t>100</w:t>
            </w:r>
            <w:r>
              <w:rPr>
                <w:rFonts w:hint="eastAsia" w:ascii="方正仿宋_GB2312" w:hAnsi="方正仿宋_GB2312" w:eastAsia="方正仿宋_GB2312" w:cs="方正仿宋_GB2312"/>
                <w:color w:val="000000"/>
                <w:kern w:val="0"/>
                <w:sz w:val="20"/>
                <w:szCs w:val="20"/>
              </w:rPr>
              <w:t>%，资金使用规范，传承活动得到有效保障。</w:t>
            </w:r>
          </w:p>
          <w:p w14:paraId="20BFD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方正仿宋_GB2312" w:hAnsi="方正仿宋_GB2312" w:eastAsia="方正仿宋_GB2312" w:cs="方正仿宋_GB2312"/>
                <w:color w:val="000000"/>
                <w:kern w:val="0"/>
                <w:sz w:val="20"/>
                <w:szCs w:val="20"/>
              </w:rPr>
            </w:pPr>
          </w:p>
          <w:p w14:paraId="75046A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9A2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41" w:type="dxa"/>
            <w:vMerge w:val="restart"/>
            <w:vAlign w:val="center"/>
          </w:tcPr>
          <w:p w14:paraId="7A689E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81F80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26CB8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4F795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53" w:type="dxa"/>
            <w:vAlign w:val="center"/>
          </w:tcPr>
          <w:p w14:paraId="5A29D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959" w:type="dxa"/>
            <w:vAlign w:val="center"/>
          </w:tcPr>
          <w:p w14:paraId="1D5CF2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04" w:type="dxa"/>
            <w:vAlign w:val="center"/>
          </w:tcPr>
          <w:p w14:paraId="6CA46E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16" w:type="dxa"/>
            <w:vAlign w:val="center"/>
          </w:tcPr>
          <w:p w14:paraId="1A4741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E009A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765" w:type="dxa"/>
            <w:gridSpan w:val="2"/>
            <w:vAlign w:val="center"/>
          </w:tcPr>
          <w:p w14:paraId="542E1B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048AC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520" w:type="dxa"/>
            <w:vAlign w:val="center"/>
          </w:tcPr>
          <w:p w14:paraId="454F46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498" w:type="dxa"/>
            <w:vAlign w:val="center"/>
          </w:tcPr>
          <w:p w14:paraId="7E356E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616" w:type="dxa"/>
            <w:vAlign w:val="top"/>
          </w:tcPr>
          <w:p w14:paraId="2B8552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8C0B5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DED99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0F0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1141" w:type="dxa"/>
            <w:vMerge w:val="continue"/>
            <w:vAlign w:val="center"/>
          </w:tcPr>
          <w:p w14:paraId="10F92C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restart"/>
            <w:vAlign w:val="center"/>
          </w:tcPr>
          <w:p w14:paraId="09A4144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959" w:type="dxa"/>
            <w:vAlign w:val="center"/>
          </w:tcPr>
          <w:p w14:paraId="5D3C7B2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704" w:type="dxa"/>
            <w:vAlign w:val="center"/>
          </w:tcPr>
          <w:p w14:paraId="78910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部门整体支出成本</w:t>
            </w:r>
          </w:p>
        </w:tc>
        <w:tc>
          <w:tcPr>
            <w:tcW w:w="1116" w:type="dxa"/>
            <w:vAlign w:val="center"/>
          </w:tcPr>
          <w:p w14:paraId="204DC6D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820.81万元</w:t>
            </w:r>
          </w:p>
        </w:tc>
        <w:tc>
          <w:tcPr>
            <w:tcW w:w="765" w:type="dxa"/>
            <w:gridSpan w:val="2"/>
            <w:vAlign w:val="center"/>
          </w:tcPr>
          <w:p w14:paraId="60F262B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816.26万元</w:t>
            </w:r>
          </w:p>
        </w:tc>
        <w:tc>
          <w:tcPr>
            <w:tcW w:w="520" w:type="dxa"/>
            <w:vAlign w:val="center"/>
          </w:tcPr>
          <w:p w14:paraId="49B1A5E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498" w:type="dxa"/>
            <w:vAlign w:val="center"/>
          </w:tcPr>
          <w:p w14:paraId="776584B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616" w:type="dxa"/>
            <w:shd w:val="clear" w:color="auto" w:fill="auto"/>
            <w:vAlign w:val="center"/>
          </w:tcPr>
          <w:p w14:paraId="415E6E8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bidi="ar-SA"/>
              </w:rPr>
            </w:pPr>
          </w:p>
        </w:tc>
      </w:tr>
      <w:tr w14:paraId="07AA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1" w:type="dxa"/>
            <w:vMerge w:val="continue"/>
            <w:vAlign w:val="center"/>
          </w:tcPr>
          <w:p w14:paraId="12DAAC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58819EB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c>
          <w:tcPr>
            <w:tcW w:w="959" w:type="dxa"/>
            <w:vAlign w:val="center"/>
          </w:tcPr>
          <w:p w14:paraId="50B94F0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704" w:type="dxa"/>
            <w:vAlign w:val="center"/>
          </w:tcPr>
          <w:p w14:paraId="2089C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社会成本节约率</w:t>
            </w:r>
          </w:p>
        </w:tc>
        <w:tc>
          <w:tcPr>
            <w:tcW w:w="1116" w:type="dxa"/>
            <w:vAlign w:val="center"/>
          </w:tcPr>
          <w:p w14:paraId="3A82486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65" w:type="dxa"/>
            <w:gridSpan w:val="2"/>
            <w:vAlign w:val="center"/>
          </w:tcPr>
          <w:p w14:paraId="4DAD493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520" w:type="dxa"/>
            <w:vAlign w:val="center"/>
          </w:tcPr>
          <w:p w14:paraId="1C80E1C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498" w:type="dxa"/>
            <w:vAlign w:val="center"/>
          </w:tcPr>
          <w:p w14:paraId="1CF5F00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616" w:type="dxa"/>
            <w:vAlign w:val="center"/>
          </w:tcPr>
          <w:p w14:paraId="70B2F7E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766B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1" w:type="dxa"/>
            <w:vMerge w:val="continue"/>
            <w:vAlign w:val="center"/>
          </w:tcPr>
          <w:p w14:paraId="429C6E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478BBB3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c>
          <w:tcPr>
            <w:tcW w:w="959" w:type="dxa"/>
            <w:vAlign w:val="center"/>
          </w:tcPr>
          <w:p w14:paraId="7A41EC1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704" w:type="dxa"/>
            <w:vAlign w:val="center"/>
          </w:tcPr>
          <w:p w14:paraId="3BCCA7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生态环境成本节约率</w:t>
            </w:r>
          </w:p>
        </w:tc>
        <w:tc>
          <w:tcPr>
            <w:tcW w:w="1116" w:type="dxa"/>
            <w:vAlign w:val="center"/>
          </w:tcPr>
          <w:p w14:paraId="00A2285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65" w:type="dxa"/>
            <w:gridSpan w:val="2"/>
            <w:vAlign w:val="center"/>
          </w:tcPr>
          <w:p w14:paraId="6394543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520" w:type="dxa"/>
            <w:vAlign w:val="center"/>
          </w:tcPr>
          <w:p w14:paraId="67475AF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498" w:type="dxa"/>
            <w:vAlign w:val="center"/>
          </w:tcPr>
          <w:p w14:paraId="2FF9EE0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616" w:type="dxa"/>
            <w:vAlign w:val="center"/>
          </w:tcPr>
          <w:p w14:paraId="5A8B779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269D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141" w:type="dxa"/>
            <w:vMerge w:val="continue"/>
            <w:vAlign w:val="center"/>
          </w:tcPr>
          <w:p w14:paraId="54F4F2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restart"/>
            <w:vAlign w:val="center"/>
          </w:tcPr>
          <w:p w14:paraId="3D68F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产出指标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959" w:type="dxa"/>
            <w:vMerge w:val="restart"/>
            <w:vAlign w:val="center"/>
          </w:tcPr>
          <w:p w14:paraId="436938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数量指标</w:t>
            </w:r>
          </w:p>
        </w:tc>
        <w:tc>
          <w:tcPr>
            <w:tcW w:w="1704" w:type="dxa"/>
            <w:vAlign w:val="center"/>
          </w:tcPr>
          <w:p w14:paraId="2D4BF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场馆参观人数</w:t>
            </w:r>
          </w:p>
        </w:tc>
        <w:tc>
          <w:tcPr>
            <w:tcW w:w="1116" w:type="dxa"/>
            <w:vAlign w:val="center"/>
          </w:tcPr>
          <w:p w14:paraId="145C82F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13000人</w:t>
            </w:r>
          </w:p>
        </w:tc>
        <w:tc>
          <w:tcPr>
            <w:tcW w:w="765" w:type="dxa"/>
            <w:gridSpan w:val="2"/>
            <w:vAlign w:val="center"/>
          </w:tcPr>
          <w:p w14:paraId="1474BAD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18000人</w:t>
            </w:r>
          </w:p>
        </w:tc>
        <w:tc>
          <w:tcPr>
            <w:tcW w:w="520" w:type="dxa"/>
            <w:vAlign w:val="center"/>
          </w:tcPr>
          <w:p w14:paraId="4815F3F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498" w:type="dxa"/>
            <w:vAlign w:val="center"/>
          </w:tcPr>
          <w:p w14:paraId="71A3430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616" w:type="dxa"/>
            <w:vAlign w:val="center"/>
          </w:tcPr>
          <w:p w14:paraId="7F7DA21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117B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141" w:type="dxa"/>
            <w:vMerge w:val="continue"/>
            <w:vAlign w:val="center"/>
          </w:tcPr>
          <w:p w14:paraId="0707FE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2BD60618">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959" w:type="dxa"/>
            <w:vMerge w:val="continue"/>
            <w:vAlign w:val="center"/>
          </w:tcPr>
          <w:p w14:paraId="2E3723A7">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1704" w:type="dxa"/>
            <w:vAlign w:val="center"/>
          </w:tcPr>
          <w:p w14:paraId="0333D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开展宣展活动</w:t>
            </w:r>
          </w:p>
        </w:tc>
        <w:tc>
          <w:tcPr>
            <w:tcW w:w="1116" w:type="dxa"/>
            <w:vAlign w:val="center"/>
          </w:tcPr>
          <w:p w14:paraId="7A234FA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2场</w:t>
            </w:r>
          </w:p>
        </w:tc>
        <w:tc>
          <w:tcPr>
            <w:tcW w:w="765" w:type="dxa"/>
            <w:gridSpan w:val="2"/>
            <w:vAlign w:val="center"/>
          </w:tcPr>
          <w:p w14:paraId="21F71FF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5场</w:t>
            </w:r>
          </w:p>
        </w:tc>
        <w:tc>
          <w:tcPr>
            <w:tcW w:w="520" w:type="dxa"/>
            <w:vAlign w:val="center"/>
          </w:tcPr>
          <w:p w14:paraId="066E306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498" w:type="dxa"/>
            <w:vAlign w:val="center"/>
          </w:tcPr>
          <w:p w14:paraId="007DE5F9">
            <w:pPr>
              <w:keepNext w:val="0"/>
              <w:keepLines w:val="0"/>
              <w:pageBreakBefore w:val="0"/>
              <w:widowControl/>
              <w:kinsoku/>
              <w:wordWrap/>
              <w:overflowPunct/>
              <w:topLinePunct w:val="0"/>
              <w:autoSpaceDE/>
              <w:autoSpaceDN/>
              <w:bidi w:val="0"/>
              <w:adjustRightInd/>
              <w:snapToGrid/>
              <w:spacing w:line="240" w:lineRule="exact"/>
              <w:ind w:firstLine="200" w:firstLineChars="100"/>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616" w:type="dxa"/>
            <w:vAlign w:val="center"/>
          </w:tcPr>
          <w:p w14:paraId="62078F0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16CE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41" w:type="dxa"/>
            <w:vMerge w:val="continue"/>
            <w:vAlign w:val="center"/>
          </w:tcPr>
          <w:p w14:paraId="5A76A8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4F7B159C">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959" w:type="dxa"/>
            <w:vMerge w:val="continue"/>
            <w:vAlign w:val="center"/>
          </w:tcPr>
          <w:p w14:paraId="3A3D710B">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1704" w:type="dxa"/>
            <w:vAlign w:val="center"/>
          </w:tcPr>
          <w:p w14:paraId="1C121A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市级传承人评估人数</w:t>
            </w:r>
          </w:p>
        </w:tc>
        <w:tc>
          <w:tcPr>
            <w:tcW w:w="1116" w:type="dxa"/>
            <w:vAlign w:val="center"/>
          </w:tcPr>
          <w:p w14:paraId="4AAFDEF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176人</w:t>
            </w:r>
          </w:p>
        </w:tc>
        <w:tc>
          <w:tcPr>
            <w:tcW w:w="765" w:type="dxa"/>
            <w:gridSpan w:val="2"/>
            <w:vAlign w:val="center"/>
          </w:tcPr>
          <w:p w14:paraId="701675C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180人</w:t>
            </w:r>
          </w:p>
        </w:tc>
        <w:tc>
          <w:tcPr>
            <w:tcW w:w="520" w:type="dxa"/>
            <w:vAlign w:val="center"/>
          </w:tcPr>
          <w:p w14:paraId="4CFC6AC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498" w:type="dxa"/>
            <w:vAlign w:val="center"/>
          </w:tcPr>
          <w:p w14:paraId="0B39BE1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616" w:type="dxa"/>
            <w:vAlign w:val="center"/>
          </w:tcPr>
          <w:p w14:paraId="7CFCC02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74DD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141" w:type="dxa"/>
            <w:vMerge w:val="continue"/>
            <w:vAlign w:val="center"/>
          </w:tcPr>
          <w:p w14:paraId="142F94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4FD8040C">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959" w:type="dxa"/>
            <w:vMerge w:val="restart"/>
            <w:vAlign w:val="center"/>
          </w:tcPr>
          <w:p w14:paraId="337EFC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质量指标</w:t>
            </w:r>
          </w:p>
        </w:tc>
        <w:tc>
          <w:tcPr>
            <w:tcW w:w="1704" w:type="dxa"/>
            <w:vAlign w:val="center"/>
          </w:tcPr>
          <w:p w14:paraId="43CF6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市级传承人评估合格率</w:t>
            </w:r>
          </w:p>
        </w:tc>
        <w:tc>
          <w:tcPr>
            <w:tcW w:w="1116" w:type="dxa"/>
            <w:vAlign w:val="center"/>
          </w:tcPr>
          <w:p w14:paraId="3D9B7AC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100%</w:t>
            </w:r>
          </w:p>
        </w:tc>
        <w:tc>
          <w:tcPr>
            <w:tcW w:w="765" w:type="dxa"/>
            <w:gridSpan w:val="2"/>
            <w:vAlign w:val="center"/>
          </w:tcPr>
          <w:p w14:paraId="2E3E43E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520" w:type="dxa"/>
            <w:vAlign w:val="center"/>
          </w:tcPr>
          <w:p w14:paraId="547FA63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498" w:type="dxa"/>
            <w:vAlign w:val="center"/>
          </w:tcPr>
          <w:p w14:paraId="48850E5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616" w:type="dxa"/>
            <w:vAlign w:val="center"/>
          </w:tcPr>
          <w:p w14:paraId="40C661C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2B82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41" w:type="dxa"/>
            <w:vMerge w:val="continue"/>
            <w:vAlign w:val="center"/>
          </w:tcPr>
          <w:p w14:paraId="28C360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7901CA37">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959" w:type="dxa"/>
            <w:vMerge w:val="continue"/>
            <w:vAlign w:val="center"/>
          </w:tcPr>
          <w:p w14:paraId="2F9EC340">
            <w:pPr>
              <w:keepNext w:val="0"/>
              <w:keepLines w:val="0"/>
              <w:pageBreakBefore w:val="0"/>
              <w:widowControl/>
              <w:kinsoku/>
              <w:wordWrap/>
              <w:overflowPunct/>
              <w:topLinePunct w:val="0"/>
              <w:autoSpaceDE/>
              <w:autoSpaceDN/>
              <w:bidi w:val="0"/>
              <w:adjustRightInd/>
              <w:snapToGrid/>
              <w:spacing w:line="240" w:lineRule="exact"/>
              <w:jc w:val="center"/>
              <w:outlineLvl w:val="9"/>
              <w:rPr>
                <w:rFonts w:hint="eastAsia" w:ascii="仿宋" w:hAnsi="仿宋" w:eastAsia="仿宋" w:cs="仿宋"/>
                <w:color w:val="000000"/>
                <w:kern w:val="0"/>
                <w:sz w:val="20"/>
                <w:szCs w:val="20"/>
              </w:rPr>
            </w:pPr>
          </w:p>
        </w:tc>
        <w:tc>
          <w:tcPr>
            <w:tcW w:w="1704" w:type="dxa"/>
            <w:vAlign w:val="center"/>
          </w:tcPr>
          <w:p w14:paraId="7C1E3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outlineLvl w:val="9"/>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经费使用合规率</w:t>
            </w:r>
          </w:p>
        </w:tc>
        <w:tc>
          <w:tcPr>
            <w:tcW w:w="1116" w:type="dxa"/>
            <w:vAlign w:val="center"/>
          </w:tcPr>
          <w:p w14:paraId="6E0DFD6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lang w:val="en-US" w:eastAsia="zh-CN"/>
              </w:rPr>
              <w:t>100%</w:t>
            </w:r>
          </w:p>
        </w:tc>
        <w:tc>
          <w:tcPr>
            <w:tcW w:w="765" w:type="dxa"/>
            <w:gridSpan w:val="2"/>
            <w:vAlign w:val="center"/>
          </w:tcPr>
          <w:p w14:paraId="013E4C6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520" w:type="dxa"/>
            <w:vAlign w:val="center"/>
          </w:tcPr>
          <w:p w14:paraId="5ED40E2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498" w:type="dxa"/>
            <w:vAlign w:val="center"/>
          </w:tcPr>
          <w:p w14:paraId="699C71E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616" w:type="dxa"/>
            <w:vAlign w:val="center"/>
          </w:tcPr>
          <w:p w14:paraId="672AB73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color w:val="000000"/>
                <w:kern w:val="0"/>
                <w:sz w:val="20"/>
                <w:szCs w:val="20"/>
              </w:rPr>
            </w:pPr>
          </w:p>
        </w:tc>
      </w:tr>
      <w:tr w14:paraId="6FEF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5" w:hRule="atLeast"/>
          <w:jc w:val="center"/>
        </w:trPr>
        <w:tc>
          <w:tcPr>
            <w:tcW w:w="1141" w:type="dxa"/>
            <w:vMerge w:val="continue"/>
            <w:vAlign w:val="center"/>
          </w:tcPr>
          <w:p w14:paraId="2A315D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restart"/>
            <w:vAlign w:val="center"/>
          </w:tcPr>
          <w:p w14:paraId="10F523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tc>
        <w:tc>
          <w:tcPr>
            <w:tcW w:w="959" w:type="dxa"/>
            <w:vAlign w:val="center"/>
          </w:tcPr>
          <w:p w14:paraId="09252A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E478B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4" w:type="dxa"/>
            <w:vAlign w:val="center"/>
          </w:tcPr>
          <w:p w14:paraId="4EA7B30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通过非物质文化遗产保护，促进非遗相关产业的发展，增加就业机会，提高传承人的收入</w:t>
            </w:r>
          </w:p>
        </w:tc>
        <w:tc>
          <w:tcPr>
            <w:tcW w:w="1116" w:type="dxa"/>
            <w:vAlign w:val="center"/>
          </w:tcPr>
          <w:p w14:paraId="0A9E124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效果明显</w:t>
            </w:r>
          </w:p>
        </w:tc>
        <w:tc>
          <w:tcPr>
            <w:tcW w:w="765" w:type="dxa"/>
            <w:gridSpan w:val="2"/>
            <w:vAlign w:val="center"/>
          </w:tcPr>
          <w:p w14:paraId="556F2B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20" w:type="dxa"/>
            <w:vAlign w:val="center"/>
          </w:tcPr>
          <w:p w14:paraId="49F9CD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498" w:type="dxa"/>
            <w:vAlign w:val="center"/>
          </w:tcPr>
          <w:p w14:paraId="3B627E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1616" w:type="dxa"/>
            <w:vAlign w:val="center"/>
          </w:tcPr>
          <w:p w14:paraId="772E57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积极推进各项政策落地，促进非遗相关产业的进一步发展。</w:t>
            </w:r>
          </w:p>
        </w:tc>
      </w:tr>
      <w:tr w14:paraId="2DE4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141" w:type="dxa"/>
            <w:vMerge w:val="continue"/>
            <w:vAlign w:val="center"/>
          </w:tcPr>
          <w:p w14:paraId="30ECF0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23CBD5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9" w:type="dxa"/>
            <w:vAlign w:val="center"/>
          </w:tcPr>
          <w:p w14:paraId="081F0B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2A3D8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4" w:type="dxa"/>
            <w:shd w:val="clear" w:color="auto" w:fill="auto"/>
            <w:vAlign w:val="center"/>
          </w:tcPr>
          <w:p w14:paraId="7880EF4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增强人民群众对非遗的认同感、参与感、获得感</w:t>
            </w:r>
          </w:p>
        </w:tc>
        <w:tc>
          <w:tcPr>
            <w:tcW w:w="1116" w:type="dxa"/>
            <w:vAlign w:val="center"/>
          </w:tcPr>
          <w:p w14:paraId="43B08981">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效果明显</w:t>
            </w:r>
          </w:p>
        </w:tc>
        <w:tc>
          <w:tcPr>
            <w:tcW w:w="765" w:type="dxa"/>
            <w:gridSpan w:val="2"/>
            <w:vAlign w:val="center"/>
          </w:tcPr>
          <w:p w14:paraId="4177B6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20" w:type="dxa"/>
            <w:vAlign w:val="center"/>
          </w:tcPr>
          <w:p w14:paraId="48C17C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498" w:type="dxa"/>
            <w:vAlign w:val="center"/>
          </w:tcPr>
          <w:p w14:paraId="7C2108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w:t>
            </w:r>
          </w:p>
        </w:tc>
        <w:tc>
          <w:tcPr>
            <w:tcW w:w="1616" w:type="dxa"/>
            <w:vAlign w:val="center"/>
          </w:tcPr>
          <w:p w14:paraId="6A4882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增强服务意识，提升馆藏使用率</w:t>
            </w:r>
          </w:p>
        </w:tc>
      </w:tr>
      <w:tr w14:paraId="4929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jc w:val="center"/>
        </w:trPr>
        <w:tc>
          <w:tcPr>
            <w:tcW w:w="1141" w:type="dxa"/>
            <w:vMerge w:val="continue"/>
            <w:vAlign w:val="center"/>
          </w:tcPr>
          <w:p w14:paraId="6FA849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7D474A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9" w:type="dxa"/>
            <w:vAlign w:val="center"/>
          </w:tcPr>
          <w:p w14:paraId="5D8D45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C1716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4" w:type="dxa"/>
            <w:shd w:val="clear" w:color="auto" w:fill="auto"/>
            <w:vAlign w:val="center"/>
          </w:tcPr>
          <w:p w14:paraId="203592A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通过非遗保护，可以挖掘和利用非遗文化中的生态智慧，促进人与自然的和谐发展</w:t>
            </w:r>
          </w:p>
        </w:tc>
        <w:tc>
          <w:tcPr>
            <w:tcW w:w="1116" w:type="dxa"/>
            <w:vAlign w:val="center"/>
          </w:tcPr>
          <w:p w14:paraId="55355140">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效果明显</w:t>
            </w:r>
          </w:p>
        </w:tc>
        <w:tc>
          <w:tcPr>
            <w:tcW w:w="765" w:type="dxa"/>
            <w:gridSpan w:val="2"/>
            <w:vAlign w:val="center"/>
          </w:tcPr>
          <w:p w14:paraId="65513E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20" w:type="dxa"/>
            <w:vAlign w:val="center"/>
          </w:tcPr>
          <w:p w14:paraId="630283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498" w:type="dxa"/>
            <w:vAlign w:val="center"/>
          </w:tcPr>
          <w:p w14:paraId="772078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616" w:type="dxa"/>
            <w:vAlign w:val="center"/>
          </w:tcPr>
          <w:p w14:paraId="000B6E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8B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1141" w:type="dxa"/>
            <w:vMerge w:val="continue"/>
            <w:vAlign w:val="center"/>
          </w:tcPr>
          <w:p w14:paraId="124006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vAlign w:val="center"/>
          </w:tcPr>
          <w:p w14:paraId="72F3BD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9" w:type="dxa"/>
            <w:vAlign w:val="center"/>
          </w:tcPr>
          <w:p w14:paraId="26C351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04" w:type="dxa"/>
            <w:shd w:val="clear" w:color="auto" w:fill="auto"/>
            <w:vAlign w:val="center"/>
          </w:tcPr>
          <w:p w14:paraId="0275A45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提高他们的传承能力和水平，确保非遗文化的真实性和完整性</w:t>
            </w:r>
          </w:p>
        </w:tc>
        <w:tc>
          <w:tcPr>
            <w:tcW w:w="1116" w:type="dxa"/>
            <w:vAlign w:val="center"/>
          </w:tcPr>
          <w:p w14:paraId="36577333">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宋体" w:hAnsi="宋体" w:eastAsia="宋体" w:cs="宋体"/>
                <w:i w:val="0"/>
                <w:iCs w:val="0"/>
                <w:color w:val="000000"/>
                <w:kern w:val="0"/>
                <w:sz w:val="20"/>
                <w:szCs w:val="20"/>
                <w:u w:val="none"/>
                <w:lang w:val="en-US" w:eastAsia="zh-CN" w:bidi="ar"/>
              </w:rPr>
              <w:t>效果明显</w:t>
            </w:r>
          </w:p>
        </w:tc>
        <w:tc>
          <w:tcPr>
            <w:tcW w:w="765" w:type="dxa"/>
            <w:gridSpan w:val="2"/>
            <w:vAlign w:val="center"/>
          </w:tcPr>
          <w:p w14:paraId="61420F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20" w:type="dxa"/>
            <w:vAlign w:val="center"/>
          </w:tcPr>
          <w:p w14:paraId="30591B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498" w:type="dxa"/>
            <w:vAlign w:val="center"/>
          </w:tcPr>
          <w:p w14:paraId="33F8B4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w:t>
            </w:r>
          </w:p>
        </w:tc>
        <w:tc>
          <w:tcPr>
            <w:tcW w:w="1616" w:type="dxa"/>
            <w:vAlign w:val="center"/>
          </w:tcPr>
          <w:p w14:paraId="2E216A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利用一切政策资源，提高传承人的能力与水平。</w:t>
            </w:r>
          </w:p>
        </w:tc>
      </w:tr>
      <w:tr w14:paraId="63D0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1" w:type="dxa"/>
            <w:vMerge w:val="continue"/>
            <w:vAlign w:val="center"/>
          </w:tcPr>
          <w:p w14:paraId="764DD6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3" w:type="dxa"/>
            <w:vAlign w:val="center"/>
          </w:tcPr>
          <w:p w14:paraId="211677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193AB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CCCA5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59" w:type="dxa"/>
            <w:vAlign w:val="center"/>
          </w:tcPr>
          <w:p w14:paraId="7916D9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704" w:type="dxa"/>
            <w:shd w:val="clear" w:color="auto" w:fill="auto"/>
            <w:vAlign w:val="center"/>
          </w:tcPr>
          <w:p w14:paraId="1FEE884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传承人满意度</w:t>
            </w:r>
          </w:p>
        </w:tc>
        <w:tc>
          <w:tcPr>
            <w:tcW w:w="1116" w:type="dxa"/>
            <w:vAlign w:val="center"/>
          </w:tcPr>
          <w:p w14:paraId="272D9A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w:t>
            </w: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765" w:type="dxa"/>
            <w:gridSpan w:val="2"/>
            <w:vAlign w:val="center"/>
          </w:tcPr>
          <w:p w14:paraId="756960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520" w:type="dxa"/>
            <w:vAlign w:val="center"/>
          </w:tcPr>
          <w:p w14:paraId="5DF567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498" w:type="dxa"/>
            <w:vAlign w:val="center"/>
          </w:tcPr>
          <w:p w14:paraId="5F3780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616" w:type="dxa"/>
            <w:vAlign w:val="center"/>
          </w:tcPr>
          <w:p w14:paraId="15806A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D7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6838" w:type="dxa"/>
            <w:gridSpan w:val="7"/>
            <w:vAlign w:val="center"/>
          </w:tcPr>
          <w:p w14:paraId="09158F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520" w:type="dxa"/>
            <w:vAlign w:val="center"/>
          </w:tcPr>
          <w:p w14:paraId="6F30A8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498" w:type="dxa"/>
            <w:vAlign w:val="center"/>
          </w:tcPr>
          <w:p w14:paraId="0C761E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96</w:t>
            </w:r>
          </w:p>
        </w:tc>
        <w:tc>
          <w:tcPr>
            <w:tcW w:w="1616" w:type="dxa"/>
            <w:vAlign w:val="center"/>
          </w:tcPr>
          <w:p w14:paraId="2179BC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bl>
    <w:p w14:paraId="3AB33087">
      <w:pPr>
        <w:widowControl w:val="0"/>
        <w:kinsoku/>
        <w:autoSpaceDE/>
        <w:autoSpaceDN/>
        <w:adjustRightInd/>
        <w:snapToGrid/>
        <w:spacing w:line="600" w:lineRule="exact"/>
        <w:jc w:val="both"/>
        <w:textAlignment w:val="auto"/>
        <w:rPr>
          <w:rFonts w:hint="eastAsia" w:ascii="仿宋" w:hAnsi="仿宋" w:eastAsia="仿宋" w:cs="仿宋"/>
          <w:snapToGrid/>
          <w:color w:val="000000"/>
          <w:kern w:val="0"/>
          <w:sz w:val="20"/>
          <w:szCs w:val="20"/>
          <w:lang w:val="en-US" w:eastAsia="zh-CN" w:bidi="ar-SA"/>
        </w:rPr>
      </w:pPr>
      <w:r>
        <w:rPr>
          <w:rFonts w:hint="eastAsia" w:ascii="仿宋" w:hAnsi="仿宋" w:eastAsia="仿宋" w:cs="仿宋"/>
          <w:snapToGrid/>
          <w:color w:val="000000"/>
          <w:kern w:val="0"/>
          <w:sz w:val="20"/>
          <w:szCs w:val="20"/>
          <w:lang w:val="en-US" w:eastAsia="zh-CN" w:bidi="ar-SA"/>
        </w:rPr>
        <w:t xml:space="preserve">填表人：陈宽裕         填报日期： 2026.6.26             联系电话：13607410966 </w:t>
      </w:r>
    </w:p>
    <w:p w14:paraId="4A3E617E">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br w:type="page"/>
      </w:r>
    </w:p>
    <w:p w14:paraId="5484F48A">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Times New Roman" w:hAnsi="Times New Roman" w:eastAsia="仿宋_GB2312" w:cs="Times New Roman"/>
          <w:snapToGrid/>
          <w:color w:val="000000"/>
          <w:kern w:val="0"/>
          <w:sz w:val="24"/>
          <w:szCs w:val="24"/>
          <w:lang w:val="en-US" w:eastAsia="zh-CN" w:bidi="ar-SA"/>
        </w:rPr>
        <w:t xml:space="preserve">4        </w:t>
      </w:r>
    </w:p>
    <w:p w14:paraId="786C264B">
      <w:pPr>
        <w:keepNext w:val="0"/>
        <w:keepLines w:val="0"/>
        <w:pageBreakBefore w:val="0"/>
        <w:widowControl w:val="0"/>
        <w:kinsoku/>
        <w:overflowPunct/>
        <w:topLinePunct w:val="0"/>
        <w:autoSpaceDE/>
        <w:autoSpaceDN/>
        <w:bidi w:val="0"/>
        <w:adjustRightInd/>
        <w:spacing w:line="560" w:lineRule="exact"/>
        <w:ind w:left="0" w:right="0"/>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项目</w:t>
      </w:r>
      <w:r>
        <w:rPr>
          <w:rFonts w:hint="eastAsia" w:ascii="方正小标宋简体" w:hAnsi="方正小标宋简体" w:eastAsia="方正小标宋简体" w:cs="方正小标宋简体"/>
          <w:sz w:val="40"/>
          <w:szCs w:val="40"/>
          <w:lang w:eastAsia="zh-CN"/>
        </w:rPr>
        <w:t>支出</w:t>
      </w:r>
      <w:r>
        <w:rPr>
          <w:rFonts w:hint="eastAsia" w:ascii="方正小标宋简体" w:hAnsi="方正小标宋简体" w:eastAsia="方正小标宋简体" w:cs="方正小标宋简体"/>
          <w:sz w:val="40"/>
          <w:szCs w:val="40"/>
        </w:rPr>
        <w:t>自评</w:t>
      </w:r>
      <w:r>
        <w:rPr>
          <w:rFonts w:hint="eastAsia" w:ascii="方正小标宋简体" w:hAnsi="方正小标宋简体" w:eastAsia="方正小标宋简体" w:cs="方正小标宋简体"/>
          <w:sz w:val="40"/>
          <w:szCs w:val="40"/>
          <w:lang w:eastAsia="zh-CN"/>
        </w:rPr>
        <w:t>结果汇总分析</w:t>
      </w:r>
      <w:r>
        <w:rPr>
          <w:rFonts w:hint="eastAsia" w:ascii="方正小标宋简体" w:hAnsi="方正小标宋简体" w:eastAsia="方正小标宋简体" w:cs="方正小标宋简体"/>
          <w:sz w:val="40"/>
          <w:szCs w:val="40"/>
        </w:rPr>
        <w:t>报告</w:t>
      </w:r>
    </w:p>
    <w:p w14:paraId="4726764E">
      <w:pPr>
        <w:keepNext w:val="0"/>
        <w:keepLines w:val="0"/>
        <w:pageBreakBefore w:val="0"/>
        <w:widowControl w:val="0"/>
        <w:kinsoku/>
        <w:overflowPunct/>
        <w:topLinePunct w:val="0"/>
        <w:autoSpaceDE/>
        <w:autoSpaceDN/>
        <w:bidi w:val="0"/>
        <w:adjustRightInd/>
        <w:spacing w:line="54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根据《</w:t>
      </w:r>
      <w:r>
        <w:rPr>
          <w:rFonts w:hint="eastAsia" w:ascii="仿宋" w:hAnsi="仿宋" w:eastAsia="仿宋" w:cs="仿宋"/>
          <w:color w:val="000000"/>
          <w:sz w:val="32"/>
          <w:szCs w:val="32"/>
          <w:lang w:val="en-US" w:eastAsia="zh-CN"/>
        </w:rPr>
        <w:t>怀化市财政局关于开展2025年度市级预算部门绩效自评和部门评价的通知</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（怀财绩</w:t>
      </w:r>
      <w:r>
        <w:rPr>
          <w:rFonts w:hint="eastAsia" w:ascii="仿宋" w:hAnsi="仿宋" w:eastAsia="仿宋" w:cs="仿宋"/>
          <w:color w:val="000000"/>
          <w:sz w:val="32"/>
          <w:szCs w:val="32"/>
          <w:lang w:val="en-US" w:eastAsia="zh-CN"/>
        </w:rPr>
        <w:t>〔2026〕36号</w:t>
      </w:r>
      <w:r>
        <w:rPr>
          <w:rFonts w:hint="eastAsia" w:ascii="仿宋" w:hAnsi="仿宋" w:eastAsia="仿宋" w:cs="仿宋"/>
          <w:color w:val="000000"/>
          <w:sz w:val="32"/>
          <w:szCs w:val="32"/>
          <w:lang w:eastAsia="zh-CN"/>
        </w:rPr>
        <w:t>）文件</w:t>
      </w:r>
      <w:r>
        <w:rPr>
          <w:rFonts w:hint="eastAsia" w:ascii="仿宋" w:hAnsi="仿宋" w:eastAsia="仿宋" w:cs="仿宋"/>
          <w:color w:val="000000"/>
          <w:sz w:val="32"/>
          <w:szCs w:val="32"/>
        </w:rPr>
        <w:t>要求，我单位本着实事求是，客观评价的原则开展202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年项目资金</w:t>
      </w:r>
    </w:p>
    <w:p w14:paraId="344F4547">
      <w:pPr>
        <w:keepNext w:val="0"/>
        <w:keepLines w:val="0"/>
        <w:pageBreakBefore w:val="0"/>
        <w:widowControl w:val="0"/>
        <w:kinsoku/>
        <w:overflowPunct/>
        <w:topLinePunct w:val="0"/>
        <w:autoSpaceDE/>
        <w:autoSpaceDN/>
        <w:bidi w:val="0"/>
        <w:adjustRightInd/>
        <w:spacing w:line="540" w:lineRule="exact"/>
        <w:ind w:left="0" w:right="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绩效自评工作，现将自评情况汇报如下：</w:t>
      </w:r>
    </w:p>
    <w:p w14:paraId="6B2A7C39">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left="0" w:leftChars="0" w:right="0" w:firstLine="640" w:firstLineChars="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项目支出基本情况</w:t>
      </w:r>
    </w:p>
    <w:p w14:paraId="64AEAF8E">
      <w:pPr>
        <w:pStyle w:val="14"/>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right="0" w:firstLine="640" w:firstLineChars="200"/>
        <w:textAlignment w:val="auto"/>
        <w:rPr>
          <w:rFonts w:hint="default" w:ascii="仿宋" w:hAnsi="仿宋" w:eastAsia="仿宋" w:cs="仿宋"/>
          <w:spacing w:val="-2"/>
          <w:sz w:val="32"/>
          <w:szCs w:val="32"/>
          <w:lang w:val="en-US" w:eastAsia="zh-CN"/>
        </w:rPr>
      </w:pPr>
      <w:r>
        <w:rPr>
          <w:rFonts w:hint="eastAsia" w:ascii="仿宋" w:hAnsi="仿宋" w:eastAsia="仿宋" w:cs="仿宋"/>
          <w:color w:val="000000"/>
          <w:sz w:val="32"/>
          <w:szCs w:val="32"/>
          <w:lang w:val="en-US" w:eastAsia="zh-CN"/>
        </w:rPr>
        <w:t>2025年，怀化市文化遗产保护中心（市博物馆）项目支出构成如下：1.</w:t>
      </w:r>
      <w:r>
        <w:rPr>
          <w:rFonts w:hint="eastAsia" w:ascii="仿宋" w:hAnsi="仿宋" w:eastAsia="仿宋" w:cs="仿宋"/>
          <w:spacing w:val="-2"/>
          <w:sz w:val="32"/>
          <w:szCs w:val="32"/>
        </w:rPr>
        <w:t>国家级传承人经费补助</w:t>
      </w:r>
      <w:r>
        <w:rPr>
          <w:rFonts w:hint="eastAsia" w:ascii="仿宋" w:hAnsi="仿宋" w:eastAsia="仿宋" w:cs="仿宋"/>
          <w:spacing w:val="-2"/>
          <w:sz w:val="32"/>
          <w:szCs w:val="32"/>
          <w:lang w:val="en-US" w:eastAsia="zh-CN"/>
        </w:rPr>
        <w:t>19.5</w:t>
      </w:r>
      <w:r>
        <w:rPr>
          <w:rFonts w:hint="eastAsia" w:ascii="仿宋" w:hAnsi="仿宋" w:eastAsia="仿宋" w:cs="仿宋"/>
          <w:spacing w:val="-2"/>
          <w:sz w:val="32"/>
          <w:szCs w:val="32"/>
        </w:rPr>
        <w:t>万元，</w:t>
      </w:r>
      <w:r>
        <w:rPr>
          <w:rFonts w:hint="eastAsia" w:ascii="仿宋" w:hAnsi="仿宋" w:eastAsia="仿宋" w:cs="仿宋"/>
          <w:spacing w:val="-2"/>
          <w:sz w:val="32"/>
          <w:szCs w:val="32"/>
          <w:lang w:val="en-US" w:eastAsia="zh-CN"/>
        </w:rPr>
        <w:t>2.</w:t>
      </w:r>
      <w:r>
        <w:rPr>
          <w:rFonts w:hint="eastAsia" w:ascii="仿宋" w:hAnsi="仿宋" w:eastAsia="仿宋" w:cs="仿宋"/>
          <w:spacing w:val="-2"/>
          <w:sz w:val="32"/>
          <w:szCs w:val="32"/>
        </w:rPr>
        <w:t>省级传承人经费补助</w:t>
      </w:r>
      <w:r>
        <w:rPr>
          <w:rFonts w:hint="eastAsia" w:ascii="仿宋" w:hAnsi="仿宋" w:eastAsia="仿宋" w:cs="仿宋"/>
          <w:spacing w:val="-2"/>
          <w:sz w:val="32"/>
          <w:szCs w:val="32"/>
          <w:lang w:val="en-US" w:eastAsia="zh-CN"/>
        </w:rPr>
        <w:t>56</w:t>
      </w:r>
      <w:r>
        <w:rPr>
          <w:rFonts w:hint="eastAsia" w:ascii="仿宋" w:hAnsi="仿宋" w:eastAsia="仿宋" w:cs="仿宋"/>
          <w:spacing w:val="-2"/>
          <w:sz w:val="32"/>
          <w:szCs w:val="32"/>
        </w:rPr>
        <w:t>万</w:t>
      </w:r>
      <w:r>
        <w:rPr>
          <w:rFonts w:hint="eastAsia" w:ascii="仿宋" w:hAnsi="仿宋" w:eastAsia="仿宋" w:cs="仿宋"/>
          <w:spacing w:val="-2"/>
          <w:sz w:val="32"/>
          <w:szCs w:val="32"/>
          <w:lang w:val="en-US" w:eastAsia="zh-CN"/>
        </w:rPr>
        <w:t>元</w:t>
      </w:r>
      <w:r>
        <w:rPr>
          <w:rFonts w:hint="eastAsia" w:ascii="仿宋" w:hAnsi="仿宋" w:eastAsia="仿宋" w:cs="仿宋"/>
          <w:spacing w:val="-2"/>
          <w:sz w:val="32"/>
          <w:szCs w:val="32"/>
        </w:rPr>
        <w:t>、</w:t>
      </w:r>
      <w:r>
        <w:rPr>
          <w:rFonts w:hint="eastAsia" w:ascii="仿宋" w:hAnsi="仿宋" w:eastAsia="仿宋" w:cs="仿宋"/>
          <w:spacing w:val="-2"/>
          <w:sz w:val="32"/>
          <w:szCs w:val="32"/>
          <w:lang w:val="en-US" w:eastAsia="zh-CN"/>
        </w:rPr>
        <w:t>3.</w:t>
      </w:r>
      <w:r>
        <w:rPr>
          <w:rFonts w:hint="eastAsia" w:ascii="仿宋" w:hAnsi="仿宋" w:eastAsia="仿宋" w:cs="仿宋"/>
          <w:spacing w:val="-2"/>
          <w:sz w:val="32"/>
          <w:szCs w:val="32"/>
        </w:rPr>
        <w:t>非遗保护经费</w:t>
      </w:r>
      <w:r>
        <w:rPr>
          <w:rFonts w:hint="eastAsia" w:ascii="仿宋" w:hAnsi="仿宋" w:eastAsia="仿宋" w:cs="仿宋"/>
          <w:spacing w:val="-2"/>
          <w:sz w:val="32"/>
          <w:szCs w:val="32"/>
          <w:lang w:val="en-US" w:eastAsia="zh-CN"/>
        </w:rPr>
        <w:t>50</w:t>
      </w:r>
      <w:r>
        <w:rPr>
          <w:rFonts w:hint="eastAsia" w:ascii="仿宋" w:hAnsi="仿宋" w:eastAsia="仿宋" w:cs="仿宋"/>
          <w:spacing w:val="-2"/>
          <w:sz w:val="32"/>
          <w:szCs w:val="32"/>
        </w:rPr>
        <w:t>万</w:t>
      </w:r>
      <w:r>
        <w:rPr>
          <w:rFonts w:hint="eastAsia" w:ascii="仿宋" w:hAnsi="仿宋" w:eastAsia="仿宋" w:cs="仿宋"/>
          <w:spacing w:val="-2"/>
          <w:sz w:val="32"/>
          <w:szCs w:val="32"/>
          <w:lang w:val="en-US" w:eastAsia="zh-CN"/>
        </w:rPr>
        <w:t>元</w:t>
      </w:r>
      <w:r>
        <w:rPr>
          <w:rFonts w:hint="eastAsia" w:ascii="仿宋" w:hAnsi="仿宋" w:eastAsia="仿宋" w:cs="仿宋"/>
          <w:spacing w:val="-2"/>
          <w:sz w:val="32"/>
          <w:szCs w:val="32"/>
        </w:rPr>
        <w:t>、</w:t>
      </w:r>
      <w:r>
        <w:rPr>
          <w:rFonts w:hint="eastAsia" w:ascii="仿宋" w:hAnsi="仿宋" w:eastAsia="仿宋" w:cs="仿宋"/>
          <w:spacing w:val="-2"/>
          <w:sz w:val="32"/>
          <w:szCs w:val="32"/>
          <w:lang w:val="en-US" w:eastAsia="zh-CN"/>
        </w:rPr>
        <w:t>4.</w:t>
      </w:r>
      <w:r>
        <w:rPr>
          <w:rFonts w:hint="eastAsia" w:ascii="仿宋" w:hAnsi="仿宋" w:eastAsia="仿宋" w:cs="仿宋"/>
          <w:spacing w:val="-2"/>
          <w:sz w:val="32"/>
          <w:szCs w:val="32"/>
        </w:rPr>
        <w:t>中央免费开放</w:t>
      </w:r>
      <w:r>
        <w:rPr>
          <w:rFonts w:hint="eastAsia" w:ascii="仿宋" w:hAnsi="仿宋" w:eastAsia="仿宋" w:cs="仿宋"/>
          <w:spacing w:val="-2"/>
          <w:sz w:val="32"/>
          <w:szCs w:val="32"/>
          <w:lang w:val="en-US" w:eastAsia="zh-CN"/>
        </w:rPr>
        <w:t>53万元、5.</w:t>
      </w:r>
      <w:r>
        <w:rPr>
          <w:rFonts w:hint="eastAsia" w:ascii="仿宋" w:hAnsi="仿宋" w:eastAsia="仿宋" w:cs="仿宋"/>
          <w:spacing w:val="-2"/>
          <w:sz w:val="32"/>
          <w:szCs w:val="32"/>
        </w:rPr>
        <w:t>文化强省专项资金（非遗保护传承利</w:t>
      </w:r>
      <w:r>
        <w:rPr>
          <w:rFonts w:hint="eastAsia" w:ascii="仿宋" w:hAnsi="仿宋" w:eastAsia="仿宋" w:cs="仿宋"/>
          <w:spacing w:val="-2"/>
          <w:sz w:val="32"/>
          <w:szCs w:val="32"/>
          <w:lang w:val="en-US" w:eastAsia="zh-CN"/>
        </w:rPr>
        <w:t>用）4</w:t>
      </w:r>
      <w:r>
        <w:rPr>
          <w:rFonts w:hint="eastAsia" w:ascii="仿宋" w:hAnsi="仿宋" w:eastAsia="仿宋" w:cs="仿宋"/>
          <w:spacing w:val="-2"/>
          <w:sz w:val="32"/>
          <w:szCs w:val="32"/>
        </w:rPr>
        <w:t>2</w:t>
      </w:r>
      <w:r>
        <w:rPr>
          <w:rFonts w:hint="eastAsia" w:ascii="仿宋" w:hAnsi="仿宋" w:eastAsia="仿宋" w:cs="仿宋"/>
          <w:spacing w:val="-2"/>
          <w:sz w:val="32"/>
          <w:szCs w:val="32"/>
          <w:lang w:val="en-US" w:eastAsia="zh-CN"/>
        </w:rPr>
        <w:t>.32</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6.人才引进补贴及考核奖金32.86万元。共计253.68万元。其中1.2.4.5.四个项目为上级资金已做绩效自评，根据文件要求不纳入本次绩效自评。人才引进补贴及考核奖金32.86万元因其他原因暂时没参加此次绩效自评。仅第3.项</w:t>
      </w:r>
      <w:r>
        <w:rPr>
          <w:rFonts w:hint="eastAsia" w:ascii="仿宋" w:hAnsi="仿宋" w:eastAsia="仿宋" w:cs="仿宋"/>
          <w:spacing w:val="-2"/>
          <w:sz w:val="32"/>
          <w:szCs w:val="32"/>
        </w:rPr>
        <w:t>非遗保护经费</w:t>
      </w:r>
      <w:r>
        <w:rPr>
          <w:rFonts w:hint="eastAsia" w:ascii="仿宋" w:hAnsi="仿宋" w:eastAsia="仿宋" w:cs="仿宋"/>
          <w:spacing w:val="-2"/>
          <w:sz w:val="32"/>
          <w:szCs w:val="32"/>
          <w:lang w:val="en-US" w:eastAsia="zh-CN"/>
        </w:rPr>
        <w:t>50</w:t>
      </w:r>
      <w:r>
        <w:rPr>
          <w:rFonts w:hint="eastAsia" w:ascii="仿宋" w:hAnsi="仿宋" w:eastAsia="仿宋" w:cs="仿宋"/>
          <w:spacing w:val="-2"/>
          <w:sz w:val="32"/>
          <w:szCs w:val="32"/>
        </w:rPr>
        <w:t>万</w:t>
      </w:r>
      <w:r>
        <w:rPr>
          <w:rFonts w:hint="eastAsia" w:ascii="仿宋" w:hAnsi="仿宋" w:eastAsia="仿宋" w:cs="仿宋"/>
          <w:spacing w:val="-2"/>
          <w:sz w:val="32"/>
          <w:szCs w:val="32"/>
          <w:lang w:val="en-US" w:eastAsia="zh-CN"/>
        </w:rPr>
        <w:t>元为此次自评项目。</w:t>
      </w:r>
    </w:p>
    <w:p w14:paraId="1F82B1D3">
      <w:pPr>
        <w:pStyle w:val="15"/>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sz w:val="32"/>
          <w:szCs w:val="32"/>
          <w:lang w:val="en-US" w:eastAsia="zh-CN"/>
        </w:rPr>
        <w:t>2025年度非遗工作保护经费50万元主要用于保障全市非遗保护核心工作的顺利开展，具体构成共分为四个方面。一是非遗活动执行，共计支出26万元，用于举办“五溪传艺 岁贺新章”——第七届怀化非遗展示活动。二是非遗宣传推广，共计支出20.0485万元，用于2025年“怀化非遗”系列短视频拍摄制作，并同期在“怀化非遗”抖音号和微视号平台发布。三是传承人队伍建设，共计支出1万元，用于组织第八批市级非遗代表性传承人专家评审会。四是非遗日常运行保障，共计支出2.9515万元，用于保障非遗保护工作的差旅、办公等日常开支。</w:t>
      </w:r>
    </w:p>
    <w:p w14:paraId="1DF8D47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left="0" w:right="0"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40A64726">
      <w:pPr>
        <w:keepNext w:val="0"/>
        <w:keepLines w:val="0"/>
        <w:pageBreakBefore w:val="0"/>
        <w:widowControl w:val="0"/>
        <w:kinsoku/>
        <w:wordWrap w:val="0"/>
        <w:overflowPunct/>
        <w:topLinePunct w:val="0"/>
        <w:autoSpaceDE/>
        <w:autoSpaceDN/>
        <w:bidi w:val="0"/>
        <w:adjustRightInd/>
        <w:snapToGrid/>
        <w:spacing w:after="0" w:line="540" w:lineRule="exact"/>
        <w:ind w:left="0" w:right="0" w:firstLine="760"/>
        <w:jc w:val="both"/>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为全面、客观、准确地评价项目绩效，确保财政资金使用的规范性、安全性和有效性，我单位接到</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怀化市财政局关于开展2025年度市级预算部门绩效自评和部门评价的通知</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（怀财绩</w:t>
      </w:r>
      <w:r>
        <w:rPr>
          <w:rFonts w:hint="eastAsia" w:ascii="仿宋" w:hAnsi="仿宋" w:eastAsia="仿宋" w:cs="仿宋"/>
          <w:color w:val="000000"/>
          <w:sz w:val="32"/>
          <w:szCs w:val="32"/>
          <w:lang w:val="en-US" w:eastAsia="zh-CN"/>
        </w:rPr>
        <w:t>〔2026〕36号</w:t>
      </w:r>
      <w:r>
        <w:rPr>
          <w:rFonts w:hint="eastAsia" w:ascii="仿宋" w:hAnsi="仿宋" w:eastAsia="仿宋" w:cs="仿宋"/>
          <w:color w:val="000000"/>
          <w:sz w:val="32"/>
          <w:szCs w:val="32"/>
          <w:lang w:eastAsia="zh-CN"/>
        </w:rPr>
        <w:t>）通知后，单位领导高度重视，第一时间统一部署，成立绩效自评工作小组，召开专题会议进行部署动员，明确自评工作的目的、意义、时间节点和具体要求。由财务室牵头制定并下发自评工作方案及操作指南。依据项目归属和业务相关性，将自评任务分解落实到各具体项目实施部门，如办公室、</w:t>
      </w:r>
      <w:r>
        <w:rPr>
          <w:rFonts w:hint="eastAsia" w:ascii="仿宋" w:hAnsi="仿宋" w:eastAsia="仿宋" w:cs="仿宋"/>
          <w:color w:val="000000"/>
          <w:sz w:val="32"/>
          <w:szCs w:val="32"/>
          <w:lang w:val="en-US" w:eastAsia="zh-CN"/>
        </w:rPr>
        <w:t>陈列展览部、</w:t>
      </w:r>
      <w:r>
        <w:rPr>
          <w:rFonts w:hint="eastAsia" w:ascii="仿宋" w:hAnsi="仿宋" w:eastAsia="仿宋" w:cs="仿宋"/>
          <w:color w:val="000000"/>
          <w:sz w:val="32"/>
          <w:szCs w:val="32"/>
          <w:lang w:eastAsia="zh-CN"/>
        </w:rPr>
        <w:t>非遗部、考古部等实施责任单位，严格按照相关绩效考核工作要求，扎实开展了项目绩效自评工作。</w:t>
      </w:r>
    </w:p>
    <w:p w14:paraId="0262D592">
      <w:pPr>
        <w:keepNext w:val="0"/>
        <w:keepLines w:val="0"/>
        <w:pageBreakBefore w:val="0"/>
        <w:widowControl w:val="0"/>
        <w:kinsoku/>
        <w:wordWrap w:val="0"/>
        <w:overflowPunct/>
        <w:topLinePunct w:val="0"/>
        <w:autoSpaceDE/>
        <w:autoSpaceDN/>
        <w:bidi w:val="0"/>
        <w:adjustRightInd/>
        <w:snapToGrid/>
        <w:spacing w:after="0" w:line="540" w:lineRule="exact"/>
        <w:ind w:left="0" w:right="0" w:firstLine="76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000000"/>
          <w:sz w:val="32"/>
          <w:szCs w:val="32"/>
          <w:lang w:eastAsia="zh-CN"/>
        </w:rPr>
        <w:t>本次绩效自评工作严格遵循“应评尽评、全面覆盖”的原则，所有纳入本次绩效考核范围的项目按要求开展了单位自评。确保每个项目都经过自我审视和绩效梳理，不留空白。同时做到自评内容覆盖项目管理的全过程覆盖，包括项目立项决策的科学性、预算编制的合理性、资金使用的合规性、过程管理的规范性、绩效目标设定与实现的匹配度、产出成果的数量与质量、效益目标的达成度以及可持续性影响等方面。</w:t>
      </w:r>
      <w:r>
        <w:rPr>
          <w:rFonts w:hint="eastAsia" w:ascii="仿宋" w:hAnsi="仿宋" w:eastAsia="仿宋" w:cs="仿宋"/>
          <w:color w:val="000000"/>
          <w:sz w:val="32"/>
          <w:szCs w:val="32"/>
          <w:lang w:val="en-US" w:eastAsia="zh-CN"/>
        </w:rPr>
        <w:t>通过以上程序，我单位确保了项目绩效自评工作的全面覆盖、程序规范、责任清晰，为客观反映项目绩效、提升项目管理水平、优化财政资源配置奠定了坚实基础。</w:t>
      </w:r>
    </w:p>
    <w:p w14:paraId="4FFA3DC0">
      <w:pPr>
        <w:keepNext w:val="0"/>
        <w:keepLines w:val="0"/>
        <w:pageBreakBefore w:val="0"/>
        <w:widowControl w:val="0"/>
        <w:numPr>
          <w:ilvl w:val="0"/>
          <w:numId w:val="1"/>
        </w:numPr>
        <w:kinsoku/>
        <w:wordWrap w:val="0"/>
        <w:overflowPunct/>
        <w:topLinePunct w:val="0"/>
        <w:autoSpaceDE/>
        <w:autoSpaceDN/>
        <w:bidi w:val="0"/>
        <w:adjustRightInd/>
        <w:snapToGrid/>
        <w:spacing w:after="0" w:line="540" w:lineRule="exact"/>
        <w:ind w:left="0" w:leftChars="0" w:right="0" w:firstLine="640" w:firstLineChars="0"/>
        <w:jc w:val="both"/>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项目自评结果及分析</w:t>
      </w:r>
    </w:p>
    <w:p w14:paraId="58C569D7">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leftChars="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（一）项目支出单位自评分数情况及分析</w:t>
      </w:r>
    </w:p>
    <w:p w14:paraId="66D4B4FB">
      <w:pPr>
        <w:keepNext w:val="0"/>
        <w:keepLines w:val="0"/>
        <w:pageBreakBefore w:val="0"/>
        <w:widowControl w:val="0"/>
        <w:kinsoku/>
        <w:wordWrap w:val="0"/>
        <w:overflowPunct/>
        <w:topLinePunct w:val="0"/>
        <w:autoSpaceDE/>
        <w:autoSpaceDN/>
        <w:bidi w:val="0"/>
        <w:adjustRightInd/>
        <w:snapToGrid/>
        <w:spacing w:after="0" w:line="540" w:lineRule="exact"/>
        <w:ind w:left="0" w:right="0" w:firstLine="760"/>
        <w:jc w:val="both"/>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lang w:val="en-US" w:eastAsia="zh-CN"/>
        </w:rPr>
        <w:t>项目自评主要分为成本指标、产出指标、效益指标和满意度指标四大部分，</w:t>
      </w:r>
      <w:r>
        <w:rPr>
          <w:rFonts w:hint="eastAsia" w:ascii="仿宋" w:hAnsi="仿宋" w:eastAsia="仿宋" w:cs="仿宋"/>
          <w:color w:val="000000"/>
          <w:sz w:val="32"/>
          <w:szCs w:val="32"/>
          <w:highlight w:val="none"/>
          <w:lang w:val="en-US" w:eastAsia="zh-CN"/>
        </w:rPr>
        <w:t>指标自评满分为100分，其中非遗保护工作经费绩效指标自评分为99.50分。</w:t>
      </w:r>
    </w:p>
    <w:p w14:paraId="1800CC52">
      <w:pPr>
        <w:keepNext w:val="0"/>
        <w:keepLines w:val="0"/>
        <w:pageBreakBefore w:val="0"/>
        <w:widowControl w:val="0"/>
        <w:numPr>
          <w:ilvl w:val="0"/>
          <w:numId w:val="2"/>
        </w:numPr>
        <w:kinsoku/>
        <w:wordWrap w:val="0"/>
        <w:overflowPunct/>
        <w:topLinePunct w:val="0"/>
        <w:autoSpaceDE/>
        <w:autoSpaceDN/>
        <w:bidi w:val="0"/>
        <w:adjustRightInd/>
        <w:snapToGrid/>
        <w:spacing w:after="0" w:line="540" w:lineRule="exact"/>
        <w:ind w:left="0" w:right="0" w:firstLine="76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预算执行情况分析</w:t>
      </w:r>
    </w:p>
    <w:p w14:paraId="29299B0C">
      <w:pPr>
        <w:keepNext w:val="0"/>
        <w:keepLines w:val="0"/>
        <w:pageBreakBefore w:val="0"/>
        <w:widowControl w:val="0"/>
        <w:kinsoku/>
        <w:wordWrap w:val="0"/>
        <w:overflowPunct/>
        <w:topLinePunct w:val="0"/>
        <w:autoSpaceDE/>
        <w:autoSpaceDN/>
        <w:bidi w:val="0"/>
        <w:adjustRightInd/>
        <w:snapToGrid/>
        <w:spacing w:after="0" w:line="540" w:lineRule="exact"/>
        <w:ind w:left="0" w:right="0" w:firstLine="640" w:firstLineChars="200"/>
        <w:jc w:val="both"/>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2025年度怀化市文化遗产保护中心（市博物馆）全年项目支出年初预算204.70万元，实际支出为253.68万元。项目支出执行率为123.93%，影响执行情况的主要原因是追加项目奖金。</w:t>
      </w:r>
    </w:p>
    <w:p w14:paraId="0E6F5DC3">
      <w:pPr>
        <w:keepNext w:val="0"/>
        <w:keepLines w:val="0"/>
        <w:pageBreakBefore w:val="0"/>
        <w:widowControl w:val="0"/>
        <w:numPr>
          <w:ilvl w:val="0"/>
          <w:numId w:val="2"/>
        </w:numPr>
        <w:kinsoku/>
        <w:wordWrap w:val="0"/>
        <w:overflowPunct/>
        <w:topLinePunct w:val="0"/>
        <w:autoSpaceDE/>
        <w:autoSpaceDN/>
        <w:bidi w:val="0"/>
        <w:adjustRightInd/>
        <w:snapToGrid/>
        <w:spacing w:after="0" w:line="540" w:lineRule="exact"/>
        <w:ind w:left="0" w:leftChars="0" w:right="0" w:rightChars="0" w:firstLine="760" w:firstLineChars="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资金管理情况分析</w:t>
      </w:r>
    </w:p>
    <w:p w14:paraId="3A095EEB">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我单位各项目支出严格按照《怀化市财政支出绩效评价管理办法（试行）》《怀化市文化遗产保护中心（市博物馆）财务内控制度》等规定执行资金管理，</w:t>
      </w:r>
      <w:r>
        <w:rPr>
          <w:rFonts w:hint="eastAsia" w:ascii="仿宋" w:hAnsi="仿宋" w:eastAsia="仿宋" w:cs="仿宋"/>
          <w:color w:val="000000"/>
          <w:sz w:val="32"/>
          <w:szCs w:val="32"/>
          <w:lang w:val="en-US" w:eastAsia="zh-CN"/>
        </w:rPr>
        <w:t>总体实现支出合规、过程可控、效益导向。资金支出均履行“三重一大”决策程序，报销单据完整、审批流程合规，未发现挤占、挪用、超范围支出等违规情况。保证专款专用，资金全部用于批复的支出内容，未调整支出科目。资金申请至支付平均用时符合单位内控要求。资金及时到位保障了目标实现。</w:t>
      </w:r>
    </w:p>
    <w:p w14:paraId="13E2CDC4">
      <w:pPr>
        <w:keepNext w:val="0"/>
        <w:keepLines w:val="0"/>
        <w:pageBreakBefore w:val="0"/>
        <w:widowControl w:val="0"/>
        <w:numPr>
          <w:ilvl w:val="0"/>
          <w:numId w:val="3"/>
        </w:numPr>
        <w:kinsoku/>
        <w:wordWrap w:val="0"/>
        <w:overflowPunct/>
        <w:topLinePunct w:val="0"/>
        <w:autoSpaceDE/>
        <w:autoSpaceDN/>
        <w:bidi w:val="0"/>
        <w:adjustRightInd/>
        <w:snapToGrid/>
        <w:spacing w:after="0" w:line="540" w:lineRule="exact"/>
        <w:ind w:left="0" w:leftChars="0" w:right="0" w:firstLine="760" w:firstLineChars="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总体绩效目标完成情况分析</w:t>
      </w:r>
    </w:p>
    <w:p w14:paraId="35BE6CC2">
      <w:pPr>
        <w:keepNext w:val="0"/>
        <w:keepLines w:val="0"/>
        <w:pageBreakBefore w:val="0"/>
        <w:widowControl w:val="0"/>
        <w:kinsoku/>
        <w:wordWrap w:val="0"/>
        <w:overflowPunct/>
        <w:topLinePunct w:val="0"/>
        <w:autoSpaceDE/>
        <w:autoSpaceDN/>
        <w:bidi w:val="0"/>
        <w:adjustRightInd/>
        <w:snapToGrid/>
        <w:spacing w:after="0" w:line="540" w:lineRule="exact"/>
        <w:ind w:left="0" w:right="0" w:firstLine="640" w:firstLineChars="200"/>
        <w:jc w:val="both"/>
        <w:textAlignment w:val="auto"/>
        <w:rPr>
          <w:rFonts w:hint="eastAsia" w:ascii="仿宋" w:hAnsi="仿宋" w:eastAsia="仿宋" w:cs="仿宋"/>
          <w:spacing w:val="11"/>
          <w:kern w:val="2"/>
          <w:sz w:val="32"/>
          <w:szCs w:val="32"/>
          <w:lang w:val="en-US" w:eastAsia="zh-CN" w:bidi="ar-SA"/>
        </w:rPr>
      </w:pPr>
      <w:r>
        <w:rPr>
          <w:rFonts w:hint="eastAsia" w:ascii="仿宋" w:hAnsi="仿宋" w:eastAsia="仿宋" w:cs="仿宋"/>
          <w:color w:val="000000"/>
          <w:sz w:val="32"/>
          <w:szCs w:val="32"/>
          <w:lang w:val="en-US" w:eastAsia="zh-CN"/>
        </w:rPr>
        <w:t>总体绩效目标完成情况分析绩效目标主要分为成本指标、产出指标、效益指标和满意度指标四大部分，成本指标涵盖经济成本指标、社会成本指标、生态环境成本指标，产出指标涵盖数量指标、质量指标、时效指标，效益指标涵盖经济效益指标、社会效益指标、生态效益指标、可持续影响指标等。满意度指标主要是指使用者、市民游客、传承人的满意率。</w:t>
      </w:r>
      <w:r>
        <w:rPr>
          <w:rFonts w:hint="eastAsia" w:ascii="仿宋" w:hAnsi="仿宋" w:eastAsia="仿宋" w:cs="仿宋"/>
          <w:spacing w:val="11"/>
          <w:kern w:val="2"/>
          <w:sz w:val="32"/>
          <w:szCs w:val="32"/>
          <w:lang w:val="en-US" w:eastAsia="zh-CN" w:bidi="ar-SA"/>
        </w:rPr>
        <w:t>市文化遗产中心（博物馆）全年总体绩效目标完成情况为100%，各项指标评价结论达到优秀等级。博物馆是社会公益性文化事业的重要组成部分,它的活动已经渗透到教育、科学、文化、旅游等各项事业中,发挥着特殊的作用。</w:t>
      </w:r>
    </w:p>
    <w:p w14:paraId="1889D480">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3" w:firstLineChars="200"/>
        <w:jc w:val="both"/>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三、项目自评发现的问题及整改措</w:t>
      </w:r>
    </w:p>
    <w:p w14:paraId="783426D2">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leftChars="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(一）存在问题</w:t>
      </w:r>
    </w:p>
    <w:p w14:paraId="1496F9E7">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1.预算编制精细化不足，部分科目预估偏差较大；</w:t>
      </w:r>
    </w:p>
    <w:p w14:paraId="122C9AA6">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2.支付进度滞后，影响项目整体推进效率；</w:t>
      </w:r>
    </w:p>
    <w:p w14:paraId="3391850E">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3.部分项目支持力度不足。</w:t>
      </w:r>
    </w:p>
    <w:p w14:paraId="3A16C24F">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（二）整改措施</w:t>
      </w:r>
    </w:p>
    <w:p w14:paraId="7C42CF4E">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1.推行“项目+财务”联动机制，动态监控资金执行；</w:t>
      </w:r>
    </w:p>
    <w:p w14:paraId="20B7BFA4">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2.强化事前绩效评估，提升预算精准度；</w:t>
      </w:r>
    </w:p>
    <w:p w14:paraId="5636090C">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3.优化支付流程，建立“绿色通道”保障重点项目。</w:t>
      </w:r>
    </w:p>
    <w:p w14:paraId="36F7FFEB">
      <w:pPr>
        <w:keepNext w:val="0"/>
        <w:keepLines w:val="0"/>
        <w:pageBreakBefore w:val="0"/>
        <w:widowControl w:val="0"/>
        <w:numPr>
          <w:ilvl w:val="0"/>
          <w:numId w:val="1"/>
        </w:numPr>
        <w:kinsoku/>
        <w:wordWrap w:val="0"/>
        <w:overflowPunct/>
        <w:topLinePunct w:val="0"/>
        <w:autoSpaceDE/>
        <w:autoSpaceDN/>
        <w:bidi w:val="0"/>
        <w:adjustRightInd/>
        <w:snapToGrid/>
        <w:spacing w:after="0" w:line="540" w:lineRule="exact"/>
        <w:ind w:left="0" w:leftChars="0" w:right="0" w:rightChars="0" w:firstLine="640" w:firstLineChars="0"/>
        <w:jc w:val="both"/>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项目自评工作建议及预算安排建议</w:t>
      </w:r>
    </w:p>
    <w:p w14:paraId="069ABA62">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（一）项目自评工作建议</w:t>
      </w:r>
    </w:p>
    <w:p w14:paraId="2DAFE3D5">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1.强化过程跟踪。建立“季度自查+中期评估”机制，动态监控绩效目标实现进度，避免年终集中补材料。</w:t>
      </w:r>
    </w:p>
    <w:p w14:paraId="380DEDFD">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2.提升数据质量。开发数字化填报工具，对接财务/业务系统自动抓取数据，减少人工误差（如执行率、受益人数）。</w:t>
      </w:r>
    </w:p>
    <w:p w14:paraId="7A74C1F6">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（二）预算安排建议</w:t>
      </w:r>
    </w:p>
    <w:p w14:paraId="444827E3">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1.推行精准化预算编制。按项目阶段拆分预算（如筹备期30%、执行期50%、验收期20%），匹配实施进度。</w:t>
      </w:r>
    </w:p>
    <w:p w14:paraId="46E1F565">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2.优化资金支付机制。对进度达标项目开放“资金预拨付通道”（最高30%），缓解前期启动压力。</w:t>
      </w:r>
    </w:p>
    <w:p w14:paraId="5B24300E">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3.建立弹性调整规则。允许年中按需申请预算调整（幅度≤10%），但需附绩效目标变更说明及佐证。</w:t>
      </w:r>
    </w:p>
    <w:p w14:paraId="67351FF3">
      <w:pPr>
        <w:keepNext w:val="0"/>
        <w:keepLines w:val="0"/>
        <w:pageBreakBefore w:val="0"/>
        <w:widowControl w:val="0"/>
        <w:numPr>
          <w:ilvl w:val="0"/>
          <w:numId w:val="0"/>
        </w:numPr>
        <w:kinsoku/>
        <w:wordWrap w:val="0"/>
        <w:overflowPunct/>
        <w:topLinePunct w:val="0"/>
        <w:autoSpaceDE/>
        <w:autoSpaceDN/>
        <w:bidi w:val="0"/>
        <w:adjustRightInd/>
        <w:snapToGrid/>
        <w:spacing w:after="0" w:line="540" w:lineRule="exact"/>
        <w:ind w:left="0" w:right="0" w:rightChars="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4.我市市级非遗传承人补助经费需向其他具有成熟经验的市州学习，适当提高传承人补助经费。</w:t>
      </w:r>
    </w:p>
    <w:p w14:paraId="1A8D31BC">
      <w:pPr>
        <w:keepNext w:val="0"/>
        <w:keepLines w:val="0"/>
        <w:pageBreakBefore w:val="0"/>
        <w:widowControl w:val="0"/>
        <w:kinsoku/>
        <w:wordWrap/>
        <w:overflowPunct/>
        <w:topLinePunct w:val="0"/>
        <w:autoSpaceDE/>
        <w:autoSpaceDN/>
        <w:bidi w:val="0"/>
        <w:adjustRightInd/>
        <w:snapToGrid w:val="0"/>
        <w:spacing w:line="540" w:lineRule="exact"/>
        <w:ind w:left="0" w:right="0"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六、其他需要说明的问题</w:t>
      </w:r>
      <w:r>
        <w:rPr>
          <w:rFonts w:hint="eastAsia" w:ascii="仿宋" w:hAnsi="仿宋" w:eastAsia="仿宋" w:cs="仿宋"/>
          <w:b/>
          <w:bCs/>
          <w:color w:val="auto"/>
          <w:sz w:val="32"/>
          <w:szCs w:val="32"/>
          <w:highlight w:val="none"/>
          <w:lang w:val="en-US" w:eastAsia="zh-CN"/>
        </w:rPr>
        <w:tab/>
      </w:r>
    </w:p>
    <w:p w14:paraId="36135B13">
      <w:pPr>
        <w:keepNext w:val="0"/>
        <w:keepLines w:val="0"/>
        <w:pageBreakBefore w:val="0"/>
        <w:widowControl w:val="0"/>
        <w:kinsoku/>
        <w:wordWrap/>
        <w:overflowPunct/>
        <w:topLinePunct w:val="0"/>
        <w:autoSpaceDE/>
        <w:autoSpaceDN/>
        <w:bidi w:val="0"/>
        <w:adjustRightInd/>
        <w:snapToGrid w:val="0"/>
        <w:spacing w:line="540" w:lineRule="exact"/>
        <w:ind w:left="0" w:right="0"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无</w:t>
      </w:r>
    </w:p>
    <w:p w14:paraId="10696B9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223CC2E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 w:hAnsi="仿宋" w:eastAsia="仿宋" w:cs="仿宋"/>
          <w:b/>
          <w:bCs/>
          <w:color w:val="auto"/>
          <w:sz w:val="32"/>
          <w:szCs w:val="32"/>
          <w:highlight w:val="none"/>
          <w:lang w:val="en-US" w:eastAsia="zh-CN"/>
        </w:rPr>
      </w:pPr>
    </w:p>
    <w:p w14:paraId="533E4A5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578624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C9EAA7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143DE70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2068B21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625D13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C8BBEE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2005" w:leftChars="190" w:right="0" w:hanging="1606" w:hangingChars="400"/>
        <w:jc w:val="both"/>
        <w:textAlignment w:val="auto"/>
        <w:rPr>
          <w:rFonts w:hint="eastAsia" w:ascii="仿宋" w:hAnsi="仿宋" w:eastAsia="仿宋" w:cs="仿宋"/>
          <w:b/>
          <w:bCs/>
          <w:i w:val="0"/>
          <w:iCs w:val="0"/>
          <w:caps w:val="0"/>
          <w:color w:val="000000"/>
          <w:spacing w:val="0"/>
          <w:sz w:val="40"/>
          <w:szCs w:val="40"/>
          <w:shd w:val="clear" w:fill="FFFFFF"/>
          <w:lang w:val="en-US" w:eastAsia="zh-CN"/>
        </w:rPr>
      </w:pPr>
      <w:r>
        <w:rPr>
          <w:rFonts w:hint="eastAsia" w:ascii="仿宋" w:hAnsi="仿宋" w:eastAsia="仿宋" w:cs="仿宋"/>
          <w:b/>
          <w:bCs/>
          <w:i w:val="0"/>
          <w:iCs w:val="0"/>
          <w:caps w:val="0"/>
          <w:color w:val="000000"/>
          <w:spacing w:val="0"/>
          <w:sz w:val="40"/>
          <w:szCs w:val="40"/>
          <w:shd w:val="clear" w:fill="FFFFFF"/>
          <w:lang w:val="en-US" w:eastAsia="zh-CN"/>
        </w:rPr>
        <w:t>2025年度怀化市文化遗产保护中心（博物馆）整体支出绩效自评报告</w:t>
      </w:r>
    </w:p>
    <w:p w14:paraId="4702932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567F70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9B78B2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C4F124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D80EF2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CA8496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574FEB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9FCA9E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BE9145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2A987E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491C49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28400B0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E8858C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5AEE8B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6FAEB77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AB0A8E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445E1BB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66841E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2EEFCC6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EA4034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6351813">
      <w:pPr>
        <w:keepNext w:val="0"/>
        <w:keepLines w:val="0"/>
        <w:pageBreakBefore w:val="0"/>
        <w:widowControl w:val="0"/>
        <w:kinsoku/>
        <w:wordWrap/>
        <w:overflowPunct/>
        <w:topLinePunct w:val="0"/>
        <w:autoSpaceDE/>
        <w:autoSpaceDN/>
        <w:bidi w:val="0"/>
        <w:adjustRightInd/>
        <w:snapToGrid/>
        <w:spacing w:line="300" w:lineRule="auto"/>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（一）部门（单位）基本情况。</w:t>
      </w:r>
    </w:p>
    <w:p w14:paraId="3BD04E5B">
      <w:pPr>
        <w:keepNext w:val="0"/>
        <w:keepLines w:val="0"/>
        <w:pageBreakBefore w:val="0"/>
        <w:widowControl w:val="0"/>
        <w:kinsoku/>
        <w:wordWrap/>
        <w:overflowPunct/>
        <w:topLinePunct w:val="0"/>
        <w:autoSpaceDE/>
        <w:autoSpaceDN/>
        <w:bidi w:val="0"/>
        <w:adjustRightInd/>
        <w:snapToGrid/>
        <w:spacing w:line="30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怀化市文化遗产保护中心（市博物馆）为怀化市文</w:t>
      </w:r>
      <w:r>
        <w:rPr>
          <w:rFonts w:hint="eastAsia" w:ascii="仿宋" w:hAnsi="仿宋" w:eastAsia="仿宋" w:cs="仿宋"/>
          <w:sz w:val="32"/>
          <w:szCs w:val="32"/>
          <w:lang w:eastAsia="zh-CN"/>
        </w:rPr>
        <w:t>化</w:t>
      </w:r>
      <w:r>
        <w:rPr>
          <w:rFonts w:hint="eastAsia" w:ascii="仿宋" w:hAnsi="仿宋" w:eastAsia="仿宋" w:cs="仿宋"/>
          <w:sz w:val="32"/>
          <w:szCs w:val="32"/>
        </w:rPr>
        <w:t>旅</w:t>
      </w:r>
      <w:r>
        <w:rPr>
          <w:rFonts w:hint="eastAsia" w:ascii="仿宋" w:hAnsi="仿宋" w:eastAsia="仿宋" w:cs="仿宋"/>
          <w:sz w:val="32"/>
          <w:szCs w:val="32"/>
          <w:lang w:eastAsia="zh-CN"/>
        </w:rPr>
        <w:t>游</w:t>
      </w:r>
      <w:r>
        <w:rPr>
          <w:rFonts w:hint="eastAsia" w:ascii="仿宋" w:hAnsi="仿宋" w:eastAsia="仿宋" w:cs="仿宋"/>
          <w:sz w:val="32"/>
          <w:szCs w:val="32"/>
        </w:rPr>
        <w:t>广</w:t>
      </w:r>
      <w:r>
        <w:rPr>
          <w:rFonts w:hint="eastAsia" w:ascii="仿宋" w:hAnsi="仿宋" w:eastAsia="仿宋" w:cs="仿宋"/>
          <w:sz w:val="32"/>
          <w:szCs w:val="32"/>
          <w:lang w:eastAsia="zh-CN"/>
        </w:rPr>
        <w:t>电</w:t>
      </w:r>
      <w:r>
        <w:rPr>
          <w:rFonts w:hint="eastAsia" w:ascii="仿宋" w:hAnsi="仿宋" w:eastAsia="仿宋" w:cs="仿宋"/>
          <w:sz w:val="32"/>
          <w:szCs w:val="32"/>
        </w:rPr>
        <w:t>体</w:t>
      </w:r>
      <w:r>
        <w:rPr>
          <w:rFonts w:hint="eastAsia" w:ascii="仿宋" w:hAnsi="仿宋" w:eastAsia="仿宋" w:cs="仿宋"/>
          <w:sz w:val="32"/>
          <w:szCs w:val="32"/>
          <w:lang w:eastAsia="zh-CN"/>
        </w:rPr>
        <w:t>育</w:t>
      </w:r>
      <w:r>
        <w:rPr>
          <w:rFonts w:hint="eastAsia" w:ascii="仿宋" w:hAnsi="仿宋" w:eastAsia="仿宋" w:cs="仿宋"/>
          <w:sz w:val="32"/>
          <w:szCs w:val="32"/>
        </w:rPr>
        <w:t>局所属副处级公益</w:t>
      </w:r>
      <w:r>
        <w:rPr>
          <w:rFonts w:hint="eastAsia" w:ascii="仿宋" w:hAnsi="仿宋" w:eastAsia="仿宋" w:cs="仿宋"/>
          <w:sz w:val="32"/>
          <w:szCs w:val="32"/>
          <w:lang w:eastAsia="zh-CN"/>
        </w:rPr>
        <w:t>二</w:t>
      </w:r>
      <w:r>
        <w:rPr>
          <w:rFonts w:hint="eastAsia" w:ascii="仿宋" w:hAnsi="仿宋" w:eastAsia="仿宋" w:cs="仿宋"/>
          <w:sz w:val="32"/>
          <w:szCs w:val="32"/>
        </w:rPr>
        <w:t>类事业单位，位于怀化市迎丰中路</w:t>
      </w:r>
      <w:r>
        <w:rPr>
          <w:rFonts w:hint="eastAsia" w:ascii="仿宋" w:hAnsi="仿宋" w:eastAsia="仿宋" w:cs="仿宋"/>
          <w:sz w:val="32"/>
          <w:szCs w:val="32"/>
          <w:lang w:val="en-US" w:eastAsia="zh-CN"/>
        </w:rPr>
        <w:t>360号</w:t>
      </w:r>
      <w:r>
        <w:rPr>
          <w:rFonts w:hint="eastAsia" w:ascii="仿宋" w:hAnsi="仿宋" w:eastAsia="仿宋" w:cs="仿宋"/>
          <w:sz w:val="32"/>
          <w:szCs w:val="32"/>
        </w:rPr>
        <w:t>市博物馆内。2019年6月机构改革，市非遗保护中心与市博物馆合并</w:t>
      </w:r>
      <w:r>
        <w:rPr>
          <w:rFonts w:hint="eastAsia" w:ascii="仿宋" w:hAnsi="仿宋" w:eastAsia="仿宋" w:cs="仿宋"/>
          <w:sz w:val="32"/>
          <w:szCs w:val="32"/>
          <w:lang w:val="en-US" w:eastAsia="zh-CN"/>
        </w:rPr>
        <w:t>,</w:t>
      </w:r>
      <w:r>
        <w:rPr>
          <w:rFonts w:hint="eastAsia" w:ascii="仿宋" w:hAnsi="仿宋" w:eastAsia="仿宋" w:cs="仿宋"/>
          <w:snapToGrid/>
          <w:color w:val="000000"/>
          <w:kern w:val="2"/>
          <w:sz w:val="32"/>
          <w:szCs w:val="32"/>
          <w:lang w:val="en-US" w:eastAsia="zh-CN" w:bidi="ar-SA"/>
        </w:rPr>
        <w:t>设一正三副三科室，即内设综合室、非物质文化遗产管理部、陈列展览部三科室。2021年9月，增设文物保护利用部。目前，现有工作人员28人，其中高级职称6人，中级职称9人。</w:t>
      </w:r>
      <w:r>
        <w:rPr>
          <w:rFonts w:hint="eastAsia" w:ascii="仿宋" w:hAnsi="仿宋" w:eastAsia="仿宋" w:cs="仿宋"/>
          <w:sz w:val="32"/>
          <w:szCs w:val="32"/>
        </w:rPr>
        <w:t>主要职责为：1、宣传、贯彻落实国家、省有关非物质文化遗产保护和博物馆工作的方针政策和法律法规，为群众提供非物质文化遗产及博物馆相关公共文化服务。2、承担全市非物质文化遗产及博物馆保护利用中长期发展规划编制相关事务性工作，为全市非物质文化遗产及博物馆申报、管理和保护利用工作提供专业性意见。3、承担全市非物质文化遗产及博物馆资料库建设和信息化管理工作。4、承担非物质文化遗产保护及博物馆科技和学术研究等相关工作。5、承担全市范围内的文物调查、勘探及抢救性考古挖掘项目的申报和具体实施等事务性工作。6、承担市博物馆安防、消防、防雷、展示、建设等项目和非物质文化遗产保护利用项目的方案编制等事务性工作。7、承担市博物馆及非物质文化遗产馆的固定陈列和临时展览策划、设计、布展，以及免费开放安全、服务、统计等日常工作。8、承担市博物馆及非物质文化遗产馆馆藏可移动文物安全管理、征集收藏、保养修复、拨转借调等事务性工作。9、承担市文化旅游广电体育局交办的其他工作。</w:t>
      </w:r>
    </w:p>
    <w:p w14:paraId="03680A69">
      <w:pPr>
        <w:keepNext w:val="0"/>
        <w:keepLines w:val="0"/>
        <w:pageBreakBefore w:val="0"/>
        <w:widowControl w:val="0"/>
        <w:numPr>
          <w:ilvl w:val="0"/>
          <w:numId w:val="4"/>
        </w:numPr>
        <w:kinsoku/>
        <w:wordWrap/>
        <w:overflowPunct/>
        <w:topLinePunct w:val="0"/>
        <w:autoSpaceDE/>
        <w:autoSpaceDN/>
        <w:bidi w:val="0"/>
        <w:adjustRightInd/>
        <w:snapToGrid/>
        <w:spacing w:line="300" w:lineRule="auto"/>
        <w:ind w:firstLine="640" w:firstLineChars="200"/>
        <w:jc w:val="both"/>
        <w:textAlignment w:val="auto"/>
        <w:rPr>
          <w:rFonts w:hint="eastAsia" w:ascii="仿宋" w:hAnsi="仿宋" w:eastAsia="仿宋" w:cs="仿宋"/>
          <w:snapToGrid/>
          <w:color w:val="000000"/>
          <w:kern w:val="2"/>
          <w:sz w:val="32"/>
          <w:szCs w:val="32"/>
          <w:lang w:val="en-US" w:eastAsia="zh-CN" w:bidi="ar-SA"/>
        </w:rPr>
      </w:pPr>
      <w:r>
        <w:rPr>
          <w:rFonts w:hint="eastAsia" w:ascii="仿宋" w:hAnsi="仿宋" w:eastAsia="仿宋" w:cs="仿宋"/>
          <w:color w:val="auto"/>
          <w:sz w:val="32"/>
          <w:szCs w:val="32"/>
          <w:highlight w:val="none"/>
          <w:lang w:val="en-US" w:eastAsia="zh-CN"/>
        </w:rPr>
        <w:t>部门（单位）整体支出规模、使用方向和主要内容、涉及范围等。</w:t>
      </w:r>
    </w:p>
    <w:p w14:paraId="492222D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640" w:firstLineChars="200"/>
        <w:jc w:val="both"/>
        <w:textAlignment w:val="auto"/>
        <w:rPr>
          <w:rFonts w:hint="eastAsia" w:ascii="仿宋" w:hAnsi="仿宋" w:eastAsia="仿宋" w:cs="仿宋"/>
          <w:snapToGrid/>
          <w:color w:val="000000"/>
          <w:kern w:val="2"/>
          <w:sz w:val="32"/>
          <w:szCs w:val="32"/>
          <w:lang w:val="en-US" w:eastAsia="zh-CN" w:bidi="ar-SA"/>
        </w:rPr>
      </w:pPr>
      <w:r>
        <w:rPr>
          <w:rFonts w:hint="eastAsia" w:ascii="仿宋" w:hAnsi="仿宋" w:eastAsia="仿宋" w:cs="仿宋"/>
          <w:snapToGrid/>
          <w:color w:val="000000"/>
          <w:kern w:val="2"/>
          <w:sz w:val="32"/>
          <w:szCs w:val="32"/>
          <w:lang w:val="en-US" w:eastAsia="zh-CN" w:bidi="ar-SA"/>
        </w:rPr>
        <w:t>怀化市文化遗产中心（市博物馆）负责组织市非物质文化遗产项目的挖掘、抢救、研究、保护、整理、展示等工作,</w:t>
      </w:r>
    </w:p>
    <w:p w14:paraId="1AA52E80">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仿宋" w:hAnsi="仿宋" w:eastAsia="仿宋" w:cs="仿宋"/>
          <w:snapToGrid/>
          <w:color w:val="000000"/>
          <w:kern w:val="2"/>
          <w:sz w:val="32"/>
          <w:szCs w:val="32"/>
          <w:lang w:val="en-US" w:eastAsia="zh-CN" w:bidi="ar-SA"/>
        </w:rPr>
      </w:pPr>
      <w:r>
        <w:rPr>
          <w:rFonts w:hint="eastAsia" w:ascii="仿宋" w:hAnsi="仿宋" w:eastAsia="仿宋" w:cs="仿宋"/>
          <w:snapToGrid/>
          <w:color w:val="000000"/>
          <w:kern w:val="2"/>
          <w:sz w:val="32"/>
          <w:szCs w:val="32"/>
          <w:lang w:val="en-US" w:eastAsia="zh-CN" w:bidi="ar-SA"/>
        </w:rPr>
        <w:t>博物馆负责文物陈列、保管、展示、保护、利用、宣传等工作。</w:t>
      </w:r>
    </w:p>
    <w:p w14:paraId="7EDABA8D">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仿宋" w:hAnsi="仿宋" w:eastAsia="仿宋" w:cs="仿宋"/>
          <w:sz w:val="32"/>
          <w:szCs w:val="32"/>
        </w:rPr>
      </w:pPr>
      <w:r>
        <w:rPr>
          <w:rFonts w:hint="eastAsia" w:ascii="仿宋" w:hAnsi="仿宋" w:eastAsia="仿宋" w:cs="仿宋"/>
          <w:snapToGrid/>
          <w:color w:val="000000"/>
          <w:kern w:val="2"/>
          <w:sz w:val="32"/>
          <w:szCs w:val="32"/>
          <w:lang w:val="en-US" w:eastAsia="zh-CN" w:bidi="ar-SA"/>
        </w:rPr>
        <w:t>　　主要</w:t>
      </w:r>
      <w:r>
        <w:rPr>
          <w:rFonts w:hint="eastAsia" w:ascii="仿宋" w:hAnsi="仿宋" w:eastAsia="仿宋" w:cs="仿宋"/>
          <w:b w:val="0"/>
          <w:bCs w:val="0"/>
          <w:sz w:val="32"/>
          <w:szCs w:val="32"/>
          <w:lang w:val="en-US" w:eastAsia="zh-CN"/>
        </w:rPr>
        <w:t>开展非遗保护与传承、博物馆免费开放、博物馆藏品保管、考古勘探与研究方面工作；</w:t>
      </w:r>
      <w:r>
        <w:rPr>
          <w:rFonts w:hint="eastAsia" w:ascii="仿宋" w:hAnsi="仿宋" w:eastAsia="仿宋" w:cs="仿宋"/>
          <w:color w:val="000000"/>
          <w:kern w:val="0"/>
          <w:sz w:val="32"/>
          <w:szCs w:val="32"/>
          <w:lang w:val="zh-CN"/>
        </w:rPr>
        <w:t>完善名录体系、</w:t>
      </w:r>
      <w:r>
        <w:rPr>
          <w:rFonts w:hint="eastAsia" w:ascii="仿宋" w:hAnsi="仿宋" w:eastAsia="仿宋" w:cs="仿宋"/>
          <w:kern w:val="0"/>
          <w:sz w:val="32"/>
          <w:szCs w:val="32"/>
          <w:lang w:val="zh-CN"/>
        </w:rPr>
        <w:t>传承人开展传习活动、培养后继人才、保存非物质文化遗产相关实物或者资料、</w:t>
      </w:r>
      <w:r>
        <w:rPr>
          <w:rFonts w:hint="eastAsia" w:ascii="仿宋" w:hAnsi="仿宋" w:eastAsia="仿宋" w:cs="仿宋"/>
          <w:color w:val="auto"/>
          <w:kern w:val="0"/>
          <w:sz w:val="32"/>
          <w:szCs w:val="32"/>
          <w:lang w:val="zh-CN" w:eastAsia="zh-CN"/>
        </w:rPr>
        <w:t>陈列展览和科学研究；征集足够数量和较高质量的文物和标本；</w:t>
      </w:r>
      <w:r>
        <w:rPr>
          <w:rFonts w:hint="eastAsia" w:ascii="仿宋" w:hAnsi="仿宋" w:eastAsia="仿宋" w:cs="仿宋"/>
          <w:sz w:val="32"/>
          <w:szCs w:val="32"/>
          <w:lang w:val="en-US" w:eastAsia="zh-CN"/>
        </w:rPr>
        <w:t>我市文化遗产调查研究、规划编制、宣传出版、咨询评审、推广培训、实物购置、文化生态保护区建设及与非物质文化遗产保护；</w:t>
      </w:r>
      <w:r>
        <w:rPr>
          <w:rFonts w:hint="eastAsia" w:ascii="仿宋" w:hAnsi="仿宋" w:eastAsia="仿宋" w:cs="仿宋"/>
          <w:color w:val="auto"/>
          <w:kern w:val="0"/>
          <w:sz w:val="32"/>
          <w:szCs w:val="32"/>
          <w:lang w:val="en-US" w:eastAsia="zh-CN"/>
        </w:rPr>
        <w:t>通过全方位、多渠道征集</w:t>
      </w:r>
      <w:r>
        <w:rPr>
          <w:rFonts w:hint="eastAsia" w:ascii="仿宋" w:hAnsi="仿宋" w:eastAsia="仿宋" w:cs="仿宋"/>
          <w:color w:val="auto"/>
          <w:kern w:val="0"/>
          <w:sz w:val="32"/>
          <w:szCs w:val="32"/>
          <w:lang w:val="zh-CN" w:eastAsia="zh-CN"/>
        </w:rPr>
        <w:t>文物藏品</w:t>
      </w:r>
      <w:r>
        <w:rPr>
          <w:rFonts w:hint="eastAsia" w:ascii="仿宋" w:hAnsi="仿宋" w:eastAsia="仿宋" w:cs="仿宋"/>
          <w:color w:val="auto"/>
          <w:kern w:val="0"/>
          <w:sz w:val="32"/>
          <w:szCs w:val="32"/>
          <w:lang w:val="en-US" w:eastAsia="zh-CN"/>
        </w:rPr>
        <w:t>，完善馆藏藏品体系，提升收藏水平，高质量的展览，更好地发挥文化传承、研究与传播职能；</w:t>
      </w:r>
      <w:r>
        <w:rPr>
          <w:rFonts w:hint="eastAsia" w:ascii="仿宋" w:hAnsi="仿宋" w:eastAsia="仿宋" w:cs="仿宋"/>
          <w:kern w:val="0"/>
          <w:sz w:val="32"/>
          <w:szCs w:val="32"/>
          <w:lang w:val="zh-CN"/>
        </w:rPr>
        <w:t>开展传习活动、培养后继人才、保存非物质文化遗产相关实物或者资料，支持其参与非物质文化遗产公益性宣传，参加研讨、座谈、讲座、培训活动等。</w:t>
      </w:r>
    </w:p>
    <w:p w14:paraId="797E60B2">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Autospacing="0"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怀化市文化遗产保护中心（市博物馆）预算申报项目资金共计204.7万元，其中市级传承人52.5万元；非遗保护经费50万元；文物征集与修复20万元；市级免费开放配套资金10万元；考古调查勘探发掘非税经费72.2万元，1-7月项目支出中只有考古调查勘探发掘非税经费使用7.75万元，其他项目均未产生支出金额，是由于财政经费未下达。</w:t>
      </w:r>
    </w:p>
    <w:p w14:paraId="111874A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BDCAEFB">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（一）基本支出</w:t>
      </w:r>
    </w:p>
    <w:p w14:paraId="01D686BC">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bCs/>
          <w:color w:val="000000"/>
          <w:sz w:val="32"/>
          <w:szCs w:val="32"/>
          <w:lang w:eastAsia="zh-CN"/>
        </w:rPr>
        <w:t>怀化</w:t>
      </w:r>
      <w:r>
        <w:rPr>
          <w:rFonts w:hint="eastAsia" w:ascii="仿宋" w:hAnsi="仿宋" w:eastAsia="仿宋" w:cs="仿宋"/>
          <w:bCs/>
          <w:color w:val="000000"/>
          <w:sz w:val="32"/>
          <w:szCs w:val="32"/>
        </w:rPr>
        <w:t>市文化遗产保护中心</w:t>
      </w:r>
      <w:r>
        <w:rPr>
          <w:rFonts w:hint="eastAsia" w:ascii="仿宋" w:hAnsi="仿宋" w:eastAsia="仿宋" w:cs="仿宋"/>
          <w:bCs/>
          <w:color w:val="000000"/>
          <w:sz w:val="32"/>
          <w:szCs w:val="32"/>
          <w:lang w:eastAsia="zh-CN"/>
        </w:rPr>
        <w:t>（市博物馆）</w:t>
      </w:r>
      <w:r>
        <w:rPr>
          <w:rFonts w:hint="eastAsia" w:ascii="仿宋" w:hAnsi="仿宋" w:eastAsia="仿宋" w:cs="仿宋"/>
          <w:b w:val="0"/>
          <w:bCs/>
          <w:color w:val="000000"/>
          <w:sz w:val="32"/>
          <w:szCs w:val="32"/>
          <w:lang w:val="en-US" w:eastAsia="zh-CN"/>
        </w:rPr>
        <w:t>2025</w:t>
      </w:r>
      <w:r>
        <w:rPr>
          <w:rFonts w:hint="eastAsia" w:ascii="仿宋" w:hAnsi="仿宋" w:eastAsia="仿宋" w:cs="仿宋"/>
          <w:bCs/>
          <w:color w:val="000000"/>
          <w:sz w:val="32"/>
          <w:szCs w:val="32"/>
        </w:rPr>
        <w:t>年基本支出一般公共预算财政拨</w:t>
      </w:r>
      <w:r>
        <w:rPr>
          <w:rFonts w:hint="eastAsia" w:ascii="仿宋" w:hAnsi="仿宋" w:eastAsia="仿宋" w:cs="仿宋"/>
          <w:bCs/>
          <w:sz w:val="32"/>
          <w:szCs w:val="32"/>
        </w:rPr>
        <w:t>款</w:t>
      </w:r>
      <w:r>
        <w:rPr>
          <w:rFonts w:hint="eastAsia" w:ascii="仿宋" w:hAnsi="仿宋" w:eastAsia="仿宋" w:cs="仿宋"/>
          <w:bCs/>
          <w:sz w:val="32"/>
          <w:szCs w:val="32"/>
          <w:lang w:val="en-US" w:eastAsia="zh-CN"/>
        </w:rPr>
        <w:t>447.49</w:t>
      </w:r>
      <w:r>
        <w:rPr>
          <w:rFonts w:hint="eastAsia" w:ascii="仿宋" w:hAnsi="仿宋" w:eastAsia="仿宋" w:cs="仿宋"/>
          <w:bCs/>
          <w:color w:val="000000"/>
          <w:sz w:val="32"/>
          <w:szCs w:val="32"/>
        </w:rPr>
        <w:t>万元，包括用于基本工资、绩效津补贴等人员经费支出</w:t>
      </w:r>
      <w:r>
        <w:rPr>
          <w:rFonts w:hint="eastAsia" w:ascii="仿宋" w:hAnsi="仿宋" w:eastAsia="仿宋" w:cs="仿宋"/>
          <w:bCs/>
          <w:color w:val="000000"/>
          <w:sz w:val="32"/>
          <w:szCs w:val="32"/>
          <w:lang w:val="en-US" w:eastAsia="zh-CN"/>
        </w:rPr>
        <w:t>322.68</w:t>
      </w:r>
      <w:r>
        <w:rPr>
          <w:rFonts w:hint="eastAsia" w:ascii="仿宋" w:hAnsi="仿宋" w:eastAsia="仿宋" w:cs="仿宋"/>
          <w:bCs/>
          <w:color w:val="000000"/>
          <w:sz w:val="32"/>
          <w:szCs w:val="32"/>
        </w:rPr>
        <w:t>万元及用于博物馆免费开放运行、文物陈列品购置等公用经费支出</w:t>
      </w:r>
      <w:r>
        <w:rPr>
          <w:rFonts w:hint="eastAsia" w:ascii="仿宋" w:hAnsi="仿宋" w:eastAsia="仿宋" w:cs="仿宋"/>
          <w:bCs/>
          <w:color w:val="000000"/>
          <w:sz w:val="32"/>
          <w:szCs w:val="32"/>
          <w:lang w:val="en-US" w:eastAsia="zh-CN"/>
        </w:rPr>
        <w:t>44.80</w:t>
      </w:r>
      <w:r>
        <w:rPr>
          <w:rFonts w:hint="eastAsia" w:ascii="仿宋" w:hAnsi="仿宋" w:eastAsia="仿宋" w:cs="仿宋"/>
          <w:bCs/>
          <w:color w:val="000000"/>
          <w:sz w:val="32"/>
          <w:szCs w:val="32"/>
        </w:rPr>
        <w:t>万元，其中公用经费中一般商品及服务类支出</w:t>
      </w:r>
      <w:r>
        <w:rPr>
          <w:rFonts w:hint="eastAsia" w:ascii="仿宋" w:hAnsi="仿宋" w:eastAsia="仿宋" w:cs="仿宋"/>
          <w:bCs/>
          <w:color w:val="000000"/>
          <w:sz w:val="32"/>
          <w:szCs w:val="32"/>
          <w:lang w:val="en-US" w:eastAsia="zh-CN"/>
        </w:rPr>
        <w:t>293.18</w:t>
      </w:r>
      <w:r>
        <w:rPr>
          <w:rFonts w:hint="eastAsia" w:ascii="仿宋" w:hAnsi="仿宋" w:eastAsia="仿宋" w:cs="仿宋"/>
          <w:bCs/>
          <w:color w:val="000000"/>
          <w:sz w:val="32"/>
          <w:szCs w:val="32"/>
        </w:rPr>
        <w:t>万元。本年度 “三公”经费的开支</w:t>
      </w:r>
      <w:r>
        <w:rPr>
          <w:rFonts w:hint="eastAsia" w:ascii="仿宋" w:hAnsi="仿宋" w:eastAsia="仿宋" w:cs="仿宋"/>
          <w:bCs/>
          <w:color w:val="000000"/>
          <w:sz w:val="32"/>
          <w:szCs w:val="32"/>
          <w:lang w:val="en-US" w:eastAsia="zh-CN"/>
        </w:rPr>
        <w:t>2.198</w:t>
      </w:r>
      <w:r>
        <w:rPr>
          <w:rFonts w:hint="eastAsia" w:ascii="仿宋" w:hAnsi="仿宋" w:eastAsia="仿宋" w:cs="仿宋"/>
          <w:bCs/>
          <w:color w:val="000000"/>
          <w:sz w:val="32"/>
          <w:szCs w:val="32"/>
        </w:rPr>
        <w:t>万元，包括公车运行维护费</w:t>
      </w:r>
      <w:r>
        <w:rPr>
          <w:rFonts w:hint="eastAsia" w:ascii="仿宋" w:hAnsi="仿宋" w:eastAsia="仿宋" w:cs="仿宋"/>
          <w:bCs/>
          <w:color w:val="000000"/>
          <w:sz w:val="32"/>
          <w:szCs w:val="32"/>
          <w:lang w:val="en-US" w:eastAsia="zh-CN"/>
        </w:rPr>
        <w:t>2.12</w:t>
      </w:r>
      <w:r>
        <w:rPr>
          <w:rFonts w:hint="eastAsia" w:ascii="仿宋" w:hAnsi="仿宋" w:eastAsia="仿宋" w:cs="仿宋"/>
          <w:bCs/>
          <w:color w:val="000000"/>
          <w:sz w:val="32"/>
          <w:szCs w:val="32"/>
        </w:rPr>
        <w:t>万元，公务接待费</w:t>
      </w:r>
      <w:r>
        <w:rPr>
          <w:rFonts w:hint="eastAsia" w:ascii="仿宋" w:hAnsi="仿宋" w:eastAsia="仿宋" w:cs="仿宋"/>
          <w:bCs/>
          <w:color w:val="000000"/>
          <w:sz w:val="32"/>
          <w:szCs w:val="32"/>
          <w:lang w:val="en-US" w:eastAsia="zh-CN"/>
        </w:rPr>
        <w:t>0.078</w:t>
      </w:r>
      <w:r>
        <w:rPr>
          <w:rFonts w:hint="eastAsia" w:ascii="仿宋" w:hAnsi="仿宋" w:eastAsia="仿宋" w:cs="仿宋"/>
          <w:bCs/>
          <w:color w:val="000000"/>
          <w:sz w:val="32"/>
          <w:szCs w:val="32"/>
        </w:rPr>
        <w:t>万元。</w:t>
      </w:r>
      <w:r>
        <w:rPr>
          <w:rFonts w:hint="eastAsia" w:ascii="仿宋" w:hAnsi="仿宋" w:eastAsia="仿宋" w:cs="仿宋"/>
          <w:bCs/>
          <w:color w:val="000000"/>
          <w:sz w:val="32"/>
          <w:szCs w:val="32"/>
          <w:lang w:eastAsia="zh-CN"/>
        </w:rPr>
        <w:t>因</w:t>
      </w:r>
      <w:r>
        <w:rPr>
          <w:rFonts w:hint="eastAsia" w:ascii="仿宋" w:hAnsi="仿宋" w:eastAsia="仿宋" w:cs="仿宋"/>
          <w:bCs/>
          <w:color w:val="000000"/>
          <w:sz w:val="32"/>
          <w:szCs w:val="32"/>
        </w:rPr>
        <w:t>执行厉行节约，减少开支原则本年度三公经费开支较上年度</w:t>
      </w:r>
      <w:r>
        <w:rPr>
          <w:rFonts w:hint="eastAsia" w:ascii="仿宋" w:hAnsi="仿宋" w:eastAsia="仿宋" w:cs="仿宋"/>
          <w:bCs/>
          <w:color w:val="000000"/>
          <w:sz w:val="32"/>
          <w:szCs w:val="32"/>
          <w:lang w:eastAsia="zh-CN"/>
        </w:rPr>
        <w:t>下降</w:t>
      </w:r>
      <w:r>
        <w:rPr>
          <w:rFonts w:hint="eastAsia" w:ascii="仿宋" w:hAnsi="仿宋" w:eastAsia="仿宋" w:cs="仿宋"/>
          <w:bCs/>
          <w:color w:val="000000"/>
          <w:sz w:val="32"/>
          <w:szCs w:val="32"/>
          <w:lang w:val="en-US" w:eastAsia="zh-CN"/>
        </w:rPr>
        <w:t>27</w:t>
      </w:r>
      <w:r>
        <w:rPr>
          <w:rFonts w:hint="eastAsia" w:ascii="仿宋" w:hAnsi="仿宋" w:eastAsia="仿宋" w:cs="仿宋"/>
          <w:bCs/>
          <w:color w:val="000000"/>
          <w:sz w:val="32"/>
          <w:szCs w:val="32"/>
        </w:rPr>
        <w:t>%，资金的使用及管理严格按照相关财务制度执行。</w:t>
      </w:r>
    </w:p>
    <w:p w14:paraId="168566D1">
      <w:pPr>
        <w:widowControl/>
        <w:numPr>
          <w:ilvl w:val="0"/>
          <w:numId w:val="0"/>
        </w:numPr>
        <w:shd w:val="clear" w:color="auto" w:fill="FFFFFF"/>
        <w:spacing w:line="600" w:lineRule="atLeas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（二）项目支出</w:t>
      </w:r>
    </w:p>
    <w:p w14:paraId="6EB581B1">
      <w:pPr>
        <w:widowControl/>
        <w:numPr>
          <w:ilvl w:val="0"/>
          <w:numId w:val="0"/>
        </w:numPr>
        <w:shd w:val="clear" w:color="auto" w:fill="FFFFFF"/>
        <w:spacing w:line="600" w:lineRule="atLeast"/>
        <w:ind w:leftChars="200" w:firstLine="316" w:firstLineChars="100"/>
        <w:rPr>
          <w:rFonts w:hint="eastAsia" w:ascii="仿宋" w:hAnsi="仿宋" w:eastAsia="仿宋" w:cs="仿宋"/>
          <w:spacing w:val="-2"/>
          <w:sz w:val="32"/>
          <w:szCs w:val="32"/>
        </w:rPr>
      </w:pPr>
      <w:r>
        <w:rPr>
          <w:rFonts w:hint="eastAsia" w:ascii="仿宋" w:hAnsi="仿宋" w:eastAsia="仿宋" w:cs="仿宋"/>
          <w:spacing w:val="-2"/>
          <w:sz w:val="32"/>
          <w:szCs w:val="32"/>
        </w:rPr>
        <w:t>1、专项资金</w:t>
      </w:r>
    </w:p>
    <w:p w14:paraId="22E836A6">
      <w:pPr>
        <w:widowControl/>
        <w:shd w:val="clear" w:color="auto" w:fill="FFFFFF"/>
        <w:spacing w:line="600" w:lineRule="atLeast"/>
        <w:ind w:firstLine="640"/>
        <w:rPr>
          <w:rFonts w:hint="eastAsia" w:ascii="仿宋" w:hAnsi="仿宋" w:eastAsia="仿宋" w:cs="仿宋"/>
          <w:spacing w:val="-2"/>
          <w:sz w:val="32"/>
          <w:szCs w:val="32"/>
          <w:lang w:val="en-US" w:eastAsia="zh-CN"/>
        </w:rPr>
      </w:pPr>
      <w:r>
        <w:rPr>
          <w:rFonts w:hint="eastAsia" w:ascii="仿宋" w:hAnsi="仿宋" w:eastAsia="仿宋" w:cs="仿宋"/>
          <w:b w:val="0"/>
          <w:bCs w:val="0"/>
          <w:spacing w:val="-2"/>
          <w:sz w:val="32"/>
          <w:szCs w:val="32"/>
          <w:lang w:val="en-US" w:eastAsia="zh-CN"/>
        </w:rPr>
        <w:t>2025</w:t>
      </w:r>
      <w:r>
        <w:rPr>
          <w:rFonts w:hint="eastAsia" w:ascii="仿宋" w:hAnsi="仿宋" w:eastAsia="仿宋" w:cs="仿宋"/>
          <w:spacing w:val="-2"/>
          <w:sz w:val="32"/>
          <w:szCs w:val="32"/>
        </w:rPr>
        <w:t>年实际下达一般公共预算财政拨款专项经费共计</w:t>
      </w:r>
      <w:r>
        <w:rPr>
          <w:rFonts w:hint="eastAsia" w:ascii="仿宋" w:hAnsi="仿宋" w:eastAsia="仿宋" w:cs="仿宋"/>
          <w:spacing w:val="-2"/>
          <w:sz w:val="32"/>
          <w:szCs w:val="32"/>
          <w:lang w:val="en-US" w:eastAsia="zh-CN"/>
        </w:rPr>
        <w:t>253.68</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国家级传承人经费补助</w:t>
      </w:r>
      <w:r>
        <w:rPr>
          <w:rFonts w:hint="eastAsia" w:ascii="仿宋" w:hAnsi="仿宋" w:eastAsia="仿宋" w:cs="仿宋"/>
          <w:spacing w:val="-2"/>
          <w:sz w:val="32"/>
          <w:szCs w:val="32"/>
          <w:lang w:val="en-US" w:eastAsia="zh-CN"/>
        </w:rPr>
        <w:t>19.5</w:t>
      </w:r>
      <w:r>
        <w:rPr>
          <w:rFonts w:hint="eastAsia" w:ascii="仿宋" w:hAnsi="仿宋" w:eastAsia="仿宋" w:cs="仿宋"/>
          <w:spacing w:val="-2"/>
          <w:sz w:val="32"/>
          <w:szCs w:val="32"/>
        </w:rPr>
        <w:t>万元，省级传承人经费补助</w:t>
      </w:r>
      <w:r>
        <w:rPr>
          <w:rFonts w:hint="eastAsia" w:ascii="仿宋" w:hAnsi="仿宋" w:eastAsia="仿宋" w:cs="仿宋"/>
          <w:spacing w:val="-2"/>
          <w:sz w:val="32"/>
          <w:szCs w:val="32"/>
          <w:lang w:val="en-US" w:eastAsia="zh-CN"/>
        </w:rPr>
        <w:t>56</w:t>
      </w:r>
      <w:r>
        <w:rPr>
          <w:rFonts w:hint="eastAsia" w:ascii="仿宋" w:hAnsi="仿宋" w:eastAsia="仿宋" w:cs="仿宋"/>
          <w:spacing w:val="-2"/>
          <w:sz w:val="32"/>
          <w:szCs w:val="32"/>
        </w:rPr>
        <w:t>万、非遗保护经费</w:t>
      </w:r>
      <w:r>
        <w:rPr>
          <w:rFonts w:hint="eastAsia" w:ascii="仿宋" w:hAnsi="仿宋" w:eastAsia="仿宋" w:cs="仿宋"/>
          <w:spacing w:val="-2"/>
          <w:sz w:val="32"/>
          <w:szCs w:val="32"/>
          <w:lang w:val="en-US" w:eastAsia="zh-CN"/>
        </w:rPr>
        <w:t>50</w:t>
      </w:r>
      <w:r>
        <w:rPr>
          <w:rFonts w:hint="eastAsia" w:ascii="仿宋" w:hAnsi="仿宋" w:eastAsia="仿宋" w:cs="仿宋"/>
          <w:spacing w:val="-2"/>
          <w:sz w:val="32"/>
          <w:szCs w:val="32"/>
        </w:rPr>
        <w:t>万、中央免费开放</w:t>
      </w:r>
      <w:r>
        <w:rPr>
          <w:rFonts w:hint="eastAsia" w:ascii="仿宋" w:hAnsi="仿宋" w:eastAsia="仿宋" w:cs="仿宋"/>
          <w:spacing w:val="-2"/>
          <w:sz w:val="32"/>
          <w:szCs w:val="32"/>
          <w:lang w:val="en-US" w:eastAsia="zh-CN"/>
        </w:rPr>
        <w:t>53万元、</w:t>
      </w:r>
      <w:r>
        <w:rPr>
          <w:rFonts w:hint="eastAsia" w:ascii="仿宋" w:hAnsi="仿宋" w:eastAsia="仿宋" w:cs="仿宋"/>
          <w:spacing w:val="-2"/>
          <w:sz w:val="32"/>
          <w:szCs w:val="32"/>
        </w:rPr>
        <w:t>文化强省专项资金（非遗保护传承利</w:t>
      </w:r>
      <w:r>
        <w:rPr>
          <w:rFonts w:hint="eastAsia" w:ascii="仿宋" w:hAnsi="仿宋" w:eastAsia="仿宋" w:cs="仿宋"/>
          <w:spacing w:val="-2"/>
          <w:sz w:val="32"/>
          <w:szCs w:val="32"/>
          <w:lang w:val="en-US" w:eastAsia="zh-CN"/>
        </w:rPr>
        <w:t>用）4</w:t>
      </w:r>
      <w:r>
        <w:rPr>
          <w:rFonts w:hint="eastAsia" w:ascii="仿宋" w:hAnsi="仿宋" w:eastAsia="仿宋" w:cs="仿宋"/>
          <w:spacing w:val="-2"/>
          <w:sz w:val="32"/>
          <w:szCs w:val="32"/>
        </w:rPr>
        <w:t>2</w:t>
      </w:r>
      <w:r>
        <w:rPr>
          <w:rFonts w:hint="eastAsia" w:ascii="仿宋" w:hAnsi="仿宋" w:eastAsia="仿宋" w:cs="仿宋"/>
          <w:spacing w:val="-2"/>
          <w:sz w:val="32"/>
          <w:szCs w:val="32"/>
          <w:lang w:val="en-US" w:eastAsia="zh-CN"/>
        </w:rPr>
        <w:t>.32</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 xml:space="preserve">人才引进补贴及考核奖金32.86万元。 </w:t>
      </w:r>
    </w:p>
    <w:p w14:paraId="4F2F5F79">
      <w:pPr>
        <w:widowControl/>
        <w:numPr>
          <w:ilvl w:val="0"/>
          <w:numId w:val="5"/>
        </w:numPr>
        <w:shd w:val="clear" w:color="auto" w:fill="FFFFFF"/>
        <w:spacing w:line="600" w:lineRule="atLeast"/>
        <w:ind w:firstLine="640"/>
        <w:rPr>
          <w:rFonts w:hint="eastAsia" w:ascii="仿宋" w:hAnsi="仿宋" w:eastAsia="仿宋" w:cs="仿宋"/>
          <w:spacing w:val="-2"/>
          <w:sz w:val="32"/>
          <w:szCs w:val="32"/>
        </w:rPr>
      </w:pPr>
      <w:r>
        <w:rPr>
          <w:rFonts w:hint="eastAsia" w:ascii="仿宋" w:hAnsi="仿宋" w:eastAsia="仿宋" w:cs="仿宋"/>
          <w:spacing w:val="-2"/>
          <w:sz w:val="32"/>
          <w:szCs w:val="32"/>
        </w:rPr>
        <w:t>专项资金管理情况分析</w:t>
      </w:r>
    </w:p>
    <w:p w14:paraId="272E7935">
      <w:pPr>
        <w:widowControl/>
        <w:shd w:val="clear" w:color="auto" w:fill="FFFFFF"/>
        <w:spacing w:line="600" w:lineRule="atLeast"/>
        <w:ind w:firstLine="640"/>
        <w:rPr>
          <w:rFonts w:hint="eastAsia" w:ascii="仿宋" w:hAnsi="仿宋" w:eastAsia="仿宋" w:cs="仿宋"/>
          <w:spacing w:val="-2"/>
          <w:sz w:val="32"/>
          <w:szCs w:val="32"/>
        </w:rPr>
      </w:pPr>
      <w:r>
        <w:rPr>
          <w:rFonts w:hint="eastAsia" w:ascii="仿宋" w:hAnsi="仿宋" w:eastAsia="仿宋" w:cs="仿宋"/>
          <w:b w:val="0"/>
          <w:bCs w:val="0"/>
          <w:spacing w:val="-2"/>
          <w:sz w:val="32"/>
          <w:szCs w:val="32"/>
          <w:lang w:val="en-US" w:eastAsia="zh-CN"/>
        </w:rPr>
        <w:t>2025</w:t>
      </w:r>
      <w:r>
        <w:rPr>
          <w:rFonts w:hint="eastAsia" w:ascii="仿宋" w:hAnsi="仿宋" w:eastAsia="仿宋" w:cs="仿宋"/>
          <w:spacing w:val="-2"/>
          <w:sz w:val="32"/>
          <w:szCs w:val="32"/>
        </w:rPr>
        <w:t>年一般公共预算财政拨款专项经费共计</w:t>
      </w:r>
      <w:r>
        <w:rPr>
          <w:rFonts w:hint="eastAsia" w:ascii="仿宋" w:hAnsi="仿宋" w:eastAsia="仿宋" w:cs="仿宋"/>
          <w:spacing w:val="-2"/>
          <w:sz w:val="32"/>
          <w:szCs w:val="32"/>
          <w:lang w:val="en-US" w:eastAsia="zh-CN"/>
        </w:rPr>
        <w:t>253.68</w:t>
      </w:r>
      <w:r>
        <w:rPr>
          <w:rFonts w:hint="eastAsia" w:ascii="仿宋" w:hAnsi="仿宋" w:eastAsia="仿宋" w:cs="仿宋"/>
          <w:spacing w:val="-2"/>
          <w:sz w:val="32"/>
          <w:szCs w:val="32"/>
        </w:rPr>
        <w:t>万元，国家级传承人经费补助</w:t>
      </w:r>
      <w:r>
        <w:rPr>
          <w:rFonts w:hint="eastAsia" w:ascii="仿宋" w:hAnsi="仿宋" w:eastAsia="仿宋" w:cs="仿宋"/>
          <w:spacing w:val="-2"/>
          <w:sz w:val="32"/>
          <w:szCs w:val="32"/>
          <w:lang w:val="en-US" w:eastAsia="zh-CN"/>
        </w:rPr>
        <w:t>19.5</w:t>
      </w:r>
      <w:r>
        <w:rPr>
          <w:rFonts w:hint="eastAsia" w:ascii="仿宋" w:hAnsi="仿宋" w:eastAsia="仿宋" w:cs="仿宋"/>
          <w:spacing w:val="-2"/>
          <w:sz w:val="32"/>
          <w:szCs w:val="32"/>
        </w:rPr>
        <w:t>万元，省级传承人经费补助</w:t>
      </w:r>
      <w:r>
        <w:rPr>
          <w:rFonts w:hint="eastAsia" w:ascii="仿宋" w:hAnsi="仿宋" w:eastAsia="仿宋" w:cs="仿宋"/>
          <w:spacing w:val="-2"/>
          <w:sz w:val="32"/>
          <w:szCs w:val="32"/>
          <w:lang w:val="en-US" w:eastAsia="zh-CN"/>
        </w:rPr>
        <w:t>56</w:t>
      </w:r>
      <w:r>
        <w:rPr>
          <w:rFonts w:hint="eastAsia" w:ascii="仿宋" w:hAnsi="仿宋" w:eastAsia="仿宋" w:cs="仿宋"/>
          <w:spacing w:val="-2"/>
          <w:sz w:val="32"/>
          <w:szCs w:val="32"/>
        </w:rPr>
        <w:t>万、非遗保护经费</w:t>
      </w:r>
      <w:r>
        <w:rPr>
          <w:rFonts w:hint="eastAsia" w:ascii="仿宋" w:hAnsi="仿宋" w:eastAsia="仿宋" w:cs="仿宋"/>
          <w:spacing w:val="-2"/>
          <w:sz w:val="32"/>
          <w:szCs w:val="32"/>
          <w:lang w:val="en-US" w:eastAsia="zh-CN"/>
        </w:rPr>
        <w:t>50</w:t>
      </w:r>
      <w:r>
        <w:rPr>
          <w:rFonts w:hint="eastAsia" w:ascii="仿宋" w:hAnsi="仿宋" w:eastAsia="仿宋" w:cs="仿宋"/>
          <w:spacing w:val="-2"/>
          <w:sz w:val="32"/>
          <w:szCs w:val="32"/>
        </w:rPr>
        <w:t>万、中央免费开放</w:t>
      </w:r>
      <w:r>
        <w:rPr>
          <w:rFonts w:hint="eastAsia" w:ascii="仿宋" w:hAnsi="仿宋" w:eastAsia="仿宋" w:cs="仿宋"/>
          <w:spacing w:val="-2"/>
          <w:sz w:val="32"/>
          <w:szCs w:val="32"/>
          <w:lang w:val="en-US" w:eastAsia="zh-CN"/>
        </w:rPr>
        <w:t>53万元、</w:t>
      </w:r>
      <w:r>
        <w:rPr>
          <w:rFonts w:hint="eastAsia" w:ascii="仿宋" w:hAnsi="仿宋" w:eastAsia="仿宋" w:cs="仿宋"/>
          <w:spacing w:val="-2"/>
          <w:sz w:val="32"/>
          <w:szCs w:val="32"/>
        </w:rPr>
        <w:t>文化强省专项资金（非遗保护传承利</w:t>
      </w:r>
      <w:r>
        <w:rPr>
          <w:rFonts w:hint="eastAsia" w:ascii="仿宋" w:hAnsi="仿宋" w:eastAsia="仿宋" w:cs="仿宋"/>
          <w:spacing w:val="-2"/>
          <w:sz w:val="32"/>
          <w:szCs w:val="32"/>
          <w:lang w:val="en-US" w:eastAsia="zh-CN"/>
        </w:rPr>
        <w:t>用）4</w:t>
      </w:r>
      <w:r>
        <w:rPr>
          <w:rFonts w:hint="eastAsia" w:ascii="仿宋" w:hAnsi="仿宋" w:eastAsia="仿宋" w:cs="仿宋"/>
          <w:spacing w:val="-2"/>
          <w:sz w:val="32"/>
          <w:szCs w:val="32"/>
        </w:rPr>
        <w:t>2</w:t>
      </w:r>
      <w:r>
        <w:rPr>
          <w:rFonts w:hint="eastAsia" w:ascii="仿宋" w:hAnsi="仿宋" w:eastAsia="仿宋" w:cs="仿宋"/>
          <w:spacing w:val="-2"/>
          <w:sz w:val="32"/>
          <w:szCs w:val="32"/>
          <w:lang w:val="en-US" w:eastAsia="zh-CN"/>
        </w:rPr>
        <w:t>.32</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人才引进补贴及考核奖金32.86万元。</w:t>
      </w:r>
      <w:r>
        <w:rPr>
          <w:rFonts w:hint="eastAsia" w:ascii="仿宋" w:hAnsi="仿宋" w:eastAsia="仿宋" w:cs="仿宋"/>
          <w:bCs/>
          <w:color w:val="000000"/>
          <w:sz w:val="32"/>
          <w:szCs w:val="32"/>
        </w:rPr>
        <w:t>资金管理方面严格按照专项资金管理制度对项目工程进行监督管理、支付专项资金，对需进行政府采购的专项工程严格按程序执行。</w:t>
      </w:r>
    </w:p>
    <w:p w14:paraId="41DD34E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E1A0915">
      <w:pPr>
        <w:widowControl/>
        <w:shd w:val="clear" w:color="auto" w:fill="FFFFFF"/>
        <w:spacing w:line="600" w:lineRule="atLeas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w:t>
      </w:r>
    </w:p>
    <w:p w14:paraId="111881EE">
      <w:pPr>
        <w:widowControl/>
        <w:shd w:val="clear" w:color="auto" w:fill="FFFFFF"/>
        <w:spacing w:line="600" w:lineRule="atLeast"/>
        <w:ind w:firstLine="640"/>
        <w:rPr>
          <w:rFonts w:hint="eastAsia" w:ascii="仿宋" w:hAnsi="仿宋" w:eastAsia="仿宋" w:cs="仿宋"/>
          <w:spacing w:val="-2"/>
          <w:sz w:val="32"/>
          <w:szCs w:val="32"/>
        </w:rPr>
      </w:pPr>
      <w:r>
        <w:rPr>
          <w:rFonts w:hint="eastAsia" w:ascii="仿宋" w:hAnsi="仿宋" w:eastAsia="仿宋" w:cs="仿宋"/>
          <w:spacing w:val="-2"/>
          <w:sz w:val="32"/>
          <w:szCs w:val="32"/>
        </w:rPr>
        <w:t>根据项目要求，需要招投标的项目工程，采取立项、前期调研、政府采购计划备案、代理公司代理项目事宜、项目论证、发布项目招标公告、开标及中标等流程。签订施工合同并按约定时间施工。项目实施完工后，由专家组进行现场体验、调试。</w:t>
      </w:r>
    </w:p>
    <w:p w14:paraId="7F302EBD">
      <w:pPr>
        <w:numPr>
          <w:ilvl w:val="0"/>
          <w:numId w:val="6"/>
        </w:numPr>
        <w:ind w:firstLine="480" w:firstLineChars="15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项目管理情况分析，主要包括项目管理制度建设、日常检查监督管理等情况。</w:t>
      </w:r>
    </w:p>
    <w:p w14:paraId="66A4B156">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根据《中华人民共和国非物质文化遗产法》、《国家级非物质文化遗产代表性传承人认定与管理办法》</w:t>
      </w:r>
      <w:r>
        <w:rPr>
          <w:rFonts w:hint="eastAsia" w:ascii="仿宋" w:hAnsi="仿宋" w:eastAsia="仿宋" w:cs="仿宋"/>
          <w:sz w:val="32"/>
          <w:szCs w:val="32"/>
          <w:lang w:eastAsia="zh-CN"/>
        </w:rPr>
        <w:t>《</w:t>
      </w:r>
      <w:r>
        <w:rPr>
          <w:rFonts w:hint="eastAsia" w:ascii="仿宋" w:hAnsi="仿宋" w:eastAsia="仿宋" w:cs="仿宋"/>
          <w:sz w:val="32"/>
          <w:szCs w:val="32"/>
        </w:rPr>
        <w:t>湖南省实施&lt;中华人民共和国非物质文化遗产法&gt;办法》《湖南省非物质文化遗产项目代表性传承人认定与管理办法》的相关规定，我市文旅广体局组织县市区文化行政部门在每年年底，将本行政区域内的国家级、省级、市级代表性传承人开展传承活动的情况进行评估，对传承人的传承活动进行指导和监督，要求递交自评估报告、授徒情况备案表等材料，并组织人员对传承人进行现场评估。市文旅广体局也会根据上报材料组织评估小组开展抽查工作。评估不合格传承人予以当年传承人资助经费停发，对于评估合格的传承人予以当年的传承人资助经费发放，传承人资助经费直接打至传承人本人账户。在实施过程中，我中心严格执行专项资金管理制度，资金支出规范、合规，进度和使用范围与申报计划相符，无挪用、挤占现象。</w:t>
      </w:r>
    </w:p>
    <w:p w14:paraId="601CDE88">
      <w:pPr>
        <w:widowControl/>
        <w:numPr>
          <w:ilvl w:val="0"/>
          <w:numId w:val="7"/>
        </w:numPr>
        <w:shd w:val="clear" w:color="auto" w:fill="FFFFFF"/>
        <w:spacing w:line="600" w:lineRule="atLeast"/>
        <w:ind w:firstLine="640"/>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资产管理情况</w:t>
      </w:r>
    </w:p>
    <w:p w14:paraId="25865EC9">
      <w:pPr>
        <w:widowControl/>
        <w:numPr>
          <w:ilvl w:val="0"/>
          <w:numId w:val="0"/>
        </w:numPr>
        <w:shd w:val="clear" w:color="auto" w:fill="FFFFFF"/>
        <w:spacing w:line="600" w:lineRule="atLeast"/>
        <w:ind w:firstLine="632" w:firstLineChars="200"/>
        <w:rPr>
          <w:rFonts w:ascii="仿宋" w:hAnsi="仿宋" w:eastAsia="仿宋"/>
          <w:spacing w:val="-2"/>
          <w:sz w:val="32"/>
          <w:szCs w:val="32"/>
        </w:rPr>
      </w:pPr>
      <w:r>
        <w:rPr>
          <w:rFonts w:hint="eastAsia" w:ascii="仿宋" w:hAnsi="仿宋" w:eastAsia="仿宋"/>
          <w:spacing w:val="-2"/>
          <w:sz w:val="32"/>
          <w:szCs w:val="32"/>
        </w:rPr>
        <w:t>我单位资产主要包括房屋、公务用车、固定资产及流动资产等，制订了财务内部控制制度及业务流程，资产的配置、管理及处置均严格按业务流程及制度处理。</w:t>
      </w:r>
    </w:p>
    <w:p w14:paraId="50BBCE5D">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64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621FCD4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640" w:leftChars="0" w:firstLine="321" w:firstLineChars="1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29DCDB5B">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64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20BF79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640" w:leftChars="0" w:firstLine="321" w:firstLineChars="1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70A1F7EB">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64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704EE3D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640" w:leftChars="0" w:firstLine="321" w:firstLineChars="1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725FF6BF">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640" w:firstLineChars="0"/>
        <w:textAlignment w:val="auto"/>
        <w:rPr>
          <w:rFonts w:hint="eastAsia"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部门整体支出绩效情况</w:t>
      </w:r>
      <w:r>
        <w:rPr>
          <w:rFonts w:hint="eastAsia" w:ascii="方正黑体_GBK" w:hAnsi="方正黑体_GBK" w:eastAsia="方正黑体_GBK" w:cs="方正黑体_GBK"/>
          <w:b/>
          <w:bCs/>
          <w:color w:val="auto"/>
          <w:sz w:val="32"/>
          <w:szCs w:val="32"/>
          <w:highlight w:val="none"/>
          <w:lang w:val="en-US" w:eastAsia="zh-CN"/>
        </w:rPr>
        <w:t xml:space="preserve"> </w:t>
      </w:r>
    </w:p>
    <w:p w14:paraId="0464357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怀化市文化遗产保护中心（市博物馆），隶属怀化市文化旅游广电体育局直管，全面贯彻落实党中央和省委关于非物质文化遗产保护和博物馆工作的方针政策和决策部署，全面落实市委关于非物质文化遗产保护和博物馆工作的部署要求，在履行职责过程中坚持和加强党对非物质文化遗产保护和博物馆工作的集中统一领导。负责组织市非物质文化遗产项目的挖掘、抢救、研究、保护、整理、展示等工作；负责文物考古、文物陈列、保管、展示、保护、利用、宣传等工作。</w:t>
      </w:r>
    </w:p>
    <w:p w14:paraId="72B5C46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5D18503D">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Autospacing="0"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财政资金未及时下拨，导致市级传承人、非遗保护、文物征集与修复等项目无法按计划推进，影响整体绩效目标实现。</w:t>
      </w:r>
    </w:p>
    <w:p w14:paraId="71D37AD9">
      <w:pPr>
        <w:pStyle w:val="3"/>
        <w:numPr>
          <w:ilvl w:val="0"/>
          <w:numId w:val="0"/>
        </w:numPr>
        <w:ind w:firstLine="643"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w:t>
      </w:r>
      <w:r>
        <w:rPr>
          <w:rFonts w:hint="default" w:ascii="方正黑体_GBK" w:hAnsi="方正黑体_GBK" w:eastAsia="方正黑体_GBK" w:cs="方正黑体_GBK"/>
          <w:b/>
          <w:bCs/>
          <w:color w:val="auto"/>
          <w:sz w:val="32"/>
          <w:szCs w:val="32"/>
          <w:highlight w:val="none"/>
          <w:lang w:val="en-US" w:eastAsia="zh-CN"/>
        </w:rPr>
        <w:t>下一步改进措施</w:t>
      </w:r>
    </w:p>
    <w:p w14:paraId="71CEEF2B">
      <w:pPr>
        <w:pStyle w:val="3"/>
        <w:numPr>
          <w:ilvl w:val="0"/>
          <w:numId w:val="0"/>
        </w:numPr>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积极与财政对接，争取获得项目资金的及时到位。全力推进各项工作进度。</w:t>
      </w:r>
    </w:p>
    <w:p w14:paraId="1FB21587">
      <w:pPr>
        <w:pStyle w:val="3"/>
        <w:numPr>
          <w:ilvl w:val="0"/>
          <w:numId w:val="0"/>
        </w:numPr>
        <w:ind w:firstLine="643"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十一、</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65C01FF7">
      <w:pPr>
        <w:pStyle w:val="3"/>
        <w:numPr>
          <w:ilvl w:val="0"/>
          <w:numId w:val="0"/>
        </w:numPr>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z w:val="32"/>
          <w:szCs w:val="32"/>
          <w:lang w:val="en-US" w:eastAsia="zh-CN"/>
        </w:rPr>
        <w:t>应用和公开都已落实到位。</w:t>
      </w:r>
    </w:p>
    <w:p w14:paraId="740F16E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172932C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整体支出报告需要以下附件：</w:t>
      </w:r>
      <w:bookmarkStart w:id="0" w:name="_GoBack"/>
      <w:bookmarkEnd w:id="0"/>
    </w:p>
    <w:p w14:paraId="2242F10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1.部门整体支出绩效评价基础数据表</w:t>
      </w:r>
    </w:p>
    <w:p w14:paraId="067D5BD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2.部门整体支出绩效自评表</w:t>
      </w:r>
    </w:p>
    <w:p w14:paraId="0BB02F3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3.项目支出绩效自评表（每个一级项目支出一张表）</w:t>
      </w:r>
    </w:p>
    <w:p w14:paraId="2177ED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如有政府性基金预算、国有资本经营预算和社会保险基金预算支出，还需对应提供以下附件：</w:t>
      </w:r>
    </w:p>
    <w:p w14:paraId="08418F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4、政府性基金预算支出情况表</w:t>
      </w:r>
    </w:p>
    <w:p w14:paraId="3FC402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5、国有资本经营预算支出情况表</w:t>
      </w:r>
    </w:p>
    <w:p w14:paraId="0A7612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6、社会保险基金预算支出情况表</w:t>
      </w:r>
    </w:p>
    <w:p w14:paraId="29888A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6920C7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28EC04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446430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17C30B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6DFC1B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1B308C1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4363E2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508EA6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186D3F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08DA6F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5E421C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071813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0EDD8A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4253691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br w:type="page"/>
      </w:r>
    </w:p>
    <w:p w14:paraId="3C27231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附件7</w:t>
      </w:r>
    </w:p>
    <w:p w14:paraId="77D271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市直部门绩效联络员名单统计表</w:t>
      </w:r>
    </w:p>
    <w:p w14:paraId="0A1BA7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tbl>
      <w:tblPr>
        <w:tblStyle w:val="10"/>
        <w:tblW w:w="8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2184"/>
        <w:gridCol w:w="2184"/>
        <w:gridCol w:w="2184"/>
      </w:tblGrid>
      <w:tr w14:paraId="7A1A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3020DB7F">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部门单位名称</w:t>
            </w:r>
          </w:p>
        </w:tc>
        <w:tc>
          <w:tcPr>
            <w:tcW w:w="2184" w:type="dxa"/>
          </w:tcPr>
          <w:p w14:paraId="33DCBCEC">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绩效联络员姓名</w:t>
            </w:r>
          </w:p>
        </w:tc>
        <w:tc>
          <w:tcPr>
            <w:tcW w:w="2184" w:type="dxa"/>
          </w:tcPr>
          <w:p w14:paraId="50E63662">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职务职级</w:t>
            </w:r>
          </w:p>
        </w:tc>
        <w:tc>
          <w:tcPr>
            <w:tcW w:w="2184" w:type="dxa"/>
          </w:tcPr>
          <w:p w14:paraId="396DB73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color w:val="auto"/>
                <w:sz w:val="24"/>
                <w:szCs w:val="24"/>
                <w:highlight w:val="none"/>
                <w:vertAlign w:val="baseline"/>
                <w:lang w:val="en-US" w:eastAsia="zh-CN"/>
              </w:rPr>
              <w:t xml:space="preserve">  </w:t>
            </w:r>
            <w:r>
              <w:rPr>
                <w:rFonts w:hint="eastAsia" w:ascii="Times New Roman Regular" w:hAnsi="Times New Roman Regular" w:eastAsia="仿宋_GB2312" w:cs="Times New Roman Regular"/>
                <w:b/>
                <w:bCs/>
                <w:color w:val="auto"/>
                <w:sz w:val="24"/>
                <w:szCs w:val="24"/>
                <w:highlight w:val="none"/>
                <w:vertAlign w:val="baseline"/>
                <w:lang w:val="en-US" w:eastAsia="zh-CN"/>
              </w:rPr>
              <w:t xml:space="preserve"> 联系方式</w:t>
            </w:r>
          </w:p>
        </w:tc>
      </w:tr>
      <w:tr w14:paraId="0451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0BAD81C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怀化市文化遗产保护中心（博物馆）</w:t>
            </w:r>
          </w:p>
        </w:tc>
        <w:tc>
          <w:tcPr>
            <w:tcW w:w="2184" w:type="dxa"/>
          </w:tcPr>
          <w:p w14:paraId="28874D5A">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陈宽裕</w:t>
            </w:r>
          </w:p>
        </w:tc>
        <w:tc>
          <w:tcPr>
            <w:tcW w:w="2184" w:type="dxa"/>
          </w:tcPr>
          <w:p w14:paraId="4ACCA9F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3A6A6DF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13607410966</w:t>
            </w:r>
          </w:p>
        </w:tc>
      </w:tr>
      <w:tr w14:paraId="3233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5DE65E6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44765BD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2CA5677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0184C6A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5622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05FB8CF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96D064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47E7E2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443C6E0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3F10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4788C3A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4D8B89E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63EABBD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7E19CC8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1E97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442404C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585057A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68BB8FE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42A6D5D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bl>
    <w:p w14:paraId="579DCAC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5DEF6"/>
    <w:multiLevelType w:val="singleLevel"/>
    <w:tmpl w:val="A315DEF6"/>
    <w:lvl w:ilvl="0" w:tentative="0">
      <w:start w:val="4"/>
      <w:numFmt w:val="chineseCounting"/>
      <w:suff w:val="nothing"/>
      <w:lvlText w:val="%1、"/>
      <w:lvlJc w:val="left"/>
      <w:rPr>
        <w:rFonts w:hint="eastAsia"/>
      </w:rPr>
    </w:lvl>
  </w:abstractNum>
  <w:abstractNum w:abstractNumId="1">
    <w:nsid w:val="CF34DE78"/>
    <w:multiLevelType w:val="singleLevel"/>
    <w:tmpl w:val="CF34DE78"/>
    <w:lvl w:ilvl="0" w:tentative="0">
      <w:start w:val="2"/>
      <w:numFmt w:val="decimal"/>
      <w:suff w:val="nothing"/>
      <w:lvlText w:val="%1、"/>
      <w:lvlJc w:val="left"/>
    </w:lvl>
  </w:abstractNum>
  <w:abstractNum w:abstractNumId="2">
    <w:nsid w:val="0684D6DD"/>
    <w:multiLevelType w:val="singleLevel"/>
    <w:tmpl w:val="0684D6DD"/>
    <w:lvl w:ilvl="0" w:tentative="0">
      <w:start w:val="2"/>
      <w:numFmt w:val="chineseCounting"/>
      <w:suff w:val="nothing"/>
      <w:lvlText w:val="（%1）"/>
      <w:lvlJc w:val="left"/>
      <w:rPr>
        <w:rFonts w:hint="eastAsia"/>
      </w:rPr>
    </w:lvl>
  </w:abstractNum>
  <w:abstractNum w:abstractNumId="3">
    <w:nsid w:val="0F9C3EC5"/>
    <w:multiLevelType w:val="singleLevel"/>
    <w:tmpl w:val="0F9C3EC5"/>
    <w:lvl w:ilvl="0" w:tentative="0">
      <w:start w:val="4"/>
      <w:numFmt w:val="chineseCounting"/>
      <w:suff w:val="nothing"/>
      <w:lvlText w:val="（%1）"/>
      <w:lvlJc w:val="left"/>
      <w:pPr>
        <w:ind w:left="-150"/>
      </w:pPr>
      <w:rPr>
        <w:rFonts w:hint="eastAsia"/>
      </w:rPr>
    </w:lvl>
  </w:abstractNum>
  <w:abstractNum w:abstractNumId="4">
    <w:nsid w:val="137F73DE"/>
    <w:multiLevelType w:val="singleLevel"/>
    <w:tmpl w:val="137F73DE"/>
    <w:lvl w:ilvl="0" w:tentative="0">
      <w:start w:val="1"/>
      <w:numFmt w:val="chineseCounting"/>
      <w:suff w:val="nothing"/>
      <w:lvlText w:val="%1、"/>
      <w:lvlJc w:val="left"/>
      <w:pPr>
        <w:ind w:left="410"/>
      </w:pPr>
      <w:rPr>
        <w:rFonts w:hint="eastAsia"/>
      </w:rPr>
    </w:lvl>
  </w:abstractNum>
  <w:abstractNum w:abstractNumId="5">
    <w:nsid w:val="26DF3309"/>
    <w:multiLevelType w:val="singleLevel"/>
    <w:tmpl w:val="26DF3309"/>
    <w:lvl w:ilvl="0" w:tentative="0">
      <w:start w:val="2"/>
      <w:numFmt w:val="chineseCounting"/>
      <w:suff w:val="nothing"/>
      <w:lvlText w:val="（%1）"/>
      <w:lvlJc w:val="left"/>
      <w:rPr>
        <w:rFonts w:hint="eastAsia"/>
      </w:rPr>
    </w:lvl>
  </w:abstractNum>
  <w:abstractNum w:abstractNumId="6">
    <w:nsid w:val="4A0C45CE"/>
    <w:multiLevelType w:val="singleLevel"/>
    <w:tmpl w:val="4A0C45CE"/>
    <w:lvl w:ilvl="0" w:tentative="0">
      <w:start w:val="2"/>
      <w:numFmt w:val="chineseCounting"/>
      <w:suff w:val="nothing"/>
      <w:lvlText w:val="（%1）"/>
      <w:lvlJc w:val="left"/>
      <w:rPr>
        <w:rFonts w:hint="eastAsia"/>
      </w:rPr>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5E95AA6"/>
    <w:rsid w:val="06532D88"/>
    <w:rsid w:val="08F85810"/>
    <w:rsid w:val="09030E53"/>
    <w:rsid w:val="0C180A78"/>
    <w:rsid w:val="0D276746"/>
    <w:rsid w:val="0D464D9C"/>
    <w:rsid w:val="0DC75382"/>
    <w:rsid w:val="0DD52794"/>
    <w:rsid w:val="0E956870"/>
    <w:rsid w:val="10C666A5"/>
    <w:rsid w:val="10CD7AC6"/>
    <w:rsid w:val="1223366A"/>
    <w:rsid w:val="143877FD"/>
    <w:rsid w:val="14B80712"/>
    <w:rsid w:val="174913BB"/>
    <w:rsid w:val="17FCFFF6"/>
    <w:rsid w:val="180D0F09"/>
    <w:rsid w:val="18E32DE1"/>
    <w:rsid w:val="19B66144"/>
    <w:rsid w:val="19E805B2"/>
    <w:rsid w:val="1B5E59A7"/>
    <w:rsid w:val="1CBF872E"/>
    <w:rsid w:val="22FE234B"/>
    <w:rsid w:val="277E6F02"/>
    <w:rsid w:val="29990575"/>
    <w:rsid w:val="29A12F28"/>
    <w:rsid w:val="2A1D47E3"/>
    <w:rsid w:val="2A26693B"/>
    <w:rsid w:val="2AE61515"/>
    <w:rsid w:val="2AF6742D"/>
    <w:rsid w:val="2C9835CC"/>
    <w:rsid w:val="2DF67CC1"/>
    <w:rsid w:val="2E874AD6"/>
    <w:rsid w:val="3100272F"/>
    <w:rsid w:val="312A2265"/>
    <w:rsid w:val="31C44F26"/>
    <w:rsid w:val="320275A8"/>
    <w:rsid w:val="32270C03"/>
    <w:rsid w:val="326E3B28"/>
    <w:rsid w:val="333F3E43"/>
    <w:rsid w:val="33D271C3"/>
    <w:rsid w:val="36FC0F5D"/>
    <w:rsid w:val="375773F8"/>
    <w:rsid w:val="37D56B99"/>
    <w:rsid w:val="393E32BB"/>
    <w:rsid w:val="3C253C75"/>
    <w:rsid w:val="3C872506"/>
    <w:rsid w:val="3EFDDE87"/>
    <w:rsid w:val="3F9850B6"/>
    <w:rsid w:val="419B2857"/>
    <w:rsid w:val="41D71DA8"/>
    <w:rsid w:val="45887DF9"/>
    <w:rsid w:val="49B56ACF"/>
    <w:rsid w:val="4B08477A"/>
    <w:rsid w:val="4C6611ED"/>
    <w:rsid w:val="4D5D3BD3"/>
    <w:rsid w:val="4E593C28"/>
    <w:rsid w:val="4EB7F892"/>
    <w:rsid w:val="552A0475"/>
    <w:rsid w:val="578D10CB"/>
    <w:rsid w:val="5897690A"/>
    <w:rsid w:val="593C6796"/>
    <w:rsid w:val="5A5915AC"/>
    <w:rsid w:val="5ABBC979"/>
    <w:rsid w:val="5BE504EA"/>
    <w:rsid w:val="5BFC7B3B"/>
    <w:rsid w:val="5C5A6A49"/>
    <w:rsid w:val="5E77C7C6"/>
    <w:rsid w:val="5FFFAAE0"/>
    <w:rsid w:val="66347B2F"/>
    <w:rsid w:val="667FD72C"/>
    <w:rsid w:val="69715E72"/>
    <w:rsid w:val="6A12486A"/>
    <w:rsid w:val="6AA54025"/>
    <w:rsid w:val="6ABE64BE"/>
    <w:rsid w:val="6B03098D"/>
    <w:rsid w:val="6B5F16C5"/>
    <w:rsid w:val="6CF3EA5A"/>
    <w:rsid w:val="6F2A6141"/>
    <w:rsid w:val="72367C59"/>
    <w:rsid w:val="72B87DF8"/>
    <w:rsid w:val="73DC2206"/>
    <w:rsid w:val="753C4E9B"/>
    <w:rsid w:val="769B7804"/>
    <w:rsid w:val="76FBBBCF"/>
    <w:rsid w:val="779FCBF0"/>
    <w:rsid w:val="77F7E21B"/>
    <w:rsid w:val="781113A7"/>
    <w:rsid w:val="791E6510"/>
    <w:rsid w:val="79E2F975"/>
    <w:rsid w:val="7B3BDBF2"/>
    <w:rsid w:val="7C8D4A41"/>
    <w:rsid w:val="7EBDCBBF"/>
    <w:rsid w:val="7EBE3ECA"/>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EFF7D0D2"/>
    <w:rsid w:val="F6D78CAF"/>
    <w:rsid w:val="F7DA3342"/>
    <w:rsid w:val="FAF15A6E"/>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2"/>
    <w:qFormat/>
    <w:uiPriority w:val="0"/>
    <w:rPr>
      <w:rFonts w:eastAsia="黑体"/>
    </w:rPr>
  </w:style>
  <w:style w:type="paragraph" w:customStyle="1" w:styleId="13">
    <w:name w:val="首行缩进"/>
    <w:basedOn w:val="1"/>
    <w:qFormat/>
    <w:uiPriority w:val="0"/>
    <w:pPr>
      <w:ind w:firstLine="480" w:firstLineChars="200"/>
    </w:pPr>
    <w:rPr>
      <w:lang w:val="zh-CN"/>
    </w:rPr>
  </w:style>
  <w:style w:type="paragraph" w:styleId="14">
    <w:name w:val="List Paragraph"/>
    <w:basedOn w:val="1"/>
    <w:qFormat/>
    <w:uiPriority w:val="34"/>
    <w:pPr>
      <w:ind w:firstLine="420" w:firstLineChars="200"/>
    </w:pPr>
  </w:style>
  <w:style w:type="paragraph" w:customStyle="1" w:styleId="15">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266</Words>
  <Characters>385</Characters>
  <Lines>0</Lines>
  <Paragraphs>0</Paragraphs>
  <TotalTime>26</TotalTime>
  <ScaleCrop>false</ScaleCrop>
  <LinksUpToDate>false</LinksUpToDate>
  <CharactersWithSpaces>470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2024-02-24T10:03:00Z</dcterms:created>
  <dc:creator>1402836399</dc:creator>
  <cp:lastModifiedBy>A梦</cp:lastModifiedBy>
  <cp:lastPrinted>2026-08-03T11:15:00Z</cp:lastPrinted>
  <dcterms:modified xsi:type="dcterms:W3CDTF">2026-10-15T17:19:01Z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00EDF13D8AB2493F9E9559592EBD0CCE_13</vt:lpwstr>
  </property>
  <property fmtid="{D5CDD505-2E9C-101B-9397-08002B2CF9AE}" pid="4" name="KSOTemplateDocerSaveRecord">
    <vt:lpwstr>eyJoZGlkIjoiMDM3ZTc3M2M3Yzc5ODg0M2ExMjlkMjFlYTNhYjcwYTMiLCJ1c2VySWQiOiIxMjE0NTQ1Mjc2In0=</vt:lpwstr>
  </property>
</Properties>
</file>