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BBCD6">
      <w:pPr>
        <w:pStyle w:val="14"/>
        <w:keepNext w:val="0"/>
        <w:keepLines w:val="0"/>
        <w:pageBreakBefore w:val="0"/>
        <w:widowControl w:val="0"/>
        <w:wordWrap/>
        <w:overflowPunct/>
        <w:topLinePunct w:val="0"/>
        <w:bidi w:val="0"/>
        <w:jc w:val="both"/>
        <w:rPr>
          <w:rFonts w:hAnsi="黑体"/>
          <w:sz w:val="36"/>
          <w:szCs w:val="36"/>
        </w:rPr>
      </w:pPr>
      <w:r>
        <w:rPr>
          <w:rFonts w:hint="eastAsia" w:hAnsi="黑体"/>
          <w:sz w:val="36"/>
          <w:szCs w:val="36"/>
        </w:rPr>
        <w:t>附件1</w:t>
      </w:r>
    </w:p>
    <w:p w14:paraId="69C700AE">
      <w:pPr>
        <w:keepNext w:val="0"/>
        <w:keepLines w:val="0"/>
        <w:pageBreakBefore w:val="0"/>
        <w:widowControl w:val="0"/>
        <w:wordWrap/>
        <w:overflowPunct/>
        <w:topLinePunct w:val="0"/>
        <w:bidi w:val="0"/>
        <w:jc w:val="center"/>
        <w:rPr>
          <w:rFonts w:hint="eastAsia"/>
          <w:w w:val="100"/>
          <w:sz w:val="36"/>
          <w:szCs w:val="36"/>
        </w:rPr>
      </w:pPr>
    </w:p>
    <w:p w14:paraId="72B3849F">
      <w:pPr>
        <w:keepNext w:val="0"/>
        <w:keepLines w:val="0"/>
        <w:pageBreakBefore w:val="0"/>
        <w:widowControl w:val="0"/>
        <w:wordWrap/>
        <w:overflowPunct/>
        <w:topLinePunct w:val="0"/>
        <w:bidi w:val="0"/>
        <w:jc w:val="center"/>
        <w:rPr>
          <w:rFonts w:hint="eastAsia"/>
          <w:w w:val="100"/>
          <w:sz w:val="36"/>
          <w:szCs w:val="36"/>
        </w:rPr>
      </w:pPr>
    </w:p>
    <w:p w14:paraId="2B926E6B">
      <w:pPr>
        <w:keepNext w:val="0"/>
        <w:keepLines w:val="0"/>
        <w:pageBreakBefore w:val="0"/>
        <w:widowControl w:val="0"/>
        <w:wordWrap/>
        <w:overflowPunct/>
        <w:topLinePunct w:val="0"/>
        <w:bidi w:val="0"/>
        <w:jc w:val="center"/>
        <w:rPr>
          <w:rFonts w:hint="eastAsia"/>
          <w:w w:val="100"/>
          <w:sz w:val="36"/>
          <w:szCs w:val="36"/>
        </w:rPr>
      </w:pPr>
    </w:p>
    <w:p w14:paraId="20BB8A7A">
      <w:pPr>
        <w:keepNext w:val="0"/>
        <w:keepLines w:val="0"/>
        <w:pageBreakBefore w:val="0"/>
        <w:widowControl w:val="0"/>
        <w:wordWrap/>
        <w:overflowPunct/>
        <w:topLinePunct w:val="0"/>
        <w:bidi w:val="0"/>
        <w:jc w:val="center"/>
        <w:rPr>
          <w:rFonts w:hint="eastAsia"/>
          <w:w w:val="100"/>
          <w:sz w:val="36"/>
          <w:szCs w:val="36"/>
        </w:rPr>
      </w:pPr>
    </w:p>
    <w:p w14:paraId="12D282A1">
      <w:pPr>
        <w:keepNext w:val="0"/>
        <w:keepLines w:val="0"/>
        <w:pageBreakBefore w:val="0"/>
        <w:widowControl w:val="0"/>
        <w:wordWrap/>
        <w:overflowPunct/>
        <w:topLinePunct w:val="0"/>
        <w:bidi w:val="0"/>
        <w:jc w:val="center"/>
        <w:rPr>
          <w:rFonts w:hint="eastAsia"/>
          <w:w w:val="100"/>
          <w:sz w:val="36"/>
          <w:szCs w:val="36"/>
        </w:rPr>
      </w:pPr>
    </w:p>
    <w:p w14:paraId="45348189">
      <w:pPr>
        <w:keepNext w:val="0"/>
        <w:keepLines w:val="0"/>
        <w:pageBreakBefore w:val="0"/>
        <w:widowControl w:val="0"/>
        <w:wordWrap/>
        <w:overflowPunct/>
        <w:topLinePunct w:val="0"/>
        <w:bidi w:val="0"/>
        <w:jc w:val="center"/>
        <w:rPr>
          <w:rFonts w:hint="eastAsia"/>
          <w:w w:val="100"/>
          <w:sz w:val="36"/>
          <w:szCs w:val="36"/>
        </w:rPr>
      </w:pPr>
    </w:p>
    <w:p w14:paraId="75972650">
      <w:pPr>
        <w:keepNext w:val="0"/>
        <w:keepLines w:val="0"/>
        <w:pageBreakBefore w:val="0"/>
        <w:widowControl w:val="0"/>
        <w:wordWrap/>
        <w:overflowPunct/>
        <w:topLinePunct w:val="0"/>
        <w:bidi w:val="0"/>
        <w:jc w:val="center"/>
        <w:rPr>
          <w:rFonts w:hint="eastAsia"/>
          <w:w w:val="100"/>
          <w:sz w:val="36"/>
          <w:szCs w:val="36"/>
        </w:rPr>
      </w:pPr>
    </w:p>
    <w:p w14:paraId="369585AC">
      <w:pPr>
        <w:keepNext w:val="0"/>
        <w:keepLines w:val="0"/>
        <w:pageBreakBefore w:val="0"/>
        <w:widowControl w:val="0"/>
        <w:wordWrap/>
        <w:overflowPunct/>
        <w:topLinePunct w:val="0"/>
        <w:bidi w:val="0"/>
        <w:jc w:val="center"/>
        <w:rPr>
          <w:rFonts w:hint="eastAsia"/>
          <w:w w:val="100"/>
          <w:sz w:val="60"/>
          <w:szCs w:val="60"/>
        </w:rPr>
      </w:pPr>
      <w:r>
        <w:rPr>
          <w:w w:val="100"/>
          <w:sz w:val="60"/>
          <w:szCs w:val="60"/>
        </w:rPr>
        <w:t>202</w:t>
      </w:r>
      <w:r>
        <w:rPr>
          <w:rFonts w:hint="eastAsia"/>
          <w:w w:val="100"/>
          <w:sz w:val="60"/>
          <w:szCs w:val="60"/>
          <w:lang w:val="en-US" w:eastAsia="zh-CN"/>
        </w:rPr>
        <w:t>5</w:t>
      </w:r>
      <w:r>
        <w:rPr>
          <w:w w:val="100"/>
          <w:sz w:val="60"/>
          <w:szCs w:val="60"/>
        </w:rPr>
        <w:t>年度</w:t>
      </w:r>
    </w:p>
    <w:p w14:paraId="2BF24D07">
      <w:pPr>
        <w:keepNext w:val="0"/>
        <w:keepLines w:val="0"/>
        <w:pageBreakBefore w:val="0"/>
        <w:widowControl w:val="0"/>
        <w:wordWrap/>
        <w:overflowPunct/>
        <w:topLinePunct w:val="0"/>
        <w:bidi w:val="0"/>
        <w:jc w:val="center"/>
        <w:rPr>
          <w:rFonts w:hint="eastAsia" w:eastAsia="黑体"/>
          <w:w w:val="100"/>
          <w:sz w:val="60"/>
          <w:szCs w:val="60"/>
          <w:lang w:eastAsia="zh-CN"/>
        </w:rPr>
      </w:pPr>
      <w:r>
        <w:rPr>
          <w:rFonts w:hint="eastAsia"/>
          <w:w w:val="100"/>
          <w:sz w:val="60"/>
          <w:szCs w:val="60"/>
          <w:lang w:eastAsia="zh-CN"/>
        </w:rPr>
        <w:t>怀化市广播电视监测中心</w:t>
      </w:r>
    </w:p>
    <w:p w14:paraId="79A91742">
      <w:pPr>
        <w:keepNext w:val="0"/>
        <w:keepLines w:val="0"/>
        <w:pageBreakBefore w:val="0"/>
        <w:widowControl w:val="0"/>
        <w:wordWrap/>
        <w:overflowPunct/>
        <w:topLinePunct w:val="0"/>
        <w:bidi w:val="0"/>
        <w:jc w:val="center"/>
        <w:rPr>
          <w:w w:val="100"/>
          <w:sz w:val="72"/>
          <w:szCs w:val="72"/>
        </w:rPr>
      </w:pPr>
      <w:r>
        <w:rPr>
          <w:w w:val="100"/>
          <w:sz w:val="60"/>
          <w:szCs w:val="60"/>
        </w:rPr>
        <w:t>决算公开说明</w:t>
      </w:r>
    </w:p>
    <w:p w14:paraId="73BFA7A4">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5343813E">
      <w:pPr>
        <w:keepNext w:val="0"/>
        <w:keepLines w:val="0"/>
        <w:pageBreakBefore w:val="0"/>
        <w:widowControl w:val="0"/>
        <w:wordWrap/>
        <w:overflowPunct/>
        <w:topLinePunct w:val="0"/>
        <w:bidi w:val="0"/>
        <w:jc w:val="center"/>
        <w:rPr>
          <w:w w:val="100"/>
          <w:sz w:val="30"/>
          <w:szCs w:val="30"/>
        </w:rPr>
      </w:pPr>
      <w:r>
        <w:rPr>
          <w:w w:val="100"/>
          <w:sz w:val="30"/>
          <w:szCs w:val="30"/>
        </w:rPr>
        <w:t>目录</w:t>
      </w:r>
    </w:p>
    <w:p w14:paraId="7283DE39">
      <w:pPr>
        <w:keepNext w:val="0"/>
        <w:keepLines w:val="0"/>
        <w:pageBreakBefore w:val="0"/>
        <w:widowControl w:val="0"/>
        <w:wordWrap/>
        <w:overflowPunct/>
        <w:topLinePunct w:val="0"/>
        <w:bidi w:val="0"/>
        <w:rPr>
          <w:rFonts w:hint="eastAsia"/>
          <w:w w:val="100"/>
          <w:sz w:val="30"/>
          <w:szCs w:val="30"/>
        </w:rPr>
      </w:pPr>
      <w:r>
        <w:rPr>
          <w:w w:val="100"/>
          <w:sz w:val="30"/>
          <w:szCs w:val="30"/>
        </w:rPr>
        <w:t>第一部分</w:t>
      </w:r>
      <w:r>
        <w:rPr>
          <w:rFonts w:hint="eastAsia"/>
          <w:w w:val="100"/>
          <w:sz w:val="30"/>
          <w:szCs w:val="30"/>
        </w:rPr>
        <w:t xml:space="preserve"> </w:t>
      </w:r>
      <w:r>
        <w:rPr>
          <w:rFonts w:hint="eastAsia"/>
          <w:w w:val="100"/>
          <w:sz w:val="30"/>
          <w:szCs w:val="30"/>
          <w:lang w:eastAsia="zh-CN"/>
        </w:rPr>
        <w:t>怀化市广播电视监测中心</w:t>
      </w:r>
      <w:r>
        <w:rPr>
          <w:w w:val="100"/>
          <w:sz w:val="30"/>
          <w:szCs w:val="30"/>
        </w:rPr>
        <w:t>概况</w:t>
      </w:r>
    </w:p>
    <w:p w14:paraId="7DACA4B1">
      <w:pPr>
        <w:keepNext w:val="0"/>
        <w:keepLines w:val="0"/>
        <w:pageBreakBefore w:val="0"/>
        <w:widowControl w:val="0"/>
        <w:wordWrap/>
        <w:overflowPunct/>
        <w:topLinePunct w:val="0"/>
        <w:bidi w:val="0"/>
        <w:rPr>
          <w:rFonts w:hint="eastAsia" w:ascii="仿宋" w:hAnsi="仿宋" w:eastAsia="仿宋"/>
          <w:w w:val="100"/>
          <w:sz w:val="30"/>
          <w:szCs w:val="30"/>
        </w:rPr>
      </w:pPr>
      <w:r>
        <w:rPr>
          <w:rFonts w:ascii="仿宋" w:hAnsi="仿宋" w:eastAsia="仿宋"/>
          <w:w w:val="100"/>
          <w:sz w:val="30"/>
          <w:szCs w:val="30"/>
        </w:rPr>
        <w:t>一、部门职责</w:t>
      </w:r>
    </w:p>
    <w:p w14:paraId="7CB29F82">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二、机构设置及决算单位构成</w:t>
      </w:r>
    </w:p>
    <w:p w14:paraId="52D2D356">
      <w:pPr>
        <w:keepNext w:val="0"/>
        <w:keepLines w:val="0"/>
        <w:pageBreakBefore w:val="0"/>
        <w:widowControl w:val="0"/>
        <w:wordWrap/>
        <w:overflowPunct/>
        <w:topLinePunct w:val="0"/>
        <w:bidi w:val="0"/>
        <w:rPr>
          <w:rFonts w:hint="eastAsia"/>
          <w:w w:val="100"/>
          <w:sz w:val="30"/>
          <w:szCs w:val="30"/>
        </w:rPr>
      </w:pPr>
      <w:r>
        <w:rPr>
          <w:w w:val="100"/>
          <w:sz w:val="30"/>
          <w:szCs w:val="30"/>
        </w:rPr>
        <w:t>第二部分</w:t>
      </w:r>
      <w:r>
        <w:rPr>
          <w:rFonts w:hint="eastAsia"/>
          <w:w w:val="100"/>
          <w:sz w:val="30"/>
          <w:szCs w:val="30"/>
        </w:rPr>
        <w:t xml:space="preserve"> </w:t>
      </w:r>
      <w:r>
        <w:rPr>
          <w:w w:val="100"/>
          <w:sz w:val="30"/>
          <w:szCs w:val="30"/>
        </w:rPr>
        <w:t>部门决算表</w:t>
      </w:r>
    </w:p>
    <w:p w14:paraId="1C4B0E97">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一、收入支出决算总表</w:t>
      </w:r>
      <w:r>
        <w:rPr>
          <w:rFonts w:ascii="仿宋" w:hAnsi="仿宋" w:eastAsia="仿宋"/>
          <w:w w:val="100"/>
          <w:sz w:val="30"/>
          <w:szCs w:val="30"/>
        </w:rPr>
        <w:br w:type="textWrapping"/>
      </w:r>
      <w:r>
        <w:rPr>
          <w:rFonts w:ascii="仿宋" w:hAnsi="仿宋" w:eastAsia="仿宋"/>
          <w:w w:val="100"/>
          <w:sz w:val="30"/>
          <w:szCs w:val="30"/>
        </w:rPr>
        <w:t>二、收入决算表</w:t>
      </w:r>
      <w:r>
        <w:rPr>
          <w:rFonts w:ascii="仿宋" w:hAnsi="仿宋" w:eastAsia="仿宋"/>
          <w:w w:val="100"/>
          <w:sz w:val="30"/>
          <w:szCs w:val="30"/>
        </w:rPr>
        <w:br w:type="textWrapping"/>
      </w:r>
      <w:r>
        <w:rPr>
          <w:rFonts w:ascii="仿宋" w:hAnsi="仿宋" w:eastAsia="仿宋"/>
          <w:w w:val="100"/>
          <w:sz w:val="30"/>
          <w:szCs w:val="30"/>
        </w:rPr>
        <w:t>三、支出决算表</w:t>
      </w:r>
      <w:r>
        <w:rPr>
          <w:rFonts w:ascii="仿宋" w:hAnsi="仿宋" w:eastAsia="仿宋"/>
          <w:w w:val="100"/>
          <w:sz w:val="30"/>
          <w:szCs w:val="30"/>
        </w:rPr>
        <w:br w:type="textWrapping"/>
      </w:r>
      <w:r>
        <w:rPr>
          <w:rFonts w:ascii="仿宋" w:hAnsi="仿宋" w:eastAsia="仿宋"/>
          <w:w w:val="100"/>
          <w:sz w:val="30"/>
          <w:szCs w:val="30"/>
        </w:rPr>
        <w:t>四、财政拨款收入支出决算总表</w:t>
      </w:r>
      <w:r>
        <w:rPr>
          <w:rFonts w:ascii="仿宋" w:hAnsi="仿宋" w:eastAsia="仿宋"/>
          <w:w w:val="100"/>
          <w:sz w:val="30"/>
          <w:szCs w:val="30"/>
        </w:rPr>
        <w:br w:type="textWrapping"/>
      </w:r>
      <w:r>
        <w:rPr>
          <w:rFonts w:ascii="仿宋" w:hAnsi="仿宋" w:eastAsia="仿宋"/>
          <w:w w:val="100"/>
          <w:sz w:val="30"/>
          <w:szCs w:val="30"/>
        </w:rPr>
        <w:t>五、一般公共预算财政拨款支出决算表</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六、一般公共预算财政拨款基本支出决算明细表</w:t>
      </w:r>
      <w:r>
        <w:rPr>
          <w:rFonts w:ascii="仿宋" w:hAnsi="仿宋" w:eastAsia="仿宋"/>
          <w:w w:val="100"/>
          <w:sz w:val="30"/>
          <w:szCs w:val="30"/>
        </w:rPr>
        <w:br w:type="textWrapping"/>
      </w:r>
      <w:r>
        <w:rPr>
          <w:rFonts w:ascii="仿宋" w:hAnsi="仿宋" w:eastAsia="仿宋"/>
          <w:w w:val="100"/>
          <w:sz w:val="30"/>
          <w:szCs w:val="30"/>
        </w:rPr>
        <w:t>七、政府性基金预算财政拨款收入支出决算表</w:t>
      </w:r>
      <w:r>
        <w:rPr>
          <w:rFonts w:ascii="仿宋" w:hAnsi="仿宋" w:eastAsia="仿宋"/>
          <w:w w:val="100"/>
          <w:sz w:val="30"/>
          <w:szCs w:val="30"/>
        </w:rPr>
        <w:br w:type="textWrapping"/>
      </w:r>
      <w:r>
        <w:rPr>
          <w:rFonts w:ascii="仿宋" w:hAnsi="仿宋" w:eastAsia="仿宋"/>
          <w:w w:val="100"/>
          <w:sz w:val="30"/>
          <w:szCs w:val="30"/>
        </w:rPr>
        <w:t>八、国有资本经营预算财政拨款支出决算表</w:t>
      </w:r>
      <w:r>
        <w:rPr>
          <w:rFonts w:ascii="仿宋" w:hAnsi="仿宋" w:eastAsia="仿宋"/>
          <w:w w:val="100"/>
          <w:sz w:val="30"/>
          <w:szCs w:val="30"/>
        </w:rPr>
        <w:br w:type="textWrapping"/>
      </w:r>
      <w:r>
        <w:rPr>
          <w:rFonts w:ascii="仿宋" w:hAnsi="仿宋" w:eastAsia="仿宋"/>
          <w:w w:val="100"/>
          <w:sz w:val="30"/>
          <w:szCs w:val="30"/>
        </w:rPr>
        <w:t>九、财政拨款“三公”经费支出决算表</w:t>
      </w:r>
    </w:p>
    <w:p w14:paraId="77F15396">
      <w:pPr>
        <w:keepNext w:val="0"/>
        <w:keepLines w:val="0"/>
        <w:pageBreakBefore w:val="0"/>
        <w:widowControl w:val="0"/>
        <w:wordWrap/>
        <w:overflowPunct/>
        <w:topLinePunct w:val="0"/>
        <w:bidi w:val="0"/>
        <w:rPr>
          <w:rFonts w:hint="eastAsia"/>
          <w:w w:val="100"/>
          <w:sz w:val="30"/>
          <w:szCs w:val="30"/>
        </w:rPr>
      </w:pPr>
      <w:r>
        <w:rPr>
          <w:w w:val="100"/>
          <w:sz w:val="30"/>
          <w:szCs w:val="30"/>
        </w:rPr>
        <w:t>第三部分</w:t>
      </w:r>
      <w:r>
        <w:rPr>
          <w:rFonts w:hint="eastAsia"/>
          <w:w w:val="100"/>
          <w:sz w:val="30"/>
          <w:szCs w:val="30"/>
        </w:rPr>
        <w:t xml:space="preserve"> </w:t>
      </w:r>
      <w:r>
        <w:rPr>
          <w:w w:val="100"/>
          <w:sz w:val="30"/>
          <w:szCs w:val="30"/>
        </w:rPr>
        <w:t>部门决算情况说明</w:t>
      </w:r>
    </w:p>
    <w:p w14:paraId="77801BBC">
      <w:pPr>
        <w:keepNext w:val="0"/>
        <w:keepLines w:val="0"/>
        <w:pageBreakBefore w:val="0"/>
        <w:widowControl w:val="0"/>
        <w:wordWrap/>
        <w:overflowPunct/>
        <w:topLinePunct w:val="0"/>
        <w:autoSpaceDE w:val="0"/>
        <w:autoSpaceDN w:val="0"/>
        <w:bidi w:val="0"/>
        <w:adjustRightInd w:val="0"/>
        <w:spacing w:line="600" w:lineRule="exact"/>
        <w:jc w:val="left"/>
        <w:rPr>
          <w:rFonts w:ascii="仿宋" w:hAnsi="仿宋" w:eastAsia="仿宋"/>
          <w:w w:val="100"/>
          <w:sz w:val="30"/>
          <w:szCs w:val="30"/>
        </w:rPr>
      </w:pPr>
      <w:r>
        <w:rPr>
          <w:rFonts w:ascii="仿宋" w:hAnsi="仿宋" w:eastAsia="仿宋"/>
          <w:w w:val="100"/>
          <w:sz w:val="30"/>
          <w:szCs w:val="30"/>
        </w:rPr>
        <w:t>一、收入支出决算总体情况说明</w:t>
      </w:r>
      <w:r>
        <w:rPr>
          <w:rFonts w:ascii="仿宋" w:hAnsi="仿宋" w:eastAsia="仿宋"/>
          <w:w w:val="100"/>
          <w:sz w:val="30"/>
          <w:szCs w:val="30"/>
        </w:rPr>
        <w:br w:type="textWrapping"/>
      </w:r>
      <w:r>
        <w:rPr>
          <w:rFonts w:ascii="仿宋" w:hAnsi="仿宋" w:eastAsia="仿宋"/>
          <w:w w:val="100"/>
          <w:sz w:val="30"/>
          <w:szCs w:val="30"/>
        </w:rPr>
        <w:t>二、收入决算情况说明</w:t>
      </w:r>
      <w:r>
        <w:rPr>
          <w:rFonts w:ascii="仿宋" w:hAnsi="仿宋" w:eastAsia="仿宋"/>
          <w:w w:val="100"/>
          <w:sz w:val="30"/>
          <w:szCs w:val="30"/>
        </w:rPr>
        <w:br w:type="textWrapping"/>
      </w:r>
      <w:r>
        <w:rPr>
          <w:rFonts w:ascii="仿宋" w:hAnsi="仿宋" w:eastAsia="仿宋"/>
          <w:w w:val="100"/>
          <w:sz w:val="30"/>
          <w:szCs w:val="30"/>
        </w:rPr>
        <w:t>三、支出决算情况说明</w:t>
      </w:r>
      <w:r>
        <w:rPr>
          <w:rFonts w:ascii="仿宋" w:hAnsi="仿宋" w:eastAsia="仿宋"/>
          <w:w w:val="100"/>
          <w:sz w:val="30"/>
          <w:szCs w:val="30"/>
        </w:rPr>
        <w:br w:type="textWrapping"/>
      </w:r>
      <w:r>
        <w:rPr>
          <w:rFonts w:ascii="仿宋" w:hAnsi="仿宋" w:eastAsia="仿宋"/>
          <w:w w:val="100"/>
          <w:sz w:val="30"/>
          <w:szCs w:val="30"/>
        </w:rPr>
        <w:t>四、财政拨款收入支出决算总体情况说明</w:t>
      </w:r>
      <w:r>
        <w:rPr>
          <w:rFonts w:ascii="仿宋" w:hAnsi="仿宋" w:eastAsia="仿宋"/>
          <w:w w:val="100"/>
          <w:sz w:val="30"/>
          <w:szCs w:val="30"/>
        </w:rPr>
        <w:br w:type="textWrapping"/>
      </w:r>
      <w:r>
        <w:rPr>
          <w:rFonts w:ascii="仿宋" w:hAnsi="仿宋" w:eastAsia="仿宋"/>
          <w:w w:val="100"/>
          <w:sz w:val="30"/>
          <w:szCs w:val="30"/>
        </w:rPr>
        <w:t>五、一般公共预算财政拨款支出决算情况说明</w:t>
      </w:r>
      <w:r>
        <w:rPr>
          <w:rFonts w:ascii="仿宋" w:hAnsi="仿宋" w:eastAsia="仿宋"/>
          <w:w w:val="100"/>
          <w:sz w:val="30"/>
          <w:szCs w:val="30"/>
        </w:rPr>
        <w:br w:type="textWrapping"/>
      </w:r>
      <w:r>
        <w:rPr>
          <w:rFonts w:ascii="仿宋" w:hAnsi="仿宋" w:eastAsia="仿宋"/>
          <w:w w:val="100"/>
          <w:sz w:val="30"/>
          <w:szCs w:val="30"/>
        </w:rPr>
        <w:t>六、一般公共预算财政拨款基本支出决算情况说明</w:t>
      </w:r>
      <w:r>
        <w:rPr>
          <w:rFonts w:ascii="仿宋" w:hAnsi="仿宋" w:eastAsia="仿宋"/>
          <w:w w:val="100"/>
          <w:sz w:val="30"/>
          <w:szCs w:val="30"/>
        </w:rPr>
        <w:br w:type="textWrapping"/>
      </w:r>
      <w:r>
        <w:rPr>
          <w:rFonts w:ascii="仿宋" w:hAnsi="仿宋" w:eastAsia="仿宋"/>
          <w:w w:val="100"/>
          <w:sz w:val="30"/>
          <w:szCs w:val="30"/>
        </w:rPr>
        <w:t>七、财政拨款“三公”经费支出决算情况说明</w:t>
      </w:r>
      <w:r>
        <w:rPr>
          <w:rFonts w:ascii="仿宋" w:hAnsi="仿宋" w:eastAsia="仿宋"/>
          <w:w w:val="100"/>
          <w:sz w:val="30"/>
          <w:szCs w:val="30"/>
        </w:rPr>
        <w:br w:type="textWrapping"/>
      </w:r>
      <w:r>
        <w:rPr>
          <w:rFonts w:ascii="仿宋" w:hAnsi="仿宋" w:eastAsia="仿宋"/>
          <w:w w:val="100"/>
          <w:sz w:val="30"/>
          <w:szCs w:val="30"/>
        </w:rPr>
        <w:t>八、政府性基金预算收入支出决算情况</w:t>
      </w:r>
      <w:r>
        <w:rPr>
          <w:rFonts w:ascii="仿宋" w:hAnsi="仿宋" w:eastAsia="仿宋"/>
          <w:w w:val="100"/>
          <w:sz w:val="30"/>
          <w:szCs w:val="30"/>
        </w:rPr>
        <w:br w:type="textWrapping"/>
      </w:r>
      <w:r>
        <w:rPr>
          <w:rFonts w:ascii="仿宋" w:hAnsi="仿宋" w:eastAsia="仿宋"/>
          <w:w w:val="100"/>
          <w:sz w:val="30"/>
          <w:szCs w:val="30"/>
        </w:rPr>
        <w:t>九、</w:t>
      </w:r>
      <w:r>
        <w:rPr>
          <w:rFonts w:hint="eastAsia" w:ascii="仿宋" w:hAnsi="仿宋" w:eastAsia="仿宋"/>
          <w:w w:val="100"/>
          <w:sz w:val="30"/>
          <w:szCs w:val="30"/>
        </w:rPr>
        <w:t>国有资本经营预算</w:t>
      </w:r>
      <w:r>
        <w:rPr>
          <w:rFonts w:ascii="仿宋" w:hAnsi="仿宋" w:eastAsia="仿宋"/>
          <w:w w:val="100"/>
          <w:sz w:val="30"/>
          <w:szCs w:val="30"/>
        </w:rPr>
        <w:t>收入支出决算情况</w:t>
      </w:r>
    </w:p>
    <w:p w14:paraId="1431793D">
      <w:pPr>
        <w:keepNext w:val="0"/>
        <w:keepLines w:val="0"/>
        <w:pageBreakBefore w:val="0"/>
        <w:widowControl w:val="0"/>
        <w:wordWrap/>
        <w:overflowPunct/>
        <w:topLinePunct w:val="0"/>
        <w:autoSpaceDE w:val="0"/>
        <w:autoSpaceDN w:val="0"/>
        <w:bidi w:val="0"/>
        <w:adjustRightInd w:val="0"/>
        <w:spacing w:line="600" w:lineRule="exact"/>
        <w:jc w:val="left"/>
        <w:rPr>
          <w:rFonts w:ascii="仿宋" w:hAnsi="仿宋" w:eastAsia="仿宋"/>
          <w:w w:val="100"/>
          <w:sz w:val="30"/>
          <w:szCs w:val="30"/>
        </w:rPr>
      </w:pPr>
      <w:r>
        <w:rPr>
          <w:rFonts w:hint="eastAsia" w:ascii="仿宋" w:hAnsi="仿宋" w:eastAsia="仿宋"/>
          <w:w w:val="100"/>
          <w:sz w:val="30"/>
          <w:szCs w:val="30"/>
        </w:rPr>
        <w:t>十、</w:t>
      </w:r>
      <w:r>
        <w:rPr>
          <w:rFonts w:ascii="仿宋" w:hAnsi="仿宋" w:eastAsia="仿宋"/>
          <w:w w:val="100"/>
          <w:sz w:val="30"/>
          <w:szCs w:val="30"/>
        </w:rPr>
        <w:t>关于机关运行经费支出说明</w:t>
      </w:r>
    </w:p>
    <w:p w14:paraId="30D58E2B">
      <w:pPr>
        <w:keepNext w:val="0"/>
        <w:keepLines w:val="0"/>
        <w:pageBreakBefore w:val="0"/>
        <w:widowControl w:val="0"/>
        <w:wordWrap/>
        <w:overflowPunct/>
        <w:topLinePunct w:val="0"/>
        <w:autoSpaceDE w:val="0"/>
        <w:autoSpaceDN w:val="0"/>
        <w:bidi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一</w:t>
      </w:r>
      <w:r>
        <w:rPr>
          <w:rFonts w:ascii="仿宋" w:hAnsi="仿宋" w:eastAsia="仿宋"/>
          <w:w w:val="100"/>
          <w:sz w:val="30"/>
          <w:szCs w:val="30"/>
        </w:rPr>
        <w:t>、一般性支出情况说明</w:t>
      </w:r>
    </w:p>
    <w:p w14:paraId="5449848A">
      <w:pPr>
        <w:keepNext w:val="0"/>
        <w:keepLines w:val="0"/>
        <w:pageBreakBefore w:val="0"/>
        <w:widowControl w:val="0"/>
        <w:wordWrap/>
        <w:overflowPunct/>
        <w:topLinePunct w:val="0"/>
        <w:autoSpaceDE w:val="0"/>
        <w:autoSpaceDN w:val="0"/>
        <w:bidi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二</w:t>
      </w:r>
      <w:r>
        <w:rPr>
          <w:rFonts w:ascii="仿宋" w:hAnsi="仿宋" w:eastAsia="仿宋"/>
          <w:w w:val="100"/>
          <w:sz w:val="30"/>
          <w:szCs w:val="30"/>
        </w:rPr>
        <w:t>、关于政府采购支出说明</w:t>
      </w:r>
    </w:p>
    <w:p w14:paraId="5F6C5A2A">
      <w:pPr>
        <w:keepNext w:val="0"/>
        <w:keepLines w:val="0"/>
        <w:pageBreakBefore w:val="0"/>
        <w:widowControl w:val="0"/>
        <w:wordWrap/>
        <w:overflowPunct/>
        <w:topLinePunct w:val="0"/>
        <w:autoSpaceDE w:val="0"/>
        <w:autoSpaceDN w:val="0"/>
        <w:bidi w:val="0"/>
        <w:adjustRightInd w:val="0"/>
        <w:spacing w:line="600" w:lineRule="exact"/>
        <w:jc w:val="left"/>
        <w:rPr>
          <w:rFonts w:ascii="仿宋" w:hAnsi="仿宋" w:eastAsia="仿宋"/>
          <w:w w:val="100"/>
          <w:sz w:val="30"/>
          <w:szCs w:val="30"/>
        </w:rPr>
      </w:pPr>
      <w:r>
        <w:rPr>
          <w:rFonts w:ascii="仿宋" w:hAnsi="仿宋" w:eastAsia="仿宋"/>
          <w:w w:val="100"/>
          <w:sz w:val="30"/>
          <w:szCs w:val="30"/>
        </w:rPr>
        <w:t>十</w:t>
      </w:r>
      <w:r>
        <w:rPr>
          <w:rFonts w:hint="eastAsia" w:ascii="仿宋" w:hAnsi="仿宋" w:eastAsia="仿宋"/>
          <w:w w:val="100"/>
          <w:sz w:val="30"/>
          <w:szCs w:val="30"/>
        </w:rPr>
        <w:t>三</w:t>
      </w:r>
      <w:r>
        <w:rPr>
          <w:rFonts w:ascii="仿宋" w:hAnsi="仿宋" w:eastAsia="仿宋"/>
          <w:w w:val="100"/>
          <w:sz w:val="30"/>
          <w:szCs w:val="30"/>
        </w:rPr>
        <w:t>、关于国有资产占用情况说明</w:t>
      </w:r>
    </w:p>
    <w:p w14:paraId="0B6B9D88">
      <w:pPr>
        <w:keepNext w:val="0"/>
        <w:keepLines w:val="0"/>
        <w:pageBreakBefore w:val="0"/>
        <w:widowControl w:val="0"/>
        <w:wordWrap/>
        <w:overflowPunct/>
        <w:topLinePunct w:val="0"/>
        <w:bidi w:val="0"/>
        <w:rPr>
          <w:rFonts w:ascii="仿宋" w:hAnsi="仿宋" w:eastAsia="仿宋"/>
          <w:w w:val="100"/>
          <w:sz w:val="30"/>
          <w:szCs w:val="30"/>
        </w:rPr>
      </w:pPr>
      <w:r>
        <w:rPr>
          <w:rFonts w:hint="eastAsia" w:ascii="仿宋" w:hAnsi="仿宋" w:eastAsia="仿宋"/>
          <w:w w:val="100"/>
          <w:sz w:val="30"/>
          <w:szCs w:val="30"/>
        </w:rPr>
        <w:t>十四、关于202</w:t>
      </w:r>
      <w:r>
        <w:rPr>
          <w:rFonts w:hint="eastAsia" w:ascii="仿宋" w:hAnsi="仿宋" w:eastAsia="仿宋"/>
          <w:w w:val="100"/>
          <w:sz w:val="30"/>
          <w:szCs w:val="30"/>
          <w:lang w:val="en-US" w:eastAsia="zh-CN"/>
        </w:rPr>
        <w:t>5</w:t>
      </w:r>
      <w:r>
        <w:rPr>
          <w:rFonts w:hint="eastAsia" w:ascii="仿宋" w:hAnsi="仿宋" w:eastAsia="仿宋"/>
          <w:w w:val="100"/>
          <w:sz w:val="30"/>
          <w:szCs w:val="30"/>
        </w:rPr>
        <w:t>年度预算绩效管理情况的说明</w:t>
      </w:r>
    </w:p>
    <w:p w14:paraId="3B98444E">
      <w:pPr>
        <w:keepNext w:val="0"/>
        <w:keepLines w:val="0"/>
        <w:pageBreakBefore w:val="0"/>
        <w:widowControl w:val="0"/>
        <w:wordWrap/>
        <w:overflowPunct/>
        <w:topLinePunct w:val="0"/>
        <w:bidi w:val="0"/>
        <w:rPr>
          <w:w w:val="100"/>
          <w:sz w:val="30"/>
          <w:szCs w:val="30"/>
        </w:rPr>
      </w:pPr>
      <w:r>
        <w:rPr>
          <w:w w:val="100"/>
          <w:sz w:val="30"/>
          <w:szCs w:val="30"/>
        </w:rPr>
        <w:t>第四部分</w:t>
      </w:r>
      <w:r>
        <w:rPr>
          <w:rFonts w:hint="eastAsia"/>
          <w:w w:val="100"/>
          <w:sz w:val="30"/>
          <w:szCs w:val="30"/>
        </w:rPr>
        <w:t xml:space="preserve"> </w:t>
      </w:r>
      <w:r>
        <w:rPr>
          <w:w w:val="100"/>
          <w:sz w:val="30"/>
          <w:szCs w:val="30"/>
        </w:rPr>
        <w:t>名词解释</w:t>
      </w:r>
    </w:p>
    <w:p w14:paraId="591EFE64">
      <w:pPr>
        <w:keepNext w:val="0"/>
        <w:keepLines w:val="0"/>
        <w:pageBreakBefore w:val="0"/>
        <w:widowControl w:val="0"/>
        <w:wordWrap/>
        <w:overflowPunct/>
        <w:topLinePunct w:val="0"/>
        <w:bidi w:val="0"/>
        <w:rPr>
          <w:w w:val="100"/>
          <w:sz w:val="30"/>
          <w:szCs w:val="30"/>
        </w:rPr>
      </w:pPr>
      <w:r>
        <w:rPr>
          <w:w w:val="100"/>
          <w:sz w:val="30"/>
          <w:szCs w:val="30"/>
        </w:rPr>
        <w:t>第五部分</w:t>
      </w:r>
      <w:r>
        <w:rPr>
          <w:rFonts w:hint="eastAsia"/>
          <w:w w:val="100"/>
          <w:sz w:val="30"/>
          <w:szCs w:val="30"/>
        </w:rPr>
        <w:t xml:space="preserve"> </w:t>
      </w:r>
      <w:r>
        <w:rPr>
          <w:w w:val="100"/>
          <w:sz w:val="30"/>
          <w:szCs w:val="30"/>
        </w:rPr>
        <w:t>附件</w:t>
      </w:r>
    </w:p>
    <w:p w14:paraId="752F21BA">
      <w:pPr>
        <w:keepNext w:val="0"/>
        <w:keepLines w:val="0"/>
        <w:pageBreakBefore w:val="0"/>
        <w:widowControl w:val="0"/>
        <w:wordWrap/>
        <w:overflowPunct/>
        <w:topLinePunct w:val="0"/>
        <w:bidi w:val="0"/>
        <w:jc w:val="left"/>
        <w:rPr>
          <w:w w:val="100"/>
          <w:sz w:val="30"/>
          <w:szCs w:val="30"/>
        </w:rPr>
      </w:pPr>
      <w:r>
        <w:rPr>
          <w:w w:val="100"/>
          <w:sz w:val="30"/>
          <w:szCs w:val="30"/>
        </w:rPr>
        <w:br w:type="page"/>
      </w:r>
    </w:p>
    <w:p w14:paraId="3BD2468E">
      <w:pPr>
        <w:keepNext w:val="0"/>
        <w:keepLines w:val="0"/>
        <w:pageBreakBefore w:val="0"/>
        <w:widowControl w:val="0"/>
        <w:wordWrap/>
        <w:overflowPunct/>
        <w:topLinePunct w:val="0"/>
        <w:bidi w:val="0"/>
        <w:rPr>
          <w:w w:val="100"/>
          <w:sz w:val="30"/>
          <w:szCs w:val="30"/>
        </w:rPr>
      </w:pPr>
    </w:p>
    <w:p w14:paraId="563B8606">
      <w:pPr>
        <w:keepNext w:val="0"/>
        <w:keepLines w:val="0"/>
        <w:pageBreakBefore w:val="0"/>
        <w:widowControl w:val="0"/>
        <w:wordWrap/>
        <w:overflowPunct/>
        <w:topLinePunct w:val="0"/>
        <w:bidi w:val="0"/>
        <w:jc w:val="center"/>
        <w:rPr>
          <w:rFonts w:hint="eastAsia"/>
          <w:w w:val="100"/>
          <w:sz w:val="52"/>
          <w:szCs w:val="52"/>
        </w:rPr>
      </w:pPr>
      <w:r>
        <w:rPr>
          <w:w w:val="100"/>
          <w:sz w:val="52"/>
          <w:szCs w:val="52"/>
        </w:rPr>
        <w:t>第一部分</w:t>
      </w:r>
    </w:p>
    <w:p w14:paraId="51C7B760">
      <w:pPr>
        <w:keepNext w:val="0"/>
        <w:keepLines w:val="0"/>
        <w:pageBreakBefore w:val="0"/>
        <w:widowControl w:val="0"/>
        <w:wordWrap/>
        <w:overflowPunct/>
        <w:topLinePunct w:val="0"/>
        <w:bidi w:val="0"/>
        <w:jc w:val="center"/>
        <w:rPr>
          <w:w w:val="100"/>
          <w:sz w:val="32"/>
          <w:szCs w:val="30"/>
        </w:rPr>
      </w:pPr>
      <w:r>
        <w:rPr>
          <w:rFonts w:hint="eastAsia"/>
          <w:w w:val="100"/>
          <w:sz w:val="52"/>
          <w:szCs w:val="52"/>
          <w:lang w:eastAsia="zh-CN"/>
        </w:rPr>
        <w:t>怀化市广播电视监测中心</w:t>
      </w:r>
      <w:r>
        <w:rPr>
          <w:w w:val="100"/>
          <w:sz w:val="52"/>
          <w:szCs w:val="52"/>
        </w:rPr>
        <w:t>概况</w:t>
      </w:r>
    </w:p>
    <w:p w14:paraId="46A7745A">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0" w:name="heading_2"/>
      <w:r>
        <w:rPr>
          <w:rFonts w:hint="eastAsia" w:cs="黑体"/>
          <w:b w:val="0"/>
          <w:bCs w:val="0"/>
          <w:sz w:val="30"/>
          <w:szCs w:val="30"/>
          <w:lang w:eastAsia="zh-CN"/>
        </w:rPr>
        <w:t>一、</w:t>
      </w:r>
      <w:r>
        <w:rPr>
          <w:rFonts w:ascii="黑体" w:hAnsi="黑体" w:eastAsia="黑体" w:cs="黑体"/>
          <w:b w:val="0"/>
          <w:bCs w:val="0"/>
          <w:sz w:val="30"/>
          <w:szCs w:val="30"/>
        </w:rPr>
        <w:t>部门职责</w:t>
      </w:r>
      <w:bookmarkEnd w:id="0"/>
    </w:p>
    <w:p w14:paraId="79B9E02B">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怀化市广播电视监测中心是怀化市文化旅游广电体育局下属全额拨款公益一类二级事业单位，主要承担全市广播电视监测监管、安全播出保障、应急广播体系运行维护、广电技术支撑等核心职责：</w:t>
      </w:r>
    </w:p>
    <w:p w14:paraId="440BF3C2">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1.</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负责全市广播电视频道节目信号实时监测、节目内容监听监看监评，建立预警响应机制，保障广播电视播出秩序与内容安全；</w:t>
      </w:r>
    </w:p>
    <w:p w14:paraId="0849150A">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2.</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承担市级应急广播体系建设及平台运维，推动市、县、乡三级应急广播系统贯通，发布应急预警与公益信息，打通基层信息发布“最后一公里”；</w:t>
      </w:r>
    </w:p>
    <w:p w14:paraId="41D13A83">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3.</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配合开展广播电视安全播出保障，在重大节日、重要会议等保障期实行24小时值守，排查设备与网络风险，确保广播电视安全播出；</w:t>
      </w:r>
    </w:p>
    <w:p w14:paraId="70984F68">
      <w:pPr>
        <w:pStyle w:val="6"/>
        <w:keepNext w:val="0"/>
        <w:keepLines w:val="0"/>
        <w:pageBreakBefore w:val="0"/>
        <w:widowControl w:val="0"/>
        <w:numPr>
          <w:ilvl w:val="0"/>
          <w:numId w:val="0"/>
        </w:numPr>
        <w:kinsoku/>
        <w:wordWrap/>
        <w:overflowPunct/>
        <w:topLinePunct w:val="0"/>
        <w:autoSpaceDE/>
        <w:autoSpaceDN/>
        <w:bidi w:val="0"/>
        <w:adjustRightInd/>
        <w:snapToGrid/>
        <w:ind w:left="0" w:leftChars="0" w:firstLine="616"/>
        <w:textAlignment w:val="auto"/>
        <w:rPr>
          <w:rFonts w:eastAsia="仿宋_GB2312"/>
          <w:b w:val="0"/>
          <w:bCs w:val="0"/>
          <w:color w:val="3370FF"/>
          <w:sz w:val="30"/>
          <w:szCs w:val="30"/>
        </w:rPr>
      </w:pPr>
      <w:r>
        <w:rPr>
          <w:rFonts w:hint="eastAsia" w:cs="仿宋_GB2312"/>
          <w:b w:val="0"/>
          <w:bCs w:val="0"/>
          <w:sz w:val="30"/>
          <w:szCs w:val="30"/>
          <w:lang w:eastAsia="zh-CN"/>
        </w:rPr>
        <w:t>4.</w:t>
      </w:r>
      <w:r>
        <w:rPr>
          <w:rFonts w:hint="eastAsia" w:ascii="仿宋" w:hAnsi="仿宋" w:eastAsia="仿宋" w:cs="仿宋"/>
          <w:b w:val="0"/>
          <w:bCs w:val="0"/>
          <w:spacing w:val="-6"/>
          <w:sz w:val="30"/>
          <w:szCs w:val="30"/>
          <w:lang w:eastAsia="zh-CN"/>
        </w:rPr>
        <w:t xml:space="preserve"> </w:t>
      </w:r>
      <w:r>
        <w:rPr>
          <w:rFonts w:ascii="Times New Roman" w:hAnsi="Times New Roman" w:eastAsia="仿宋_GB2312" w:cs="仿宋_GB2312"/>
          <w:b w:val="0"/>
          <w:bCs w:val="0"/>
          <w:sz w:val="30"/>
          <w:szCs w:val="30"/>
        </w:rPr>
        <w:t>提供广电技术支撑，推进监测系统升级、数据存储优化、网络安全加固，实现监测数据与省局平台无缝对接。</w:t>
      </w:r>
    </w:p>
    <w:p w14:paraId="02C3D2C6">
      <w:pPr>
        <w:pStyle w:val="2"/>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eastAsia="黑体"/>
          <w:b w:val="0"/>
          <w:bCs w:val="0"/>
          <w:sz w:val="30"/>
          <w:szCs w:val="30"/>
        </w:rPr>
      </w:pPr>
      <w:bookmarkStart w:id="1" w:name="heading_3"/>
      <w:r>
        <w:rPr>
          <w:rFonts w:hint="eastAsia" w:cs="黑体"/>
          <w:b w:val="0"/>
          <w:bCs w:val="0"/>
          <w:sz w:val="30"/>
          <w:szCs w:val="30"/>
          <w:lang w:eastAsia="zh-CN"/>
        </w:rPr>
        <w:t>二、</w:t>
      </w:r>
      <w:r>
        <w:rPr>
          <w:rFonts w:ascii="黑体" w:hAnsi="黑体" w:eastAsia="黑体" w:cs="黑体"/>
          <w:b w:val="0"/>
          <w:bCs w:val="0"/>
          <w:sz w:val="30"/>
          <w:szCs w:val="30"/>
        </w:rPr>
        <w:t>机构设置及决算单位构成</w:t>
      </w:r>
      <w:bookmarkEnd w:id="1"/>
    </w:p>
    <w:p w14:paraId="065D7348">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2" w:name="heading_4"/>
      <w:r>
        <w:rPr>
          <w:rFonts w:hint="eastAsia" w:cs="楷体_GB2312"/>
          <w:b w:val="0"/>
          <w:bCs w:val="0"/>
          <w:sz w:val="30"/>
          <w:szCs w:val="30"/>
          <w:lang w:eastAsia="zh-CN"/>
        </w:rPr>
        <w:t>（一）</w:t>
      </w:r>
      <w:r>
        <w:rPr>
          <w:rFonts w:ascii="Times New Roman" w:hAnsi="Times New Roman" w:eastAsia="楷体_GB2312" w:cs="楷体_GB2312"/>
          <w:b w:val="0"/>
          <w:bCs w:val="0"/>
          <w:sz w:val="30"/>
          <w:szCs w:val="30"/>
        </w:rPr>
        <w:t>内设机构设置</w:t>
      </w:r>
      <w:bookmarkEnd w:id="2"/>
    </w:p>
    <w:p w14:paraId="14C01A78">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b w:val="0"/>
          <w:bCs w:val="0"/>
          <w:sz w:val="30"/>
          <w:szCs w:val="30"/>
        </w:rPr>
      </w:pPr>
      <w:r>
        <w:rPr>
          <w:rFonts w:ascii="Times New Roman" w:hAnsi="Times New Roman" w:eastAsia="仿宋_GB2312" w:cs="仿宋_GB2312"/>
          <w:b w:val="0"/>
          <w:bCs w:val="0"/>
          <w:sz w:val="30"/>
          <w:szCs w:val="30"/>
        </w:rPr>
        <w:t>怀化市广播电视监测中心内设3个职能科室：</w:t>
      </w:r>
    </w:p>
    <w:p w14:paraId="0BEB0C73">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eastAsia="仿宋_GB2312"/>
          <w:sz w:val="30"/>
          <w:szCs w:val="30"/>
        </w:rPr>
      </w:pPr>
      <w:r>
        <w:rPr>
          <w:rFonts w:ascii="Times New Roman" w:hAnsi="Times New Roman" w:eastAsia="仿宋_GB2312" w:cs="仿宋_GB2312"/>
          <w:b/>
          <w:sz w:val="30"/>
          <w:szCs w:val="30"/>
        </w:rPr>
        <w:t>办公室</w:t>
      </w:r>
      <w:r>
        <w:rPr>
          <w:rFonts w:ascii="Times New Roman" w:hAnsi="Times New Roman" w:eastAsia="仿宋_GB2312" w:cs="仿宋_GB2312"/>
          <w:sz w:val="30"/>
          <w:szCs w:val="30"/>
        </w:rPr>
        <w:t>：负责行政后勤、人事管理、财务核算、档案管理及党建工作，统筹协调单位内部事务；</w:t>
      </w:r>
    </w:p>
    <w:p w14:paraId="2AC4DEAB">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eastAsia="仿宋_GB2312"/>
          <w:sz w:val="30"/>
          <w:szCs w:val="30"/>
        </w:rPr>
      </w:pPr>
      <w:r>
        <w:rPr>
          <w:rFonts w:ascii="Times New Roman" w:hAnsi="Times New Roman" w:eastAsia="仿宋_GB2312" w:cs="仿宋_GB2312"/>
          <w:b/>
          <w:sz w:val="30"/>
          <w:szCs w:val="30"/>
        </w:rPr>
        <w:t>监听监看部</w:t>
      </w:r>
      <w:r>
        <w:rPr>
          <w:rFonts w:ascii="Times New Roman" w:hAnsi="Times New Roman" w:eastAsia="仿宋_GB2312" w:cs="仿宋_GB2312"/>
          <w:sz w:val="30"/>
          <w:szCs w:val="30"/>
        </w:rPr>
        <w:t>：承担广播电视节目信号监测、内容监评及应急广播平台运维工作，编制监测简报，处理预警信息；</w:t>
      </w:r>
    </w:p>
    <w:p w14:paraId="7762E3D1">
      <w:pPr>
        <w:pStyle w:val="6"/>
        <w:keepNext w:val="0"/>
        <w:keepLines w:val="0"/>
        <w:pageBreakBefore w:val="0"/>
        <w:widowControl w:val="0"/>
        <w:numPr>
          <w:ilvl w:val="0"/>
          <w:numId w:val="0"/>
        </w:numPr>
        <w:kinsoku/>
        <w:wordWrap/>
        <w:overflowPunct/>
        <w:topLinePunct w:val="0"/>
        <w:autoSpaceDE/>
        <w:autoSpaceDN/>
        <w:bidi w:val="0"/>
        <w:adjustRightInd/>
        <w:snapToGrid/>
        <w:ind w:leftChars="0" w:firstLine="578" w:firstLineChars="200"/>
        <w:textAlignment w:val="auto"/>
        <w:rPr>
          <w:rFonts w:eastAsia="仿宋_GB2312"/>
          <w:sz w:val="30"/>
          <w:szCs w:val="30"/>
        </w:rPr>
      </w:pPr>
      <w:r>
        <w:rPr>
          <w:rFonts w:ascii="Times New Roman" w:hAnsi="Times New Roman" w:eastAsia="仿宋_GB2312" w:cs="仿宋_GB2312"/>
          <w:b/>
          <w:sz w:val="30"/>
          <w:szCs w:val="30"/>
        </w:rPr>
        <w:t>财务室</w:t>
      </w:r>
      <w:r>
        <w:rPr>
          <w:rFonts w:ascii="Times New Roman" w:hAnsi="Times New Roman" w:eastAsia="仿宋_GB2312" w:cs="仿宋_GB2312"/>
          <w:sz w:val="30"/>
          <w:szCs w:val="30"/>
        </w:rPr>
        <w:t>：负责预算编制、资金管理、费用报销及国有资产管理，严格执行财务制度。</w:t>
      </w:r>
    </w:p>
    <w:p w14:paraId="0874FDE7">
      <w:pPr>
        <w:pStyle w:val="3"/>
        <w:keepNext w:val="0"/>
        <w:keepLines w:val="0"/>
        <w:pageBreakBefore w:val="0"/>
        <w:widowControl w:val="0"/>
        <w:numPr>
          <w:ilvl w:val="0"/>
          <w:numId w:val="0"/>
        </w:numPr>
        <w:kinsoku/>
        <w:wordWrap/>
        <w:overflowPunct/>
        <w:topLinePunct w:val="0"/>
        <w:autoSpaceDE/>
        <w:autoSpaceDN/>
        <w:bidi w:val="0"/>
        <w:adjustRightInd/>
        <w:snapToGrid/>
        <w:ind w:left="0" w:leftChars="0" w:firstLine="640"/>
        <w:textAlignment w:val="auto"/>
        <w:rPr>
          <w:rFonts w:hint="eastAsia" w:eastAsia="楷体_GB2312"/>
          <w:b w:val="0"/>
          <w:bCs w:val="0"/>
          <w:sz w:val="30"/>
          <w:szCs w:val="30"/>
        </w:rPr>
      </w:pPr>
      <w:bookmarkStart w:id="3" w:name="heading_5"/>
      <w:r>
        <w:rPr>
          <w:rFonts w:hint="eastAsia" w:cs="楷体_GB2312"/>
          <w:b w:val="0"/>
          <w:bCs w:val="0"/>
          <w:sz w:val="30"/>
          <w:szCs w:val="30"/>
          <w:lang w:eastAsia="zh-CN"/>
        </w:rPr>
        <w:t>（二）</w:t>
      </w:r>
      <w:r>
        <w:rPr>
          <w:rFonts w:ascii="Times New Roman" w:hAnsi="Times New Roman" w:eastAsia="楷体_GB2312" w:cs="楷体_GB2312"/>
          <w:b w:val="0"/>
          <w:bCs w:val="0"/>
          <w:sz w:val="30"/>
          <w:szCs w:val="30"/>
        </w:rPr>
        <w:t>决算单位构成</w:t>
      </w:r>
      <w:bookmarkEnd w:id="3"/>
    </w:p>
    <w:p w14:paraId="08AA1A01">
      <w:pPr>
        <w:pStyle w:val="6"/>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sz w:val="30"/>
          <w:szCs w:val="30"/>
        </w:rPr>
      </w:pPr>
      <w:r>
        <w:rPr>
          <w:rFonts w:ascii="Times New Roman" w:hAnsi="Times New Roman" w:eastAsia="仿宋_GB2312" w:cs="仿宋_GB2312"/>
          <w:sz w:val="30"/>
          <w:szCs w:val="30"/>
        </w:rPr>
        <w:t>2025年部门决算汇总公开单位仅包含</w:t>
      </w:r>
      <w:r>
        <w:rPr>
          <w:rFonts w:ascii="Times New Roman" w:hAnsi="Times New Roman" w:eastAsia="仿宋_GB2312" w:cs="仿宋_GB2312"/>
          <w:b/>
          <w:sz w:val="30"/>
          <w:szCs w:val="30"/>
        </w:rPr>
        <w:t>怀化市广播电视监测中心本级</w:t>
      </w:r>
      <w:r>
        <w:rPr>
          <w:rFonts w:ascii="Times New Roman" w:hAnsi="Times New Roman" w:eastAsia="仿宋_GB2312" w:cs="仿宋_GB2312"/>
          <w:sz w:val="30"/>
          <w:szCs w:val="30"/>
        </w:rPr>
        <w:t>，无下属二级决算单位，所有收支、资产及绩效数据均纳入本级决算统一核算与公开。</w:t>
      </w:r>
    </w:p>
    <w:p w14:paraId="13B57D6E">
      <w:pPr>
        <w:keepNext w:val="0"/>
        <w:keepLines w:val="0"/>
        <w:pageBreakBefore w:val="0"/>
        <w:widowControl w:val="0"/>
        <w:wordWrap/>
        <w:overflowPunct/>
        <w:topLinePunct w:val="0"/>
        <w:bidi w:val="0"/>
        <w:ind w:left="0" w:leftChars="0" w:firstLine="879" w:firstLineChars="293"/>
        <w:rPr>
          <w:rFonts w:hint="eastAsia" w:ascii="仿宋" w:hAnsi="仿宋" w:eastAsia="仿宋" w:cs="仿宋"/>
          <w:w w:val="100"/>
          <w:sz w:val="30"/>
          <w:szCs w:val="30"/>
        </w:rPr>
      </w:pPr>
    </w:p>
    <w:p w14:paraId="711F5296">
      <w:pPr>
        <w:keepNext w:val="0"/>
        <w:keepLines w:val="0"/>
        <w:pageBreakBefore w:val="0"/>
        <w:widowControl w:val="0"/>
        <w:wordWrap/>
        <w:overflowPunct/>
        <w:topLinePunct w:val="0"/>
        <w:bidi w:val="0"/>
        <w:ind w:left="0" w:leftChars="0" w:firstLine="879" w:firstLineChars="293"/>
        <w:rPr>
          <w:rFonts w:hint="eastAsia" w:ascii="仿宋" w:hAnsi="仿宋" w:eastAsia="仿宋" w:cs="仿宋"/>
          <w:w w:val="100"/>
          <w:sz w:val="30"/>
          <w:szCs w:val="30"/>
        </w:rPr>
      </w:pPr>
    </w:p>
    <w:p w14:paraId="37675FD8">
      <w:pPr>
        <w:keepNext w:val="0"/>
        <w:keepLines w:val="0"/>
        <w:pageBreakBefore w:val="0"/>
        <w:widowControl w:val="0"/>
        <w:wordWrap/>
        <w:overflowPunct/>
        <w:topLinePunct w:val="0"/>
        <w:bidi w:val="0"/>
        <w:ind w:left="0" w:leftChars="0" w:firstLine="879" w:firstLineChars="293"/>
        <w:rPr>
          <w:rFonts w:hint="eastAsia" w:ascii="仿宋" w:hAnsi="仿宋" w:eastAsia="仿宋" w:cs="仿宋"/>
          <w:w w:val="100"/>
          <w:sz w:val="30"/>
          <w:szCs w:val="30"/>
        </w:rPr>
        <w:sectPr>
          <w:pgSz w:w="11906" w:h="16838"/>
          <w:pgMar w:top="1440" w:right="1800" w:bottom="1440" w:left="1800" w:header="851" w:footer="992" w:gutter="0"/>
          <w:cols w:space="425" w:num="1"/>
          <w:docGrid w:type="lines" w:linePitch="312" w:charSpace="0"/>
        </w:sectPr>
      </w:pPr>
    </w:p>
    <w:p w14:paraId="257C2974">
      <w:pPr>
        <w:keepNext w:val="0"/>
        <w:keepLines w:val="0"/>
        <w:pageBreakBefore w:val="0"/>
        <w:widowControl w:val="0"/>
        <w:wordWrap/>
        <w:overflowPunct/>
        <w:topLinePunct w:val="0"/>
        <w:bidi w:val="0"/>
        <w:ind w:firstLine="680" w:firstLineChars="189"/>
        <w:jc w:val="center"/>
        <w:rPr>
          <w:rFonts w:hint="eastAsia" w:ascii="黑体" w:hAnsi="黑体" w:eastAsia="黑体" w:cs="黑体"/>
          <w:w w:val="100"/>
          <w:sz w:val="36"/>
          <w:szCs w:val="36"/>
        </w:rPr>
      </w:pPr>
      <w:r>
        <w:rPr>
          <w:rFonts w:hint="eastAsia" w:ascii="黑体" w:hAnsi="黑体" w:eastAsia="黑体" w:cs="黑体"/>
          <w:w w:val="100"/>
          <w:sz w:val="36"/>
          <w:szCs w:val="36"/>
        </w:rPr>
        <w:t>第二部分 部门决算表</w:t>
      </w:r>
    </w:p>
    <w:p w14:paraId="07180F14">
      <w:pPr>
        <w:keepNext w:val="0"/>
        <w:keepLines w:val="0"/>
        <w:pageBreakBefore w:val="0"/>
        <w:widowControl w:val="0"/>
        <w:wordWrap/>
        <w:overflowPunct/>
        <w:topLinePunct w:val="0"/>
        <w:bidi w:val="0"/>
        <w:ind w:firstLine="680" w:firstLineChars="189"/>
        <w:jc w:val="right"/>
        <w:rPr>
          <w:rFonts w:ascii="仿宋" w:hAnsi="仿宋" w:eastAsia="仿宋"/>
          <w:w w:val="100"/>
          <w:sz w:val="30"/>
          <w:szCs w:val="30"/>
        </w:rPr>
      </w:pPr>
      <w:r>
        <w:rPr>
          <w:rFonts w:hint="eastAsia" w:ascii="黑体" w:hAnsi="黑体" w:eastAsia="黑体" w:cs="黑体"/>
          <w:w w:val="100"/>
          <w:sz w:val="36"/>
          <w:szCs w:val="36"/>
        </w:rPr>
        <w:t>收入支出决算总表</w:t>
      </w:r>
      <w:r>
        <w:rPr>
          <w:rFonts w:hint="eastAsia" w:ascii="仿宋" w:hAnsi="仿宋" w:eastAsia="仿宋"/>
          <w:w w:val="100"/>
          <w:sz w:val="30"/>
          <w:szCs w:val="30"/>
          <w:lang w:val="en-US" w:eastAsia="zh-CN"/>
        </w:rPr>
        <w:t xml:space="preserve">                      </w:t>
      </w:r>
      <w:r>
        <w:rPr>
          <w:rFonts w:ascii="仿宋" w:hAnsi="仿宋" w:eastAsia="仿宋"/>
          <w:w w:val="100"/>
          <w:sz w:val="30"/>
          <w:szCs w:val="30"/>
        </w:rPr>
        <w:t>（公开01表）</w:t>
      </w:r>
    </w:p>
    <w:p w14:paraId="5344DF79">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130"/>
        <w:gridCol w:w="896"/>
        <w:gridCol w:w="1210"/>
        <w:gridCol w:w="4827"/>
        <w:gridCol w:w="898"/>
        <w:gridCol w:w="1207"/>
      </w:tblGrid>
      <w:tr w14:paraId="19F37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F17B2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收入</w:t>
            </w:r>
          </w:p>
        </w:tc>
        <w:tc>
          <w:tcPr>
            <w:tcW w:w="6932"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3B125A">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支出</w:t>
            </w:r>
          </w:p>
        </w:tc>
      </w:tr>
      <w:tr w14:paraId="7F702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C914F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5445E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CD90D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B447D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B4AFE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行次</w:t>
            </w:r>
          </w:p>
        </w:tc>
        <w:tc>
          <w:tcPr>
            <w:tcW w:w="12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E2D7E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金额</w:t>
            </w:r>
          </w:p>
        </w:tc>
      </w:tr>
      <w:tr w14:paraId="4D8CC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19A8F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C6B6C6">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AB0BA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00A98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7E6FDE">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i w:val="0"/>
                <w:iCs w:val="0"/>
                <w:color w:val="000000"/>
                <w:w w:val="100"/>
                <w:sz w:val="22"/>
                <w:szCs w:val="22"/>
                <w:u w:val="none"/>
              </w:rPr>
            </w:pPr>
          </w:p>
        </w:tc>
        <w:tc>
          <w:tcPr>
            <w:tcW w:w="120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AC1CC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r>
      <w:tr w14:paraId="55AC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D7EF7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14E83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CAC814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FBEA2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BD91E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3EBCE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13.6</w:t>
            </w:r>
          </w:p>
        </w:tc>
      </w:tr>
      <w:tr w14:paraId="72660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000D1A">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90B48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B1964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A11B83">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619AE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499B7E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C08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8BDE1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BEFD6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44FEF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D4B2A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B9268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5C09A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4248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CF55B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DF69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2EEC2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65EBB87">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5F690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438B4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B4E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BB094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F7377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C54996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588B6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862C1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4D2F0E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D2E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A2E39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6BF8E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757B5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00713F">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7D888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56723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65A5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8DAE9A">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7E1B0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82C7F1">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7B0EF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83C28">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8B0C09">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239.99</w:t>
            </w:r>
          </w:p>
        </w:tc>
      </w:tr>
      <w:tr w14:paraId="2B61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1431BD">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6FA69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81127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9.73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9CC6B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629E6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D76F7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45.81</w:t>
            </w:r>
          </w:p>
        </w:tc>
      </w:tr>
      <w:tr w14:paraId="33D70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BE06F7">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10C3C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485BB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EA588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0C1B5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B641E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10.45</w:t>
            </w:r>
          </w:p>
        </w:tc>
      </w:tr>
      <w:tr w14:paraId="5E52E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5FF1BD">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01D0C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016F6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70C1FB">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242C2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B0B82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B01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6883BB">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417F2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D755E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6D66C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6A80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B4683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8F8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0C1022">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CC8D9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AE4E7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0F014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7F2A8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DBAB2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857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F56C29">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DF0EC9">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F0472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3EAA0F">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C5656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EAA42A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DC8E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544BA3">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992D5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00700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A93064">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98EE6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5BADA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B18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0216D9">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AEB28">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F84ED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C4B8A6">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15428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988AB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D756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82EAC6">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768E4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700318">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AF1BA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0F35D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481C12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C9BE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54721B">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6DD57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A8335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2843E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279FA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3A5B3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42C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4F8D89">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C11CC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529F28">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D1606">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BA8405">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5434E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D2A2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A4C847">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03324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35814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F6109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9C2C4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7E6E7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23.55</w:t>
            </w:r>
          </w:p>
        </w:tc>
      </w:tr>
      <w:tr w14:paraId="76E3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E91500">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93BC9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33022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DE4CE9">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6472A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7EDB4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0FD4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3A494B">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C803E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A3D0B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8CA9F4">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7C7E09">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91B41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56F4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CB0E1E">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FF375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8D5245">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23035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CC5D2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65276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4F82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799D36">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E2BB0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B810A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CE2F8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D6D89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AC2C6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1.48</w:t>
            </w:r>
          </w:p>
        </w:tc>
      </w:tr>
      <w:tr w14:paraId="5AE7F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AEA43A">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9B151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04AF3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71401D">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BC4B9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8D748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166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047DB2">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A0482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ED9D6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C5E0E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FD0B5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46008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9FA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CCCB89">
            <w:pPr>
              <w:keepNext w:val="0"/>
              <w:keepLines w:val="0"/>
              <w:pageBreakBefore w:val="0"/>
              <w:widowControl w:val="0"/>
              <w:wordWrap/>
              <w:overflowPunct/>
              <w:topLinePunct w:val="0"/>
              <w:bidi w:val="0"/>
              <w:snapToGrid w:val="0"/>
              <w:ind w:left="0" w:leftChars="0" w:right="0" w:rightChars="0" w:firstLine="0" w:firstLineChars="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A4DF6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0"/>
                <w:szCs w:val="20"/>
                <w:u w:val="none"/>
              </w:rPr>
            </w:pPr>
            <w:r>
              <w:rPr>
                <w:rFonts w:hint="eastAsia" w:ascii="宋体" w:hAnsi="宋体" w:eastAsia="宋体" w:cs="宋体"/>
                <w:i w:val="0"/>
                <w:iCs w:val="0"/>
                <w:color w:val="000000"/>
                <w:w w:val="100"/>
                <w:kern w:val="0"/>
                <w:sz w:val="20"/>
                <w:szCs w:val="20"/>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DA525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1B14A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CA7BC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17C40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4A92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0E0FAD">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867CF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E51B2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334.88</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8FC9F4">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AB01B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57</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DA4C0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334.88</w:t>
            </w:r>
          </w:p>
        </w:tc>
      </w:tr>
      <w:tr w14:paraId="70792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A36CA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5372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7238E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B21A5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CF1FCA">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2F4FB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8A7D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27F473">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2501A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C75AD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159853">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C7391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59</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5CA2B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r>
      <w:tr w14:paraId="46821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3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DFB8F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9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4C366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30</w:t>
            </w:r>
          </w:p>
        </w:tc>
        <w:tc>
          <w:tcPr>
            <w:tcW w:w="121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F40360">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334.88</w:t>
            </w:r>
          </w:p>
        </w:tc>
        <w:tc>
          <w:tcPr>
            <w:tcW w:w="482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24F48A">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8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A4403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60</w:t>
            </w:r>
          </w:p>
        </w:tc>
        <w:tc>
          <w:tcPr>
            <w:tcW w:w="120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EA3051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334.88</w:t>
            </w:r>
          </w:p>
        </w:tc>
      </w:tr>
    </w:tbl>
    <w:p w14:paraId="3560AB8B">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注：1.本表反映部门本年度的总收支和年末结转结余情况。</w:t>
      </w:r>
    </w:p>
    <w:p w14:paraId="5547B788">
      <w:pPr>
        <w:keepNext w:val="0"/>
        <w:keepLines w:val="0"/>
        <w:pageBreakBefore w:val="0"/>
        <w:widowControl w:val="0"/>
        <w:wordWrap/>
        <w:overflowPunct/>
        <w:topLinePunct w:val="0"/>
        <w:bidi w:val="0"/>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2.本套报表金额单位转换时可能存在尾数误差。</w:t>
      </w:r>
    </w:p>
    <w:p w14:paraId="6C08ACC4">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收入决算表</w:t>
      </w:r>
      <w:r>
        <w:rPr>
          <w:rFonts w:hint="eastAsia" w:ascii="黑体" w:hAnsi="黑体" w:eastAsia="黑体" w:cs="黑体"/>
          <w:w w:val="100"/>
          <w:sz w:val="36"/>
          <w:szCs w:val="36"/>
          <w:lang w:val="en-US" w:eastAsia="zh-CN"/>
        </w:rPr>
        <w:t xml:space="preserve">  </w:t>
      </w:r>
      <w:r>
        <w:rPr>
          <w:rFonts w:hint="eastAsia" w:cs="黑体"/>
          <w:w w:val="100"/>
          <w:sz w:val="36"/>
          <w:szCs w:val="36"/>
          <w:lang w:val="en-US" w:eastAsia="zh-CN"/>
        </w:rPr>
        <w:t xml:space="preserve">   </w:t>
      </w:r>
      <w:r>
        <w:rPr>
          <w:rFonts w:hint="eastAsia" w:ascii="黑体" w:hAnsi="黑体" w:eastAsia="黑体" w:cs="黑体"/>
          <w:w w:val="100"/>
          <w:sz w:val="36"/>
          <w:szCs w:val="36"/>
          <w:lang w:val="en-US" w:eastAsia="zh-CN"/>
        </w:rPr>
        <w:t xml:space="preserve">   </w:t>
      </w:r>
      <w:r>
        <w:rPr>
          <w:rFonts w:hint="eastAsia" w:ascii="仿宋" w:hAnsi="仿宋" w:eastAsia="仿宋"/>
          <w:w w:val="100"/>
          <w:sz w:val="30"/>
          <w:szCs w:val="30"/>
          <w:lang w:val="en-US" w:eastAsia="zh-CN"/>
        </w:rPr>
        <w:t xml:space="preserve">                     </w:t>
      </w:r>
      <w:r>
        <w:rPr>
          <w:rFonts w:ascii="仿宋" w:hAnsi="仿宋" w:eastAsia="仿宋"/>
          <w:w w:val="100"/>
          <w:sz w:val="30"/>
          <w:szCs w:val="30"/>
        </w:rPr>
        <w:t>（公开02表）</w:t>
      </w:r>
    </w:p>
    <w:p w14:paraId="7DC2A1B4">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83"/>
        <w:gridCol w:w="3740"/>
        <w:gridCol w:w="1463"/>
        <w:gridCol w:w="1463"/>
        <w:gridCol w:w="1440"/>
        <w:gridCol w:w="1049"/>
        <w:gridCol w:w="1049"/>
        <w:gridCol w:w="1832"/>
        <w:gridCol w:w="1049"/>
      </w:tblGrid>
      <w:tr w14:paraId="0FDFB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2386D7">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8E4F598">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本年收入合计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4203D8B">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财政拨款收入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AD721B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上级补助收入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331DE4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59A4291">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经营收入</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60DDB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附属单位上缴收入</w:t>
            </w:r>
          </w:p>
        </w:tc>
        <w:tc>
          <w:tcPr>
            <w:tcW w:w="104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8FCD8FF">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其他收入</w:t>
            </w:r>
          </w:p>
        </w:tc>
      </w:tr>
      <w:tr w14:paraId="3765D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627757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B819E2">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540F52">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6FF489">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992892">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698444">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CD3B5A">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624B7D">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104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54DEA5">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r>
      <w:tr w14:paraId="46A0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BDF712A">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D1AEF8">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178073">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A6AFA44">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1A7F279">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B61B63">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8BDB318">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61323C">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104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AABCBE">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r>
      <w:tr w14:paraId="64625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62FB48">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DBE8F8">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D45E66">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1CADDA">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C43267">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1461F1E">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8C58B3">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5D0CD40">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104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B90BB2">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r>
      <w:tr w14:paraId="4CBB0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C56957">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1C0863B7">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F5494A0">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7BCA83F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1004E38">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539269D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20356C3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1049"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276AAAE">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r>
      <w:tr w14:paraId="3300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2A1834">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A0C9E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334.88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8B4CE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325.15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B2C74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9234B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CF264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B1C94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7EAA127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9.73 </w:t>
            </w:r>
          </w:p>
        </w:tc>
      </w:tr>
      <w:tr w14:paraId="0D13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A8EC1C">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F557B9">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80E3D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168032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30C942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207D12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76A7E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C71580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0AC158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32C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0F723D">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FE5F69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D8B42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450AC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2D78C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AC068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68005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49221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91143E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19ED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664A4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44D545">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D3D35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32CEA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8D152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2569E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0B2C7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79B70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21B6868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0B232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C0FC8B">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96FA66D">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A152F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239.99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2170C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231.75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926638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7E8D8B">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5A020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832DD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AB96EA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r>
      <w:tr w14:paraId="22F2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4CD848">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59F76F">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广播电视</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8783F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239.99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3ACDE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231.75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272DDA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230061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87277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AB714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FD225F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r>
      <w:tr w14:paraId="33CCD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E53A6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2070806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F390B3">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监测监管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6AC70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239.99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C562B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AF34D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88706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72A34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9D6E0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28E5DF1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8.24 </w:t>
            </w:r>
          </w:p>
        </w:tc>
      </w:tr>
      <w:tr w14:paraId="1AE46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91E673">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BBC1209">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38149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6C0568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9D5D24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18BCE8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BFB13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2B158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2D564F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14904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7D9B09">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A55FD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EE0C1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44.15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611C5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44.15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2205DF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FF3DA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C2D68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F1525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E3CB0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BED9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04C8E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0328BD">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事业单位离退休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E4AB4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8833A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90849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DEAF5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B1F5D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65EF3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1FB4263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1E82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323F4B">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1DDB40">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B3746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7909C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42478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51506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54FD0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175F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81B470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BDC3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286B53">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5139893">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5B28C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70343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3DA1BF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AB308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C67334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55F2B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0A842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3170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E47701">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2080899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89E581">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其他优抚支出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CB294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46888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AD00C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7B788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7E51A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17E2F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6897D8A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328BA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82CD73">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B4F39B9">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A85CDFE">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F0E35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7AD3D9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1CF7BF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29C7A1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40201A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F1753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FB48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C71971F">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988DF2">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ABBC1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47C25E">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60A1A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0233E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EC2C63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FD7950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D80FA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FF99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D0194C">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6C615E">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22927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28B1C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90E04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18162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523CB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48D63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1466EB2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0532F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67DF3C">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7BF16C">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AA849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E1F6C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90704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8E601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49100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44479A">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2686D61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3D1B3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DA9362B">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B30E3C0">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0957B3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E0379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FF8ABA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7C422C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1AAB7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EB1B58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3AA29C2">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41D7C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8C40811">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4B8EF1">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DBEEE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A90BB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AC3F5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01647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8E900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98246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A1E8AE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48FD8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46D96C">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CCBFE9">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5CA06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0BC3D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9EFC7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472B6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8B93A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BCE25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06EB3D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14C92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985C57">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8110E4">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6F7955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831BF8">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86EBBE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CDACE8">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32171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189AE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DA283E6">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r>
      <w:tr w14:paraId="4684A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CF6730">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F0823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4F71EA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DBBFDC">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1550D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A2785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32FA0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9CFD81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774627">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r>
      <w:tr w14:paraId="78CB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jc w:val="center"/>
        </w:trPr>
        <w:tc>
          <w:tcPr>
            <w:tcW w:w="1083" w:type="dxa"/>
            <w:tcBorders>
              <w:top w:val="single" w:color="D4D4D4" w:sz="4" w:space="0"/>
              <w:left w:val="single" w:color="D4D4D4" w:sz="4" w:space="0"/>
              <w:bottom w:val="single" w:color="D4D4D4" w:sz="4" w:space="0"/>
              <w:right w:val="single" w:color="D4D4D4" w:sz="4" w:space="0"/>
            </w:tcBorders>
            <w:shd w:val="clear"/>
            <w:noWrap/>
            <w:vAlign w:val="center"/>
          </w:tcPr>
          <w:p w14:paraId="79BD8DEC">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2299999</w:t>
            </w:r>
          </w:p>
        </w:tc>
        <w:tc>
          <w:tcPr>
            <w:tcW w:w="3740" w:type="dxa"/>
            <w:tcBorders>
              <w:top w:val="single" w:color="D4D4D4" w:sz="4" w:space="0"/>
              <w:left w:val="single" w:color="D4D4D4" w:sz="4" w:space="0"/>
              <w:bottom w:val="single" w:color="D4D4D4" w:sz="4" w:space="0"/>
              <w:right w:val="single" w:color="D4D4D4" w:sz="4" w:space="0"/>
            </w:tcBorders>
            <w:shd w:val="clear"/>
            <w:noWrap/>
            <w:vAlign w:val="center"/>
          </w:tcPr>
          <w:p w14:paraId="4CEF1EFA">
            <w:pPr>
              <w:keepNext w:val="0"/>
              <w:keepLines w:val="0"/>
              <w:pageBreakBefore w:val="0"/>
              <w:widowControl w:val="0"/>
              <w:suppressLineNumbers w:val="0"/>
              <w:wordWrap/>
              <w:overflowPunct/>
              <w:topLinePunct w:val="0"/>
              <w:bidi w:val="0"/>
              <w:snapToGrid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463" w:type="dxa"/>
            <w:tcBorders>
              <w:top w:val="single" w:color="D4D4D4" w:sz="4" w:space="0"/>
              <w:left w:val="single" w:color="D4D4D4" w:sz="4" w:space="0"/>
              <w:bottom w:val="single" w:color="D4D4D4" w:sz="4" w:space="0"/>
              <w:right w:val="single" w:color="D4D4D4" w:sz="4" w:space="0"/>
            </w:tcBorders>
            <w:shd w:val="clear"/>
            <w:noWrap/>
            <w:vAlign w:val="center"/>
          </w:tcPr>
          <w:p w14:paraId="375F652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1463" w:type="dxa"/>
            <w:tcBorders>
              <w:top w:val="single" w:color="D4D4D4" w:sz="4" w:space="0"/>
              <w:left w:val="single" w:color="D4D4D4" w:sz="4" w:space="0"/>
              <w:bottom w:val="single" w:color="D4D4D4" w:sz="4" w:space="0"/>
              <w:right w:val="single" w:color="D4D4D4" w:sz="4" w:space="0"/>
            </w:tcBorders>
            <w:shd w:val="clear"/>
            <w:noWrap/>
            <w:vAlign w:val="center"/>
          </w:tcPr>
          <w:p w14:paraId="2BF0A1F1">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1440" w:type="dxa"/>
            <w:tcBorders>
              <w:top w:val="single" w:color="D4D4D4" w:sz="4" w:space="0"/>
              <w:left w:val="single" w:color="D4D4D4" w:sz="4" w:space="0"/>
              <w:bottom w:val="single" w:color="D4D4D4" w:sz="4" w:space="0"/>
              <w:right w:val="single" w:color="D4D4D4" w:sz="4" w:space="0"/>
            </w:tcBorders>
            <w:shd w:val="clear"/>
            <w:noWrap/>
            <w:vAlign w:val="center"/>
          </w:tcPr>
          <w:p w14:paraId="483A2F89">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46594E55">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5AD48A3">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832" w:type="dxa"/>
            <w:tcBorders>
              <w:top w:val="single" w:color="D4D4D4" w:sz="4" w:space="0"/>
              <w:left w:val="single" w:color="D4D4D4" w:sz="4" w:space="0"/>
              <w:bottom w:val="single" w:color="D4D4D4" w:sz="4" w:space="0"/>
              <w:right w:val="single" w:color="D4D4D4" w:sz="4" w:space="0"/>
            </w:tcBorders>
            <w:shd w:val="clear"/>
            <w:noWrap/>
            <w:vAlign w:val="center"/>
          </w:tcPr>
          <w:p w14:paraId="06CD004E">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71E25780">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r>
    </w:tbl>
    <w:p w14:paraId="613C302C">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注：本表反映部门本年度取得的各项收入情况。</w:t>
      </w:r>
    </w:p>
    <w:p w14:paraId="2CE66E3D">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76F7D394">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支出决算表</w:t>
      </w:r>
      <w:r>
        <w:rPr>
          <w:rFonts w:hint="eastAsia" w:cs="黑体"/>
          <w:w w:val="100"/>
          <w:sz w:val="36"/>
          <w:szCs w:val="36"/>
          <w:lang w:val="en-US" w:eastAsia="zh-CN"/>
        </w:rPr>
        <w:t xml:space="preserve">                      </w:t>
      </w:r>
      <w:r>
        <w:rPr>
          <w:rFonts w:ascii="仿宋" w:hAnsi="仿宋" w:eastAsia="仿宋"/>
          <w:w w:val="100"/>
          <w:sz w:val="30"/>
          <w:szCs w:val="30"/>
        </w:rPr>
        <w:t>（公开03表）</w:t>
      </w:r>
    </w:p>
    <w:p w14:paraId="22D041BE">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8"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59"/>
        <w:gridCol w:w="3894"/>
        <w:gridCol w:w="1624"/>
        <w:gridCol w:w="1225"/>
        <w:gridCol w:w="1159"/>
        <w:gridCol w:w="1624"/>
        <w:gridCol w:w="1160"/>
        <w:gridCol w:w="2323"/>
      </w:tblGrid>
      <w:tr w14:paraId="6B7C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blHeader/>
        </w:trPr>
        <w:tc>
          <w:tcPr>
            <w:tcW w:w="3894"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A17F8A">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80F359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本年支出合计</w:t>
            </w:r>
          </w:p>
        </w:tc>
        <w:tc>
          <w:tcPr>
            <w:tcW w:w="122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F2D8298">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E5743C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EC19C1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上缴上级支出</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05B4CC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经营支出</w:t>
            </w:r>
          </w:p>
        </w:tc>
        <w:tc>
          <w:tcPr>
            <w:tcW w:w="232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E1D703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对附属单位补助支出</w:t>
            </w:r>
          </w:p>
        </w:tc>
      </w:tr>
      <w:tr w14:paraId="50F29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A9259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3894"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EF7B0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3ED5DBF">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99BC49">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33C5F7">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53F077">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EFF01A">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8D407F">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6F91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6F2ACC">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894"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C1CB08">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BF339D">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D5D1864">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BE24EC">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C9CC512">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9B1EFBB">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096B523">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7046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72D470">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3894"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551439">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5573F9">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22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4AC210">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2FD3CD4">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DE1A3FD">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9A0039D">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232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BF6C32">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4E5AB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894"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A026B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4C0FE49">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122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7FEE06E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092846A9">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36A8CF3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vAlign w:val="center"/>
          </w:tcPr>
          <w:p w14:paraId="58826BE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232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8F8C18A">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r>
      <w:tr w14:paraId="3897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3894"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AF5AD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7EA40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334.88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5611AB00">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327.13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328C4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FA6E3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26A08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495B13C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b/>
                <w:bCs/>
                <w:i w:val="0"/>
                <w:iCs w:val="0"/>
                <w:color w:val="000000"/>
                <w:w w:val="100"/>
                <w:sz w:val="22"/>
                <w:szCs w:val="22"/>
                <w:u w:val="none"/>
              </w:rPr>
            </w:pPr>
          </w:p>
        </w:tc>
      </w:tr>
      <w:tr w14:paraId="49ADB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635090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389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03073C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1DD3F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734E28">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557369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1273F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DBF178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98AFA2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EA7E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2A2E9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849660B">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B07A88">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0A104B">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E4C890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1CA9E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6052F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8D71AC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B950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913679">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6919AC34">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317F2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4B45D88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87886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86B9D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9B72C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6A9EAAE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0F5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9BF18A">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w:t>
            </w:r>
          </w:p>
        </w:tc>
        <w:tc>
          <w:tcPr>
            <w:tcW w:w="389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892EF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F2FC78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239.99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60D9A4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232.24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52C46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175145">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79CADA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C63899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A43B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CB2F5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20708</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902D7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广播电视</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0A254B">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239.99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D2346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232.24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89E2C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84FD4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BCF9DE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1C678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0889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0B6B2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2070806</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1E70BB68">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监测监管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4638F0">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239.99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2D7ED95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232.24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A3D6C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15E90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0AA06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708B377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EAD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395EFF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389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0333828">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41347C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45.81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4F37E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5AFC1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50F1368">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41996F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5BCFCD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7521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E5D070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03A9CF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59E62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44.15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6E6679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44.15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BBFE05">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0E520D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536991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6C87EA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B8C1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204E8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2080502</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1729C8FF">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事业单位离退休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485381">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18.68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3094050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6C2C5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5B221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03E76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2667B76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5AFF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FB3AC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7108456D">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3366D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00068CEB">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50AD3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A0E92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171565">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2D25CEA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403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D05198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20808</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CF97CE3">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AEEC4A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C4258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96A3A4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9D386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BA2CC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FEEF0D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A59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BC109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2080899</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3A68286D">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其他优抚支出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41AD6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03254DA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ABD02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8EAC2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099DD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690A8F8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C6C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ED773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389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302C7B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DCC34A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ACC0A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E0DCDE8">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0F39C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93998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D92868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CBD7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FE7476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523C174">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B4A40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3171579">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153AA3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FA7373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BEC358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F3FC4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42F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C06895">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20E03A0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C1913F">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0.48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3EEFF75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8BA8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ACF89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C5E818">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593E9CB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2C0C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A0CA9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2101102</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748B4A6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586C7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9.97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3DD03E2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37FD4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0D578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E95CD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50E15EA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3126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EB6ED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389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E912099">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DE29D8">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88E4C7B">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255C2B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71B24B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638851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B672F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A7D4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E8DD2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65D2537">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C5B7E3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A2182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1E563E2">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2F73E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3B53C0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632F3E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B000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86A56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0722E73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1687A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3AF1760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45E7C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27F46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97931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4B8DEFD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F0A0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E71BE3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w:t>
            </w:r>
          </w:p>
        </w:tc>
        <w:tc>
          <w:tcPr>
            <w:tcW w:w="3894"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41A7C0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3AEE8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122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9AC6748">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104DB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B80F3C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19D231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268CEF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E969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B7F072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w:t>
            </w:r>
          </w:p>
        </w:tc>
        <w:tc>
          <w:tcPr>
            <w:tcW w:w="3894"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E702B4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185EE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122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3C5495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F9CF7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9279C4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051628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BB5E180">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1AA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159" w:type="dxa"/>
            <w:tcBorders>
              <w:top w:val="single" w:color="D4D4D4" w:sz="4" w:space="0"/>
              <w:left w:val="single" w:color="D4D4D4" w:sz="4" w:space="0"/>
              <w:bottom w:val="single" w:color="D4D4D4" w:sz="4" w:space="0"/>
              <w:right w:val="single" w:color="D4D4D4" w:sz="4" w:space="0"/>
            </w:tcBorders>
            <w:shd w:val="clear"/>
            <w:noWrap/>
            <w:vAlign w:val="center"/>
          </w:tcPr>
          <w:p w14:paraId="606E44D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2299999</w:t>
            </w:r>
          </w:p>
        </w:tc>
        <w:tc>
          <w:tcPr>
            <w:tcW w:w="3894" w:type="dxa"/>
            <w:tcBorders>
              <w:top w:val="single" w:color="D4D4D4" w:sz="4" w:space="0"/>
              <w:left w:val="single" w:color="D4D4D4" w:sz="4" w:space="0"/>
              <w:bottom w:val="single" w:color="D4D4D4" w:sz="4" w:space="0"/>
              <w:right w:val="single" w:color="D4D4D4" w:sz="4" w:space="0"/>
            </w:tcBorders>
            <w:shd w:val="clear"/>
            <w:noWrap/>
            <w:vAlign w:val="center"/>
          </w:tcPr>
          <w:p w14:paraId="33891D6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5A4AFD7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1225" w:type="dxa"/>
            <w:tcBorders>
              <w:top w:val="single" w:color="D4D4D4" w:sz="4" w:space="0"/>
              <w:left w:val="single" w:color="D4D4D4" w:sz="4" w:space="0"/>
              <w:bottom w:val="single" w:color="D4D4D4" w:sz="4" w:space="0"/>
              <w:right w:val="single" w:color="D4D4D4" w:sz="4" w:space="0"/>
            </w:tcBorders>
            <w:shd w:val="clear"/>
            <w:noWrap/>
            <w:vAlign w:val="center"/>
          </w:tcPr>
          <w:p w14:paraId="7936268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1159" w:type="dxa"/>
            <w:tcBorders>
              <w:top w:val="single" w:color="D4D4D4" w:sz="4" w:space="0"/>
              <w:left w:val="single" w:color="D4D4D4" w:sz="4" w:space="0"/>
              <w:bottom w:val="single" w:color="D4D4D4" w:sz="4" w:space="0"/>
              <w:right w:val="single" w:color="D4D4D4" w:sz="4" w:space="0"/>
            </w:tcBorders>
            <w:shd w:val="clear"/>
            <w:noWrap/>
            <w:vAlign w:val="center"/>
          </w:tcPr>
          <w:p w14:paraId="4B67EA8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624" w:type="dxa"/>
            <w:tcBorders>
              <w:top w:val="single" w:color="D4D4D4" w:sz="4" w:space="0"/>
              <w:left w:val="single" w:color="D4D4D4" w:sz="4" w:space="0"/>
              <w:bottom w:val="single" w:color="D4D4D4" w:sz="4" w:space="0"/>
              <w:right w:val="single" w:color="D4D4D4" w:sz="4" w:space="0"/>
            </w:tcBorders>
            <w:shd w:val="clear"/>
            <w:noWrap/>
            <w:vAlign w:val="center"/>
          </w:tcPr>
          <w:p w14:paraId="269F407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1160" w:type="dxa"/>
            <w:tcBorders>
              <w:top w:val="single" w:color="D4D4D4" w:sz="4" w:space="0"/>
              <w:left w:val="single" w:color="D4D4D4" w:sz="4" w:space="0"/>
              <w:bottom w:val="single" w:color="D4D4D4" w:sz="4" w:space="0"/>
              <w:right w:val="single" w:color="D4D4D4" w:sz="4" w:space="0"/>
            </w:tcBorders>
            <w:shd w:val="clear"/>
            <w:noWrap/>
            <w:vAlign w:val="center"/>
          </w:tcPr>
          <w:p w14:paraId="16067DF9">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c>
          <w:tcPr>
            <w:tcW w:w="2323" w:type="dxa"/>
            <w:tcBorders>
              <w:top w:val="single" w:color="D4D4D4" w:sz="4" w:space="0"/>
              <w:left w:val="single" w:color="D4D4D4" w:sz="4" w:space="0"/>
              <w:bottom w:val="single" w:color="D4D4D4" w:sz="4" w:space="0"/>
              <w:right w:val="single" w:color="D4D4D4" w:sz="4" w:space="0"/>
            </w:tcBorders>
            <w:shd w:val="clear"/>
            <w:noWrap/>
            <w:vAlign w:val="center"/>
          </w:tcPr>
          <w:p w14:paraId="4D59F15D">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6F4F4FAB">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注：本表反映部门本年度各项支出情况。</w:t>
      </w:r>
    </w:p>
    <w:p w14:paraId="7E6C50BA">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571628B9">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财政拨款收入支出决算总表</w:t>
      </w:r>
      <w:r>
        <w:rPr>
          <w:rFonts w:hint="eastAsia" w:cs="黑体"/>
          <w:w w:val="100"/>
          <w:sz w:val="36"/>
          <w:szCs w:val="36"/>
          <w:lang w:val="en-US" w:eastAsia="zh-CN"/>
        </w:rPr>
        <w:t xml:space="preserve">               </w:t>
      </w:r>
      <w:r>
        <w:rPr>
          <w:rFonts w:ascii="仿宋" w:hAnsi="仿宋" w:eastAsia="仿宋"/>
          <w:w w:val="100"/>
          <w:sz w:val="30"/>
          <w:szCs w:val="30"/>
        </w:rPr>
        <w:t>（公开04表）</w:t>
      </w:r>
    </w:p>
    <w:p w14:paraId="6F02A4FF">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9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296"/>
        <w:gridCol w:w="513"/>
        <w:gridCol w:w="1159"/>
        <w:gridCol w:w="4345"/>
        <w:gridCol w:w="587"/>
        <w:gridCol w:w="1082"/>
        <w:gridCol w:w="1475"/>
        <w:gridCol w:w="1204"/>
        <w:gridCol w:w="1270"/>
      </w:tblGrid>
      <w:tr w14:paraId="355BF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968"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0FBAF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收     入</w:t>
            </w:r>
          </w:p>
        </w:tc>
        <w:tc>
          <w:tcPr>
            <w:tcW w:w="9963"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36C03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支     出</w:t>
            </w:r>
          </w:p>
        </w:tc>
      </w:tr>
      <w:tr w14:paraId="443D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2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4675BB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项目</w:t>
            </w:r>
          </w:p>
        </w:tc>
        <w:tc>
          <w:tcPr>
            <w:tcW w:w="51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9AACE2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行次</w:t>
            </w:r>
          </w:p>
        </w:tc>
        <w:tc>
          <w:tcPr>
            <w:tcW w:w="151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1A1B9C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金额</w:t>
            </w:r>
          </w:p>
        </w:tc>
        <w:tc>
          <w:tcPr>
            <w:tcW w:w="3294"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E4A64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项目</w:t>
            </w:r>
          </w:p>
        </w:tc>
        <w:tc>
          <w:tcPr>
            <w:tcW w:w="51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72A10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2BD35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合计</w:t>
            </w:r>
          </w:p>
        </w:tc>
        <w:tc>
          <w:tcPr>
            <w:tcW w:w="151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9442B07">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一般公共预算财政拨款</w:t>
            </w:r>
          </w:p>
        </w:tc>
        <w:tc>
          <w:tcPr>
            <w:tcW w:w="151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0E2BB62">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政府性基金预算财政拨款</w:t>
            </w:r>
          </w:p>
        </w:tc>
        <w:tc>
          <w:tcPr>
            <w:tcW w:w="16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A3077F9">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国有资本经营预算财政拨款</w:t>
            </w:r>
          </w:p>
        </w:tc>
      </w:tr>
      <w:tr w14:paraId="32FDE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2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734C09A">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51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FC9C429">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8A68DC">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3294"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72F301">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51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BC3F79">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792473">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5589E1">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57AD4E">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7C7667">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r>
      <w:tr w14:paraId="4DB79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F4FD9F">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0888CA">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E76576">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BF55D1">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146FD9">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230E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6FE0A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9F03A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B0CD22">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r>
      <w:tr w14:paraId="1C18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AAC78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F7CD0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5FCA0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1A3C8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D1B74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CABCD1">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75570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4BD54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01C1C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9FE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E486E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BF0F1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1DCFF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45D7F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9AF4B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93F4B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53896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B48165">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6A1DD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951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4D957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452526">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B316C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D6D6F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2C261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B8733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E2903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45A25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348CC5">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7F722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62F786">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463380">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184E7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AD675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D31154">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F5CB4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F7E34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9A639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DECA86">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771CF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3A5755">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F14FC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23F6A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3A127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E7D1A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CB947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ECF7B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2F20FB">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4C34F2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7833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6DC59D">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80DF1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056D5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69983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DA3D5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60119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77529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A194D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5F97A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45B98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679ECE">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20771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9B760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9FF55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090E172">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49F76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231.75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A07298">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231.75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9A2880">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5BB82B">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361F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E8A4EF">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75480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37D17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B886B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F5657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D52F7A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45.81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580B09">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45.81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7F634BB">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A0062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3238D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E53FDB">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882850">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2A65FC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D4554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0576A7">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4B7491">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10.45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AB6859">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10.45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C201E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3D623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207E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5FD32C">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B05DE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651BF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3A7F1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04B1B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F265E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BD22D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56BF4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B3A12B">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0FF19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091680">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020DF9">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E742D80">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87375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72B62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8F0E5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1F2420">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517985">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41E50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505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B5EE13">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DBD279">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6CD9F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9103A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C68177">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0C8A2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3FCAD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C1F13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B4EBE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0123F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6144C7">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27E55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ABC70D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0EB45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209F5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430A8D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108F43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AF1E8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3AE017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7794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EC6B23">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791CA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9D3DA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5D174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6A44D1">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FF3B2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76F30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A00ABB">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11DFF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22C13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DDD899">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7B4F177">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57269B">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1C3DF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BBD48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E42FD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5808E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16B42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A2C97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0F6D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A363E2">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99130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6A4A26">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9E5B70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0B0D2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50123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2A9A1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72FCC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E8741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0A568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D0E9E8">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06BF8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35DA2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4F44E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EE00F4">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60BB36">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48912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A6C1A6">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463AA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8EF2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7FE65C">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210FA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C247F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F7055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F0BB87">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68665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2B81B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A55951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697CC5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4EFA3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4E7EE39">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4E510B">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26B2D1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D69D7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223686">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975CD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23.55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27D909">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23.55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A9ED8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DD56B06">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CE44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6E1C56">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E942F6">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576D3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F41E8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7588D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CD375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DE25EE5">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1EE22C0">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20334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75DED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DC1014">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84CFB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C863B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5B86DE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3D550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E76A9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D0B61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F434E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30DFF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03907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6FC3D39">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842260">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9ED16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7A0EE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B177E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84C01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9BDE26">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5BEB6D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18685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22219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0BF511">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B30990">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98976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A9255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3391E77">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26E51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7A11A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A68B5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D9DCA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542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10AFF4">
            <w:pPr>
              <w:keepNext w:val="0"/>
              <w:keepLines w:val="0"/>
              <w:pageBreakBefore w:val="0"/>
              <w:widowControl w:val="0"/>
              <w:wordWrap/>
              <w:overflowPunct/>
              <w:topLinePunct w:val="0"/>
              <w:bidi w:val="0"/>
              <w:jc w:val="center"/>
              <w:rPr>
                <w:rFonts w:hint="eastAsia" w:ascii="宋体" w:hAnsi="宋体" w:eastAsia="宋体" w:cs="宋体"/>
                <w:b/>
                <w:bCs/>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1D70F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BDE0E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48C9B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6CE04F">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2D4E9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25A1B5">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E1EAB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AF169F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589C1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0B440C">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A23E4C">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FDD56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42924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BD0B0">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F1EF6C">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9EDAA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574561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AA87E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078B4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2A58319">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0C0A3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EF41F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0C598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5A1FC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031CF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38D140">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3F0A2E">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3DEA24D">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13433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D2B91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F6F180">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A1C1E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F198D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30DDD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124C1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07B0CC">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F80F8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7AC68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w:t>
            </w:r>
          </w:p>
        </w:tc>
      </w:tr>
      <w:tr w14:paraId="5B96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6DB33C">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3191D9">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D823B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DC22F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A9801">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0F6FD42">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BD7C32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2D039B9">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9A7232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3671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3117B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D8545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19E20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ACAFA1">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052210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290A74">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08FCE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E3886A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09B9351">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231BC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F64E1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1ECB2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660F9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3DD2F1">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32E362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E99E1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0DBC83">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0482C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97E007">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6952D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2A5A8F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DBB7B9">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AEE134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5C07FE">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097B0C">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C74D8F">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8D835D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4E696A">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7F6955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58663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DEB4CC">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792E18">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107129">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826A21">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34CB12">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3195D3">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DDA35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325.15</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E2F882">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D291BBC">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0</w:t>
            </w:r>
          </w:p>
        </w:tc>
      </w:tr>
    </w:tbl>
    <w:p w14:paraId="3B4EC4A4">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注：本表反映部门本年度一般公共预算财政拨款、政府性基金预算财政拨款和国有资本经营预算财政拨款的总收支和年末结转结余情况。</w:t>
      </w:r>
    </w:p>
    <w:p w14:paraId="74BAFB7F">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1F8FA0F5">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一般公共预算财政拨款支出决算表</w:t>
      </w:r>
      <w:r>
        <w:rPr>
          <w:rFonts w:hint="eastAsia" w:ascii="黑体" w:hAnsi="黑体" w:eastAsia="黑体" w:cs="黑体"/>
          <w:w w:val="100"/>
          <w:sz w:val="36"/>
          <w:szCs w:val="36"/>
          <w:lang w:val="en-US" w:eastAsia="zh-CN"/>
        </w:rPr>
        <w:t xml:space="preserve"> </w:t>
      </w:r>
      <w:r>
        <w:rPr>
          <w:rFonts w:hint="eastAsia" w:ascii="仿宋" w:hAnsi="仿宋" w:eastAsia="仿宋"/>
          <w:w w:val="100"/>
          <w:sz w:val="30"/>
          <w:szCs w:val="30"/>
          <w:lang w:val="en-US" w:eastAsia="zh-CN"/>
        </w:rPr>
        <w:t xml:space="preserve">          </w:t>
      </w:r>
      <w:r>
        <w:rPr>
          <w:rFonts w:ascii="仿宋" w:hAnsi="仿宋" w:eastAsia="仿宋"/>
          <w:w w:val="100"/>
          <w:sz w:val="30"/>
          <w:szCs w:val="30"/>
        </w:rPr>
        <w:t>（公开05表）</w:t>
      </w:r>
    </w:p>
    <w:p w14:paraId="15762EDD">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41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958"/>
        <w:gridCol w:w="6700"/>
        <w:gridCol w:w="1579"/>
        <w:gridCol w:w="1961"/>
        <w:gridCol w:w="1970"/>
      </w:tblGrid>
      <w:tr w14:paraId="3CBA6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E2DB6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w:t>
            </w:r>
          </w:p>
        </w:tc>
        <w:tc>
          <w:tcPr>
            <w:tcW w:w="551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578936C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本年支出</w:t>
            </w:r>
          </w:p>
        </w:tc>
      </w:tr>
      <w:tr w14:paraId="2FD3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92FA48E">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BE075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科目名称</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8F6928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小计</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BE0F99A">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基本支出</w:t>
            </w:r>
          </w:p>
        </w:tc>
        <w:tc>
          <w:tcPr>
            <w:tcW w:w="197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1EDAC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项目支出</w:t>
            </w:r>
          </w:p>
        </w:tc>
      </w:tr>
      <w:tr w14:paraId="5524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DF6E836">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8DD05E">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3744DF">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0EE3296">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8BE1D5F">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7AECE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blHeader/>
          <w:jc w:val="center"/>
        </w:trPr>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7B38BC">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2F6DF2">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AAB8F5">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97BFD04">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c>
          <w:tcPr>
            <w:tcW w:w="197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6C8C379">
            <w:pPr>
              <w:keepNext w:val="0"/>
              <w:keepLines w:val="0"/>
              <w:pageBreakBefore w:val="0"/>
              <w:widowControl w:val="0"/>
              <w:wordWrap/>
              <w:overflowPunct/>
              <w:topLinePunct w:val="0"/>
              <w:bidi w:val="0"/>
              <w:snapToGrid w:val="0"/>
              <w:ind w:left="0" w:leftChars="0" w:right="0" w:rightChars="0" w:firstLine="0" w:firstLineChars="0"/>
              <w:jc w:val="center"/>
              <w:rPr>
                <w:rFonts w:hint="eastAsia" w:ascii="宋体" w:hAnsi="宋体" w:eastAsia="宋体" w:cs="宋体"/>
                <w:b/>
                <w:i w:val="0"/>
                <w:iCs w:val="0"/>
                <w:color w:val="000000"/>
                <w:w w:val="100"/>
                <w:sz w:val="22"/>
                <w:szCs w:val="22"/>
                <w:u w:val="none"/>
              </w:rPr>
            </w:pPr>
          </w:p>
        </w:tc>
      </w:tr>
      <w:tr w14:paraId="1BDE9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B7B3D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41ACD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CE62019">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1970"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80BFC8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r>
      <w:tr w14:paraId="0E0F4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87DA7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C6425B">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325.15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51C37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317.40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63CF803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bdr w:val="none" w:color="auto" w:sz="0" w:space="0"/>
                <w:lang w:val="en-US" w:eastAsia="zh-CN" w:bidi="ar"/>
              </w:rPr>
              <w:t xml:space="preserve">7.75 </w:t>
            </w:r>
          </w:p>
        </w:tc>
      </w:tr>
      <w:tr w14:paraId="385E0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9AD340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F2E7EB9">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B778A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C35F77F">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E8E1718">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CF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82E6D6C">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4C1D112">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CCFADD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9C0EB0">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91376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0357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9CEA45">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2019999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6921B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2D364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BE330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13.60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2760BB13">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4B88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094C620">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02EFAC">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4ECD1D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231.75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5EC1A8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224.00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D77A8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7.75 </w:t>
            </w:r>
          </w:p>
        </w:tc>
      </w:tr>
      <w:tr w14:paraId="02913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E09B30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3947AB9">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广播电视</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D99483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231.75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0C6A4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224.00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235C40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7.75 </w:t>
            </w:r>
          </w:p>
        </w:tc>
      </w:tr>
      <w:tr w14:paraId="138F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7D625D">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2070806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9A2D41">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监测监管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F94239">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231.75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75992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224.00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29FF587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7.75 </w:t>
            </w:r>
          </w:p>
        </w:tc>
      </w:tr>
      <w:tr w14:paraId="622ED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78D6831">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DA93F47">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BD73FC9">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45.81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38B38D8">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45.81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36B8A55">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80F3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AE08E2F">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D13A59">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934A7FB">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44.15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BD6ED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44.15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BEAE4E">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D6C0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FABEA3">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C8BAF6">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事业单位离退休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C6A29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05649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18.68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799A0F3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0D17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5CB95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8900F9">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60797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DC78C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7831B7CC">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68B9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8D66AF6">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C2F14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B10E5A1">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81459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BAE0927">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28A2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9B978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2080899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5721C3">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其他优抚支出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B859E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6258F7">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1.66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5CD835A6">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1E644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0032A24">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FFDC907">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C80A8F5">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17BCCF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452FA7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61F36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975FB4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32CB67">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38E8412">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0406D44">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9319C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7A3E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0A293B">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E3BC90">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0B169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C4DD23">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0.48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2CCFA5D4">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A8A2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0C7F4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2101102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4F0008">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8763B8">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33CC3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9.97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206293BB">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3B75D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801D8A7">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343699E">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350FEDD">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395230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97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C1C38A">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562C7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169924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C4E4F48">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1E1DF8C">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6638EBE">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97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2795F1">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r w14:paraId="472C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958" w:type="dxa"/>
            <w:tcBorders>
              <w:top w:val="single" w:color="D4D4D4" w:sz="4" w:space="0"/>
              <w:left w:val="single" w:color="D4D4D4" w:sz="4" w:space="0"/>
              <w:bottom w:val="single" w:color="D4D4D4" w:sz="4" w:space="0"/>
              <w:right w:val="single" w:color="D4D4D4" w:sz="4" w:space="0"/>
            </w:tcBorders>
            <w:shd w:val="clear"/>
            <w:noWrap/>
            <w:vAlign w:val="center"/>
          </w:tcPr>
          <w:p w14:paraId="6613EA42">
            <w:pPr>
              <w:keepNext w:val="0"/>
              <w:keepLines w:val="0"/>
              <w:pageBreakBefore w:val="0"/>
              <w:widowControl w:val="0"/>
              <w:suppressLineNumbers w:val="0"/>
              <w:wordWrap/>
              <w:overflowPunct/>
              <w:topLinePunct w:val="0"/>
              <w:bidi w:val="0"/>
              <w:snapToGrid w:val="0"/>
              <w:ind w:left="0" w:leftChars="0" w:right="0" w:rightChars="0" w:firstLine="0" w:firstLineChars="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2210201</w:t>
            </w:r>
          </w:p>
        </w:tc>
        <w:tc>
          <w:tcPr>
            <w:tcW w:w="6700" w:type="dxa"/>
            <w:tcBorders>
              <w:top w:val="single" w:color="D4D4D4" w:sz="4" w:space="0"/>
              <w:left w:val="single" w:color="D4D4D4" w:sz="4" w:space="0"/>
              <w:bottom w:val="single" w:color="D4D4D4" w:sz="4" w:space="0"/>
              <w:right w:val="single" w:color="D4D4D4" w:sz="4" w:space="0"/>
            </w:tcBorders>
            <w:shd w:val="clear"/>
            <w:noWrap/>
            <w:vAlign w:val="center"/>
          </w:tcPr>
          <w:p w14:paraId="0B9504ED">
            <w:pPr>
              <w:keepNext w:val="0"/>
              <w:keepLines w:val="0"/>
              <w:pageBreakBefore w:val="0"/>
              <w:widowControl w:val="0"/>
              <w:suppressLineNumbers w:val="0"/>
              <w:wordWrap/>
              <w:overflowPunct/>
              <w:topLinePunct w:val="0"/>
              <w:bidi w:val="0"/>
              <w:snapToGrid w:val="0"/>
              <w:ind w:left="0" w:leftChars="0" w:right="0" w:rightChars="0" w:firstLine="0" w:firstLineChars="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住房公积金</w:t>
            </w:r>
          </w:p>
        </w:tc>
        <w:tc>
          <w:tcPr>
            <w:tcW w:w="1579" w:type="dxa"/>
            <w:tcBorders>
              <w:top w:val="single" w:color="D4D4D4" w:sz="4" w:space="0"/>
              <w:left w:val="single" w:color="D4D4D4" w:sz="4" w:space="0"/>
              <w:bottom w:val="single" w:color="D4D4D4" w:sz="4" w:space="0"/>
              <w:right w:val="single" w:color="D4D4D4" w:sz="4" w:space="0"/>
            </w:tcBorders>
            <w:shd w:val="clear"/>
            <w:noWrap/>
            <w:vAlign w:val="center"/>
          </w:tcPr>
          <w:p w14:paraId="16463CFA">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961" w:type="dxa"/>
            <w:tcBorders>
              <w:top w:val="single" w:color="D4D4D4" w:sz="4" w:space="0"/>
              <w:left w:val="single" w:color="D4D4D4" w:sz="4" w:space="0"/>
              <w:bottom w:val="single" w:color="D4D4D4" w:sz="4" w:space="0"/>
              <w:right w:val="single" w:color="D4D4D4" w:sz="4" w:space="0"/>
            </w:tcBorders>
            <w:shd w:val="clear"/>
            <w:noWrap/>
            <w:vAlign w:val="center"/>
          </w:tcPr>
          <w:p w14:paraId="6353AAC6">
            <w:pPr>
              <w:keepNext w:val="0"/>
              <w:keepLines w:val="0"/>
              <w:pageBreakBefore w:val="0"/>
              <w:widowControl w:val="0"/>
              <w:suppressLineNumbers w:val="0"/>
              <w:wordWrap/>
              <w:overflowPunct/>
              <w:topLinePunct w:val="0"/>
              <w:bidi w:val="0"/>
              <w:snapToGrid w:val="0"/>
              <w:ind w:left="0" w:leftChars="0" w:right="0" w:rightChars="0" w:firstLine="0" w:firstLineChars="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1970" w:type="dxa"/>
            <w:tcBorders>
              <w:top w:val="single" w:color="D4D4D4" w:sz="4" w:space="0"/>
              <w:left w:val="single" w:color="D4D4D4" w:sz="4" w:space="0"/>
              <w:bottom w:val="single" w:color="D4D4D4" w:sz="4" w:space="0"/>
              <w:right w:val="single" w:color="D4D4D4" w:sz="4" w:space="0"/>
            </w:tcBorders>
            <w:shd w:val="clear"/>
            <w:noWrap/>
            <w:vAlign w:val="center"/>
          </w:tcPr>
          <w:p w14:paraId="60B30E1F">
            <w:pPr>
              <w:keepNext w:val="0"/>
              <w:keepLines w:val="0"/>
              <w:pageBreakBefore w:val="0"/>
              <w:widowControl w:val="0"/>
              <w:wordWrap/>
              <w:overflowPunct/>
              <w:topLinePunct w:val="0"/>
              <w:bidi w:val="0"/>
              <w:snapToGrid w:val="0"/>
              <w:ind w:left="0" w:leftChars="0" w:right="0" w:rightChars="0" w:firstLine="0" w:firstLineChars="0"/>
              <w:jc w:val="right"/>
              <w:rPr>
                <w:rFonts w:hint="eastAsia" w:ascii="宋体" w:hAnsi="宋体" w:eastAsia="宋体" w:cs="宋体"/>
                <w:i w:val="0"/>
                <w:iCs w:val="0"/>
                <w:color w:val="000000"/>
                <w:w w:val="100"/>
                <w:sz w:val="22"/>
                <w:szCs w:val="22"/>
                <w:u w:val="none"/>
              </w:rPr>
            </w:pPr>
          </w:p>
        </w:tc>
      </w:tr>
    </w:tbl>
    <w:p w14:paraId="60359E02">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注：本表反映部门本年度一般公共预算财政拨款支出情况。</w:t>
      </w:r>
    </w:p>
    <w:p w14:paraId="3E26159B">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0C40FC7A">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一般公共预算财政拨款基本支出决算明细表</w:t>
      </w:r>
      <w:r>
        <w:rPr>
          <w:rFonts w:hint="eastAsia" w:cs="黑体"/>
          <w:w w:val="100"/>
          <w:sz w:val="36"/>
          <w:szCs w:val="36"/>
          <w:lang w:val="en-US" w:eastAsia="zh-CN"/>
        </w:rPr>
        <w:t xml:space="preserve">       </w:t>
      </w:r>
      <w:r>
        <w:rPr>
          <w:rFonts w:ascii="仿宋" w:hAnsi="仿宋" w:eastAsia="仿宋"/>
          <w:w w:val="100"/>
          <w:sz w:val="30"/>
          <w:szCs w:val="30"/>
        </w:rPr>
        <w:t>（公开06表）</w:t>
      </w:r>
    </w:p>
    <w:p w14:paraId="538303C7">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153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66"/>
        <w:gridCol w:w="3516"/>
        <w:gridCol w:w="1173"/>
        <w:gridCol w:w="766"/>
        <w:gridCol w:w="2498"/>
        <w:gridCol w:w="1419"/>
        <w:gridCol w:w="766"/>
        <w:gridCol w:w="3089"/>
        <w:gridCol w:w="1320"/>
      </w:tblGrid>
      <w:tr w14:paraId="4BA68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455"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7B9016">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人员经费</w:t>
            </w:r>
          </w:p>
        </w:tc>
        <w:tc>
          <w:tcPr>
            <w:tcW w:w="9858" w:type="dxa"/>
            <w:gridSpan w:val="6"/>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674E8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公用经费</w:t>
            </w:r>
          </w:p>
        </w:tc>
      </w:tr>
      <w:tr w14:paraId="5CC44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4AFE0E">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科目代码</w:t>
            </w:r>
          </w:p>
        </w:tc>
        <w:tc>
          <w:tcPr>
            <w:tcW w:w="351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2BEA0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科目名称</w:t>
            </w:r>
          </w:p>
        </w:tc>
        <w:tc>
          <w:tcPr>
            <w:tcW w:w="117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0D364FD">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决算数</w:t>
            </w:r>
          </w:p>
        </w:tc>
        <w:tc>
          <w:tcPr>
            <w:tcW w:w="76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07AC42C">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科目代码</w:t>
            </w:r>
          </w:p>
        </w:tc>
        <w:tc>
          <w:tcPr>
            <w:tcW w:w="249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E14E3E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科目名称</w:t>
            </w:r>
          </w:p>
        </w:tc>
        <w:tc>
          <w:tcPr>
            <w:tcW w:w="141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C29DFA5">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决算数</w:t>
            </w:r>
          </w:p>
        </w:tc>
        <w:tc>
          <w:tcPr>
            <w:tcW w:w="766"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885FF1A">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科目代码</w:t>
            </w:r>
          </w:p>
        </w:tc>
        <w:tc>
          <w:tcPr>
            <w:tcW w:w="3089"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C632B4C">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科目名称</w:t>
            </w:r>
          </w:p>
        </w:tc>
        <w:tc>
          <w:tcPr>
            <w:tcW w:w="132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A60F6B9">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决算数</w:t>
            </w:r>
          </w:p>
        </w:tc>
      </w:tr>
      <w:tr w14:paraId="66795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A9AA6D">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351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A5BC466">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17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350000">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76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551E32">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249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6332741">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41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309422">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766"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8AA9695">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3089"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B28CE9">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c>
          <w:tcPr>
            <w:tcW w:w="132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B9A6059">
            <w:pPr>
              <w:keepNext w:val="0"/>
              <w:keepLines w:val="0"/>
              <w:pageBreakBefore w:val="0"/>
              <w:widowControl w:val="0"/>
              <w:wordWrap/>
              <w:overflowPunct/>
              <w:topLinePunct w:val="0"/>
              <w:bidi w:val="0"/>
              <w:jc w:val="center"/>
              <w:rPr>
                <w:rFonts w:hint="eastAsia" w:ascii="宋体" w:hAnsi="宋体" w:eastAsia="宋体" w:cs="宋体"/>
                <w:i w:val="0"/>
                <w:iCs w:val="0"/>
                <w:color w:val="000000"/>
                <w:w w:val="100"/>
                <w:sz w:val="22"/>
                <w:szCs w:val="22"/>
                <w:u w:val="none"/>
              </w:rPr>
            </w:pPr>
          </w:p>
        </w:tc>
      </w:tr>
      <w:tr w14:paraId="7B8E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61EF6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6C9BD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工资福利支出</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095D351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275.48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80458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8B1FB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商品和服务支出</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22A5C0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19.82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1DA39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678AE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债务利息及费用支出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02A0EC68">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AFAB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9801B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30101</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51B72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基本工资</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414768B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95.10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3B6311C">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30201</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A58BB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办公费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3581F91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1.48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092F4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30701</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0478D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国内债务付息</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22F022B4">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2CA11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9E996C">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30102</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8A684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津贴补贴</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427060B4">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49.84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24DFA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30202</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9AEB0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印刷费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02B0038C">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0.42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12F56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30702</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903A0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国外债务付息</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5A9F812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06F3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7B61E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30103</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17193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奖金</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B60310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66.15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FF559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30204</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ABB52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手续费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331DA2B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E8ED3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DD246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资本性支出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7992970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7305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BF653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30106</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14C66D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伙食补助费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5053ADF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3.08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6FED9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30205</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55BED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水费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A0DF03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0.01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2C385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31001</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B6FB2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房屋建筑物购建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37A7F1F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C5F8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CB802A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30107</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0B1E43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绩效工资</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61B5226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24731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30206</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3B9C7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电费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2ACDB5C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7A9DC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31002</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81404D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办公设备购置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7C7637B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4A11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D20F3F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30108</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676B8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机关事业单位基本养老保险缴费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26817921">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25.47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FD02C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30207</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1FA00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邮电费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B04778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0.12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3738A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31003</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BD188F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专用设备购置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4A39A95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6E85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13E78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30109</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FDDB0C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职业年金缴费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59EEE704">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05E62F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30208</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DAEE8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取暖费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9BF009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50494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31005</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5B0AB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基础设施建设</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51814EE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3570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9BE1E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30110</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E1B7D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职工基本医疗保险缴费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FF0851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10.45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19076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30209</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B30F9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物业管理费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3535EC6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9FCE3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31006</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CF7D7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大型修缮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46CBBA3F">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4D6AF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06F7C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30111</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9B589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公务员医疗补助缴费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E23D3D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06E4B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30211</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A1FCEA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差旅费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023CCB13">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0.62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0A479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31007</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1ABDC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信息网络及软件购置更新</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4359C572">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BF18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77507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30112</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C8CDF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其他社会保障缴费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39294B00">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1.85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ABB830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30212</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1C0491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因公出国（境）费用</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4794F0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BE3CE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31008</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2F1834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物资储备</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0EC36E40">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2C17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28D50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30113</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73CA34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住房公积金</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E206749">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23.55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B6CB6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30213</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896BA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维修（护）费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ED7B4E2">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0.10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09E1A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31009</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4EBB0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土地补偿</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3763D900">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BC2F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3223C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30114</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F8556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医疗费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0E01927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58C95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30214</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8EC4B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租赁费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06F87A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1BC419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31010</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02453C">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安置补助</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748B216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2AB70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ED36F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30199</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5797E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其他工资福利支出</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65E5F75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3E784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30215</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9C33B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会议费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C54C5F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EC611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31011</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89AF1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地上附着物和青苗补偿</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648B87B0">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AB0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9D2F43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A6124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对个人和家庭的补助</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09ADECA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22.11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9DF684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30216</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71017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培训费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6F072A7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0.40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CFA65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31012</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DAA31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拆迁补偿</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3D785C6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964B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5EEA2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30301</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54D660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离休费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7F98A78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66D09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30217</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FF364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公务接待费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395B3D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0.06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7FC8E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31013</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3F3CE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公务用车购置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3D868821">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00C8D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B2F74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30302</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002B2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退休费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65397F4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82D65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30218</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468D70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专用材料费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53EC6271">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F97017F">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31019</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4416A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其他交通工具购置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3CDDD9E2">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62AE9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6C6B52">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30303</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7D15D3">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退职（役）费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7DDEB70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7D136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30224</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8D3BE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被装购置费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2C5741B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57D90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31021</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C09F05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文物和陈列品购置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73540383">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00E2E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33C49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30304</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4CBF8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抚恤金</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5F601ED4">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09577C">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30225</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D9E64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专用燃料费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A386461">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7441E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31022</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20D2C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无形资产购置</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69903CD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1F884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1DF6A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30305</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BF4352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生活补助</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629B3640">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20.88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276A1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30226</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ACB03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劳务费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3C240AE">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0.22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7AEF2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31099</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9352B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其他资本性支出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243F58C9">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2F9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94621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30306</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DC57F9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救济费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75459D6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106A68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30227</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B82ECE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委托业务费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4BD27B47">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0.64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654F1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7A6796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其他支出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3747F3EE">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2BD2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6F3817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30307</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CF95F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医疗费补助</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A0B1F64">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C4FBF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30228</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DC5E0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工会经费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309C5D0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8.63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F14B4A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39907</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9FD735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国家赔偿费用支出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593FB21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5AFB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821DAA">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30308</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67E941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助学金</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4E774C5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13E2D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30229</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DA62B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福利费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5D701ED">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1.61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EBAC5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39908</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5AE2C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对民间非营利组织和群众性自治组织补贴</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1F09C93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0155A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0FE22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30309</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E6A731">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奖励金</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61BB728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0.86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B180DBB">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30231</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A6C13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公务用车运行维护费</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29EF9F1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C6DEF9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39909</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11B5E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经常性赠与</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72312D88">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3D7A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0B6AB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30310</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AE281C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个人农业生产补贴</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5801570">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83327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30239</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A1E67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其他交通费用</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4E0BF2E5">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0.09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B5ED9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39910</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A63689">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资本性赠与</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4D7E7F08">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7E999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0E29C6">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30311</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95929E">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代缴社会保险费</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79B8373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9F948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30240</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807A85">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税金及附加费用</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793CDF26">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1A89E0">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39999</w:t>
            </w: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DABE70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其他支出</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60A654CA">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0.00 </w:t>
            </w:r>
          </w:p>
        </w:tc>
      </w:tr>
      <w:tr w14:paraId="2C022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D084C8">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30399</w:t>
            </w:r>
          </w:p>
        </w:tc>
        <w:tc>
          <w:tcPr>
            <w:tcW w:w="351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D1C9C4">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其他对个人和家庭的补助</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16EF3A7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0.37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23538D">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30299</w:t>
            </w:r>
          </w:p>
        </w:tc>
        <w:tc>
          <w:tcPr>
            <w:tcW w:w="249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FF9C1B7">
            <w:pPr>
              <w:keepNext w:val="0"/>
              <w:keepLines w:val="0"/>
              <w:pageBreakBefore w:val="0"/>
              <w:widowControl w:val="0"/>
              <w:suppressLineNumbers w:val="0"/>
              <w:wordWrap/>
              <w:overflowPunct/>
              <w:topLinePunct w:val="0"/>
              <w:bidi w:val="0"/>
              <w:jc w:val="lef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  其他商品和服务支出</w:t>
            </w:r>
          </w:p>
        </w:tc>
        <w:tc>
          <w:tcPr>
            <w:tcW w:w="1419" w:type="dxa"/>
            <w:tcBorders>
              <w:top w:val="single" w:color="D4D4D4" w:sz="4" w:space="0"/>
              <w:left w:val="single" w:color="D4D4D4" w:sz="4" w:space="0"/>
              <w:bottom w:val="single" w:color="D4D4D4" w:sz="4" w:space="0"/>
              <w:right w:val="single" w:color="D4D4D4" w:sz="4" w:space="0"/>
            </w:tcBorders>
            <w:shd w:val="clear"/>
            <w:noWrap/>
            <w:vAlign w:val="center"/>
          </w:tcPr>
          <w:p w14:paraId="0A50D898">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2.41 </w:t>
            </w:r>
          </w:p>
        </w:tc>
        <w:tc>
          <w:tcPr>
            <w:tcW w:w="766"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129150E">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3089"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82D64AA">
            <w:pPr>
              <w:keepNext w:val="0"/>
              <w:keepLines w:val="0"/>
              <w:pageBreakBefore w:val="0"/>
              <w:widowControl w:val="0"/>
              <w:wordWrap/>
              <w:overflowPunct/>
              <w:topLinePunct w:val="0"/>
              <w:bidi w:val="0"/>
              <w:jc w:val="left"/>
              <w:rPr>
                <w:rFonts w:hint="eastAsia" w:ascii="宋体" w:hAnsi="宋体" w:eastAsia="宋体" w:cs="宋体"/>
                <w:i w:val="0"/>
                <w:iCs w:val="0"/>
                <w:color w:val="000000"/>
                <w:w w:val="100"/>
                <w:sz w:val="22"/>
                <w:szCs w:val="22"/>
                <w:u w:val="none"/>
              </w:rPr>
            </w:pP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09D27968">
            <w:pPr>
              <w:keepNext w:val="0"/>
              <w:keepLines w:val="0"/>
              <w:pageBreakBefore w:val="0"/>
              <w:widowControl w:val="0"/>
              <w:wordWrap/>
              <w:overflowPunct/>
              <w:topLinePunct w:val="0"/>
              <w:bidi w:val="0"/>
              <w:jc w:val="right"/>
              <w:rPr>
                <w:rFonts w:hint="eastAsia" w:ascii="宋体" w:hAnsi="宋体" w:eastAsia="宋体" w:cs="宋体"/>
                <w:i w:val="0"/>
                <w:iCs w:val="0"/>
                <w:color w:val="000000"/>
                <w:w w:val="100"/>
                <w:sz w:val="22"/>
                <w:szCs w:val="22"/>
                <w:u w:val="none"/>
              </w:rPr>
            </w:pPr>
          </w:p>
        </w:tc>
      </w:tr>
      <w:tr w14:paraId="3CFCE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jc w:val="center"/>
        </w:trPr>
        <w:tc>
          <w:tcPr>
            <w:tcW w:w="4282"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BB6E393">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人员经费合计</w:t>
            </w:r>
          </w:p>
        </w:tc>
        <w:tc>
          <w:tcPr>
            <w:tcW w:w="1173" w:type="dxa"/>
            <w:tcBorders>
              <w:top w:val="single" w:color="D4D4D4" w:sz="4" w:space="0"/>
              <w:left w:val="single" w:color="D4D4D4" w:sz="4" w:space="0"/>
              <w:bottom w:val="single" w:color="D4D4D4" w:sz="4" w:space="0"/>
              <w:right w:val="single" w:color="D4D4D4" w:sz="4" w:space="0"/>
            </w:tcBorders>
            <w:shd w:val="clear"/>
            <w:noWrap/>
            <w:vAlign w:val="center"/>
          </w:tcPr>
          <w:p w14:paraId="49A5BE78">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297.59 </w:t>
            </w:r>
          </w:p>
        </w:tc>
        <w:tc>
          <w:tcPr>
            <w:tcW w:w="8538" w:type="dxa"/>
            <w:gridSpan w:val="5"/>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3EC9834">
            <w:pPr>
              <w:keepNext w:val="0"/>
              <w:keepLines w:val="0"/>
              <w:pageBreakBefore w:val="0"/>
              <w:widowControl w:val="0"/>
              <w:suppressLineNumbers w:val="0"/>
              <w:wordWrap/>
              <w:overflowPunct/>
              <w:topLinePunct w:val="0"/>
              <w:bidi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公用经费合计</w:t>
            </w:r>
          </w:p>
        </w:tc>
        <w:tc>
          <w:tcPr>
            <w:tcW w:w="1320" w:type="dxa"/>
            <w:tcBorders>
              <w:top w:val="single" w:color="D4D4D4" w:sz="4" w:space="0"/>
              <w:left w:val="single" w:color="D4D4D4" w:sz="4" w:space="0"/>
              <w:bottom w:val="single" w:color="D4D4D4" w:sz="4" w:space="0"/>
              <w:right w:val="single" w:color="D4D4D4" w:sz="4" w:space="0"/>
            </w:tcBorders>
            <w:shd w:val="clear"/>
            <w:noWrap/>
            <w:vAlign w:val="center"/>
          </w:tcPr>
          <w:p w14:paraId="18400C1B">
            <w:pPr>
              <w:keepNext w:val="0"/>
              <w:keepLines w:val="0"/>
              <w:pageBreakBefore w:val="0"/>
              <w:widowControl w:val="0"/>
              <w:suppressLineNumbers w:val="0"/>
              <w:wordWrap/>
              <w:overflowPunct/>
              <w:topLinePunct w:val="0"/>
              <w:bidi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19.82 </w:t>
            </w:r>
          </w:p>
        </w:tc>
      </w:tr>
    </w:tbl>
    <w:p w14:paraId="5414BE35">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注：本表反映部门本年度一般公共预算财政拨款基本支出明细情况。</w:t>
      </w:r>
    </w:p>
    <w:p w14:paraId="46A15232">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58390B05">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政府性基金预算财政拨款收入支出决算表</w:t>
      </w:r>
      <w:r>
        <w:rPr>
          <w:rFonts w:hint="eastAsia" w:cs="黑体"/>
          <w:w w:val="100"/>
          <w:sz w:val="36"/>
          <w:szCs w:val="36"/>
          <w:lang w:val="en-US" w:eastAsia="zh-CN"/>
        </w:rPr>
        <w:t xml:space="preserve">         </w:t>
      </w:r>
      <w:r>
        <w:rPr>
          <w:rFonts w:ascii="仿宋" w:hAnsi="仿宋" w:eastAsia="仿宋"/>
          <w:w w:val="100"/>
          <w:sz w:val="30"/>
          <w:szCs w:val="30"/>
        </w:rPr>
        <w:t>（公开07表）</w:t>
      </w:r>
    </w:p>
    <w:p w14:paraId="105F4AE5">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Style w:val="8"/>
        <w:tblW w:w="14100"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6" w:type="dxa"/>
          <w:left w:w="96" w:type="dxa"/>
          <w:bottom w:w="56" w:type="dxa"/>
          <w:right w:w="96" w:type="dxa"/>
        </w:tblCellMar>
      </w:tblPr>
      <w:tblGrid>
        <w:gridCol w:w="1602"/>
        <w:gridCol w:w="1598"/>
        <w:gridCol w:w="2577"/>
        <w:gridCol w:w="1595"/>
        <w:gridCol w:w="943"/>
        <w:gridCol w:w="1602"/>
        <w:gridCol w:w="1605"/>
        <w:gridCol w:w="2578"/>
      </w:tblGrid>
      <w:tr w14:paraId="28FB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blHeader/>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4F77D46">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257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6E3CB2">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年初结转和结余</w:t>
            </w:r>
          </w:p>
        </w:tc>
        <w:tc>
          <w:tcPr>
            <w:tcW w:w="159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1B8F01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本年收入</w:t>
            </w:r>
          </w:p>
        </w:tc>
        <w:tc>
          <w:tcPr>
            <w:tcW w:w="415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099719C3">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本年支出</w:t>
            </w:r>
          </w:p>
        </w:tc>
        <w:tc>
          <w:tcPr>
            <w:tcW w:w="257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4DB460B">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年末结转和结余</w:t>
            </w:r>
          </w:p>
        </w:tc>
      </w:tr>
      <w:tr w14:paraId="6D00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96" w:type="dxa"/>
            <w:bottom w:w="56" w:type="dxa"/>
            <w:right w:w="96" w:type="dxa"/>
          </w:tblCellMar>
        </w:tblPrEx>
        <w:trPr>
          <w:trHeight w:val="312" w:hRule="atLeast"/>
          <w:tblHeader/>
        </w:trPr>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A82EB9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159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D9BCCD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85B419">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59B5A76">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94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05E014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小计</w:t>
            </w:r>
          </w:p>
        </w:tc>
        <w:tc>
          <w:tcPr>
            <w:tcW w:w="160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5FBD0BC">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基本支出</w:t>
            </w:r>
          </w:p>
        </w:tc>
        <w:tc>
          <w:tcPr>
            <w:tcW w:w="160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28EA91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项目支出</w:t>
            </w: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83DF358">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r>
      <w:tr w14:paraId="79549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D916B62">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77D4293">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41396B7">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35B197">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EC49E8">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92C740B">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2B1782B">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B80F4B">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r>
      <w:tr w14:paraId="3FE6B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DE1A1E2">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59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779E3C">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257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D617FC">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59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5BC7567">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94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8F4542E">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60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0C039F4">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60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DD6DDA">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257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118FFC2">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r>
      <w:tr w14:paraId="4CEE0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CA09590">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257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AFEC2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159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E761B4">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943"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8BAFF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c>
          <w:tcPr>
            <w:tcW w:w="160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76DC1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4</w:t>
            </w:r>
          </w:p>
        </w:tc>
        <w:tc>
          <w:tcPr>
            <w:tcW w:w="1605"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7AD9C0">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5</w:t>
            </w:r>
          </w:p>
        </w:tc>
        <w:tc>
          <w:tcPr>
            <w:tcW w:w="2578"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A1E4F4">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6</w:t>
            </w:r>
          </w:p>
        </w:tc>
      </w:tr>
      <w:tr w14:paraId="014E5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rPr>
        <w:tc>
          <w:tcPr>
            <w:tcW w:w="320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5A49BC7">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257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28B3FC7">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c>
          <w:tcPr>
            <w:tcW w:w="159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6824EB2">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c>
          <w:tcPr>
            <w:tcW w:w="943"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EA33CC">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c>
          <w:tcPr>
            <w:tcW w:w="160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DFFD9E">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c>
          <w:tcPr>
            <w:tcW w:w="160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63040A4">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c>
          <w:tcPr>
            <w:tcW w:w="257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BD36DE">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r>
    </w:tbl>
    <w:p w14:paraId="7A6D1737">
      <w:pPr>
        <w:keepNext w:val="0"/>
        <w:keepLines w:val="0"/>
        <w:pageBreakBefore w:val="0"/>
        <w:widowControl w:val="0"/>
        <w:wordWrap/>
        <w:overflowPunct/>
        <w:topLinePunct w:val="0"/>
        <w:bidi w:val="0"/>
        <w:ind w:firstLine="708" w:firstLineChars="236"/>
        <w:rPr>
          <w:rFonts w:ascii="仿宋" w:hAnsi="仿宋" w:eastAsia="仿宋"/>
          <w:w w:val="100"/>
          <w:sz w:val="30"/>
          <w:szCs w:val="30"/>
        </w:rPr>
      </w:pPr>
      <w:r>
        <w:rPr>
          <w:rFonts w:ascii="仿宋" w:hAnsi="仿宋" w:eastAsia="仿宋"/>
          <w:w w:val="100"/>
          <w:sz w:val="30"/>
          <w:szCs w:val="30"/>
        </w:rPr>
        <w:t>说明：我单位没有政府性基金收入，也没有使用政府性基金安排的支出，故本表无数据。</w:t>
      </w:r>
    </w:p>
    <w:p w14:paraId="6FAD1593">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注：本表反映部门本年度政府性基金预算财政拨款收入、支出及结转和结余情况。</w:t>
      </w:r>
    </w:p>
    <w:p w14:paraId="2A7CB281">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1B8AE367">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国有资本经营预算财政拨款支出决算表</w:t>
      </w:r>
      <w:r>
        <w:rPr>
          <w:rFonts w:hint="eastAsia" w:cs="黑体"/>
          <w:w w:val="100"/>
          <w:sz w:val="36"/>
          <w:szCs w:val="36"/>
          <w:lang w:val="en-US" w:eastAsia="zh-CN"/>
        </w:rPr>
        <w:t xml:space="preserve">            </w:t>
      </w:r>
      <w:r>
        <w:rPr>
          <w:rFonts w:ascii="仿宋" w:hAnsi="仿宋" w:eastAsia="仿宋"/>
          <w:w w:val="100"/>
          <w:sz w:val="30"/>
          <w:szCs w:val="30"/>
        </w:rPr>
        <w:t>（公开08表）</w:t>
      </w:r>
    </w:p>
    <w:p w14:paraId="7CD42CC6">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Style w:val="8"/>
        <w:tblW w:w="14119"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6" w:type="dxa"/>
          <w:left w:w="96" w:type="dxa"/>
          <w:bottom w:w="56" w:type="dxa"/>
          <w:right w:w="96" w:type="dxa"/>
        </w:tblCellMar>
      </w:tblPr>
      <w:tblGrid>
        <w:gridCol w:w="3081"/>
        <w:gridCol w:w="3068"/>
        <w:gridCol w:w="1817"/>
        <w:gridCol w:w="3082"/>
        <w:gridCol w:w="3071"/>
      </w:tblGrid>
      <w:tr w14:paraId="6854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blHeader/>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740D139">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w:t>
            </w:r>
          </w:p>
        </w:tc>
        <w:tc>
          <w:tcPr>
            <w:tcW w:w="7970" w:type="dxa"/>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373CDF8E">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本年支出</w:t>
            </w:r>
          </w:p>
        </w:tc>
      </w:tr>
      <w:tr w14:paraId="24EBA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308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4843346">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科目代码</w:t>
            </w:r>
          </w:p>
        </w:tc>
        <w:tc>
          <w:tcPr>
            <w:tcW w:w="3068"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670FAD">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科目名称</w:t>
            </w:r>
          </w:p>
        </w:tc>
        <w:tc>
          <w:tcPr>
            <w:tcW w:w="181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1761CD8">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合计</w:t>
            </w:r>
          </w:p>
        </w:tc>
        <w:tc>
          <w:tcPr>
            <w:tcW w:w="3082"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C81C080">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基本支出</w:t>
            </w:r>
          </w:p>
        </w:tc>
        <w:tc>
          <w:tcPr>
            <w:tcW w:w="307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ED1F93A">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i w:val="0"/>
                <w:iCs w:val="0"/>
                <w:color w:val="000000"/>
                <w:w w:val="100"/>
                <w:sz w:val="22"/>
                <w:szCs w:val="22"/>
                <w:u w:val="none"/>
              </w:rPr>
            </w:pPr>
            <w:r>
              <w:rPr>
                <w:rFonts w:hint="eastAsia" w:ascii="宋体" w:hAnsi="宋体" w:eastAsia="宋体" w:cs="宋体"/>
                <w:b/>
                <w:i w:val="0"/>
                <w:iCs w:val="0"/>
                <w:color w:val="000000"/>
                <w:w w:val="100"/>
                <w:kern w:val="0"/>
                <w:sz w:val="22"/>
                <w:szCs w:val="22"/>
                <w:u w:val="none"/>
                <w:lang w:val="en-US" w:eastAsia="zh-CN" w:bidi="ar"/>
              </w:rPr>
              <w:t>项目支出</w:t>
            </w:r>
          </w:p>
        </w:tc>
      </w:tr>
      <w:tr w14:paraId="78ABE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A563593">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91F859D">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FB1C8EA">
            <w:pPr>
              <w:keepNext w:val="0"/>
              <w:keepLines w:val="0"/>
              <w:pageBreakBefore w:val="0"/>
              <w:widowControl w:val="0"/>
              <w:wordWrap/>
              <w:overflowPunct/>
              <w:topLinePunct w:val="0"/>
              <w:bidi w:val="0"/>
              <w:snapToGrid w:val="0"/>
              <w:jc w:val="right"/>
              <w:rPr>
                <w:rFonts w:hint="eastAsia" w:ascii="宋体" w:hAnsi="宋体" w:eastAsia="宋体" w:cs="宋体"/>
                <w:b/>
                <w:i w:val="0"/>
                <w:iCs w:val="0"/>
                <w:color w:val="000000"/>
                <w:w w:val="100"/>
                <w:sz w:val="22"/>
                <w:szCs w:val="22"/>
                <w:u w:val="none"/>
                <w:lang w:eastAsia="zh-CN"/>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E3969E8">
            <w:pPr>
              <w:keepNext w:val="0"/>
              <w:keepLines w:val="0"/>
              <w:pageBreakBefore w:val="0"/>
              <w:widowControl w:val="0"/>
              <w:wordWrap/>
              <w:overflowPunct/>
              <w:topLinePunct w:val="0"/>
              <w:bidi w:val="0"/>
              <w:snapToGrid w:val="0"/>
              <w:jc w:val="right"/>
              <w:rPr>
                <w:rFonts w:hint="eastAsia" w:ascii="宋体" w:hAnsi="宋体" w:eastAsia="宋体" w:cs="宋体"/>
                <w:b/>
                <w:i w:val="0"/>
                <w:iCs w:val="0"/>
                <w:color w:val="000000"/>
                <w:w w:val="100"/>
                <w:sz w:val="22"/>
                <w:szCs w:val="22"/>
                <w:u w:val="none"/>
                <w:lang w:eastAsia="zh-CN"/>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EBABCB">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r>
      <w:tr w14:paraId="29BF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312" w:hRule="atLeast"/>
          <w:tblHeader/>
        </w:trPr>
        <w:tc>
          <w:tcPr>
            <w:tcW w:w="308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A781C5">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3068"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0F85A5">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c>
          <w:tcPr>
            <w:tcW w:w="181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21A0F3">
            <w:pPr>
              <w:keepNext w:val="0"/>
              <w:keepLines w:val="0"/>
              <w:pageBreakBefore w:val="0"/>
              <w:widowControl w:val="0"/>
              <w:wordWrap/>
              <w:overflowPunct/>
              <w:topLinePunct w:val="0"/>
              <w:bidi w:val="0"/>
              <w:snapToGrid w:val="0"/>
              <w:jc w:val="right"/>
              <w:rPr>
                <w:rFonts w:hint="eastAsia" w:ascii="宋体" w:hAnsi="宋体" w:eastAsia="宋体" w:cs="宋体"/>
                <w:b/>
                <w:i w:val="0"/>
                <w:iCs w:val="0"/>
                <w:color w:val="000000"/>
                <w:w w:val="100"/>
                <w:sz w:val="22"/>
                <w:szCs w:val="22"/>
                <w:u w:val="none"/>
                <w:lang w:eastAsia="zh-CN"/>
              </w:rPr>
            </w:pPr>
          </w:p>
        </w:tc>
        <w:tc>
          <w:tcPr>
            <w:tcW w:w="3082"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FD0CBA5">
            <w:pPr>
              <w:keepNext w:val="0"/>
              <w:keepLines w:val="0"/>
              <w:pageBreakBefore w:val="0"/>
              <w:widowControl w:val="0"/>
              <w:wordWrap/>
              <w:overflowPunct/>
              <w:topLinePunct w:val="0"/>
              <w:bidi w:val="0"/>
              <w:snapToGrid w:val="0"/>
              <w:jc w:val="right"/>
              <w:rPr>
                <w:rFonts w:hint="eastAsia" w:ascii="宋体" w:hAnsi="宋体" w:eastAsia="宋体" w:cs="宋体"/>
                <w:b/>
                <w:i w:val="0"/>
                <w:iCs w:val="0"/>
                <w:color w:val="000000"/>
                <w:w w:val="100"/>
                <w:sz w:val="22"/>
                <w:szCs w:val="22"/>
                <w:u w:val="none"/>
                <w:lang w:eastAsia="zh-CN"/>
              </w:rPr>
            </w:pPr>
          </w:p>
        </w:tc>
        <w:tc>
          <w:tcPr>
            <w:tcW w:w="307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68B2217">
            <w:pPr>
              <w:keepNext w:val="0"/>
              <w:keepLines w:val="0"/>
              <w:pageBreakBefore w:val="0"/>
              <w:widowControl w:val="0"/>
              <w:wordWrap/>
              <w:overflowPunct/>
              <w:topLinePunct w:val="0"/>
              <w:bidi w:val="0"/>
              <w:snapToGrid w:val="0"/>
              <w:jc w:val="center"/>
              <w:rPr>
                <w:rFonts w:hint="eastAsia" w:ascii="宋体" w:hAnsi="宋体" w:eastAsia="宋体" w:cs="宋体"/>
                <w:b/>
                <w:i w:val="0"/>
                <w:iCs w:val="0"/>
                <w:color w:val="000000"/>
                <w:w w:val="100"/>
                <w:sz w:val="22"/>
                <w:szCs w:val="22"/>
                <w:u w:val="none"/>
                <w:lang w:eastAsia="zh-CN"/>
              </w:rPr>
            </w:pPr>
          </w:p>
        </w:tc>
      </w:tr>
      <w:tr w14:paraId="4725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521F0BC">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栏次</w:t>
            </w:r>
          </w:p>
        </w:tc>
        <w:tc>
          <w:tcPr>
            <w:tcW w:w="1817"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B7D5B0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1</w:t>
            </w:r>
          </w:p>
        </w:tc>
        <w:tc>
          <w:tcPr>
            <w:tcW w:w="3082"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9EFB4CE">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2</w:t>
            </w:r>
          </w:p>
        </w:tc>
        <w:tc>
          <w:tcPr>
            <w:tcW w:w="3071" w:type="dxa"/>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4DAC107">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3</w:t>
            </w:r>
          </w:p>
        </w:tc>
      </w:tr>
      <w:tr w14:paraId="49A2F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6" w:type="dxa"/>
            <w:left w:w="96" w:type="dxa"/>
            <w:bottom w:w="56" w:type="dxa"/>
            <w:right w:w="96" w:type="dxa"/>
          </w:tblCellMar>
        </w:tblPrEx>
        <w:trPr>
          <w:trHeight w:val="0" w:hRule="atLeast"/>
        </w:trPr>
        <w:tc>
          <w:tcPr>
            <w:tcW w:w="6149"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7F47FF">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lang w:val="en-US" w:eastAsia="zh-CN" w:bidi="ar"/>
              </w:rPr>
              <w:t>合计</w:t>
            </w:r>
          </w:p>
        </w:tc>
        <w:tc>
          <w:tcPr>
            <w:tcW w:w="1817"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EC1A79">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c>
          <w:tcPr>
            <w:tcW w:w="308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080E49">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b/>
                <w:bCs/>
                <w:i w:val="0"/>
                <w:iCs w:val="0"/>
                <w:color w:val="000000"/>
                <w:w w:val="100"/>
                <w:sz w:val="22"/>
                <w:szCs w:val="22"/>
                <w:u w:val="none"/>
              </w:rPr>
            </w:pPr>
            <w:r>
              <w:rPr>
                <w:rFonts w:hint="eastAsia" w:ascii="宋体" w:hAnsi="宋体" w:eastAsia="宋体" w:cs="宋体"/>
                <w:b/>
                <w:bCs/>
                <w:i w:val="0"/>
                <w:iCs w:val="0"/>
                <w:color w:val="000000"/>
                <w:w w:val="100"/>
                <w:kern w:val="0"/>
                <w:sz w:val="22"/>
                <w:szCs w:val="22"/>
                <w:u w:val="none"/>
                <w:lang w:val="en-US" w:eastAsia="zh-CN" w:bidi="ar"/>
              </w:rPr>
              <w:t>0.00</w:t>
            </w:r>
          </w:p>
        </w:tc>
        <w:tc>
          <w:tcPr>
            <w:tcW w:w="3071"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4FFCA4">
            <w:pPr>
              <w:keepNext w:val="0"/>
              <w:keepLines w:val="0"/>
              <w:pageBreakBefore w:val="0"/>
              <w:widowControl w:val="0"/>
              <w:wordWrap/>
              <w:overflowPunct/>
              <w:topLinePunct w:val="0"/>
              <w:bidi w:val="0"/>
              <w:snapToGrid w:val="0"/>
              <w:jc w:val="center"/>
              <w:rPr>
                <w:rFonts w:hint="eastAsia" w:ascii="宋体" w:hAnsi="宋体" w:eastAsia="宋体" w:cs="宋体"/>
                <w:b/>
                <w:bCs/>
                <w:i w:val="0"/>
                <w:iCs w:val="0"/>
                <w:color w:val="000000"/>
                <w:w w:val="100"/>
                <w:sz w:val="22"/>
                <w:szCs w:val="22"/>
                <w:u w:val="none"/>
              </w:rPr>
            </w:pPr>
          </w:p>
        </w:tc>
      </w:tr>
    </w:tbl>
    <w:p w14:paraId="7D8B8FB4">
      <w:pPr>
        <w:keepNext w:val="0"/>
        <w:keepLines w:val="0"/>
        <w:pageBreakBefore w:val="0"/>
        <w:widowControl w:val="0"/>
        <w:wordWrap/>
        <w:overflowPunct/>
        <w:topLinePunct w:val="0"/>
        <w:bidi w:val="0"/>
        <w:ind w:firstLine="708" w:firstLineChars="236"/>
        <w:rPr>
          <w:rFonts w:ascii="仿宋" w:hAnsi="仿宋" w:eastAsia="仿宋"/>
          <w:w w:val="100"/>
          <w:sz w:val="30"/>
          <w:szCs w:val="30"/>
        </w:rPr>
      </w:pPr>
      <w:r>
        <w:rPr>
          <w:rFonts w:ascii="仿宋" w:hAnsi="仿宋" w:eastAsia="仿宋"/>
          <w:w w:val="100"/>
          <w:sz w:val="30"/>
          <w:szCs w:val="30"/>
        </w:rPr>
        <w:t>说明：我单位没有使用国有资本经营预算安排的支出，故本表无数据。</w:t>
      </w:r>
    </w:p>
    <w:p w14:paraId="0DCAFBA7">
      <w:pPr>
        <w:keepNext w:val="0"/>
        <w:keepLines w:val="0"/>
        <w:pageBreakBefore w:val="0"/>
        <w:widowControl w:val="0"/>
        <w:wordWrap/>
        <w:overflowPunct/>
        <w:topLinePunct w:val="0"/>
        <w:bidi w:val="0"/>
        <w:ind w:firstLine="566" w:firstLineChars="236"/>
        <w:rPr>
          <w:rFonts w:ascii="仿宋" w:hAnsi="仿宋" w:eastAsia="仿宋"/>
          <w:w w:val="100"/>
          <w:sz w:val="24"/>
          <w:szCs w:val="24"/>
        </w:rPr>
      </w:pPr>
      <w:r>
        <w:rPr>
          <w:rFonts w:ascii="仿宋" w:hAnsi="仿宋" w:eastAsia="仿宋"/>
          <w:w w:val="100"/>
          <w:sz w:val="24"/>
          <w:szCs w:val="24"/>
        </w:rPr>
        <w:t>注：本表反映部门本年度国有资本经营预算财政拨款支出情况。</w:t>
      </w:r>
    </w:p>
    <w:p w14:paraId="523186C2">
      <w:pPr>
        <w:keepNext w:val="0"/>
        <w:keepLines w:val="0"/>
        <w:pageBreakBefore w:val="0"/>
        <w:widowControl w:val="0"/>
        <w:wordWrap/>
        <w:overflowPunct/>
        <w:topLinePunct w:val="0"/>
        <w:bidi w:val="0"/>
        <w:jc w:val="left"/>
        <w:rPr>
          <w:rFonts w:ascii="仿宋" w:hAnsi="仿宋" w:eastAsia="仿宋"/>
          <w:w w:val="100"/>
          <w:sz w:val="30"/>
          <w:szCs w:val="30"/>
        </w:rPr>
      </w:pPr>
      <w:r>
        <w:rPr>
          <w:rFonts w:ascii="仿宋" w:hAnsi="仿宋" w:eastAsia="仿宋"/>
          <w:w w:val="100"/>
          <w:sz w:val="30"/>
          <w:szCs w:val="30"/>
        </w:rPr>
        <w:br w:type="page"/>
      </w:r>
    </w:p>
    <w:p w14:paraId="496D757F">
      <w:pPr>
        <w:keepNext w:val="0"/>
        <w:keepLines w:val="0"/>
        <w:pageBreakBefore w:val="0"/>
        <w:widowControl w:val="0"/>
        <w:wordWrap/>
        <w:overflowPunct/>
        <w:topLinePunct w:val="0"/>
        <w:bidi w:val="0"/>
        <w:ind w:firstLine="849" w:firstLineChars="236"/>
        <w:jc w:val="right"/>
        <w:rPr>
          <w:rFonts w:ascii="仿宋" w:hAnsi="仿宋" w:eastAsia="仿宋"/>
          <w:w w:val="100"/>
          <w:sz w:val="30"/>
          <w:szCs w:val="30"/>
        </w:rPr>
      </w:pPr>
      <w:r>
        <w:rPr>
          <w:rFonts w:hint="eastAsia" w:ascii="黑体" w:hAnsi="黑体" w:eastAsia="黑体" w:cs="黑体"/>
          <w:w w:val="100"/>
          <w:sz w:val="36"/>
          <w:szCs w:val="36"/>
        </w:rPr>
        <w:t>财政拨款“三公”经费支出决算表</w:t>
      </w:r>
      <w:r>
        <w:rPr>
          <w:rFonts w:hint="eastAsia" w:cs="黑体"/>
          <w:w w:val="100"/>
          <w:sz w:val="36"/>
          <w:szCs w:val="36"/>
          <w:lang w:val="en-US" w:eastAsia="zh-CN"/>
        </w:rPr>
        <w:t xml:space="preserve">              </w:t>
      </w:r>
      <w:r>
        <w:rPr>
          <w:rFonts w:ascii="仿宋" w:hAnsi="仿宋" w:eastAsia="仿宋"/>
          <w:w w:val="100"/>
          <w:sz w:val="30"/>
          <w:szCs w:val="30"/>
        </w:rPr>
        <w:t>（公开09表）</w:t>
      </w:r>
    </w:p>
    <w:p w14:paraId="3C939025">
      <w:pPr>
        <w:keepNext w:val="0"/>
        <w:keepLines w:val="0"/>
        <w:pageBreakBefore w:val="0"/>
        <w:widowControl w:val="0"/>
        <w:wordWrap/>
        <w:overflowPunct/>
        <w:topLinePunct w:val="0"/>
        <w:bidi w:val="0"/>
        <w:rPr>
          <w:rFonts w:ascii="仿宋" w:hAnsi="仿宋" w:eastAsia="仿宋"/>
          <w:w w:val="100"/>
          <w:sz w:val="30"/>
          <w:szCs w:val="30"/>
        </w:rPr>
      </w:pPr>
      <w:r>
        <w:rPr>
          <w:rFonts w:ascii="仿宋" w:hAnsi="仿宋" w:eastAsia="仿宋"/>
          <w:w w:val="100"/>
          <w:sz w:val="30"/>
          <w:szCs w:val="30"/>
        </w:rPr>
        <w:t>部门：</w:t>
      </w:r>
      <w:r>
        <w:rPr>
          <w:rFonts w:hint="eastAsia" w:ascii="仿宋" w:hAnsi="仿宋" w:eastAsia="仿宋"/>
          <w:w w:val="100"/>
          <w:sz w:val="30"/>
          <w:szCs w:val="30"/>
          <w:lang w:eastAsia="zh-CN"/>
        </w:rPr>
        <w:t>怀化市广播电视监测中心</w:t>
      </w:r>
      <w:r>
        <w:rPr>
          <w:rFonts w:hint="eastAsia" w:ascii="仿宋" w:hAnsi="仿宋" w:eastAsia="仿宋"/>
          <w:w w:val="100"/>
          <w:sz w:val="30"/>
          <w:szCs w:val="30"/>
          <w:lang w:val="en-US" w:eastAsia="zh-CN"/>
        </w:rPr>
        <w:t xml:space="preserve">                                                      </w:t>
      </w:r>
      <w:r>
        <w:rPr>
          <w:rFonts w:ascii="仿宋" w:hAnsi="仿宋" w:eastAsia="仿宋"/>
          <w:w w:val="100"/>
          <w:sz w:val="30"/>
          <w:szCs w:val="30"/>
        </w:rPr>
        <w:t>单位：万元</w:t>
      </w:r>
    </w:p>
    <w:tbl>
      <w:tblPr>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56"/>
        <w:gridCol w:w="1617"/>
        <w:gridCol w:w="657"/>
        <w:gridCol w:w="1326"/>
        <w:gridCol w:w="1709"/>
        <w:gridCol w:w="1125"/>
        <w:gridCol w:w="657"/>
        <w:gridCol w:w="1624"/>
        <w:gridCol w:w="657"/>
        <w:gridCol w:w="1326"/>
        <w:gridCol w:w="1709"/>
        <w:gridCol w:w="1105"/>
      </w:tblGrid>
      <w:tr w14:paraId="666B6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500"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63AE51CD">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预算数</w:t>
            </w:r>
          </w:p>
        </w:tc>
        <w:tc>
          <w:tcPr>
            <w:tcW w:w="2499" w:type="pct"/>
            <w:gridSpan w:val="6"/>
            <w:tcBorders>
              <w:top w:val="single" w:color="D4D4D4" w:sz="4" w:space="0"/>
              <w:left w:val="single" w:color="D4D4D4" w:sz="4" w:space="0"/>
              <w:bottom w:val="single" w:color="D4D4D4" w:sz="4" w:space="0"/>
              <w:right w:val="single" w:color="D4D4D4" w:sz="4" w:space="0"/>
            </w:tcBorders>
            <w:shd w:val="clear" w:color="auto" w:fill="F1F1F1"/>
            <w:vAlign w:val="center"/>
          </w:tcPr>
          <w:p w14:paraId="3B206BE6">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决算数</w:t>
            </w:r>
          </w:p>
        </w:tc>
      </w:tr>
      <w:tr w14:paraId="7B8A1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31"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02E571B8">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合计</w:t>
            </w:r>
          </w:p>
        </w:tc>
        <w:tc>
          <w:tcPr>
            <w:tcW w:w="571"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CE2F86D">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因公出国（境）费</w:t>
            </w:r>
          </w:p>
        </w:tc>
        <w:tc>
          <w:tcPr>
            <w:tcW w:w="1303"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648FFD9F">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公务用车购置及运行维护费</w:t>
            </w:r>
          </w:p>
        </w:tc>
        <w:tc>
          <w:tcPr>
            <w:tcW w:w="394"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5BC022D4">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公务接待费</w:t>
            </w:r>
          </w:p>
        </w:tc>
        <w:tc>
          <w:tcPr>
            <w:tcW w:w="232"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BA54931">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合计</w:t>
            </w:r>
          </w:p>
        </w:tc>
        <w:tc>
          <w:tcPr>
            <w:tcW w:w="573"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3962BF7">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因公出国（境）费</w:t>
            </w:r>
          </w:p>
        </w:tc>
        <w:tc>
          <w:tcPr>
            <w:tcW w:w="1303" w:type="pct"/>
            <w:gridSpan w:val="3"/>
            <w:tcBorders>
              <w:top w:val="single" w:color="D4D4D4" w:sz="4" w:space="0"/>
              <w:left w:val="single" w:color="D4D4D4" w:sz="4" w:space="0"/>
              <w:bottom w:val="single" w:color="D4D4D4" w:sz="4" w:space="0"/>
              <w:right w:val="single" w:color="D4D4D4" w:sz="4" w:space="0"/>
            </w:tcBorders>
            <w:shd w:val="clear" w:color="auto" w:fill="F1F1F1"/>
            <w:vAlign w:val="center"/>
          </w:tcPr>
          <w:p w14:paraId="43125D2D">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公务用车购置及运行维护费</w:t>
            </w:r>
          </w:p>
        </w:tc>
        <w:tc>
          <w:tcPr>
            <w:tcW w:w="390" w:type="pct"/>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FAF8C03">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公务接待费</w:t>
            </w:r>
          </w:p>
        </w:tc>
      </w:tr>
      <w:tr w14:paraId="3997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3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8609F0A">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571"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D5D1CB5">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23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53A4F6D">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小计</w:t>
            </w:r>
          </w:p>
        </w:tc>
        <w:tc>
          <w:tcPr>
            <w:tcW w:w="468"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1DC8BF2">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公务用车购置费</w:t>
            </w:r>
          </w:p>
        </w:tc>
        <w:tc>
          <w:tcPr>
            <w:tcW w:w="60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86048A9">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公务用车运行维护费</w:t>
            </w:r>
          </w:p>
        </w:tc>
        <w:tc>
          <w:tcPr>
            <w:tcW w:w="394"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2CD7097">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232"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0646232">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573"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75B1248">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c>
          <w:tcPr>
            <w:tcW w:w="23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9D06353">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小计</w:t>
            </w:r>
          </w:p>
        </w:tc>
        <w:tc>
          <w:tcPr>
            <w:tcW w:w="468"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312D83D8">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公务用车购置费</w:t>
            </w:r>
          </w:p>
        </w:tc>
        <w:tc>
          <w:tcPr>
            <w:tcW w:w="60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31AD2A1">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公务用车运行维护费</w:t>
            </w:r>
          </w:p>
        </w:tc>
        <w:tc>
          <w:tcPr>
            <w:tcW w:w="390" w:type="pct"/>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5743BE">
            <w:pPr>
              <w:keepNext w:val="0"/>
              <w:keepLines w:val="0"/>
              <w:pageBreakBefore w:val="0"/>
              <w:widowControl w:val="0"/>
              <w:wordWrap/>
              <w:overflowPunct/>
              <w:topLinePunct w:val="0"/>
              <w:bidi w:val="0"/>
              <w:snapToGrid w:val="0"/>
              <w:jc w:val="center"/>
              <w:rPr>
                <w:rFonts w:hint="eastAsia" w:ascii="宋体" w:hAnsi="宋体" w:eastAsia="宋体" w:cs="宋体"/>
                <w:i w:val="0"/>
                <w:iCs w:val="0"/>
                <w:color w:val="000000"/>
                <w:w w:val="100"/>
                <w:sz w:val="22"/>
                <w:szCs w:val="22"/>
                <w:u w:val="none"/>
              </w:rPr>
            </w:pPr>
          </w:p>
        </w:tc>
      </w:tr>
      <w:tr w14:paraId="44337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3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298650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w:t>
            </w:r>
          </w:p>
        </w:tc>
        <w:tc>
          <w:tcPr>
            <w:tcW w:w="57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5F9C813">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2</w:t>
            </w:r>
          </w:p>
        </w:tc>
        <w:tc>
          <w:tcPr>
            <w:tcW w:w="23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5EBA4BEC">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3</w:t>
            </w:r>
          </w:p>
        </w:tc>
        <w:tc>
          <w:tcPr>
            <w:tcW w:w="468"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3E26BFD">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4</w:t>
            </w:r>
          </w:p>
        </w:tc>
        <w:tc>
          <w:tcPr>
            <w:tcW w:w="60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2F378C95">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5</w:t>
            </w:r>
          </w:p>
        </w:tc>
        <w:tc>
          <w:tcPr>
            <w:tcW w:w="394"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B94AEA6">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6</w:t>
            </w:r>
          </w:p>
        </w:tc>
        <w:tc>
          <w:tcPr>
            <w:tcW w:w="23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8BB43B4">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7</w:t>
            </w:r>
          </w:p>
        </w:tc>
        <w:tc>
          <w:tcPr>
            <w:tcW w:w="573"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7B41EF7F">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8</w:t>
            </w:r>
          </w:p>
        </w:tc>
        <w:tc>
          <w:tcPr>
            <w:tcW w:w="232"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6DF2F0C">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9</w:t>
            </w:r>
          </w:p>
        </w:tc>
        <w:tc>
          <w:tcPr>
            <w:tcW w:w="468"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0C8E7E08">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10</w:t>
            </w:r>
          </w:p>
        </w:tc>
        <w:tc>
          <w:tcPr>
            <w:tcW w:w="601"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6C1511F">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11</w:t>
            </w:r>
          </w:p>
        </w:tc>
        <w:tc>
          <w:tcPr>
            <w:tcW w:w="390" w:type="pct"/>
            <w:tcBorders>
              <w:top w:val="single" w:color="D4D4D4" w:sz="4" w:space="0"/>
              <w:left w:val="single" w:color="D4D4D4" w:sz="4" w:space="0"/>
              <w:bottom w:val="single" w:color="D4D4D4" w:sz="4" w:space="0"/>
              <w:right w:val="single" w:color="D4D4D4" w:sz="4" w:space="0"/>
            </w:tcBorders>
            <w:shd w:val="clear" w:color="auto" w:fill="F1F1F1"/>
            <w:vAlign w:val="center"/>
          </w:tcPr>
          <w:p w14:paraId="13A625C6">
            <w:pPr>
              <w:keepNext w:val="0"/>
              <w:keepLines w:val="0"/>
              <w:pageBreakBefore w:val="0"/>
              <w:widowControl w:val="0"/>
              <w:suppressLineNumbers w:val="0"/>
              <w:wordWrap/>
              <w:overflowPunct/>
              <w:topLinePunct w:val="0"/>
              <w:bidi w:val="0"/>
              <w:snapToGrid w:val="0"/>
              <w:jc w:val="center"/>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12</w:t>
            </w:r>
          </w:p>
        </w:tc>
      </w:tr>
      <w:tr w14:paraId="40EC4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31" w:type="pct"/>
            <w:tcBorders>
              <w:top w:val="single" w:color="D4D4D4" w:sz="4" w:space="0"/>
              <w:left w:val="single" w:color="D4D4D4" w:sz="4" w:space="0"/>
              <w:bottom w:val="single" w:color="D4D4D4" w:sz="4" w:space="0"/>
              <w:right w:val="single" w:color="D4D4D4" w:sz="4" w:space="0"/>
            </w:tcBorders>
            <w:shd w:val="clear"/>
            <w:noWrap/>
            <w:vAlign w:val="center"/>
          </w:tcPr>
          <w:p w14:paraId="4CC348E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3.50 </w:t>
            </w:r>
          </w:p>
        </w:tc>
        <w:tc>
          <w:tcPr>
            <w:tcW w:w="571" w:type="pct"/>
            <w:tcBorders>
              <w:top w:val="single" w:color="D4D4D4" w:sz="4" w:space="0"/>
              <w:left w:val="single" w:color="D4D4D4" w:sz="4" w:space="0"/>
              <w:bottom w:val="single" w:color="D4D4D4" w:sz="4" w:space="0"/>
              <w:right w:val="single" w:color="D4D4D4" w:sz="4" w:space="0"/>
            </w:tcBorders>
            <w:shd w:val="clear"/>
            <w:noWrap/>
            <w:vAlign w:val="center"/>
          </w:tcPr>
          <w:p w14:paraId="786EBE9F">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232" w:type="pct"/>
            <w:tcBorders>
              <w:top w:val="single" w:color="D4D4D4" w:sz="4" w:space="0"/>
              <w:left w:val="single" w:color="D4D4D4" w:sz="4" w:space="0"/>
              <w:bottom w:val="single" w:color="D4D4D4" w:sz="4" w:space="0"/>
              <w:right w:val="single" w:color="D4D4D4" w:sz="4" w:space="0"/>
            </w:tcBorders>
            <w:shd w:val="clear"/>
            <w:noWrap/>
            <w:vAlign w:val="center"/>
          </w:tcPr>
          <w:p w14:paraId="6A5D520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3.00 </w:t>
            </w:r>
          </w:p>
        </w:tc>
        <w:tc>
          <w:tcPr>
            <w:tcW w:w="468" w:type="pct"/>
            <w:tcBorders>
              <w:top w:val="single" w:color="D4D4D4" w:sz="4" w:space="0"/>
              <w:left w:val="single" w:color="D4D4D4" w:sz="4" w:space="0"/>
              <w:bottom w:val="single" w:color="D4D4D4" w:sz="4" w:space="0"/>
              <w:right w:val="single" w:color="D4D4D4" w:sz="4" w:space="0"/>
            </w:tcBorders>
            <w:shd w:val="clear"/>
            <w:noWrap/>
            <w:vAlign w:val="center"/>
          </w:tcPr>
          <w:p w14:paraId="25819FE9">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601" w:type="pct"/>
            <w:tcBorders>
              <w:top w:val="single" w:color="D4D4D4" w:sz="4" w:space="0"/>
              <w:left w:val="single" w:color="D4D4D4" w:sz="4" w:space="0"/>
              <w:bottom w:val="single" w:color="D4D4D4" w:sz="4" w:space="0"/>
              <w:right w:val="single" w:color="D4D4D4" w:sz="4" w:space="0"/>
            </w:tcBorders>
            <w:shd w:val="clear"/>
            <w:noWrap/>
            <w:vAlign w:val="center"/>
          </w:tcPr>
          <w:p w14:paraId="3FFDE6F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3.00 </w:t>
            </w:r>
          </w:p>
        </w:tc>
        <w:tc>
          <w:tcPr>
            <w:tcW w:w="394" w:type="pct"/>
            <w:tcBorders>
              <w:top w:val="single" w:color="D4D4D4" w:sz="4" w:space="0"/>
              <w:left w:val="single" w:color="D4D4D4" w:sz="4" w:space="0"/>
              <w:bottom w:val="single" w:color="D4D4D4" w:sz="4" w:space="0"/>
              <w:right w:val="single" w:color="D4D4D4" w:sz="4" w:space="0"/>
            </w:tcBorders>
            <w:shd w:val="clear"/>
            <w:noWrap/>
            <w:vAlign w:val="center"/>
          </w:tcPr>
          <w:p w14:paraId="04AC34DD">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0.50 </w:t>
            </w:r>
          </w:p>
        </w:tc>
        <w:tc>
          <w:tcPr>
            <w:tcW w:w="232" w:type="pct"/>
            <w:tcBorders>
              <w:top w:val="single" w:color="D4D4D4" w:sz="4" w:space="0"/>
              <w:left w:val="single" w:color="D4D4D4" w:sz="4" w:space="0"/>
              <w:bottom w:val="single" w:color="D4D4D4" w:sz="4" w:space="0"/>
              <w:right w:val="single" w:color="D4D4D4" w:sz="4" w:space="0"/>
            </w:tcBorders>
            <w:shd w:val="clear"/>
            <w:noWrap/>
            <w:vAlign w:val="center"/>
          </w:tcPr>
          <w:p w14:paraId="2B418EF4">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3.06 </w:t>
            </w:r>
          </w:p>
        </w:tc>
        <w:tc>
          <w:tcPr>
            <w:tcW w:w="573" w:type="pct"/>
            <w:tcBorders>
              <w:top w:val="single" w:color="D4D4D4" w:sz="4" w:space="0"/>
              <w:left w:val="single" w:color="D4D4D4" w:sz="4" w:space="0"/>
              <w:bottom w:val="single" w:color="D4D4D4" w:sz="4" w:space="0"/>
              <w:right w:val="single" w:color="D4D4D4" w:sz="4" w:space="0"/>
            </w:tcBorders>
            <w:shd w:val="clear"/>
            <w:noWrap/>
            <w:vAlign w:val="center"/>
          </w:tcPr>
          <w:p w14:paraId="4A4F5063">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232" w:type="pct"/>
            <w:tcBorders>
              <w:top w:val="single" w:color="D4D4D4" w:sz="4" w:space="0"/>
              <w:left w:val="single" w:color="D4D4D4" w:sz="4" w:space="0"/>
              <w:bottom w:val="single" w:color="D4D4D4" w:sz="4" w:space="0"/>
              <w:right w:val="single" w:color="D4D4D4" w:sz="4" w:space="0"/>
            </w:tcBorders>
            <w:shd w:val="clear"/>
            <w:noWrap/>
            <w:vAlign w:val="center"/>
          </w:tcPr>
          <w:p w14:paraId="06EA209C">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3.00 </w:t>
            </w:r>
          </w:p>
        </w:tc>
        <w:tc>
          <w:tcPr>
            <w:tcW w:w="468" w:type="pct"/>
            <w:tcBorders>
              <w:top w:val="single" w:color="D4D4D4" w:sz="4" w:space="0"/>
              <w:left w:val="single" w:color="D4D4D4" w:sz="4" w:space="0"/>
              <w:bottom w:val="single" w:color="D4D4D4" w:sz="4" w:space="0"/>
              <w:right w:val="single" w:color="D4D4D4" w:sz="4" w:space="0"/>
            </w:tcBorders>
            <w:shd w:val="clear"/>
            <w:noWrap/>
            <w:vAlign w:val="center"/>
          </w:tcPr>
          <w:p w14:paraId="064D8C26">
            <w:pPr>
              <w:keepNext w:val="0"/>
              <w:keepLines w:val="0"/>
              <w:pageBreakBefore w:val="0"/>
              <w:widowControl w:val="0"/>
              <w:wordWrap/>
              <w:overflowPunct/>
              <w:topLinePunct w:val="0"/>
              <w:bidi w:val="0"/>
              <w:snapToGrid w:val="0"/>
              <w:jc w:val="right"/>
              <w:rPr>
                <w:rFonts w:hint="eastAsia" w:ascii="宋体" w:hAnsi="宋体" w:eastAsia="宋体" w:cs="宋体"/>
                <w:i w:val="0"/>
                <w:iCs w:val="0"/>
                <w:color w:val="000000"/>
                <w:w w:val="100"/>
                <w:sz w:val="22"/>
                <w:szCs w:val="22"/>
                <w:u w:val="none"/>
              </w:rPr>
            </w:pPr>
          </w:p>
        </w:tc>
        <w:tc>
          <w:tcPr>
            <w:tcW w:w="601" w:type="pct"/>
            <w:tcBorders>
              <w:top w:val="single" w:color="D4D4D4" w:sz="4" w:space="0"/>
              <w:left w:val="single" w:color="D4D4D4" w:sz="4" w:space="0"/>
              <w:bottom w:val="single" w:color="D4D4D4" w:sz="4" w:space="0"/>
              <w:right w:val="single" w:color="D4D4D4" w:sz="4" w:space="0"/>
            </w:tcBorders>
            <w:shd w:val="clear"/>
            <w:noWrap/>
            <w:vAlign w:val="center"/>
          </w:tcPr>
          <w:p w14:paraId="79ED3BFF">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3.00 </w:t>
            </w:r>
          </w:p>
        </w:tc>
        <w:tc>
          <w:tcPr>
            <w:tcW w:w="390" w:type="pct"/>
            <w:tcBorders>
              <w:top w:val="single" w:color="D4D4D4" w:sz="4" w:space="0"/>
              <w:left w:val="single" w:color="D4D4D4" w:sz="4" w:space="0"/>
              <w:bottom w:val="single" w:color="D4D4D4" w:sz="4" w:space="0"/>
              <w:right w:val="single" w:color="D4D4D4" w:sz="4" w:space="0"/>
            </w:tcBorders>
            <w:shd w:val="clear"/>
            <w:noWrap/>
            <w:vAlign w:val="center"/>
          </w:tcPr>
          <w:p w14:paraId="74DD9771">
            <w:pPr>
              <w:keepNext w:val="0"/>
              <w:keepLines w:val="0"/>
              <w:pageBreakBefore w:val="0"/>
              <w:widowControl w:val="0"/>
              <w:suppressLineNumbers w:val="0"/>
              <w:wordWrap/>
              <w:overflowPunct/>
              <w:topLinePunct w:val="0"/>
              <w:bidi w:val="0"/>
              <w:snapToGrid w:val="0"/>
              <w:jc w:val="right"/>
              <w:textAlignment w:val="center"/>
              <w:rPr>
                <w:rFonts w:hint="eastAsia" w:ascii="宋体" w:hAnsi="宋体" w:eastAsia="宋体" w:cs="宋体"/>
                <w:i w:val="0"/>
                <w:iCs w:val="0"/>
                <w:color w:val="000000"/>
                <w:w w:val="100"/>
                <w:sz w:val="22"/>
                <w:szCs w:val="22"/>
                <w:u w:val="none"/>
              </w:rPr>
            </w:pPr>
            <w:r>
              <w:rPr>
                <w:rFonts w:hint="eastAsia" w:ascii="宋体" w:hAnsi="宋体" w:eastAsia="宋体" w:cs="宋体"/>
                <w:i w:val="0"/>
                <w:iCs w:val="0"/>
                <w:color w:val="000000"/>
                <w:w w:val="100"/>
                <w:kern w:val="0"/>
                <w:sz w:val="22"/>
                <w:szCs w:val="22"/>
                <w:u w:val="none"/>
                <w:bdr w:val="none" w:color="auto" w:sz="0" w:space="0"/>
                <w:lang w:val="en-US" w:eastAsia="zh-CN" w:bidi="ar"/>
              </w:rPr>
              <w:t xml:space="preserve">0.06 </w:t>
            </w:r>
          </w:p>
        </w:tc>
      </w:tr>
    </w:tbl>
    <w:p w14:paraId="18C0C3E4">
      <w:pPr>
        <w:keepNext w:val="0"/>
        <w:keepLines w:val="0"/>
        <w:pageBreakBefore w:val="0"/>
        <w:widowControl w:val="0"/>
        <w:wordWrap/>
        <w:overflowPunct/>
        <w:topLinePunct w:val="0"/>
        <w:bidi w:val="0"/>
        <w:ind w:firstLine="566" w:firstLineChars="236"/>
        <w:rPr>
          <w:rFonts w:ascii="仿宋" w:hAnsi="仿宋" w:eastAsia="仿宋"/>
          <w:w w:val="100"/>
          <w:sz w:val="24"/>
          <w:szCs w:val="24"/>
        </w:rPr>
        <w:sectPr>
          <w:pgSz w:w="16838" w:h="11906" w:orient="landscape"/>
          <w:pgMar w:top="1800" w:right="1440" w:bottom="1800" w:left="1440" w:header="851" w:footer="992" w:gutter="0"/>
          <w:cols w:space="425" w:num="1"/>
          <w:docGrid w:type="lines" w:linePitch="312" w:charSpace="0"/>
        </w:sectPr>
      </w:pPr>
      <w:r>
        <w:rPr>
          <w:rFonts w:ascii="仿宋" w:hAnsi="仿宋" w:eastAsia="仿宋"/>
          <w:w w:val="10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6A6DB9B8">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359DBBC8">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0D356E34">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59C4260A">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471C2893">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2CE55487">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57196AF9">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7393E3EA">
      <w:pPr>
        <w:keepNext w:val="0"/>
        <w:keepLines w:val="0"/>
        <w:pageBreakBefore w:val="0"/>
        <w:widowControl w:val="0"/>
        <w:wordWrap/>
        <w:overflowPunct/>
        <w:topLinePunct w:val="0"/>
        <w:bidi w:val="0"/>
        <w:ind w:firstLine="604" w:firstLineChars="189"/>
        <w:jc w:val="center"/>
        <w:rPr>
          <w:rFonts w:hint="eastAsia" w:ascii="黑体" w:hAnsi="黑体" w:eastAsia="黑体" w:cs="黑体"/>
          <w:w w:val="100"/>
          <w:sz w:val="32"/>
          <w:szCs w:val="32"/>
        </w:rPr>
      </w:pPr>
    </w:p>
    <w:p w14:paraId="384D5F09">
      <w:pPr>
        <w:pStyle w:val="14"/>
        <w:keepNext w:val="0"/>
        <w:keepLines w:val="0"/>
        <w:pageBreakBefore w:val="0"/>
        <w:widowControl w:val="0"/>
        <w:wordWrap/>
        <w:overflowPunct/>
        <w:topLinePunct w:val="0"/>
        <w:bidi w:val="0"/>
        <w:spacing w:line="360" w:lineRule="auto"/>
        <w:jc w:val="center"/>
        <w:rPr>
          <w:rFonts w:hint="eastAsia" w:ascii="黑体" w:hAnsi="黑体" w:eastAsia="黑体" w:cs="黑体"/>
          <w:w w:val="100"/>
          <w:sz w:val="52"/>
          <w:szCs w:val="52"/>
        </w:rPr>
      </w:pPr>
      <w:r>
        <w:rPr>
          <w:rFonts w:hint="eastAsia" w:ascii="黑体" w:hAnsi="黑体" w:eastAsia="黑体" w:cs="黑体"/>
          <w:w w:val="100"/>
          <w:sz w:val="52"/>
          <w:szCs w:val="52"/>
        </w:rPr>
        <w:t>第三部分</w:t>
      </w:r>
    </w:p>
    <w:p w14:paraId="2B61E1CF">
      <w:pPr>
        <w:keepNext w:val="0"/>
        <w:keepLines w:val="0"/>
        <w:pageBreakBefore w:val="0"/>
        <w:widowControl w:val="0"/>
        <w:wordWrap/>
        <w:overflowPunct/>
        <w:topLinePunct w:val="0"/>
        <w:bidi w:val="0"/>
        <w:jc w:val="center"/>
        <w:rPr>
          <w:rFonts w:hint="eastAsia" w:ascii="黑体" w:hAnsi="黑体" w:eastAsia="黑体" w:cs="黑体"/>
          <w:w w:val="100"/>
          <w:sz w:val="32"/>
          <w:szCs w:val="32"/>
        </w:rPr>
      </w:pPr>
      <w:r>
        <w:rPr>
          <w:rFonts w:hint="eastAsia" w:ascii="黑体" w:hAnsi="黑体" w:eastAsia="黑体" w:cs="黑体"/>
          <w:w w:val="100"/>
          <w:sz w:val="52"/>
          <w:szCs w:val="52"/>
        </w:rPr>
        <w:t>202</w:t>
      </w:r>
      <w:r>
        <w:rPr>
          <w:rFonts w:hint="eastAsia" w:cs="黑体"/>
          <w:w w:val="100"/>
          <w:sz w:val="52"/>
          <w:szCs w:val="52"/>
          <w:lang w:val="en-US" w:eastAsia="zh-CN"/>
        </w:rPr>
        <w:t>5</w:t>
      </w:r>
      <w:r>
        <w:rPr>
          <w:rFonts w:hint="eastAsia" w:ascii="黑体" w:hAnsi="黑体" w:eastAsia="黑体" w:cs="黑体"/>
          <w:w w:val="100"/>
          <w:sz w:val="52"/>
          <w:szCs w:val="52"/>
        </w:rPr>
        <w:t>年度部门决算情况说明</w:t>
      </w:r>
      <w:r>
        <w:rPr>
          <w:rFonts w:hint="eastAsia" w:ascii="黑体" w:hAnsi="黑体" w:eastAsia="黑体" w:cs="黑体"/>
          <w:w w:val="100"/>
          <w:sz w:val="32"/>
          <w:szCs w:val="32"/>
        </w:rPr>
        <w:br w:type="page"/>
      </w:r>
    </w:p>
    <w:p w14:paraId="459A4549">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4" w:name="heading_17"/>
      <w:r>
        <w:rPr>
          <w:rFonts w:hint="eastAsia" w:cs="黑体"/>
          <w:b w:val="0"/>
          <w:bCs w:val="0"/>
          <w:color w:val="auto"/>
          <w:w w:val="100"/>
          <w:sz w:val="30"/>
          <w:szCs w:val="30"/>
          <w:lang w:eastAsia="zh-CN"/>
        </w:rPr>
        <w:t>一、</w:t>
      </w:r>
      <w:r>
        <w:rPr>
          <w:rFonts w:ascii="黑体" w:hAnsi="黑体" w:eastAsia="黑体" w:cs="黑体"/>
          <w:b w:val="0"/>
          <w:bCs w:val="0"/>
          <w:color w:val="auto"/>
          <w:w w:val="100"/>
          <w:sz w:val="30"/>
          <w:szCs w:val="30"/>
        </w:rPr>
        <w:t>收入支出决算总体情况说明</w:t>
      </w:r>
      <w:bookmarkEnd w:id="4"/>
    </w:p>
    <w:p w14:paraId="789C626E">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2025年度收、支总计</w:t>
      </w:r>
      <w:r>
        <w:rPr>
          <w:rFonts w:ascii="Times New Roman" w:hAnsi="Times New Roman" w:eastAsia="仿宋_GB2312" w:cs="仿宋_GB2312"/>
          <w:b/>
          <w:color w:val="auto"/>
          <w:w w:val="100"/>
          <w:sz w:val="30"/>
          <w:szCs w:val="30"/>
        </w:rPr>
        <w:t>334.88万元</w:t>
      </w:r>
      <w:r>
        <w:rPr>
          <w:rFonts w:ascii="Times New Roman" w:hAnsi="Times New Roman" w:eastAsia="仿宋_GB2312" w:cs="仿宋_GB2312"/>
          <w:color w:val="auto"/>
          <w:w w:val="100"/>
          <w:sz w:val="30"/>
          <w:szCs w:val="30"/>
        </w:rPr>
        <w:t>。与上年（413.08万元）相比，减少78.20万元，降低18.93％，主要原因：一是有线电视收视费等事业收入</w:t>
      </w:r>
      <w:r>
        <w:rPr>
          <w:rFonts w:hint="eastAsia" w:cs="仿宋_GB2312"/>
          <w:color w:val="auto"/>
          <w:w w:val="100"/>
          <w:sz w:val="30"/>
          <w:szCs w:val="30"/>
          <w:lang w:val="en-US" w:eastAsia="zh-CN"/>
        </w:rPr>
        <w:t>取消</w:t>
      </w:r>
      <w:r>
        <w:rPr>
          <w:rFonts w:ascii="Times New Roman" w:hAnsi="Times New Roman" w:eastAsia="仿宋_GB2312" w:cs="仿宋_GB2312"/>
          <w:color w:val="auto"/>
          <w:w w:val="100"/>
          <w:sz w:val="30"/>
          <w:szCs w:val="30"/>
        </w:rPr>
        <w:t>，非税收入规模下降；二是贯彻落实党政机关过紧日子有关要求，厉行节约办一切事业，严控一般性支出，进一步优化支出结构，持续压减公用经费、运维支出等行政开支；三是坚持有保有压，优化支出结构，提高资金使用效率，合理保障广播电视监测、应急广播运维等重点支出。</w:t>
      </w:r>
    </w:p>
    <w:p w14:paraId="31ED4F27">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5" w:name="heading_18"/>
      <w:r>
        <w:rPr>
          <w:rFonts w:hint="eastAsia" w:cs="黑体"/>
          <w:b w:val="0"/>
          <w:bCs w:val="0"/>
          <w:color w:val="auto"/>
          <w:w w:val="100"/>
          <w:sz w:val="30"/>
          <w:szCs w:val="30"/>
          <w:lang w:eastAsia="zh-CN"/>
        </w:rPr>
        <w:t>二、</w:t>
      </w:r>
      <w:r>
        <w:rPr>
          <w:rFonts w:ascii="黑体" w:hAnsi="黑体" w:eastAsia="黑体" w:cs="黑体"/>
          <w:b w:val="0"/>
          <w:bCs w:val="0"/>
          <w:color w:val="auto"/>
          <w:w w:val="100"/>
          <w:sz w:val="30"/>
          <w:szCs w:val="30"/>
        </w:rPr>
        <w:t>收入决算情况说明</w:t>
      </w:r>
      <w:bookmarkEnd w:id="5"/>
    </w:p>
    <w:p w14:paraId="604C0971">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2025年度收入合计</w:t>
      </w:r>
      <w:r>
        <w:rPr>
          <w:rFonts w:ascii="Times New Roman" w:hAnsi="Times New Roman" w:eastAsia="仿宋_GB2312" w:cs="仿宋_GB2312"/>
          <w:b/>
          <w:color w:val="auto"/>
          <w:w w:val="100"/>
          <w:sz w:val="30"/>
          <w:szCs w:val="30"/>
        </w:rPr>
        <w:t>334.88万元</w:t>
      </w:r>
      <w:r>
        <w:rPr>
          <w:rFonts w:ascii="Times New Roman" w:hAnsi="Times New Roman" w:eastAsia="仿宋_GB2312" w:cs="仿宋_GB2312"/>
          <w:color w:val="auto"/>
          <w:w w:val="100"/>
          <w:sz w:val="30"/>
          <w:szCs w:val="30"/>
        </w:rPr>
        <w:t>，其中：财政拨款收入325.15万元，占97.09％；上级补助收入0万元，占0％；事业收入0万元，占0％；经营收入0万元，占0％；附属单位上缴收入0万元，占0％；其他收入9.73万元，占2.91％。收入以财政拨款为主体，资金来源稳定，可有效支撑广播电视监测核心业务开展。</w:t>
      </w:r>
    </w:p>
    <w:p w14:paraId="19966817">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6" w:name="heading_19"/>
      <w:r>
        <w:rPr>
          <w:rFonts w:hint="eastAsia" w:cs="黑体"/>
          <w:b w:val="0"/>
          <w:bCs w:val="0"/>
          <w:color w:val="auto"/>
          <w:w w:val="100"/>
          <w:sz w:val="30"/>
          <w:szCs w:val="30"/>
          <w:lang w:eastAsia="zh-CN"/>
        </w:rPr>
        <w:t>三、</w:t>
      </w:r>
      <w:r>
        <w:rPr>
          <w:rFonts w:ascii="黑体" w:hAnsi="黑体" w:eastAsia="黑体" w:cs="黑体"/>
          <w:b w:val="0"/>
          <w:bCs w:val="0"/>
          <w:color w:val="auto"/>
          <w:w w:val="100"/>
          <w:sz w:val="30"/>
          <w:szCs w:val="30"/>
        </w:rPr>
        <w:t>支出决算情况说明</w:t>
      </w:r>
      <w:bookmarkEnd w:id="6"/>
    </w:p>
    <w:p w14:paraId="27803806">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2025年度支出合计</w:t>
      </w:r>
      <w:r>
        <w:rPr>
          <w:rFonts w:ascii="Times New Roman" w:hAnsi="Times New Roman" w:eastAsia="仿宋_GB2312" w:cs="仿宋_GB2312"/>
          <w:b/>
          <w:color w:val="auto"/>
          <w:w w:val="100"/>
          <w:sz w:val="30"/>
          <w:szCs w:val="30"/>
        </w:rPr>
        <w:t>334.88万元</w:t>
      </w:r>
      <w:r>
        <w:rPr>
          <w:rFonts w:ascii="Times New Roman" w:hAnsi="Times New Roman" w:eastAsia="仿宋_GB2312" w:cs="仿宋_GB2312"/>
          <w:color w:val="auto"/>
          <w:w w:val="100"/>
          <w:sz w:val="30"/>
          <w:szCs w:val="30"/>
        </w:rPr>
        <w:t>，其中：基本支出327.13万元，占97.69％；项目支出7.75万元，占2.31％；上缴上级支出0万元，占0％；经营支出0万元，占0％；对附属单位补助支出0万元，占0％。支出结构以基本支出为主，重点保障机构运转与人员待遇，项目支出</w:t>
      </w:r>
      <w:r>
        <w:rPr>
          <w:rFonts w:hint="eastAsia" w:cs="仿宋_GB2312"/>
          <w:color w:val="auto"/>
          <w:w w:val="100"/>
          <w:sz w:val="30"/>
          <w:szCs w:val="30"/>
          <w:lang w:val="en-US" w:eastAsia="zh-CN"/>
        </w:rPr>
        <w:t>主要是</w:t>
      </w:r>
      <w:r>
        <w:rPr>
          <w:rFonts w:ascii="Times New Roman" w:hAnsi="Times New Roman" w:eastAsia="仿宋_GB2312" w:cs="仿宋_GB2312"/>
          <w:color w:val="auto"/>
          <w:w w:val="100"/>
          <w:sz w:val="30"/>
          <w:szCs w:val="30"/>
        </w:rPr>
        <w:t>应急广播运维等专项任务，与单位职能匹配。</w:t>
      </w:r>
    </w:p>
    <w:p w14:paraId="2B4D6C08">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7" w:name="heading_20"/>
      <w:r>
        <w:rPr>
          <w:rFonts w:hint="eastAsia" w:cs="黑体"/>
          <w:b w:val="0"/>
          <w:bCs w:val="0"/>
          <w:color w:val="auto"/>
          <w:w w:val="100"/>
          <w:sz w:val="30"/>
          <w:szCs w:val="30"/>
          <w:lang w:eastAsia="zh-CN"/>
        </w:rPr>
        <w:t>四、</w:t>
      </w:r>
      <w:r>
        <w:rPr>
          <w:rFonts w:ascii="黑体" w:hAnsi="黑体" w:eastAsia="黑体" w:cs="黑体"/>
          <w:b w:val="0"/>
          <w:bCs w:val="0"/>
          <w:color w:val="auto"/>
          <w:w w:val="100"/>
          <w:sz w:val="30"/>
          <w:szCs w:val="30"/>
        </w:rPr>
        <w:t>财政拨款收入支出决算总体情况说明</w:t>
      </w:r>
      <w:bookmarkEnd w:id="7"/>
    </w:p>
    <w:p w14:paraId="64CC0E56">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2025年度财政拨款收、支总计</w:t>
      </w:r>
      <w:r>
        <w:rPr>
          <w:rFonts w:ascii="Times New Roman" w:hAnsi="Times New Roman" w:eastAsia="仿宋_GB2312" w:cs="仿宋_GB2312"/>
          <w:b/>
          <w:color w:val="auto"/>
          <w:w w:val="100"/>
          <w:sz w:val="30"/>
          <w:szCs w:val="30"/>
        </w:rPr>
        <w:t>325.15万元</w:t>
      </w:r>
      <w:r>
        <w:rPr>
          <w:rFonts w:ascii="Times New Roman" w:hAnsi="Times New Roman" w:eastAsia="仿宋_GB2312" w:cs="仿宋_GB2312"/>
          <w:color w:val="auto"/>
          <w:w w:val="100"/>
          <w:sz w:val="30"/>
          <w:szCs w:val="30"/>
        </w:rPr>
        <w:t>，与上年（332.80万元）相比，减少7.65万元，降低2.30％，主要原因：严格落实过紧日子要求，压减非刚性、非重点支出，优化监测运维成本，同时保障广播电视监测、安全播出等核心业务资金需求，支出结构持续优化。</w:t>
      </w:r>
    </w:p>
    <w:p w14:paraId="7F0AEE71">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8" w:name="heading_21"/>
      <w:r>
        <w:rPr>
          <w:rFonts w:hint="eastAsia" w:cs="黑体"/>
          <w:b w:val="0"/>
          <w:bCs w:val="0"/>
          <w:color w:val="auto"/>
          <w:w w:val="100"/>
          <w:sz w:val="30"/>
          <w:szCs w:val="30"/>
          <w:lang w:eastAsia="zh-CN"/>
        </w:rPr>
        <w:t>五、</w:t>
      </w:r>
      <w:r>
        <w:rPr>
          <w:rFonts w:ascii="黑体" w:hAnsi="黑体" w:eastAsia="黑体" w:cs="黑体"/>
          <w:b w:val="0"/>
          <w:bCs w:val="0"/>
          <w:color w:val="auto"/>
          <w:w w:val="100"/>
          <w:sz w:val="30"/>
          <w:szCs w:val="30"/>
        </w:rPr>
        <w:t>一般公共预算财政拨款支出决算情况说明</w:t>
      </w:r>
      <w:bookmarkEnd w:id="8"/>
    </w:p>
    <w:p w14:paraId="618E2E59">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eastAsia="楷体_GB2312"/>
          <w:b w:val="0"/>
          <w:bCs w:val="0"/>
          <w:color w:val="auto"/>
          <w:w w:val="100"/>
          <w:sz w:val="30"/>
          <w:szCs w:val="30"/>
        </w:rPr>
      </w:pPr>
      <w:bookmarkStart w:id="9" w:name="heading_22"/>
      <w:r>
        <w:rPr>
          <w:rFonts w:hint="eastAsia" w:cs="楷体_GB2312"/>
          <w:b w:val="0"/>
          <w:bCs w:val="0"/>
          <w:color w:val="auto"/>
          <w:w w:val="100"/>
          <w:sz w:val="30"/>
          <w:szCs w:val="30"/>
          <w:lang w:eastAsia="zh-CN"/>
        </w:rPr>
        <w:t>（一）</w:t>
      </w:r>
      <w:r>
        <w:rPr>
          <w:rFonts w:ascii="Times New Roman" w:hAnsi="Times New Roman" w:eastAsia="楷体_GB2312" w:cs="楷体_GB2312"/>
          <w:b w:val="0"/>
          <w:bCs w:val="0"/>
          <w:color w:val="auto"/>
          <w:w w:val="100"/>
          <w:sz w:val="30"/>
          <w:szCs w:val="30"/>
        </w:rPr>
        <w:t>一般公共预算财政拨款支出决算总体情况</w:t>
      </w:r>
      <w:bookmarkEnd w:id="9"/>
    </w:p>
    <w:p w14:paraId="71605625">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2025年度一般公共预算财政拨款支出</w:t>
      </w:r>
      <w:r>
        <w:rPr>
          <w:rFonts w:ascii="Times New Roman" w:hAnsi="Times New Roman" w:eastAsia="仿宋_GB2312" w:cs="仿宋_GB2312"/>
          <w:b/>
          <w:color w:val="auto"/>
          <w:w w:val="100"/>
          <w:sz w:val="30"/>
          <w:szCs w:val="30"/>
        </w:rPr>
        <w:t>325.15万元</w:t>
      </w:r>
      <w:r>
        <w:rPr>
          <w:rFonts w:ascii="Times New Roman" w:hAnsi="Times New Roman" w:eastAsia="仿宋_GB2312" w:cs="仿宋_GB2312"/>
          <w:color w:val="auto"/>
          <w:w w:val="100"/>
          <w:sz w:val="30"/>
          <w:szCs w:val="30"/>
        </w:rPr>
        <w:t>，占本年支出合计的97.09％。与上年相比减少7.65万元，降低2.30％，主要原因是厉行节约，压减一般性支出与非刚性运维成本，优先保障人员待遇与核心监测业务，资金使用效能持续提升。</w:t>
      </w:r>
    </w:p>
    <w:p w14:paraId="7A634DBC">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eastAsia="楷体_GB2312"/>
          <w:b w:val="0"/>
          <w:bCs w:val="0"/>
          <w:color w:val="auto"/>
          <w:w w:val="100"/>
          <w:sz w:val="30"/>
          <w:szCs w:val="30"/>
        </w:rPr>
      </w:pPr>
      <w:bookmarkStart w:id="10" w:name="heading_23"/>
      <w:r>
        <w:rPr>
          <w:rFonts w:hint="eastAsia" w:cs="楷体_GB2312"/>
          <w:b w:val="0"/>
          <w:bCs w:val="0"/>
          <w:color w:val="auto"/>
          <w:w w:val="100"/>
          <w:sz w:val="30"/>
          <w:szCs w:val="30"/>
          <w:lang w:eastAsia="zh-CN"/>
        </w:rPr>
        <w:t>（二）</w:t>
      </w:r>
      <w:r>
        <w:rPr>
          <w:rFonts w:ascii="Times New Roman" w:hAnsi="Times New Roman" w:eastAsia="楷体_GB2312" w:cs="楷体_GB2312"/>
          <w:b w:val="0"/>
          <w:bCs w:val="0"/>
          <w:color w:val="auto"/>
          <w:w w:val="100"/>
          <w:sz w:val="30"/>
          <w:szCs w:val="30"/>
        </w:rPr>
        <w:t>一般公共预算财政拨款支出决算结构情况</w:t>
      </w:r>
      <w:bookmarkEnd w:id="10"/>
    </w:p>
    <w:p w14:paraId="1365B677">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2025年度一般公共预算财政拨款支出325.15万元，主要用于以下方面：</w:t>
      </w:r>
    </w:p>
    <w:p w14:paraId="43DEDA08">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eastAsia="仿宋_GB2312"/>
          <w:b w:val="0"/>
          <w:bCs w:val="0"/>
          <w:color w:val="auto"/>
          <w:w w:val="100"/>
          <w:sz w:val="30"/>
          <w:szCs w:val="30"/>
        </w:rPr>
      </w:pPr>
      <w:r>
        <w:rPr>
          <w:rFonts w:ascii="Times New Roman" w:hAnsi="Times New Roman" w:eastAsia="仿宋_GB2312" w:cs="仿宋_GB2312"/>
          <w:b w:val="0"/>
          <w:bCs w:val="0"/>
          <w:color w:val="auto"/>
          <w:w w:val="100"/>
          <w:sz w:val="30"/>
          <w:szCs w:val="30"/>
        </w:rPr>
        <w:t>一般公共服务（类）支出13.60万元，占4.18％；</w:t>
      </w:r>
    </w:p>
    <w:p w14:paraId="18D4603C">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eastAsia="仿宋_GB2312"/>
          <w:b w:val="0"/>
          <w:bCs w:val="0"/>
          <w:color w:val="auto"/>
          <w:w w:val="100"/>
          <w:sz w:val="30"/>
          <w:szCs w:val="30"/>
        </w:rPr>
      </w:pPr>
      <w:r>
        <w:rPr>
          <w:rFonts w:ascii="Times New Roman" w:hAnsi="Times New Roman" w:eastAsia="仿宋_GB2312" w:cs="仿宋_GB2312"/>
          <w:b w:val="0"/>
          <w:bCs w:val="0"/>
          <w:color w:val="auto"/>
          <w:w w:val="100"/>
          <w:sz w:val="30"/>
          <w:szCs w:val="30"/>
        </w:rPr>
        <w:t>文化旅游体育与传媒（类）支出231.75万元，占71.28％；</w:t>
      </w:r>
    </w:p>
    <w:p w14:paraId="4A6ACF18">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eastAsia="仿宋_GB2312"/>
          <w:b w:val="0"/>
          <w:bCs w:val="0"/>
          <w:color w:val="auto"/>
          <w:w w:val="100"/>
          <w:sz w:val="30"/>
          <w:szCs w:val="30"/>
        </w:rPr>
      </w:pPr>
      <w:r>
        <w:rPr>
          <w:rFonts w:ascii="Times New Roman" w:hAnsi="Times New Roman" w:eastAsia="仿宋_GB2312" w:cs="仿宋_GB2312"/>
          <w:b w:val="0"/>
          <w:bCs w:val="0"/>
          <w:color w:val="auto"/>
          <w:w w:val="100"/>
          <w:sz w:val="30"/>
          <w:szCs w:val="30"/>
        </w:rPr>
        <w:t>社会保障和就业（类）支出45.81万元，占14.09％；</w:t>
      </w:r>
    </w:p>
    <w:p w14:paraId="1DD39700">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eastAsia="仿宋_GB2312"/>
          <w:b w:val="0"/>
          <w:bCs w:val="0"/>
          <w:color w:val="auto"/>
          <w:w w:val="100"/>
          <w:sz w:val="30"/>
          <w:szCs w:val="30"/>
        </w:rPr>
      </w:pPr>
      <w:r>
        <w:rPr>
          <w:rFonts w:ascii="Times New Roman" w:hAnsi="Times New Roman" w:eastAsia="仿宋_GB2312" w:cs="仿宋_GB2312"/>
          <w:b w:val="0"/>
          <w:bCs w:val="0"/>
          <w:color w:val="auto"/>
          <w:w w:val="100"/>
          <w:sz w:val="30"/>
          <w:szCs w:val="30"/>
        </w:rPr>
        <w:t>卫生健康（类）支出10.45万元，占3.21％；</w:t>
      </w:r>
    </w:p>
    <w:p w14:paraId="3E5810A8">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eastAsia="仿宋_GB2312"/>
          <w:b w:val="0"/>
          <w:bCs w:val="0"/>
          <w:color w:val="auto"/>
          <w:w w:val="100"/>
          <w:sz w:val="30"/>
          <w:szCs w:val="30"/>
        </w:rPr>
      </w:pPr>
      <w:r>
        <w:rPr>
          <w:rFonts w:ascii="Times New Roman" w:hAnsi="Times New Roman" w:eastAsia="仿宋_GB2312" w:cs="仿宋_GB2312"/>
          <w:b w:val="0"/>
          <w:bCs w:val="0"/>
          <w:color w:val="auto"/>
          <w:w w:val="100"/>
          <w:sz w:val="30"/>
          <w:szCs w:val="30"/>
        </w:rPr>
        <w:t>住房保障（类）支出23.55万元，占7.24％。</w:t>
      </w:r>
    </w:p>
    <w:p w14:paraId="59638CB6">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eastAsia="楷体_GB2312"/>
          <w:b w:val="0"/>
          <w:bCs w:val="0"/>
          <w:color w:val="auto"/>
          <w:w w:val="100"/>
          <w:sz w:val="30"/>
          <w:szCs w:val="30"/>
        </w:rPr>
      </w:pPr>
      <w:bookmarkStart w:id="11" w:name="heading_24"/>
      <w:r>
        <w:rPr>
          <w:rFonts w:hint="eastAsia" w:cs="楷体_GB2312"/>
          <w:b w:val="0"/>
          <w:bCs w:val="0"/>
          <w:color w:val="auto"/>
          <w:w w:val="100"/>
          <w:sz w:val="30"/>
          <w:szCs w:val="30"/>
          <w:lang w:eastAsia="zh-CN"/>
        </w:rPr>
        <w:t>（三）</w:t>
      </w:r>
      <w:r>
        <w:rPr>
          <w:rFonts w:ascii="Times New Roman" w:hAnsi="Times New Roman" w:eastAsia="楷体_GB2312" w:cs="楷体_GB2312"/>
          <w:b w:val="0"/>
          <w:bCs w:val="0"/>
          <w:color w:val="auto"/>
          <w:w w:val="100"/>
          <w:sz w:val="30"/>
          <w:szCs w:val="30"/>
        </w:rPr>
        <w:t>一般公共预算财政拨款支出决算具体情况</w:t>
      </w:r>
      <w:bookmarkEnd w:id="11"/>
    </w:p>
    <w:p w14:paraId="3E2ADDFD">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2025年度一般公共预算财政拨款支出年初预算数为</w:t>
      </w:r>
      <w:r>
        <w:rPr>
          <w:rFonts w:ascii="Times New Roman" w:hAnsi="Times New Roman" w:eastAsia="仿宋_GB2312" w:cs="仿宋_GB2312"/>
          <w:b/>
          <w:color w:val="auto"/>
          <w:w w:val="100"/>
          <w:sz w:val="30"/>
          <w:szCs w:val="30"/>
        </w:rPr>
        <w:t>328.62万元</w:t>
      </w:r>
      <w:r>
        <w:rPr>
          <w:rFonts w:ascii="Times New Roman" w:hAnsi="Times New Roman" w:eastAsia="仿宋_GB2312" w:cs="仿宋_GB2312"/>
          <w:color w:val="auto"/>
          <w:w w:val="100"/>
          <w:sz w:val="30"/>
          <w:szCs w:val="30"/>
        </w:rPr>
        <w:t>，支出决算数为</w:t>
      </w:r>
      <w:r>
        <w:rPr>
          <w:rFonts w:ascii="Times New Roman" w:hAnsi="Times New Roman" w:eastAsia="仿宋_GB2312" w:cs="仿宋_GB2312"/>
          <w:b/>
          <w:color w:val="auto"/>
          <w:w w:val="100"/>
          <w:sz w:val="30"/>
          <w:szCs w:val="30"/>
        </w:rPr>
        <w:t>325.15万元</w:t>
      </w:r>
      <w:r>
        <w:rPr>
          <w:rFonts w:ascii="Times New Roman" w:hAnsi="Times New Roman" w:eastAsia="仿宋_GB2312" w:cs="仿宋_GB2312"/>
          <w:color w:val="auto"/>
          <w:w w:val="100"/>
          <w:sz w:val="30"/>
          <w:szCs w:val="30"/>
        </w:rPr>
        <w:t>，完成年初预算的98.94％，具体项目情况如下：</w:t>
      </w:r>
    </w:p>
    <w:p w14:paraId="4CA262EF">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1.</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一般公共服务（类）其他一般公共服务支出（款）其他一般公共服务支出（项）</w:t>
      </w:r>
    </w:p>
    <w:p w14:paraId="4DE638A9">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年初预算为0万元，支出决算为13.60万元，决算数大于年初预算数的主要原因是年中追加一般公共服务类经费，用于日常政务运转、人事党建等综合保障支出。</w:t>
      </w:r>
    </w:p>
    <w:p w14:paraId="59D67037">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2.</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文化旅游体育与传媒（类）广播电视（款）监测监管（项）</w:t>
      </w:r>
    </w:p>
    <w:p w14:paraId="105A4983">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293.62万元，支出决算为231.75万元，完成年初预算的78.93％，决算数小于年初预算数的主要原因是严格落实过紧日子要求，压减监测运维非必要支出，优化设备巡检周期与运维成本，在保障业务正常开展的前提下节约资金。</w:t>
      </w:r>
    </w:p>
    <w:p w14:paraId="3DDE3CDE">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3.</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社会保障和就业（类）行政事业单位养老支出（款）事业单位离退休（项）</w:t>
      </w:r>
    </w:p>
    <w:p w14:paraId="65238BF6">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年初预算为18.68万元，支出决算为18.68万元，完成年初预算的100％，资金全部用于离退休人员待遇保障，支出精准合规。</w:t>
      </w:r>
    </w:p>
    <w:p w14:paraId="1545E449">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4.</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社会保障和就业（类）行政事业单位养老支出（款）机关事业单位基本养老保险缴费支出（项）</w:t>
      </w:r>
    </w:p>
    <w:p w14:paraId="6D59DB42">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年初预算为25.47万元，支出决算为25.47万元，完成年初预算的100％，按规定基数足额缴纳在职人员基本养老保险，保障职工社保权益。</w:t>
      </w:r>
    </w:p>
    <w:p w14:paraId="7E940A63">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5.</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社会保障和就业（类）抚恤（款）其他优抚支出（项）</w:t>
      </w:r>
    </w:p>
    <w:p w14:paraId="34DE20CE">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年初预算为1.66万元，支出决算为1.66万元，完成年初预算的100％，用于优抚对象补助发放，标准合规、发放及时。</w:t>
      </w:r>
    </w:p>
    <w:p w14:paraId="5CF10990">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6.</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卫生健康（类）行政事业单位医疗（款）行政单位医疗（项）</w:t>
      </w:r>
    </w:p>
    <w:p w14:paraId="6B9A0F80">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年初预算为0.48万元，支出决算为0.48万元，完成年初预算的100％，用于行政人员基本医疗保险单位缴费部分。</w:t>
      </w:r>
    </w:p>
    <w:p w14:paraId="1E1B2654">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7.</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卫生健康（类）行政事业单位医疗（款）事业单位医疗（项）</w:t>
      </w:r>
    </w:p>
    <w:p w14:paraId="66C3D209">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年初预算为9.97万元，支出决算为9.97万元，完成年初预算的100％，用于事业人员基本医疗保险单位缴费部分。</w:t>
      </w:r>
    </w:p>
    <w:p w14:paraId="2599C19E">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8.</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住房保障（类）住房改革支出（款）住房公积金（项）</w:t>
      </w:r>
    </w:p>
    <w:p w14:paraId="1AE338A8">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年初预算为23.55万元，支出决算为23.55万元，完成年初预算的100％，按规定标准足额缴纳在职人员住房公积金。</w:t>
      </w:r>
    </w:p>
    <w:p w14:paraId="4EF7C6D8">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按照支出功能分类，</w:t>
      </w:r>
      <w:r>
        <w:rPr>
          <w:rFonts w:ascii="Times New Roman" w:hAnsi="Times New Roman" w:eastAsia="仿宋_GB2312" w:cs="仿宋_GB2312"/>
          <w:b/>
          <w:color w:val="auto"/>
          <w:w w:val="100"/>
          <w:sz w:val="30"/>
          <w:szCs w:val="30"/>
        </w:rPr>
        <w:t>文化旅游体育与传媒方面的支出规模较大</w:t>
      </w:r>
      <w:r>
        <w:rPr>
          <w:rFonts w:ascii="Times New Roman" w:hAnsi="Times New Roman" w:eastAsia="仿宋_GB2312" w:cs="仿宋_GB2312"/>
          <w:color w:val="auto"/>
          <w:w w:val="100"/>
          <w:sz w:val="30"/>
          <w:szCs w:val="30"/>
        </w:rPr>
        <w:t>，主要是监测监管支出，2025年度决算数为231.75万元，占一般公共预算财政拨款支出总额的71.28％，主要用于广播电视信号监测、节目内容监评、应急广播体系运维、安全播出保障、监测设备巡检等方面。</w:t>
      </w:r>
    </w:p>
    <w:p w14:paraId="5D48B396">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12" w:name="heading_25"/>
      <w:r>
        <w:rPr>
          <w:rFonts w:hint="eastAsia" w:cs="黑体"/>
          <w:b w:val="0"/>
          <w:bCs w:val="0"/>
          <w:color w:val="auto"/>
          <w:w w:val="100"/>
          <w:sz w:val="30"/>
          <w:szCs w:val="30"/>
          <w:lang w:eastAsia="zh-CN"/>
        </w:rPr>
        <w:t>六、</w:t>
      </w:r>
      <w:r>
        <w:rPr>
          <w:rFonts w:ascii="黑体" w:hAnsi="黑体" w:eastAsia="黑体" w:cs="黑体"/>
          <w:b w:val="0"/>
          <w:bCs w:val="0"/>
          <w:color w:val="auto"/>
          <w:w w:val="100"/>
          <w:sz w:val="30"/>
          <w:szCs w:val="30"/>
        </w:rPr>
        <w:t>一般公共预算财政拨款基本支出决算情况说明</w:t>
      </w:r>
      <w:bookmarkEnd w:id="12"/>
    </w:p>
    <w:p w14:paraId="347CAFB1">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2025年度一般公共预算财政拨款基本支出</w:t>
      </w:r>
      <w:r>
        <w:rPr>
          <w:rFonts w:ascii="Times New Roman" w:hAnsi="Times New Roman" w:eastAsia="仿宋_GB2312" w:cs="仿宋_GB2312"/>
          <w:b/>
          <w:color w:val="auto"/>
          <w:w w:val="100"/>
          <w:sz w:val="30"/>
          <w:szCs w:val="30"/>
        </w:rPr>
        <w:t>317.40万元</w:t>
      </w:r>
      <w:r>
        <w:rPr>
          <w:rFonts w:ascii="Times New Roman" w:hAnsi="Times New Roman" w:eastAsia="仿宋_GB2312" w:cs="仿宋_GB2312"/>
          <w:color w:val="auto"/>
          <w:w w:val="100"/>
          <w:sz w:val="30"/>
          <w:szCs w:val="30"/>
        </w:rPr>
        <w:t>，其中：</w:t>
      </w:r>
      <w:r>
        <w:rPr>
          <w:rFonts w:ascii="Times New Roman" w:hAnsi="Times New Roman" w:eastAsia="仿宋_GB2312" w:cs="仿宋_GB2312"/>
          <w:color w:val="auto"/>
          <w:w w:val="100"/>
          <w:sz w:val="30"/>
          <w:szCs w:val="30"/>
        </w:rPr>
        <w:br w:type="textWrapping"/>
      </w:r>
      <w:r>
        <w:rPr>
          <w:rFonts w:ascii="Times New Roman" w:hAnsi="Times New Roman" w:eastAsia="仿宋_GB2312" w:cs="仿宋_GB2312"/>
          <w:color w:val="auto"/>
          <w:w w:val="100"/>
          <w:sz w:val="30"/>
          <w:szCs w:val="30"/>
        </w:rPr>
        <w:t>人员经费</w:t>
      </w:r>
      <w:r>
        <w:rPr>
          <w:rFonts w:ascii="Times New Roman" w:hAnsi="Times New Roman" w:eastAsia="仿宋_GB2312" w:cs="仿宋_GB2312"/>
          <w:b/>
          <w:color w:val="auto"/>
          <w:w w:val="100"/>
          <w:sz w:val="30"/>
          <w:szCs w:val="30"/>
        </w:rPr>
        <w:t>297.59万元</w:t>
      </w:r>
      <w:r>
        <w:rPr>
          <w:rFonts w:ascii="Times New Roman" w:hAnsi="Times New Roman" w:eastAsia="仿宋_GB2312" w:cs="仿宋_GB2312"/>
          <w:color w:val="auto"/>
          <w:w w:val="100"/>
          <w:sz w:val="30"/>
          <w:szCs w:val="30"/>
        </w:rPr>
        <w:t>，占基本支出的93.76％，主要包括基本工资、津贴补贴、奖金、伙食补助费、机关事业单位基本养老保险缴费、职工基本医疗保险缴费、其他社会保障缴费、住房公积金、对个人和家庭的补助等，保障干部职工工资待遇与离退休人员补助。</w:t>
      </w:r>
      <w:r>
        <w:rPr>
          <w:rFonts w:ascii="Times New Roman" w:hAnsi="Times New Roman" w:eastAsia="仿宋_GB2312" w:cs="仿宋_GB2312"/>
          <w:color w:val="auto"/>
          <w:w w:val="100"/>
          <w:sz w:val="30"/>
          <w:szCs w:val="30"/>
        </w:rPr>
        <w:br w:type="textWrapping"/>
      </w:r>
      <w:r>
        <w:rPr>
          <w:rFonts w:ascii="Times New Roman" w:hAnsi="Times New Roman" w:eastAsia="仿宋_GB2312" w:cs="仿宋_GB2312"/>
          <w:color w:val="auto"/>
          <w:w w:val="100"/>
          <w:sz w:val="30"/>
          <w:szCs w:val="30"/>
        </w:rPr>
        <w:t>公用经费</w:t>
      </w:r>
      <w:r>
        <w:rPr>
          <w:rFonts w:ascii="Times New Roman" w:hAnsi="Times New Roman" w:eastAsia="仿宋_GB2312" w:cs="仿宋_GB2312"/>
          <w:b/>
          <w:color w:val="auto"/>
          <w:w w:val="100"/>
          <w:sz w:val="30"/>
          <w:szCs w:val="30"/>
        </w:rPr>
        <w:t>19.82万元</w:t>
      </w:r>
      <w:r>
        <w:rPr>
          <w:rFonts w:ascii="Times New Roman" w:hAnsi="Times New Roman" w:eastAsia="仿宋_GB2312" w:cs="仿宋_GB2312"/>
          <w:color w:val="auto"/>
          <w:w w:val="100"/>
          <w:sz w:val="30"/>
          <w:szCs w:val="30"/>
        </w:rPr>
        <w:t>，占基本支出的6.24％，主要包括办公费、印刷费、邮电费、差旅费、维修（护）费、培训费、公务接待费、劳务费、委托业务费、工会经费、福利费、公务用车运行维护费、其他交通费用、其他商品和服务支出等，保障单位日常办公与业务运转。</w:t>
      </w:r>
    </w:p>
    <w:p w14:paraId="1AB7FB9C">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13" w:name="heading_26"/>
      <w:r>
        <w:rPr>
          <w:rFonts w:hint="eastAsia" w:cs="黑体"/>
          <w:b w:val="0"/>
          <w:bCs w:val="0"/>
          <w:color w:val="auto"/>
          <w:w w:val="100"/>
          <w:sz w:val="30"/>
          <w:szCs w:val="30"/>
          <w:lang w:eastAsia="zh-CN"/>
        </w:rPr>
        <w:t>七、</w:t>
      </w:r>
      <w:r>
        <w:rPr>
          <w:rFonts w:ascii="黑体" w:hAnsi="黑体" w:eastAsia="黑体" w:cs="黑体"/>
          <w:b w:val="0"/>
          <w:bCs w:val="0"/>
          <w:color w:val="auto"/>
          <w:w w:val="100"/>
          <w:sz w:val="30"/>
          <w:szCs w:val="30"/>
        </w:rPr>
        <w:t>财政拨款“三公”经费支出决算情况说明</w:t>
      </w:r>
      <w:bookmarkEnd w:id="13"/>
    </w:p>
    <w:p w14:paraId="26571819">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楷体_GB2312"/>
          <w:b w:val="0"/>
          <w:bCs w:val="0"/>
          <w:color w:val="auto"/>
          <w:w w:val="100"/>
          <w:sz w:val="30"/>
          <w:szCs w:val="30"/>
        </w:rPr>
      </w:pPr>
      <w:bookmarkStart w:id="14" w:name="heading_27"/>
      <w:r>
        <w:rPr>
          <w:rFonts w:hint="eastAsia" w:cs="楷体_GB2312"/>
          <w:b w:val="0"/>
          <w:bCs w:val="0"/>
          <w:color w:val="auto"/>
          <w:w w:val="100"/>
          <w:sz w:val="30"/>
          <w:szCs w:val="30"/>
          <w:lang w:eastAsia="zh-CN"/>
        </w:rPr>
        <w:t>（一）</w:t>
      </w:r>
      <w:r>
        <w:rPr>
          <w:rFonts w:ascii="Times New Roman" w:hAnsi="Times New Roman" w:eastAsia="楷体_GB2312" w:cs="楷体_GB2312"/>
          <w:b w:val="0"/>
          <w:bCs w:val="0"/>
          <w:color w:val="auto"/>
          <w:w w:val="100"/>
          <w:sz w:val="30"/>
          <w:szCs w:val="30"/>
        </w:rPr>
        <w:t>“三公”经费财政拨款支出决算总体情况说明</w:t>
      </w:r>
      <w:bookmarkEnd w:id="14"/>
    </w:p>
    <w:p w14:paraId="71E98222">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2025年度“三公”经费财政拨款支出预算为</w:t>
      </w:r>
      <w:r>
        <w:rPr>
          <w:rFonts w:ascii="Times New Roman" w:hAnsi="Times New Roman" w:eastAsia="仿宋_GB2312" w:cs="仿宋_GB2312"/>
          <w:b/>
          <w:color w:val="auto"/>
          <w:w w:val="100"/>
          <w:sz w:val="30"/>
          <w:szCs w:val="30"/>
        </w:rPr>
        <w:t>3.50万元</w:t>
      </w:r>
      <w:r>
        <w:rPr>
          <w:rFonts w:ascii="Times New Roman" w:hAnsi="Times New Roman" w:eastAsia="仿宋_GB2312" w:cs="仿宋_GB2312"/>
          <w:color w:val="auto"/>
          <w:w w:val="100"/>
          <w:sz w:val="30"/>
          <w:szCs w:val="30"/>
        </w:rPr>
        <w:t>，支出决算为</w:t>
      </w:r>
      <w:r>
        <w:rPr>
          <w:rFonts w:ascii="Times New Roman" w:hAnsi="Times New Roman" w:eastAsia="仿宋_GB2312" w:cs="仿宋_GB2312"/>
          <w:b/>
          <w:color w:val="auto"/>
          <w:w w:val="100"/>
          <w:sz w:val="30"/>
          <w:szCs w:val="30"/>
        </w:rPr>
        <w:t>3.06万元</w:t>
      </w:r>
      <w:r>
        <w:rPr>
          <w:rFonts w:ascii="Times New Roman" w:hAnsi="Times New Roman" w:eastAsia="仿宋_GB2312" w:cs="仿宋_GB2312"/>
          <w:color w:val="auto"/>
          <w:w w:val="100"/>
          <w:sz w:val="30"/>
          <w:szCs w:val="30"/>
        </w:rPr>
        <w:t>，完成预算的87.43％；与上年（预算5.00万元、决算3.94万元）相比，决算数减少0.88万元，降低22.34％。决算数小于预算数的主要原因是严格执行中央八项规定精神，严控公务接待规模，优化公务用车调度，减少非必要出行；决算数小于上年数的主要原因是厉行节约，压减公务接待频次与公车运维成本，“三公”经费持续压降。</w:t>
      </w:r>
    </w:p>
    <w:p w14:paraId="326074ED">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楷体_GB2312"/>
          <w:b w:val="0"/>
          <w:bCs w:val="0"/>
          <w:color w:val="auto"/>
          <w:w w:val="100"/>
          <w:sz w:val="30"/>
          <w:szCs w:val="30"/>
        </w:rPr>
      </w:pPr>
      <w:bookmarkStart w:id="15" w:name="heading_28"/>
      <w:r>
        <w:rPr>
          <w:rFonts w:hint="eastAsia" w:cs="楷体_GB2312"/>
          <w:b w:val="0"/>
          <w:bCs w:val="0"/>
          <w:color w:val="auto"/>
          <w:w w:val="100"/>
          <w:sz w:val="30"/>
          <w:szCs w:val="30"/>
          <w:lang w:eastAsia="zh-CN"/>
        </w:rPr>
        <w:t>（二）</w:t>
      </w:r>
      <w:r>
        <w:rPr>
          <w:rFonts w:ascii="Times New Roman" w:hAnsi="Times New Roman" w:eastAsia="楷体_GB2312" w:cs="楷体_GB2312"/>
          <w:b w:val="0"/>
          <w:bCs w:val="0"/>
          <w:color w:val="auto"/>
          <w:w w:val="100"/>
          <w:sz w:val="30"/>
          <w:szCs w:val="30"/>
        </w:rPr>
        <w:t>“三公”经费财政拨款支出决算具体情况说明</w:t>
      </w:r>
      <w:bookmarkEnd w:id="15"/>
    </w:p>
    <w:p w14:paraId="1E25AB0F">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1.</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因公出国（境）费</w:t>
      </w:r>
    </w:p>
    <w:p w14:paraId="72583BB4">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支出预算为0万元，支出决算为0万元，与上年一致。2025年度无因公出国（境）任务，未发生相关支出。</w:t>
      </w:r>
    </w:p>
    <w:p w14:paraId="46315CD0">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2.</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公务用车购置费及运行维护费</w:t>
      </w:r>
    </w:p>
    <w:p w14:paraId="317F6A6C">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支出预算为3.00万元（均为运行维护费，无购置费），支出决算为3.00万元，完成预算的100％；与上年相比减少0.50万元，降低14.29％。其中：</w:t>
      </w:r>
    </w:p>
    <w:p w14:paraId="45E46C32">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公务用车购置费支出预算为0万元，支出决算为0万元，与上年一致，本年度未更新公务用车；</w:t>
      </w:r>
    </w:p>
    <w:p w14:paraId="69AA5127">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公务用车运行维护费支出预算为3.00万元，支出决算为3.00万元，主要用于广播电视监测巡检、基层督导、应急广播设备巡查等公务出行的车辆燃油、维修、保险等支出。</w:t>
      </w:r>
    </w:p>
    <w:p w14:paraId="6D626838">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6" w:firstLineChars="200"/>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截至2025年12月31日，我单位开支财政拨款的公务用车保有量为1辆。</w:t>
      </w:r>
    </w:p>
    <w:p w14:paraId="35C5ED86">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3.</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公务接待费</w:t>
      </w:r>
    </w:p>
    <w:p w14:paraId="6C80224A">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支出预算为0.50万元，支出决算为0.06万元，完成预算的12.00％；与上年相比减少0.44万元，降低88.00％。决算数远小于预算数及上年数的主要原因是严格执行公务接待管理规定，严控接待次数、规模与标准，全年仅开展必要的上级业务检查接待。2025年度共接待来访团组1个、来宾</w:t>
      </w:r>
      <w:r>
        <w:rPr>
          <w:rFonts w:hint="eastAsia" w:cs="仿宋_GB2312"/>
          <w:b w:val="0"/>
          <w:bCs w:val="0"/>
          <w:color w:val="auto"/>
          <w:w w:val="100"/>
          <w:sz w:val="30"/>
          <w:szCs w:val="30"/>
          <w:lang w:val="en-US" w:eastAsia="zh-CN"/>
        </w:rPr>
        <w:t>6</w:t>
      </w:r>
      <w:r>
        <w:rPr>
          <w:rFonts w:ascii="Times New Roman" w:hAnsi="Times New Roman" w:eastAsia="仿宋_GB2312" w:cs="仿宋_GB2312"/>
          <w:b w:val="0"/>
          <w:bCs w:val="0"/>
          <w:color w:val="auto"/>
          <w:w w:val="100"/>
          <w:sz w:val="30"/>
          <w:szCs w:val="30"/>
        </w:rPr>
        <w:t>人次，主要为上级广播电视监测业务检查调研接待。</w:t>
      </w:r>
    </w:p>
    <w:p w14:paraId="331F8596">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16" w:name="heading_29"/>
      <w:r>
        <w:rPr>
          <w:rFonts w:hint="eastAsia" w:cs="黑体"/>
          <w:b w:val="0"/>
          <w:bCs w:val="0"/>
          <w:color w:val="auto"/>
          <w:w w:val="100"/>
          <w:sz w:val="30"/>
          <w:szCs w:val="30"/>
          <w:lang w:eastAsia="zh-CN"/>
        </w:rPr>
        <w:t>八、</w:t>
      </w:r>
      <w:r>
        <w:rPr>
          <w:rFonts w:ascii="黑体" w:hAnsi="黑体" w:eastAsia="黑体" w:cs="黑体"/>
          <w:b w:val="0"/>
          <w:bCs w:val="0"/>
          <w:color w:val="auto"/>
          <w:w w:val="100"/>
          <w:sz w:val="30"/>
          <w:szCs w:val="30"/>
        </w:rPr>
        <w:t>政府性基金预算收入支出决算情况</w:t>
      </w:r>
      <w:bookmarkEnd w:id="16"/>
    </w:p>
    <w:p w14:paraId="69DD5A27">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2025年度本单位无政府性基金预算财政拨款收入，也没有使用政府性基金安排的支出，无相关收支数据。</w:t>
      </w:r>
    </w:p>
    <w:p w14:paraId="22F4D8D8">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ascii="黑体" w:hAnsi="黑体" w:eastAsia="黑体" w:cs="黑体"/>
          <w:b w:val="0"/>
          <w:bCs w:val="0"/>
          <w:color w:val="auto"/>
          <w:w w:val="100"/>
          <w:sz w:val="30"/>
          <w:szCs w:val="30"/>
          <w:lang w:val="en-US" w:eastAsia="zh-CN"/>
        </w:rPr>
      </w:pPr>
      <w:bookmarkStart w:id="17" w:name="heading_30"/>
      <w:r>
        <w:rPr>
          <w:rFonts w:hint="eastAsia" w:cs="黑体"/>
          <w:b w:val="0"/>
          <w:bCs w:val="0"/>
          <w:color w:val="auto"/>
          <w:w w:val="100"/>
          <w:sz w:val="30"/>
          <w:szCs w:val="30"/>
          <w:lang w:val="en-US" w:eastAsia="zh-CN"/>
        </w:rPr>
        <w:t>九、</w:t>
      </w:r>
      <w:r>
        <w:rPr>
          <w:rFonts w:hint="eastAsia" w:ascii="黑体" w:hAnsi="黑体" w:eastAsia="黑体" w:cs="黑体"/>
          <w:b w:val="0"/>
          <w:bCs w:val="0"/>
          <w:color w:val="auto"/>
          <w:w w:val="100"/>
          <w:sz w:val="30"/>
          <w:szCs w:val="30"/>
          <w:lang w:val="en-US" w:eastAsia="zh-CN"/>
        </w:rPr>
        <w:t>国有资本经营预算收入支出决算情况</w:t>
      </w:r>
    </w:p>
    <w:p w14:paraId="3C970F2C">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ascii="Times New Roman" w:hAnsi="Times New Roman" w:eastAsia="仿宋_GB2312" w:cs="仿宋_GB2312"/>
          <w:b w:val="0"/>
          <w:bCs w:val="0"/>
          <w:color w:val="auto"/>
          <w:w w:val="100"/>
          <w:sz w:val="30"/>
          <w:szCs w:val="30"/>
          <w:lang w:eastAsia="zh-CN"/>
        </w:rPr>
      </w:pPr>
      <w:r>
        <w:rPr>
          <w:rFonts w:ascii="Times New Roman" w:hAnsi="Times New Roman" w:eastAsia="仿宋_GB2312" w:cs="仿宋_GB2312"/>
          <w:b w:val="0"/>
          <w:bCs w:val="0"/>
          <w:color w:val="auto"/>
          <w:w w:val="100"/>
          <w:sz w:val="30"/>
          <w:szCs w:val="30"/>
        </w:rPr>
        <w:t>2025年度本单位无</w:t>
      </w:r>
      <w:r>
        <w:rPr>
          <w:rFonts w:hint="eastAsia" w:ascii="Times New Roman" w:hAnsi="Times New Roman" w:eastAsia="仿宋_GB2312" w:cs="仿宋_GB2312"/>
          <w:b w:val="0"/>
          <w:bCs w:val="0"/>
          <w:color w:val="auto"/>
          <w:w w:val="100"/>
          <w:sz w:val="30"/>
          <w:szCs w:val="30"/>
        </w:rPr>
        <w:t>国有资本经营预算收入</w:t>
      </w:r>
      <w:r>
        <w:rPr>
          <w:rFonts w:ascii="Times New Roman" w:hAnsi="Times New Roman" w:eastAsia="仿宋_GB2312" w:cs="仿宋_GB2312"/>
          <w:b w:val="0"/>
          <w:bCs w:val="0"/>
          <w:color w:val="auto"/>
          <w:w w:val="100"/>
          <w:sz w:val="30"/>
          <w:szCs w:val="30"/>
        </w:rPr>
        <w:t>，也没有使用</w:t>
      </w:r>
      <w:r>
        <w:rPr>
          <w:rFonts w:hint="eastAsia" w:ascii="Times New Roman" w:hAnsi="Times New Roman" w:eastAsia="仿宋_GB2312" w:cs="仿宋_GB2312"/>
          <w:b w:val="0"/>
          <w:bCs w:val="0"/>
          <w:color w:val="auto"/>
          <w:w w:val="100"/>
          <w:sz w:val="30"/>
          <w:szCs w:val="30"/>
        </w:rPr>
        <w:t>国有资本经营预算</w:t>
      </w:r>
      <w:r>
        <w:rPr>
          <w:rFonts w:ascii="Times New Roman" w:hAnsi="Times New Roman" w:eastAsia="仿宋_GB2312" w:cs="仿宋_GB2312"/>
          <w:b w:val="0"/>
          <w:bCs w:val="0"/>
          <w:color w:val="auto"/>
          <w:w w:val="100"/>
          <w:sz w:val="30"/>
          <w:szCs w:val="30"/>
        </w:rPr>
        <w:t>安排的支出，无相关收支数据。</w:t>
      </w:r>
    </w:p>
    <w:p w14:paraId="28D15B73">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r>
        <w:rPr>
          <w:rFonts w:hint="eastAsia" w:cs="黑体"/>
          <w:b w:val="0"/>
          <w:bCs w:val="0"/>
          <w:color w:val="auto"/>
          <w:w w:val="100"/>
          <w:sz w:val="30"/>
          <w:szCs w:val="30"/>
          <w:lang w:val="en-US" w:eastAsia="zh-CN"/>
        </w:rPr>
        <w:t>十</w:t>
      </w:r>
      <w:r>
        <w:rPr>
          <w:rFonts w:hint="eastAsia" w:cs="黑体"/>
          <w:b w:val="0"/>
          <w:bCs w:val="0"/>
          <w:color w:val="auto"/>
          <w:w w:val="100"/>
          <w:sz w:val="30"/>
          <w:szCs w:val="30"/>
          <w:lang w:eastAsia="zh-CN"/>
        </w:rPr>
        <w:t>、</w:t>
      </w:r>
      <w:r>
        <w:rPr>
          <w:rFonts w:ascii="黑体" w:hAnsi="黑体" w:eastAsia="黑体" w:cs="黑体"/>
          <w:b w:val="0"/>
          <w:bCs w:val="0"/>
          <w:color w:val="auto"/>
          <w:w w:val="100"/>
          <w:sz w:val="30"/>
          <w:szCs w:val="30"/>
        </w:rPr>
        <w:t>关于机关运行经费支出说明</w:t>
      </w:r>
      <w:bookmarkEnd w:id="17"/>
    </w:p>
    <w:p w14:paraId="54068987">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color w:val="auto"/>
          <w:w w:val="100"/>
          <w:sz w:val="30"/>
          <w:szCs w:val="30"/>
        </w:rPr>
      </w:pPr>
      <w:r>
        <w:rPr>
          <w:rFonts w:ascii="Times New Roman" w:hAnsi="Times New Roman" w:eastAsia="仿宋_GB2312" w:cs="仿宋_GB2312"/>
          <w:color w:val="auto"/>
          <w:w w:val="100"/>
          <w:sz w:val="30"/>
          <w:szCs w:val="30"/>
        </w:rPr>
        <w:t>本部门2025年度机关运行经费支出</w:t>
      </w:r>
      <w:r>
        <w:rPr>
          <w:rFonts w:ascii="Times New Roman" w:hAnsi="Times New Roman" w:eastAsia="仿宋_GB2312" w:cs="仿宋_GB2312"/>
          <w:b/>
          <w:color w:val="auto"/>
          <w:w w:val="100"/>
          <w:sz w:val="30"/>
          <w:szCs w:val="30"/>
        </w:rPr>
        <w:t>19.82万元</w:t>
      </w:r>
      <w:r>
        <w:rPr>
          <w:rFonts w:ascii="Times New Roman" w:hAnsi="Times New Roman" w:eastAsia="仿宋_GB2312" w:cs="仿宋_GB2312"/>
          <w:color w:val="auto"/>
          <w:w w:val="100"/>
          <w:sz w:val="30"/>
          <w:szCs w:val="30"/>
        </w:rPr>
        <w:t>（与部门决算中事业单位财政拨款基本支出中公用经费之和一致），比上年（24.00万元）减少4.18万元，降低17.42％。主要原因是严格落实过紧日子要求，压减办公费、差旅费、公务接待费等一般性支出，优化监测设备运维模式，提升资金使用效益。</w:t>
      </w:r>
    </w:p>
    <w:p w14:paraId="258782E3">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18" w:name="heading_31"/>
      <w:r>
        <w:rPr>
          <w:rFonts w:hint="eastAsia" w:cs="黑体"/>
          <w:b w:val="0"/>
          <w:bCs w:val="0"/>
          <w:color w:val="auto"/>
          <w:w w:val="100"/>
          <w:sz w:val="30"/>
          <w:szCs w:val="30"/>
          <w:lang w:eastAsia="zh-CN"/>
        </w:rPr>
        <w:t>十</w:t>
      </w:r>
      <w:r>
        <w:rPr>
          <w:rFonts w:hint="eastAsia" w:cs="黑体"/>
          <w:b w:val="0"/>
          <w:bCs w:val="0"/>
          <w:color w:val="auto"/>
          <w:w w:val="100"/>
          <w:sz w:val="30"/>
          <w:szCs w:val="30"/>
          <w:lang w:val="en-US" w:eastAsia="zh-CN"/>
        </w:rPr>
        <w:t>一</w:t>
      </w:r>
      <w:r>
        <w:rPr>
          <w:rFonts w:hint="eastAsia" w:cs="黑体"/>
          <w:b w:val="0"/>
          <w:bCs w:val="0"/>
          <w:color w:val="auto"/>
          <w:w w:val="100"/>
          <w:sz w:val="30"/>
          <w:szCs w:val="30"/>
          <w:lang w:eastAsia="zh-CN"/>
        </w:rPr>
        <w:t>、</w:t>
      </w:r>
      <w:r>
        <w:rPr>
          <w:rFonts w:ascii="黑体" w:hAnsi="黑体" w:eastAsia="黑体" w:cs="黑体"/>
          <w:b w:val="0"/>
          <w:bCs w:val="0"/>
          <w:color w:val="auto"/>
          <w:w w:val="100"/>
          <w:sz w:val="30"/>
          <w:szCs w:val="30"/>
        </w:rPr>
        <w:t>一般性支出情况说明</w:t>
      </w:r>
      <w:bookmarkEnd w:id="18"/>
    </w:p>
    <w:p w14:paraId="50E64AA5">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本部门开支会议费0万元，未召开各类预算内会议；开支培训费0.40万元，用于开展广播电视监测技术培训，人数12人，内容为应急广播运维技术、监测系统操作规范等；未举办节庆、晚会、论坛、赛事等活动，无相关开支。</w:t>
      </w:r>
    </w:p>
    <w:p w14:paraId="04727FA8">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19" w:name="heading_32"/>
      <w:r>
        <w:rPr>
          <w:rFonts w:hint="eastAsia" w:cs="黑体"/>
          <w:b w:val="0"/>
          <w:bCs w:val="0"/>
          <w:color w:val="auto"/>
          <w:w w:val="100"/>
          <w:sz w:val="30"/>
          <w:szCs w:val="30"/>
          <w:lang w:eastAsia="zh-CN"/>
        </w:rPr>
        <w:t>十</w:t>
      </w:r>
      <w:r>
        <w:rPr>
          <w:rFonts w:hint="eastAsia" w:cs="黑体"/>
          <w:b w:val="0"/>
          <w:bCs w:val="0"/>
          <w:color w:val="auto"/>
          <w:w w:val="100"/>
          <w:sz w:val="30"/>
          <w:szCs w:val="30"/>
          <w:lang w:val="en-US" w:eastAsia="zh-CN"/>
        </w:rPr>
        <w:t>二</w:t>
      </w:r>
      <w:r>
        <w:rPr>
          <w:rFonts w:hint="eastAsia" w:cs="黑体"/>
          <w:b w:val="0"/>
          <w:bCs w:val="0"/>
          <w:color w:val="auto"/>
          <w:w w:val="100"/>
          <w:sz w:val="30"/>
          <w:szCs w:val="30"/>
          <w:lang w:eastAsia="zh-CN"/>
        </w:rPr>
        <w:t>、</w:t>
      </w:r>
      <w:r>
        <w:rPr>
          <w:rFonts w:ascii="黑体" w:hAnsi="黑体" w:eastAsia="黑体" w:cs="黑体"/>
          <w:b w:val="0"/>
          <w:bCs w:val="0"/>
          <w:color w:val="auto"/>
          <w:w w:val="100"/>
          <w:sz w:val="30"/>
          <w:szCs w:val="30"/>
        </w:rPr>
        <w:t>关于政府采购支出说明</w:t>
      </w:r>
      <w:bookmarkEnd w:id="19"/>
    </w:p>
    <w:p w14:paraId="6F43962E">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本部门2025年度政府采购支出总额0万元，无政府采购货物、工程、服务支出。</w:t>
      </w:r>
    </w:p>
    <w:p w14:paraId="1BE2EF2C">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20" w:name="heading_33"/>
      <w:r>
        <w:rPr>
          <w:rFonts w:hint="eastAsia" w:cs="黑体"/>
          <w:b w:val="0"/>
          <w:bCs w:val="0"/>
          <w:color w:val="auto"/>
          <w:w w:val="100"/>
          <w:sz w:val="30"/>
          <w:szCs w:val="30"/>
          <w:lang w:eastAsia="zh-CN"/>
        </w:rPr>
        <w:t>十</w:t>
      </w:r>
      <w:r>
        <w:rPr>
          <w:rFonts w:hint="eastAsia" w:cs="黑体"/>
          <w:b w:val="0"/>
          <w:bCs w:val="0"/>
          <w:color w:val="auto"/>
          <w:w w:val="100"/>
          <w:sz w:val="30"/>
          <w:szCs w:val="30"/>
          <w:lang w:val="en-US" w:eastAsia="zh-CN"/>
        </w:rPr>
        <w:t>三</w:t>
      </w:r>
      <w:r>
        <w:rPr>
          <w:rFonts w:hint="eastAsia" w:cs="黑体"/>
          <w:b w:val="0"/>
          <w:bCs w:val="0"/>
          <w:color w:val="auto"/>
          <w:w w:val="100"/>
          <w:sz w:val="30"/>
          <w:szCs w:val="30"/>
          <w:lang w:eastAsia="zh-CN"/>
        </w:rPr>
        <w:t>、</w:t>
      </w:r>
      <w:r>
        <w:rPr>
          <w:rFonts w:ascii="黑体" w:hAnsi="黑体" w:eastAsia="黑体" w:cs="黑体"/>
          <w:b w:val="0"/>
          <w:bCs w:val="0"/>
          <w:color w:val="auto"/>
          <w:w w:val="100"/>
          <w:sz w:val="30"/>
          <w:szCs w:val="30"/>
        </w:rPr>
        <w:t>关于国有资产占用情况说明</w:t>
      </w:r>
      <w:bookmarkEnd w:id="20"/>
    </w:p>
    <w:p w14:paraId="4D2805D6">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截至2025年12月31日，部门（单位）共有车辆1辆，其中，副部（省）级及以上领导用车0辆、主要负责人用车0辆、机要通信用车0辆、应急保障用车0辆、执法执勤用车0辆、特种专业技术用车0辆、离退休干部服务用车0辆、其他用车1辆，其他用车主要是广播电视监测巡检、基层督导公务用车；单位价值100万元以上设备（不含车辆）0台（套）。</w:t>
      </w:r>
    </w:p>
    <w:p w14:paraId="51704245">
      <w:pPr>
        <w:pStyle w:val="2"/>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黑体"/>
          <w:b w:val="0"/>
          <w:bCs w:val="0"/>
          <w:color w:val="auto"/>
          <w:w w:val="100"/>
          <w:sz w:val="30"/>
          <w:szCs w:val="30"/>
        </w:rPr>
      </w:pPr>
      <w:bookmarkStart w:id="21" w:name="heading_34"/>
      <w:r>
        <w:rPr>
          <w:rFonts w:hint="eastAsia" w:cs="黑体"/>
          <w:b w:val="0"/>
          <w:bCs w:val="0"/>
          <w:color w:val="auto"/>
          <w:w w:val="100"/>
          <w:sz w:val="30"/>
          <w:szCs w:val="30"/>
          <w:lang w:eastAsia="zh-CN"/>
        </w:rPr>
        <w:t>十</w:t>
      </w:r>
      <w:r>
        <w:rPr>
          <w:rFonts w:hint="eastAsia" w:cs="黑体"/>
          <w:b w:val="0"/>
          <w:bCs w:val="0"/>
          <w:color w:val="auto"/>
          <w:w w:val="100"/>
          <w:sz w:val="30"/>
          <w:szCs w:val="30"/>
          <w:lang w:val="en-US" w:eastAsia="zh-CN"/>
        </w:rPr>
        <w:t>四</w:t>
      </w:r>
      <w:r>
        <w:rPr>
          <w:rFonts w:hint="eastAsia" w:cs="黑体"/>
          <w:b w:val="0"/>
          <w:bCs w:val="0"/>
          <w:color w:val="auto"/>
          <w:w w:val="100"/>
          <w:sz w:val="30"/>
          <w:szCs w:val="30"/>
          <w:lang w:eastAsia="zh-CN"/>
        </w:rPr>
        <w:t>、</w:t>
      </w:r>
      <w:r>
        <w:rPr>
          <w:rFonts w:ascii="黑体" w:hAnsi="黑体" w:eastAsia="黑体" w:cs="黑体"/>
          <w:b w:val="0"/>
          <w:bCs w:val="0"/>
          <w:color w:val="auto"/>
          <w:w w:val="100"/>
          <w:sz w:val="30"/>
          <w:szCs w:val="30"/>
        </w:rPr>
        <w:t>关于2025年度预算绩效管理情况的说明</w:t>
      </w:r>
      <w:bookmarkEnd w:id="21"/>
    </w:p>
    <w:p w14:paraId="68D44164">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eastAsia="楷体_GB2312"/>
          <w:b w:val="0"/>
          <w:bCs w:val="0"/>
          <w:color w:val="auto"/>
          <w:w w:val="100"/>
          <w:sz w:val="30"/>
          <w:szCs w:val="30"/>
        </w:rPr>
      </w:pPr>
      <w:bookmarkStart w:id="22" w:name="heading_35"/>
      <w:r>
        <w:rPr>
          <w:rFonts w:hint="eastAsia" w:cs="楷体_GB2312"/>
          <w:b w:val="0"/>
          <w:bCs w:val="0"/>
          <w:color w:val="auto"/>
          <w:w w:val="100"/>
          <w:sz w:val="30"/>
          <w:szCs w:val="30"/>
          <w:lang w:eastAsia="zh-CN"/>
        </w:rPr>
        <w:t>（一）</w:t>
      </w:r>
      <w:r>
        <w:rPr>
          <w:rFonts w:ascii="Times New Roman" w:hAnsi="Times New Roman" w:eastAsia="楷体_GB2312" w:cs="楷体_GB2312"/>
          <w:b w:val="0"/>
          <w:bCs w:val="0"/>
          <w:color w:val="auto"/>
          <w:w w:val="100"/>
          <w:sz w:val="30"/>
          <w:szCs w:val="30"/>
        </w:rPr>
        <w:t>绩效评价工作开展情况</w:t>
      </w:r>
      <w:bookmarkEnd w:id="22"/>
    </w:p>
    <w:p w14:paraId="0C659A05">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1.</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绩效自评开展情况</w:t>
      </w:r>
    </w:p>
    <w:p w14:paraId="238AA143">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组织对2025年度本部门（单位）整体支出开展绩效自评，涉及项目2个，共涉及资金334.88万元。其中，一般公共预算项目2个325.15万元，占一般公共预算支出总额的100％；政府性基金预算项目0个0万元，占政府性基金预算支出总额的0％；国有资本经营预算项目0个0万元，占国有资本经营预算支出总额的0％；社会保险基金预算项目0个0万元，占社会保险基金预算支出总额的0％。</w:t>
      </w:r>
    </w:p>
    <w:p w14:paraId="199F2F78">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2.</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部门评价开展情况</w:t>
      </w:r>
    </w:p>
    <w:p w14:paraId="7E291C9A">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本单位为二级预算单位，未组织开展部门评价，相关评价工作由上级主管部门统筹实施。</w:t>
      </w:r>
    </w:p>
    <w:p w14:paraId="1016F744">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3.</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事前绩效评估开展情况</w:t>
      </w:r>
    </w:p>
    <w:p w14:paraId="4DE0EE7D">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本单位未独立组织新增重大政策和重大项目事前绩效评估，项目立项与预算论证由上级部门统一开展。</w:t>
      </w:r>
    </w:p>
    <w:p w14:paraId="65FB322F">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eastAsia="楷体_GB2312"/>
          <w:b w:val="0"/>
          <w:bCs w:val="0"/>
          <w:color w:val="auto"/>
          <w:w w:val="100"/>
          <w:sz w:val="30"/>
          <w:szCs w:val="30"/>
        </w:rPr>
      </w:pPr>
      <w:bookmarkStart w:id="23" w:name="heading_36"/>
      <w:r>
        <w:rPr>
          <w:rFonts w:hint="eastAsia" w:cs="楷体_GB2312"/>
          <w:b w:val="0"/>
          <w:bCs w:val="0"/>
          <w:color w:val="auto"/>
          <w:w w:val="100"/>
          <w:sz w:val="30"/>
          <w:szCs w:val="30"/>
          <w:lang w:eastAsia="zh-CN"/>
        </w:rPr>
        <w:t>（二）</w:t>
      </w:r>
      <w:r>
        <w:rPr>
          <w:rFonts w:ascii="Times New Roman" w:hAnsi="Times New Roman" w:eastAsia="楷体_GB2312" w:cs="楷体_GB2312"/>
          <w:b w:val="0"/>
          <w:bCs w:val="0"/>
          <w:color w:val="auto"/>
          <w:w w:val="100"/>
          <w:sz w:val="30"/>
          <w:szCs w:val="30"/>
        </w:rPr>
        <w:t>绩效评价结果</w:t>
      </w:r>
      <w:bookmarkEnd w:id="23"/>
    </w:p>
    <w:p w14:paraId="02452855">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1.</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绩效自评结果</w:t>
      </w:r>
    </w:p>
    <w:p w14:paraId="668B828B">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2025年度本部门（单位）整体支出全年预算数340.95万元，执行数334.88万元，完成预算的98.22％，绩效自评得分98分，评价等级为“优秀”。</w:t>
      </w:r>
    </w:p>
    <w:p w14:paraId="18231C05">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8" w:firstLineChars="200"/>
        <w:textAlignment w:val="auto"/>
        <w:rPr>
          <w:rFonts w:ascii="Times New Roman" w:hAnsi="Times New Roman" w:eastAsia="仿宋_GB2312" w:cs="仿宋_GB2312"/>
          <w:color w:val="auto"/>
          <w:w w:val="100"/>
          <w:sz w:val="30"/>
          <w:szCs w:val="30"/>
        </w:rPr>
      </w:pPr>
      <w:r>
        <w:rPr>
          <w:rStyle w:val="13"/>
          <w:color w:val="auto"/>
          <w:w w:val="100"/>
          <w:sz w:val="30"/>
          <w:szCs w:val="30"/>
        </w:rPr>
        <w:t>绩效目标完成情况：</w:t>
      </w:r>
      <w:r>
        <w:rPr>
          <w:rFonts w:ascii="Times New Roman" w:hAnsi="Times New Roman" w:eastAsia="仿宋_GB2312" w:cs="仿宋_GB2312"/>
          <w:color w:val="auto"/>
          <w:w w:val="100"/>
          <w:sz w:val="30"/>
          <w:szCs w:val="30"/>
        </w:rPr>
        <w:t>一是监测监管全面覆盖，全年365天不间断实施广播电视信号实时监测，累计监测时长8760小时，广播电视内容监测准确率100％；二是安全播出底线牢固，圆满完成春节、两会等重大保障任务，实现“零重大事故、零重大差错、零重大违规播出”；三是应急广播作用凸显，市级应急广播平台在线率稳定在97％以上，围绕防灾减灾、政策宣传等发布信息，有效打通基层信息发布“最后一公里”；四是技术支撑持续强化，完成监测系统软件升级、数据存储优化、网络安全加固等工程，关键设备运行稳定。</w:t>
      </w:r>
    </w:p>
    <w:p w14:paraId="343557D9">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8" w:firstLineChars="200"/>
        <w:textAlignment w:val="auto"/>
        <w:rPr>
          <w:rFonts w:ascii="Times New Roman" w:hAnsi="Times New Roman" w:eastAsia="仿宋_GB2312" w:cs="仿宋_GB2312"/>
          <w:color w:val="auto"/>
          <w:w w:val="100"/>
          <w:sz w:val="30"/>
          <w:szCs w:val="30"/>
        </w:rPr>
      </w:pPr>
      <w:r>
        <w:rPr>
          <w:rStyle w:val="13"/>
          <w:color w:val="auto"/>
          <w:w w:val="100"/>
          <w:sz w:val="30"/>
          <w:szCs w:val="30"/>
        </w:rPr>
        <w:t>发现的主要问题及原因：</w:t>
      </w:r>
      <w:r>
        <w:rPr>
          <w:rFonts w:ascii="Times New Roman" w:hAnsi="Times New Roman" w:eastAsia="仿宋_GB2312" w:cs="仿宋_GB2312"/>
          <w:color w:val="auto"/>
          <w:w w:val="100"/>
          <w:sz w:val="30"/>
          <w:szCs w:val="30"/>
        </w:rPr>
        <w:t>一是应急广播终端运维不均衡，部分乡镇设备老化、县乡两级专职运维人员不足，区域差异较大；二是智能监测与大数据应用深度不足，自动化识别、智能化分析技术应用不够深入；三是基层专项培训覆盖面有缺口，基层队伍专业能力提升进度与体系建设要求存在差距。</w:t>
      </w:r>
    </w:p>
    <w:p w14:paraId="45068F77">
      <w:pPr>
        <w:pStyle w:val="6"/>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Chars="0" w:firstLine="578" w:firstLineChars="200"/>
        <w:textAlignment w:val="auto"/>
        <w:rPr>
          <w:rFonts w:ascii="Times New Roman" w:hAnsi="Times New Roman" w:eastAsia="仿宋_GB2312" w:cs="仿宋_GB2312"/>
          <w:color w:val="auto"/>
          <w:w w:val="100"/>
          <w:sz w:val="30"/>
          <w:szCs w:val="30"/>
        </w:rPr>
      </w:pPr>
      <w:r>
        <w:rPr>
          <w:rStyle w:val="13"/>
          <w:color w:val="auto"/>
          <w:w w:val="100"/>
          <w:sz w:val="30"/>
          <w:szCs w:val="30"/>
        </w:rPr>
        <w:t>下一步改进措施：</w:t>
      </w:r>
      <w:r>
        <w:rPr>
          <w:rFonts w:ascii="Times New Roman" w:hAnsi="Times New Roman" w:eastAsia="仿宋_GB2312" w:cs="仿宋_GB2312"/>
          <w:color w:val="auto"/>
          <w:w w:val="100"/>
          <w:sz w:val="30"/>
          <w:szCs w:val="30"/>
        </w:rPr>
        <w:t>一是补齐基层运维短板，积极争取上级专项资金，分批次更新乡镇老旧终端，建立市、县、乡三级联动运维机制；二是推进智慧监测建设，深化数据融合应用，加大智能监测技术投入，推动监测监管向数字化、智能化转型；三是扩大基层培训覆盖，制定系统性年度培训计划，分层分类开展业务培训，提升基层人员专业能力。</w:t>
      </w:r>
    </w:p>
    <w:p w14:paraId="0F68D8EC">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2.</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部门评价结果</w:t>
      </w:r>
    </w:p>
    <w:p w14:paraId="55036064">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本单位无部门评价项目，无相关评价结果。</w:t>
      </w:r>
    </w:p>
    <w:p w14:paraId="72C703C8">
      <w:pPr>
        <w:pStyle w:val="4"/>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eastAsia="仿宋_GB2312"/>
          <w:b w:val="0"/>
          <w:bCs w:val="0"/>
          <w:color w:val="auto"/>
          <w:w w:val="100"/>
          <w:sz w:val="30"/>
          <w:szCs w:val="30"/>
        </w:rPr>
      </w:pPr>
      <w:r>
        <w:rPr>
          <w:rFonts w:hint="eastAsia" w:cs="仿宋_GB2312"/>
          <w:b w:val="0"/>
          <w:bCs w:val="0"/>
          <w:color w:val="auto"/>
          <w:w w:val="100"/>
          <w:sz w:val="30"/>
          <w:szCs w:val="30"/>
          <w:lang w:eastAsia="zh-CN"/>
        </w:rPr>
        <w:t>3.</w:t>
      </w:r>
      <w:r>
        <w:rPr>
          <w:rFonts w:hint="eastAsia" w:ascii="仿宋" w:hAnsi="仿宋" w:eastAsia="仿宋" w:cs="仿宋"/>
          <w:b w:val="0"/>
          <w:bCs w:val="0"/>
          <w:color w:val="auto"/>
          <w:w w:val="100"/>
          <w:sz w:val="30"/>
          <w:szCs w:val="30"/>
          <w:lang w:eastAsia="zh-CN"/>
        </w:rPr>
        <w:t xml:space="preserve"> </w:t>
      </w:r>
      <w:r>
        <w:rPr>
          <w:rFonts w:ascii="Times New Roman" w:hAnsi="Times New Roman" w:eastAsia="仿宋_GB2312" w:cs="仿宋_GB2312"/>
          <w:b w:val="0"/>
          <w:bCs w:val="0"/>
          <w:color w:val="auto"/>
          <w:w w:val="100"/>
          <w:sz w:val="30"/>
          <w:szCs w:val="30"/>
        </w:rPr>
        <w:t>事前绩效评估结果</w:t>
      </w:r>
    </w:p>
    <w:p w14:paraId="0AD9FB54">
      <w:pPr>
        <w:pStyle w:val="6"/>
        <w:keepNext w:val="0"/>
        <w:keepLines w:val="0"/>
        <w:pageBreakBefore w:val="0"/>
        <w:widowControl w:val="0"/>
        <w:kinsoku w:val="0"/>
        <w:wordWrap/>
        <w:overflowPunct/>
        <w:topLinePunct w:val="0"/>
        <w:autoSpaceDE w:val="0"/>
        <w:autoSpaceDN w:val="0"/>
        <w:bidi w:val="0"/>
        <w:adjustRightInd/>
        <w:snapToGrid/>
        <w:spacing w:line="360" w:lineRule="auto"/>
        <w:textAlignment w:val="auto"/>
        <w:rPr>
          <w:rFonts w:ascii="Times New Roman" w:hAnsi="Times New Roman" w:eastAsia="仿宋_GB2312" w:cs="仿宋_GB2312"/>
          <w:b w:val="0"/>
          <w:bCs w:val="0"/>
          <w:color w:val="auto"/>
          <w:w w:val="100"/>
          <w:sz w:val="30"/>
          <w:szCs w:val="30"/>
        </w:rPr>
      </w:pPr>
      <w:r>
        <w:rPr>
          <w:rFonts w:ascii="Times New Roman" w:hAnsi="Times New Roman" w:eastAsia="仿宋_GB2312" w:cs="仿宋_GB2312"/>
          <w:b w:val="0"/>
          <w:bCs w:val="0"/>
          <w:color w:val="auto"/>
          <w:w w:val="100"/>
          <w:sz w:val="30"/>
          <w:szCs w:val="30"/>
        </w:rPr>
        <w:t>本单位未独立开展事前绩效评估，所有项目均通过上级部门论证后纳入预算。</w:t>
      </w:r>
    </w:p>
    <w:p w14:paraId="22076B2F">
      <w:pPr>
        <w:pStyle w:val="3"/>
        <w:keepNext w:val="0"/>
        <w:keepLines w:val="0"/>
        <w:pageBreakBefore w:val="0"/>
        <w:widowControl w:val="0"/>
        <w:numPr>
          <w:ilvl w:val="0"/>
          <w:numId w:val="0"/>
        </w:numPr>
        <w:kinsoku w:val="0"/>
        <w:wordWrap/>
        <w:overflowPunct/>
        <w:topLinePunct w:val="0"/>
        <w:autoSpaceDE w:val="0"/>
        <w:autoSpaceDN w:val="0"/>
        <w:bidi w:val="0"/>
        <w:adjustRightInd/>
        <w:snapToGrid/>
        <w:spacing w:line="360" w:lineRule="auto"/>
        <w:ind w:left="0" w:leftChars="0" w:firstLine="640"/>
        <w:textAlignment w:val="auto"/>
        <w:rPr>
          <w:rFonts w:hint="eastAsia" w:eastAsia="楷体_GB2312"/>
          <w:b w:val="0"/>
          <w:bCs w:val="0"/>
          <w:color w:val="auto"/>
          <w:w w:val="100"/>
          <w:sz w:val="30"/>
          <w:szCs w:val="30"/>
        </w:rPr>
      </w:pPr>
      <w:bookmarkStart w:id="24" w:name="heading_37"/>
      <w:r>
        <w:rPr>
          <w:rFonts w:hint="eastAsia" w:cs="楷体_GB2312"/>
          <w:b w:val="0"/>
          <w:bCs w:val="0"/>
          <w:color w:val="auto"/>
          <w:w w:val="100"/>
          <w:sz w:val="30"/>
          <w:szCs w:val="30"/>
          <w:lang w:eastAsia="zh-CN"/>
        </w:rPr>
        <w:t>（三）</w:t>
      </w:r>
      <w:r>
        <w:rPr>
          <w:rFonts w:ascii="Times New Roman" w:hAnsi="Times New Roman" w:eastAsia="楷体_GB2312" w:cs="楷体_GB2312"/>
          <w:b w:val="0"/>
          <w:bCs w:val="0"/>
          <w:color w:val="auto"/>
          <w:w w:val="100"/>
          <w:sz w:val="30"/>
          <w:szCs w:val="30"/>
        </w:rPr>
        <w:t>评价结果应用情况</w:t>
      </w:r>
      <w:bookmarkEnd w:id="24"/>
    </w:p>
    <w:p w14:paraId="7F04C1B2">
      <w:pPr>
        <w:keepNext w:val="0"/>
        <w:keepLines w:val="0"/>
        <w:pageBreakBefore w:val="0"/>
        <w:widowControl w:val="0"/>
        <w:kinsoku w:val="0"/>
        <w:wordWrap/>
        <w:overflowPunct/>
        <w:topLinePunct w:val="0"/>
        <w:autoSpaceDE w:val="0"/>
        <w:autoSpaceDN w:val="0"/>
        <w:bidi w:val="0"/>
        <w:adjustRightInd/>
        <w:snapToGrid/>
        <w:spacing w:line="360" w:lineRule="auto"/>
        <w:ind w:left="0" w:leftChars="0" w:firstLine="879" w:firstLineChars="293"/>
        <w:textAlignment w:val="auto"/>
        <w:rPr>
          <w:rFonts w:hint="eastAsia" w:ascii="仿宋" w:hAnsi="仿宋" w:eastAsia="仿宋" w:cs="仿宋"/>
          <w:w w:val="100"/>
          <w:sz w:val="30"/>
          <w:szCs w:val="30"/>
        </w:rPr>
      </w:pPr>
      <w:r>
        <w:rPr>
          <w:rFonts w:ascii="Times New Roman" w:hAnsi="Times New Roman" w:eastAsia="仿宋_GB2312" w:cs="仿宋_GB2312"/>
          <w:b w:val="0"/>
          <w:bCs w:val="0"/>
          <w:color w:val="auto"/>
          <w:w w:val="100"/>
          <w:sz w:val="30"/>
          <w:szCs w:val="30"/>
        </w:rPr>
        <w:t>根据2025年度绩效自评结果，在2026年度预算安排中，优先保障广播电视监测、应急广播运维等核心业务资金，继续压减一般性支出；在支出结构调整方面，加大监测技术升级、基层运维保障领域投入；在资金管理方面，完善专项资金管理制度，强化预算执行动态监控，提升资金使用精准度；在制度建设方面，健全绩效长效机制，将绩效目标融入日常管理，以绩效导向推动各项工作提质增效。</w:t>
      </w:r>
      <w:r>
        <w:rPr>
          <w:rFonts w:hint="eastAsia" w:ascii="仿宋" w:hAnsi="仿宋" w:eastAsia="仿宋" w:cs="仿宋"/>
          <w:w w:val="100"/>
          <w:sz w:val="30"/>
          <w:szCs w:val="30"/>
        </w:rPr>
        <w:br w:type="page"/>
      </w:r>
    </w:p>
    <w:p w14:paraId="2DB142B3">
      <w:pPr>
        <w:keepNext w:val="0"/>
        <w:keepLines w:val="0"/>
        <w:pageBreakBefore w:val="0"/>
        <w:widowControl w:val="0"/>
        <w:kinsoku w:val="0"/>
        <w:wordWrap/>
        <w:overflowPunct/>
        <w:topLinePunct w:val="0"/>
        <w:autoSpaceDE w:val="0"/>
        <w:autoSpaceDN w:val="0"/>
        <w:bidi w:val="0"/>
        <w:adjustRightInd/>
        <w:snapToGrid/>
        <w:spacing w:line="360" w:lineRule="auto"/>
        <w:jc w:val="center"/>
        <w:textAlignment w:val="auto"/>
        <w:rPr>
          <w:rFonts w:hint="eastAsia" w:ascii="黑体" w:hAnsi="黑体" w:eastAsia="黑体" w:cs="黑体"/>
          <w:w w:val="100"/>
          <w:sz w:val="52"/>
          <w:szCs w:val="52"/>
        </w:rPr>
      </w:pPr>
      <w:r>
        <w:rPr>
          <w:rFonts w:hint="eastAsia" w:ascii="黑体" w:hAnsi="黑体" w:eastAsia="黑体" w:cs="黑体"/>
          <w:w w:val="100"/>
          <w:sz w:val="52"/>
          <w:szCs w:val="52"/>
        </w:rPr>
        <w:t>第四部分</w:t>
      </w:r>
      <w:r>
        <w:rPr>
          <w:rFonts w:hint="eastAsia" w:cs="黑体"/>
          <w:w w:val="100"/>
          <w:sz w:val="52"/>
          <w:szCs w:val="52"/>
          <w:lang w:val="en-US" w:eastAsia="zh-CN"/>
        </w:rPr>
        <w:t xml:space="preserve">  </w:t>
      </w:r>
      <w:r>
        <w:rPr>
          <w:rFonts w:hint="eastAsia" w:ascii="黑体" w:hAnsi="黑体" w:eastAsia="黑体" w:cs="黑体"/>
          <w:w w:val="100"/>
          <w:sz w:val="52"/>
          <w:szCs w:val="52"/>
        </w:rPr>
        <w:t>名词解释</w:t>
      </w:r>
    </w:p>
    <w:p w14:paraId="192D5678">
      <w:pPr>
        <w:keepNext w:val="0"/>
        <w:keepLines w:val="0"/>
        <w:pageBreakBefore w:val="0"/>
        <w:widowControl w:val="0"/>
        <w:kinsoku w:val="0"/>
        <w:wordWrap/>
        <w:overflowPunct/>
        <w:topLinePunct w:val="0"/>
        <w:autoSpaceDE w:val="0"/>
        <w:autoSpaceDN w:val="0"/>
        <w:bidi w:val="0"/>
        <w:adjustRightInd/>
        <w:snapToGrid/>
        <w:spacing w:line="360" w:lineRule="auto"/>
        <w:ind w:left="0" w:leftChars="0" w:firstLine="879" w:firstLineChars="293"/>
        <w:textAlignment w:val="auto"/>
        <w:rPr>
          <w:rFonts w:hint="eastAsia" w:ascii="仿宋" w:hAnsi="仿宋" w:eastAsia="仿宋" w:cs="仿宋"/>
          <w:w w:val="100"/>
          <w:sz w:val="30"/>
          <w:szCs w:val="30"/>
        </w:rPr>
      </w:pPr>
      <w:r>
        <w:rPr>
          <w:rFonts w:hint="eastAsia" w:ascii="仿宋" w:hAnsi="仿宋" w:eastAsia="仿宋" w:cs="仿宋"/>
          <w:w w:val="100"/>
          <w:sz w:val="30"/>
          <w:szCs w:val="30"/>
        </w:rPr>
        <w:t>机关运行经费：为保障事业单位运行，用一般公共预算拨款安排，用于购买货物和服务的各项资金，包括办公及印刷费、邮电费、差旅费、会议费、福利费、日常维修费、公务用车运行维护费以及其他费用，即为事业单位一般公共预算财政拨款基本支出中的公用经费支出。</w:t>
      </w:r>
    </w:p>
    <w:p w14:paraId="06D19B7A">
      <w:pPr>
        <w:keepNext w:val="0"/>
        <w:keepLines w:val="0"/>
        <w:pageBreakBefore w:val="0"/>
        <w:widowControl w:val="0"/>
        <w:kinsoku w:val="0"/>
        <w:wordWrap/>
        <w:overflowPunct/>
        <w:topLinePunct w:val="0"/>
        <w:autoSpaceDE w:val="0"/>
        <w:autoSpaceDN w:val="0"/>
        <w:bidi w:val="0"/>
        <w:adjustRightInd/>
        <w:snapToGrid/>
        <w:spacing w:line="360" w:lineRule="auto"/>
        <w:ind w:left="0" w:leftChars="0" w:firstLine="879" w:firstLineChars="293"/>
        <w:textAlignment w:val="auto"/>
        <w:rPr>
          <w:rFonts w:hint="eastAsia" w:ascii="仿宋" w:hAnsi="仿宋" w:eastAsia="仿宋" w:cs="仿宋"/>
          <w:w w:val="100"/>
          <w:sz w:val="30"/>
          <w:szCs w:val="30"/>
        </w:rPr>
      </w:pPr>
      <w:r>
        <w:rPr>
          <w:rFonts w:hint="eastAsia" w:ascii="仿宋" w:hAnsi="仿宋" w:eastAsia="仿宋" w:cs="仿宋"/>
          <w:w w:val="100"/>
          <w:sz w:val="30"/>
          <w:szCs w:val="30"/>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4E80317">
      <w:pPr>
        <w:keepNext w:val="0"/>
        <w:keepLines w:val="0"/>
        <w:pageBreakBefore w:val="0"/>
        <w:widowControl w:val="0"/>
        <w:kinsoku w:val="0"/>
        <w:wordWrap/>
        <w:overflowPunct/>
        <w:topLinePunct w:val="0"/>
        <w:autoSpaceDE w:val="0"/>
        <w:autoSpaceDN w:val="0"/>
        <w:bidi w:val="0"/>
        <w:adjustRightInd/>
        <w:snapToGrid/>
        <w:spacing w:line="360" w:lineRule="auto"/>
        <w:ind w:left="0" w:leftChars="0" w:firstLine="879" w:firstLineChars="293"/>
        <w:textAlignment w:val="auto"/>
        <w:rPr>
          <w:rFonts w:hint="eastAsia" w:ascii="仿宋" w:hAnsi="仿宋" w:eastAsia="仿宋" w:cs="仿宋"/>
          <w:w w:val="100"/>
          <w:sz w:val="30"/>
          <w:szCs w:val="30"/>
        </w:rPr>
      </w:pPr>
      <w:r>
        <w:rPr>
          <w:rFonts w:hint="eastAsia" w:ascii="仿宋" w:hAnsi="仿宋" w:eastAsia="仿宋" w:cs="仿宋"/>
          <w:w w:val="100"/>
          <w:sz w:val="30"/>
          <w:szCs w:val="30"/>
        </w:rPr>
        <w:t>基本支出：指为保障机构正常运转、完成日常工作任务而发生的人员支出和公用支出，包括工资福利支出、对个人和家庭的补助、商品和服务支出等。</w:t>
      </w:r>
    </w:p>
    <w:p w14:paraId="45005B64">
      <w:pPr>
        <w:keepNext w:val="0"/>
        <w:keepLines w:val="0"/>
        <w:pageBreakBefore w:val="0"/>
        <w:widowControl w:val="0"/>
        <w:kinsoku w:val="0"/>
        <w:wordWrap/>
        <w:overflowPunct/>
        <w:topLinePunct w:val="0"/>
        <w:autoSpaceDE w:val="0"/>
        <w:autoSpaceDN w:val="0"/>
        <w:bidi w:val="0"/>
        <w:adjustRightInd/>
        <w:snapToGrid/>
        <w:spacing w:line="360" w:lineRule="auto"/>
        <w:ind w:left="0" w:leftChars="0" w:firstLine="879" w:firstLineChars="293"/>
        <w:textAlignment w:val="auto"/>
        <w:rPr>
          <w:rFonts w:hint="eastAsia" w:ascii="仿宋" w:hAnsi="仿宋" w:eastAsia="仿宋" w:cs="仿宋"/>
          <w:w w:val="100"/>
          <w:sz w:val="30"/>
          <w:szCs w:val="30"/>
        </w:rPr>
      </w:pPr>
      <w:r>
        <w:rPr>
          <w:rFonts w:hint="eastAsia" w:ascii="仿宋" w:hAnsi="仿宋" w:eastAsia="仿宋" w:cs="仿宋"/>
          <w:w w:val="100"/>
          <w:sz w:val="30"/>
          <w:szCs w:val="30"/>
        </w:rPr>
        <w:t>事业收入：指事业单位开展专业业务活动及辅助活动所取得的收入，本单位主要为广播电视监测技术服务收入。</w:t>
      </w:r>
    </w:p>
    <w:p w14:paraId="1532319B">
      <w:pPr>
        <w:keepNext w:val="0"/>
        <w:keepLines w:val="0"/>
        <w:pageBreakBefore w:val="0"/>
        <w:widowControl w:val="0"/>
        <w:kinsoku w:val="0"/>
        <w:wordWrap/>
        <w:overflowPunct/>
        <w:topLinePunct w:val="0"/>
        <w:autoSpaceDE w:val="0"/>
        <w:autoSpaceDN w:val="0"/>
        <w:bidi w:val="0"/>
        <w:adjustRightInd/>
        <w:snapToGrid/>
        <w:spacing w:line="360" w:lineRule="auto"/>
        <w:ind w:left="0" w:leftChars="0" w:firstLine="879" w:firstLineChars="293"/>
        <w:textAlignment w:val="auto"/>
        <w:rPr>
          <w:rFonts w:hint="eastAsia" w:ascii="仿宋" w:hAnsi="仿宋" w:eastAsia="仿宋" w:cs="仿宋"/>
          <w:w w:val="100"/>
          <w:sz w:val="30"/>
          <w:szCs w:val="30"/>
        </w:rPr>
      </w:pPr>
      <w:r>
        <w:rPr>
          <w:rFonts w:hint="eastAsia" w:ascii="仿宋" w:hAnsi="仿宋" w:eastAsia="仿宋" w:cs="仿宋"/>
          <w:w w:val="100"/>
          <w:sz w:val="30"/>
          <w:szCs w:val="30"/>
        </w:rPr>
        <w:t>监测监管（项）：属于文化旅游体育与传媒（类）广播电视（款）下的支出科目，用于广播电视信号监测、节目内容监评、监测设备维护等与广播电视监测相关的支出。</w:t>
      </w:r>
    </w:p>
    <w:p w14:paraId="59CCE437">
      <w:pPr>
        <w:keepNext w:val="0"/>
        <w:keepLines w:val="0"/>
        <w:pageBreakBefore w:val="0"/>
        <w:widowControl w:val="0"/>
        <w:wordWrap/>
        <w:overflowPunct/>
        <w:topLinePunct w:val="0"/>
        <w:bidi w:val="0"/>
        <w:ind w:left="0" w:leftChars="0" w:firstLine="879" w:firstLineChars="293"/>
        <w:rPr>
          <w:rFonts w:hint="eastAsia" w:ascii="仿宋" w:hAnsi="仿宋" w:eastAsia="仿宋" w:cs="仿宋"/>
          <w:w w:val="100"/>
          <w:sz w:val="30"/>
          <w:szCs w:val="30"/>
        </w:rPr>
      </w:pPr>
      <w:r>
        <w:rPr>
          <w:rFonts w:hint="eastAsia" w:ascii="仿宋" w:hAnsi="仿宋" w:eastAsia="仿宋" w:cs="仿宋"/>
          <w:w w:val="100"/>
          <w:sz w:val="30"/>
          <w:szCs w:val="30"/>
        </w:rPr>
        <w:br w:type="page"/>
      </w:r>
    </w:p>
    <w:p w14:paraId="75FFAB4B">
      <w:pPr>
        <w:keepNext w:val="0"/>
        <w:keepLines w:val="0"/>
        <w:pageBreakBefore w:val="0"/>
        <w:widowControl w:val="0"/>
        <w:wordWrap/>
        <w:overflowPunct/>
        <w:topLinePunct w:val="0"/>
        <w:bidi w:val="0"/>
        <w:jc w:val="center"/>
        <w:rPr>
          <w:rFonts w:hint="eastAsia" w:ascii="黑体" w:hAnsi="黑体" w:eastAsia="黑体" w:cs="黑体"/>
          <w:w w:val="100"/>
          <w:sz w:val="52"/>
          <w:szCs w:val="52"/>
        </w:rPr>
      </w:pPr>
      <w:r>
        <w:rPr>
          <w:rFonts w:hint="eastAsia" w:ascii="黑体" w:hAnsi="黑体" w:eastAsia="黑体" w:cs="黑体"/>
          <w:w w:val="100"/>
          <w:sz w:val="52"/>
          <w:szCs w:val="52"/>
        </w:rPr>
        <w:t>第五部分</w:t>
      </w:r>
      <w:r>
        <w:rPr>
          <w:rFonts w:hint="eastAsia" w:cs="黑体"/>
          <w:w w:val="100"/>
          <w:sz w:val="52"/>
          <w:szCs w:val="52"/>
          <w:lang w:val="en-US" w:eastAsia="zh-CN"/>
        </w:rPr>
        <w:t xml:space="preserve">  </w:t>
      </w:r>
      <w:r>
        <w:rPr>
          <w:rFonts w:hint="eastAsia" w:ascii="黑体" w:hAnsi="黑体" w:eastAsia="黑体" w:cs="黑体"/>
          <w:w w:val="100"/>
          <w:sz w:val="52"/>
          <w:szCs w:val="52"/>
        </w:rPr>
        <w:t>附件</w:t>
      </w:r>
    </w:p>
    <w:p w14:paraId="796A3831">
      <w:pPr>
        <w:keepNext w:val="0"/>
        <w:keepLines w:val="0"/>
        <w:pageBreakBefore w:val="0"/>
        <w:widowControl w:val="0"/>
        <w:wordWrap/>
        <w:overflowPunct/>
        <w:topLinePunct w:val="0"/>
        <w:bidi w:val="0"/>
        <w:ind w:firstLine="567" w:firstLineChars="189"/>
        <w:rPr>
          <w:rFonts w:ascii="仿宋" w:hAnsi="仿宋" w:eastAsia="仿宋"/>
          <w:w w:val="100"/>
          <w:sz w:val="30"/>
          <w:szCs w:val="30"/>
        </w:rPr>
      </w:pPr>
      <w:r>
        <w:rPr>
          <w:rFonts w:hint="eastAsia" w:ascii="仿宋" w:hAnsi="仿宋" w:eastAsia="仿宋"/>
          <w:w w:val="100"/>
          <w:sz w:val="30"/>
          <w:szCs w:val="30"/>
          <w:lang w:eastAsia="zh-CN"/>
        </w:rPr>
        <w:t>一、</w:t>
      </w:r>
      <w:r>
        <w:rPr>
          <w:rFonts w:ascii="仿宋" w:hAnsi="仿宋" w:eastAsia="仿宋"/>
          <w:w w:val="100"/>
          <w:sz w:val="30"/>
          <w:szCs w:val="30"/>
        </w:rPr>
        <w:t>202</w:t>
      </w:r>
      <w:r>
        <w:rPr>
          <w:rFonts w:hint="eastAsia" w:ascii="仿宋" w:hAnsi="仿宋" w:eastAsia="仿宋"/>
          <w:w w:val="100"/>
          <w:sz w:val="30"/>
          <w:szCs w:val="30"/>
          <w:lang w:val="en-US" w:eastAsia="zh-CN"/>
        </w:rPr>
        <w:t>5</w:t>
      </w:r>
      <w:r>
        <w:rPr>
          <w:rFonts w:ascii="仿宋" w:hAnsi="仿宋" w:eastAsia="仿宋"/>
          <w:w w:val="100"/>
          <w:sz w:val="30"/>
          <w:szCs w:val="30"/>
        </w:rPr>
        <w:t>年度</w:t>
      </w:r>
      <w:r>
        <w:rPr>
          <w:rFonts w:hint="eastAsia" w:ascii="仿宋" w:hAnsi="仿宋" w:eastAsia="仿宋"/>
          <w:w w:val="100"/>
          <w:sz w:val="30"/>
          <w:szCs w:val="30"/>
          <w:lang w:eastAsia="zh-CN"/>
        </w:rPr>
        <w:t>怀化市广</w:t>
      </w:r>
      <w:bookmarkStart w:id="25" w:name="_GoBack"/>
      <w:bookmarkEnd w:id="25"/>
      <w:r>
        <w:rPr>
          <w:rFonts w:hint="eastAsia" w:ascii="仿宋" w:hAnsi="仿宋" w:eastAsia="仿宋"/>
          <w:w w:val="100"/>
          <w:sz w:val="30"/>
          <w:szCs w:val="30"/>
          <w:lang w:eastAsia="zh-CN"/>
        </w:rPr>
        <w:t>播电视监测中心</w:t>
      </w:r>
      <w:r>
        <w:rPr>
          <w:rFonts w:ascii="仿宋" w:hAnsi="仿宋" w:eastAsia="仿宋"/>
          <w:w w:val="100"/>
          <w:sz w:val="30"/>
          <w:szCs w:val="30"/>
        </w:rPr>
        <w:t>部门整体支出绩效自评报告</w:t>
      </w:r>
    </w:p>
    <w:p w14:paraId="44A046A8">
      <w:pPr>
        <w:keepNext w:val="0"/>
        <w:keepLines w:val="0"/>
        <w:pageBreakBefore w:val="0"/>
        <w:widowControl w:val="0"/>
        <w:wordWrap/>
        <w:overflowPunct/>
        <w:topLinePunct w:val="0"/>
        <w:bidi w:val="0"/>
        <w:ind w:firstLine="567" w:firstLineChars="189"/>
        <w:rPr>
          <w:rFonts w:ascii="仿宋" w:hAnsi="仿宋" w:eastAsia="仿宋"/>
          <w:w w:val="100"/>
          <w:sz w:val="30"/>
          <w:szCs w:val="30"/>
        </w:rPr>
      </w:pPr>
      <w:r>
        <w:rPr>
          <w:rFonts w:hint="eastAsia" w:ascii="仿宋" w:hAnsi="仿宋" w:eastAsia="仿宋"/>
          <w:w w:val="100"/>
          <w:sz w:val="30"/>
          <w:szCs w:val="30"/>
          <w:lang w:eastAsia="zh-CN"/>
        </w:rPr>
        <w:t>二、</w:t>
      </w:r>
      <w:r>
        <w:rPr>
          <w:rFonts w:ascii="仿宋" w:hAnsi="仿宋" w:eastAsia="仿宋"/>
          <w:w w:val="100"/>
          <w:sz w:val="30"/>
          <w:szCs w:val="30"/>
        </w:rPr>
        <w:t>202</w:t>
      </w:r>
      <w:r>
        <w:rPr>
          <w:rFonts w:hint="eastAsia" w:ascii="仿宋" w:hAnsi="仿宋" w:eastAsia="仿宋"/>
          <w:w w:val="100"/>
          <w:sz w:val="30"/>
          <w:szCs w:val="30"/>
          <w:lang w:val="en-US" w:eastAsia="zh-CN"/>
        </w:rPr>
        <w:t>5</w:t>
      </w:r>
      <w:r>
        <w:rPr>
          <w:rFonts w:ascii="仿宋" w:hAnsi="仿宋" w:eastAsia="仿宋"/>
          <w:w w:val="100"/>
          <w:sz w:val="30"/>
          <w:szCs w:val="30"/>
        </w:rPr>
        <w:t>年度</w:t>
      </w:r>
      <w:r>
        <w:rPr>
          <w:rFonts w:hint="eastAsia" w:ascii="仿宋" w:hAnsi="仿宋" w:eastAsia="仿宋"/>
          <w:w w:val="100"/>
          <w:sz w:val="30"/>
          <w:szCs w:val="30"/>
          <w:lang w:eastAsia="zh-CN"/>
        </w:rPr>
        <w:t>怀化市广播电视监测中心</w:t>
      </w:r>
      <w:r>
        <w:rPr>
          <w:rFonts w:ascii="仿宋" w:hAnsi="仿宋" w:eastAsia="仿宋"/>
          <w:w w:val="100"/>
          <w:sz w:val="30"/>
          <w:szCs w:val="30"/>
        </w:rPr>
        <w:t>部门决算表</w:t>
      </w:r>
    </w:p>
    <w:p w14:paraId="092C52E4">
      <w:pPr>
        <w:keepNext w:val="0"/>
        <w:keepLines w:val="0"/>
        <w:pageBreakBefore w:val="0"/>
        <w:widowControl w:val="0"/>
        <w:wordWrap/>
        <w:overflowPunct/>
        <w:topLinePunct w:val="0"/>
        <w:bidi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160798"/>
    <w:rsid w:val="00160798"/>
    <w:rsid w:val="00185641"/>
    <w:rsid w:val="00883244"/>
    <w:rsid w:val="00EB55C6"/>
    <w:rsid w:val="00EC3770"/>
    <w:rsid w:val="00EF3A9E"/>
    <w:rsid w:val="1A2C72C1"/>
    <w:rsid w:val="1B583A3F"/>
    <w:rsid w:val="1B775EE1"/>
    <w:rsid w:val="527C7B44"/>
    <w:rsid w:val="61CC2B10"/>
    <w:rsid w:val="6C5B0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w w:val="200"/>
      <w:kern w:val="2"/>
      <w:sz w:val="44"/>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w w:val="100"/>
      <w:kern w:val="36"/>
      <w:sz w:val="48"/>
      <w:szCs w:val="48"/>
    </w:rPr>
  </w:style>
  <w:style w:type="paragraph" w:styleId="3">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w w:val="100"/>
      <w:kern w:val="0"/>
      <w:sz w:val="36"/>
      <w:szCs w:val="36"/>
    </w:rPr>
  </w:style>
  <w:style w:type="paragraph" w:styleId="4">
    <w:name w:val="heading 3"/>
    <w:basedOn w:val="1"/>
    <w:next w:val="1"/>
    <w:link w:val="12"/>
    <w:qFormat/>
    <w:uiPriority w:val="9"/>
    <w:pPr>
      <w:widowControl/>
      <w:spacing w:before="100" w:beforeAutospacing="1" w:after="100" w:afterAutospacing="1"/>
      <w:jc w:val="left"/>
      <w:outlineLvl w:val="2"/>
    </w:pPr>
    <w:rPr>
      <w:rFonts w:ascii="宋体" w:hAnsi="宋体" w:eastAsia="宋体" w:cs="宋体"/>
      <w:b/>
      <w:bCs/>
      <w:w w:val="100"/>
      <w:kern w:val="0"/>
      <w:sz w:val="27"/>
      <w:szCs w:val="27"/>
    </w:rPr>
  </w:style>
  <w:style w:type="paragraph" w:styleId="5">
    <w:name w:val="heading 4"/>
    <w:basedOn w:val="1"/>
    <w:next w:val="1"/>
    <w:link w:val="13"/>
    <w:qFormat/>
    <w:uiPriority w:val="9"/>
    <w:pPr>
      <w:widowControl/>
      <w:spacing w:before="100" w:beforeAutospacing="1" w:after="100" w:afterAutospacing="1"/>
      <w:jc w:val="left"/>
      <w:outlineLvl w:val="3"/>
    </w:pPr>
    <w:rPr>
      <w:rFonts w:ascii="宋体" w:hAnsi="宋体" w:eastAsia="宋体" w:cs="宋体"/>
      <w:b/>
      <w:bCs/>
      <w:w w:val="100"/>
      <w:kern w:val="0"/>
      <w:sz w:val="24"/>
      <w:szCs w:val="2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w w:val="100"/>
      <w:kern w:val="0"/>
      <w:sz w:val="24"/>
      <w:szCs w:val="24"/>
    </w:rPr>
  </w:style>
  <w:style w:type="character" w:customStyle="1" w:styleId="10">
    <w:name w:val="标题 1 Char"/>
    <w:basedOn w:val="9"/>
    <w:link w:val="2"/>
    <w:qFormat/>
    <w:uiPriority w:val="9"/>
    <w:rPr>
      <w:rFonts w:ascii="宋体" w:hAnsi="宋体" w:eastAsia="宋体" w:cs="宋体"/>
      <w:b/>
      <w:bCs/>
      <w:w w:val="100"/>
      <w:kern w:val="36"/>
      <w:sz w:val="48"/>
      <w:szCs w:val="48"/>
    </w:rPr>
  </w:style>
  <w:style w:type="character" w:customStyle="1" w:styleId="11">
    <w:name w:val="标题 2 Char"/>
    <w:basedOn w:val="9"/>
    <w:link w:val="3"/>
    <w:qFormat/>
    <w:uiPriority w:val="9"/>
    <w:rPr>
      <w:rFonts w:ascii="宋体" w:hAnsi="宋体" w:eastAsia="宋体" w:cs="宋体"/>
      <w:b/>
      <w:bCs/>
      <w:w w:val="100"/>
      <w:kern w:val="0"/>
      <w:sz w:val="36"/>
      <w:szCs w:val="36"/>
    </w:rPr>
  </w:style>
  <w:style w:type="character" w:customStyle="1" w:styleId="12">
    <w:name w:val="标题 3 Char"/>
    <w:basedOn w:val="9"/>
    <w:link w:val="4"/>
    <w:qFormat/>
    <w:uiPriority w:val="9"/>
    <w:rPr>
      <w:rFonts w:ascii="宋体" w:hAnsi="宋体" w:eastAsia="宋体" w:cs="宋体"/>
      <w:b/>
      <w:bCs/>
      <w:w w:val="100"/>
      <w:kern w:val="0"/>
      <w:sz w:val="27"/>
      <w:szCs w:val="27"/>
    </w:rPr>
  </w:style>
  <w:style w:type="character" w:customStyle="1" w:styleId="13">
    <w:name w:val="标题 4 Char"/>
    <w:basedOn w:val="9"/>
    <w:link w:val="5"/>
    <w:qFormat/>
    <w:uiPriority w:val="9"/>
    <w:rPr>
      <w:rFonts w:ascii="宋体" w:hAnsi="宋体" w:eastAsia="宋体" w:cs="宋体"/>
      <w:b/>
      <w:bCs/>
      <w:w w:val="100"/>
      <w:kern w:val="0"/>
      <w:sz w:val="24"/>
      <w:szCs w:val="24"/>
    </w:rPr>
  </w:style>
  <w:style w:type="paragraph" w:customStyle="1" w:styleId="14">
    <w:name w:val="Default"/>
    <w:basedOn w:val="1"/>
    <w:qFormat/>
    <w:uiPriority w:val="0"/>
    <w:pPr>
      <w:autoSpaceDE w:val="0"/>
      <w:autoSpaceDN w:val="0"/>
      <w:adjustRightInd w:val="0"/>
      <w:jc w:val="left"/>
    </w:pPr>
    <w:rPr>
      <w:rFonts w:hAnsi="Calibri" w:cs="宋体"/>
      <w:color w:val="000000"/>
      <w:w w:val="100"/>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10557</Words>
  <Characters>12652</Characters>
  <Lines>88</Lines>
  <Paragraphs>24</Paragraphs>
  <TotalTime>7</TotalTime>
  <ScaleCrop>false</ScaleCrop>
  <LinksUpToDate>false</LinksUpToDate>
  <CharactersWithSpaces>13737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2025-09-16T19:54:00Z</dcterms:created>
  <dc:creator>Administrator</dc:creator>
  <cp:lastModifiedBy>超级豆丁</cp:lastModifiedBy>
  <dcterms:modified xsi:type="dcterms:W3CDTF">2026-09-15T20:01:14Z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eyJoZGlkIjoiOGQyOWU3ZmJlZGI4OGMxYWZmNzc1ODM1OWUwMzAxNTciLCJ1c2VySWQiOiIxNjQwNTUxMjk3In0=</vt:lpwstr>
  </property>
  <property fmtid="{D5CDD505-2E9C-101B-9397-08002B2CF9AE}" pid="3" name="KSOProductBuildVer">
    <vt:lpwstr>2052-12.1.0.28043</vt:lpwstr>
  </property>
  <property fmtid="{D5CDD505-2E9C-101B-9397-08002B2CF9AE}" pid="4" name="ICV">
    <vt:lpwstr>7AE71DCDDA6743788A405CF66F23382E_12</vt:lpwstr>
  </property>
</Properties>
</file>