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3EAC4">
      <w:pPr>
        <w:pStyle w:val="15"/>
        <w:rPr>
          <w:sz w:val="50"/>
          <w:szCs w:val="50"/>
        </w:rPr>
      </w:pPr>
      <mc:AlternateContent>
        <mc:Choice Requires="wpsCustomData">
          <wpsCustomData:docfieldStart id="0" docfieldname="标题_1" hidden="0" print="1" readonly="0" index="1"/>
        </mc:Choice>
      </mc:AlternateContent>
    </w:p>
    <w:p w14:paraId="5F9EAF92">
      <w:pPr>
        <w:pStyle w:val="15"/>
        <w:rPr>
          <w:sz w:val="50"/>
          <w:szCs w:val="50"/>
        </w:rPr>
      </w:pPr>
    </w:p>
    <w:p w14:paraId="548BF803">
      <w:pPr>
        <w:pStyle w:val="15"/>
        <w:rPr>
          <w:sz w:val="50"/>
          <w:szCs w:val="50"/>
        </w:rPr>
      </w:pPr>
      <w:r>
        <w:rPr>
          <w:sz w:val="50"/>
          <w:szCs w:val="50"/>
        </w:rPr>
        <w:t>怀化市广播电视监测中心</w:t>
      </w:r>
    </w:p>
    <w:p w14:paraId="0D36BDF3">
      <w:pPr>
        <w:pStyle w:val="15"/>
        <w:rPr>
          <w:sz w:val="50"/>
          <w:szCs w:val="50"/>
        </w:rPr>
      </w:pPr>
      <w:r>
        <w:rPr>
          <w:sz w:val="50"/>
          <w:szCs w:val="50"/>
        </w:rPr>
        <w:t>2025年度整体支出绩效自评报告</w:t>
      </w:r>
      <mc:AlternateContent>
        <mc:Choice Requires="wpsCustomData">
          <wpsCustomData:docfieldEnd id="0"/>
        </mc:Choice>
      </mc:AlternateContent>
    </w:p>
    <w:p w14:paraId="45418114">
      <w:pPr>
        <w:pStyle w:val="11"/>
        <w:bidi w:val="0"/>
        <w:spacing w:beforeAutospacing="0" w:afterAutospacing="0" w:line="300" w:lineRule="exact"/>
        <w:rPr>
          <w:sz w:val="50"/>
          <w:szCs w:val="50"/>
        </w:rPr>
      </w:pPr>
    </w:p>
    <w:p w14:paraId="3A82E56C">
      <w:pPr>
        <w:spacing w:before="120" w:after="120" w:line="288" w:lineRule="auto"/>
        <w:ind w:left="500" w:leftChars="0" w:firstLine="500" w:firstLineChars="0"/>
        <w:jc w:val="left"/>
        <w:rPr>
          <w:rFonts w:hint="eastAsia" w:ascii="黑体" w:hAnsi="黑体" w:eastAsia="黑体" w:cs="黑体"/>
          <w:sz w:val="34"/>
          <w:szCs w:val="34"/>
        </w:rPr>
      </w:pPr>
    </w:p>
    <w:p w14:paraId="79B9831C">
      <w:pPr>
        <w:spacing w:before="120" w:after="120" w:line="288" w:lineRule="auto"/>
        <w:ind w:left="500" w:leftChars="0" w:firstLine="500" w:firstLineChars="0"/>
        <w:jc w:val="left"/>
        <w:rPr>
          <w:rFonts w:hint="eastAsia" w:ascii="黑体" w:hAnsi="黑体" w:eastAsia="黑体" w:cs="黑体"/>
          <w:sz w:val="34"/>
          <w:szCs w:val="34"/>
        </w:rPr>
      </w:pPr>
    </w:p>
    <w:p w14:paraId="42938783">
      <w:pPr>
        <w:spacing w:before="120" w:after="120" w:line="288" w:lineRule="auto"/>
        <w:ind w:left="500" w:leftChars="0" w:firstLine="500" w:firstLineChars="0"/>
        <w:jc w:val="left"/>
        <w:rPr>
          <w:rFonts w:hint="eastAsia" w:ascii="黑体" w:hAnsi="黑体" w:eastAsia="黑体" w:cs="黑体"/>
          <w:sz w:val="34"/>
          <w:szCs w:val="34"/>
        </w:rPr>
      </w:pPr>
    </w:p>
    <w:p w14:paraId="47F0E68C">
      <w:pPr>
        <w:spacing w:before="120" w:after="120" w:line="288" w:lineRule="auto"/>
        <w:ind w:left="500" w:leftChars="0" w:firstLine="500" w:firstLineChars="0"/>
        <w:jc w:val="left"/>
        <w:rPr>
          <w:rFonts w:hint="eastAsia" w:ascii="黑体" w:hAnsi="黑体" w:eastAsia="黑体" w:cs="黑体"/>
          <w:sz w:val="34"/>
          <w:szCs w:val="34"/>
        </w:rPr>
      </w:pPr>
    </w:p>
    <w:p w14:paraId="697828DA">
      <w:pPr>
        <w:spacing w:before="120" w:after="120" w:line="288" w:lineRule="auto"/>
        <w:ind w:left="500" w:leftChars="0" w:firstLine="500" w:firstLineChars="0"/>
        <w:jc w:val="left"/>
        <w:rPr>
          <w:rFonts w:hint="eastAsia" w:ascii="黑体" w:hAnsi="黑体" w:eastAsia="黑体" w:cs="黑体"/>
          <w:sz w:val="34"/>
          <w:szCs w:val="34"/>
        </w:rPr>
      </w:pPr>
    </w:p>
    <w:p w14:paraId="66B217C8">
      <w:pPr>
        <w:spacing w:before="120" w:after="120" w:line="288" w:lineRule="auto"/>
        <w:ind w:left="500" w:leftChars="0" w:firstLine="500" w:firstLineChars="0"/>
        <w:jc w:val="left"/>
        <w:rPr>
          <w:rFonts w:hint="eastAsia" w:ascii="黑体" w:hAnsi="黑体" w:eastAsia="黑体" w:cs="黑体"/>
          <w:sz w:val="34"/>
          <w:szCs w:val="34"/>
        </w:rPr>
      </w:pPr>
    </w:p>
    <w:p w14:paraId="6ED4D29A">
      <w:pPr>
        <w:spacing w:before="120" w:after="120" w:line="288" w:lineRule="auto"/>
        <w:ind w:left="500" w:leftChars="0" w:firstLine="500" w:firstLineChars="0"/>
        <w:jc w:val="left"/>
        <w:rPr>
          <w:rFonts w:hint="eastAsia" w:ascii="黑体" w:hAnsi="黑体" w:eastAsia="黑体" w:cs="黑体"/>
          <w:sz w:val="34"/>
          <w:szCs w:val="34"/>
        </w:rPr>
      </w:pPr>
    </w:p>
    <w:p w14:paraId="3FA5BE9B">
      <w:pPr>
        <w:spacing w:before="120" w:after="120" w:line="288" w:lineRule="auto"/>
        <w:ind w:left="500" w:leftChars="0" w:firstLine="500" w:firstLineChars="0"/>
        <w:jc w:val="left"/>
        <w:rPr>
          <w:rFonts w:hint="eastAsia" w:ascii="黑体" w:hAnsi="黑体" w:eastAsia="黑体" w:cs="黑体"/>
          <w:sz w:val="34"/>
          <w:szCs w:val="34"/>
        </w:rPr>
      </w:pPr>
    </w:p>
    <w:p w14:paraId="253C7AE8">
      <w:pPr>
        <w:spacing w:before="120" w:after="120" w:line="288" w:lineRule="auto"/>
        <w:ind w:left="500" w:leftChars="0" w:firstLine="500" w:firstLineChars="0"/>
        <w:jc w:val="left"/>
        <w:rPr>
          <w:rFonts w:hint="eastAsia" w:ascii="黑体" w:hAnsi="黑体" w:eastAsia="黑体" w:cs="黑体"/>
          <w:sz w:val="34"/>
          <w:szCs w:val="34"/>
        </w:rPr>
      </w:pPr>
    </w:p>
    <w:p w14:paraId="442F4536">
      <w:pPr>
        <w:spacing w:before="120" w:after="120" w:line="288" w:lineRule="auto"/>
        <w:ind w:left="500" w:leftChars="0" w:firstLine="500" w:firstLineChars="0"/>
        <w:jc w:val="center"/>
        <w:rPr>
          <w:rFonts w:hint="eastAsia" w:ascii="黑体" w:hAnsi="黑体" w:eastAsia="黑体" w:cs="黑体"/>
          <w:sz w:val="34"/>
          <w:szCs w:val="34"/>
        </w:rPr>
      </w:pPr>
      <w:r>
        <w:rPr>
          <w:rFonts w:hint="eastAsia" w:ascii="黑体" w:hAnsi="黑体" w:eastAsia="黑体" w:cs="黑体"/>
          <w:sz w:val="34"/>
          <w:szCs w:val="34"/>
        </w:rPr>
        <w:t>单位名称（盖章）：怀化市广播电视监测中心</w:t>
      </w:r>
    </w:p>
    <w:p w14:paraId="4D55EC7F">
      <w:pPr>
        <w:spacing w:before="120" w:after="120" w:line="288" w:lineRule="auto"/>
        <w:ind w:left="500" w:leftChars="0" w:firstLine="500" w:firstLineChars="0"/>
        <w:jc w:val="center"/>
        <w:rPr>
          <w:rFonts w:hint="default" w:ascii="黑体" w:hAnsi="黑体" w:eastAsia="黑体" w:cs="黑体"/>
          <w:sz w:val="34"/>
          <w:szCs w:val="34"/>
          <w:lang w:val="en-US" w:eastAsia="zh-CN"/>
        </w:rPr>
      </w:pPr>
      <w:r>
        <w:rPr>
          <w:rFonts w:hint="eastAsia" w:ascii="黑体" w:hAnsi="黑体" w:eastAsia="黑体" w:cs="黑体"/>
          <w:sz w:val="34"/>
          <w:szCs w:val="34"/>
          <w:lang w:val="en-US" w:eastAsia="zh-CN"/>
        </w:rPr>
        <w:t>报送日期：2026.6</w:t>
      </w:r>
    </w:p>
    <w:p w14:paraId="349C6DC8">
      <w:pPr>
        <w:rPr>
          <w:rFonts w:hint="eastAsia"/>
          <w:lang w:eastAsia="zh-CN"/>
        </w:rPr>
      </w:pPr>
      <w:bookmarkStart w:id="0" w:name="heading_0"/>
      <w:r>
        <w:rPr>
          <w:rFonts w:hint="eastAsia"/>
          <w:lang w:eastAsia="zh-CN"/>
        </w:rPr>
        <w:br w:type="page"/>
      </w:r>
    </w:p>
    <w:p w14:paraId="1AE7690D">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一、</w:t>
      </w:r>
      <w:r>
        <w:rPr>
          <w:color w:val="auto"/>
          <w:sz w:val="29"/>
          <w:szCs w:val="29"/>
        </w:rPr>
        <w:t>部门概况</w:t>
      </w:r>
      <w:bookmarkEnd w:id="0"/>
    </w:p>
    <w:p w14:paraId="07F98B06">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1" w:name="heading_1"/>
      <w:r>
        <w:rPr>
          <w:rFonts w:hint="eastAsia"/>
          <w:color w:val="auto"/>
          <w:sz w:val="29"/>
          <w:szCs w:val="29"/>
          <w:lang w:eastAsia="zh-CN"/>
        </w:rPr>
        <w:t>（一）</w:t>
      </w:r>
      <w:r>
        <w:rPr>
          <w:color w:val="auto"/>
          <w:sz w:val="29"/>
          <w:szCs w:val="29"/>
        </w:rPr>
        <w:t>部门基本情况</w:t>
      </w:r>
      <w:bookmarkEnd w:id="1"/>
    </w:p>
    <w:p w14:paraId="30A3F6FB">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怀化市广播电视监测中心为怀化市文化旅游广电体育局下属事业单位，独立编制机构数1个，独立核算机构数1个，主要承担全市广播电视监测监管、安全播出保障、应急广播体系运行维护、广电技术支撑等核心职责，守牢广播电视意识形态阵地，保障全市广电事业安全平稳运行。2025年末，单位编制内实有人数17人，全部为事业管理人员和专业技术人员，本年度有1名事业人员到年龄退休。</w:t>
      </w:r>
    </w:p>
    <w:p w14:paraId="5ACDF964">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2" w:name="heading_2"/>
      <w:r>
        <w:rPr>
          <w:rFonts w:hint="eastAsia"/>
          <w:color w:val="auto"/>
          <w:sz w:val="29"/>
          <w:szCs w:val="29"/>
          <w:lang w:eastAsia="zh-CN"/>
        </w:rPr>
        <w:t>（二）</w:t>
      </w:r>
      <w:r>
        <w:rPr>
          <w:color w:val="auto"/>
          <w:sz w:val="29"/>
          <w:szCs w:val="29"/>
        </w:rPr>
        <w:t>部门整体支出规模、使用方向和主要内容</w:t>
      </w:r>
      <w:bookmarkEnd w:id="2"/>
    </w:p>
    <w:p w14:paraId="4600C47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部门整体支出年初预算328.62万元，全年预算数340.95万元，全年决算支出334.88万元。支出按性质分为基本支出和项目支出两类，其中基本支出327.13万元，主要用于保障单位日常运转及人员薪酬待遇，包含人员经费300.20万元、公用经费26.93万元；项目支出7.75万元，为应急广播体系运维专项经费，专项用于市级应急广播平台运维、设备巡检、安全保障、应急演练等工作。按功能分类，支出涵盖文化旅游体育与传媒支出、社会保障和就业支出、卫生健康支出、住房保障支出、一般公共服务支出及其他支出，全部围绕广播电视监测监管、安全播出、应急广播等核心职能安排使用，覆盖全市13个县市区广电监测保障范围。</w:t>
      </w:r>
    </w:p>
    <w:p w14:paraId="5BB453E2">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3" w:name="heading_3"/>
      <w:r>
        <w:rPr>
          <w:rFonts w:hint="eastAsia"/>
          <w:color w:val="auto"/>
          <w:sz w:val="29"/>
          <w:szCs w:val="29"/>
          <w:lang w:eastAsia="zh-CN"/>
        </w:rPr>
        <w:t>二、</w:t>
      </w:r>
      <w:r>
        <w:rPr>
          <w:color w:val="auto"/>
          <w:sz w:val="29"/>
          <w:szCs w:val="29"/>
        </w:rPr>
        <w:t>一般公共预算支出情况</w:t>
      </w:r>
      <w:bookmarkEnd w:id="3"/>
    </w:p>
    <w:p w14:paraId="23EE64C6">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4" w:name="heading_4"/>
      <w:r>
        <w:rPr>
          <w:rFonts w:hint="eastAsia"/>
          <w:color w:val="auto"/>
          <w:sz w:val="29"/>
          <w:szCs w:val="29"/>
          <w:lang w:eastAsia="zh-CN"/>
        </w:rPr>
        <w:t>（一）</w:t>
      </w:r>
      <w:r>
        <w:rPr>
          <w:color w:val="auto"/>
          <w:sz w:val="29"/>
          <w:szCs w:val="29"/>
        </w:rPr>
        <w:t>基本支出</w:t>
      </w:r>
      <w:bookmarkEnd w:id="4"/>
    </w:p>
    <w:p w14:paraId="6D4BE46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基本支出决算327.13万元，其中人员经费300.20万元，主要用于工资福利支出、对个人和家庭的补助，保障干部职工工资、社会保险、住房公积金、离退休待遇等刚性支出；公用经费26.93万元，主要用于办公费、水电费、差旅费、设备运维费、公务用车运行维护费等日常运转开支。</w:t>
      </w:r>
    </w:p>
    <w:p w14:paraId="5663072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资金管理方面，单位严格执行财经纪律和财务管理制度，实行预算总额管控、分级审批支付，所有支出均按规定履行审批程序，经费使用透明合规。“三公”经费管理上，全年“三公”经费决算3.06万元，其中公务用车运行维护费2.99万元，公务接待费0.06万元，无因公出国（境）费和公务用车购置费。公务用车运行维护费较上年有所增加，主要因部门职能转换，日常巡检、基层督导等工作增多，车辆使用频次上升；公务接待费严格执行接待标准，严控接待规模和次数，全年未发生超标准、超范围接待情况。</w:t>
      </w:r>
    </w:p>
    <w:p w14:paraId="7AB5E54C">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5" w:name="heading_5"/>
      <w:r>
        <w:rPr>
          <w:rFonts w:hint="eastAsia"/>
          <w:color w:val="auto"/>
          <w:sz w:val="29"/>
          <w:szCs w:val="29"/>
          <w:lang w:eastAsia="zh-CN"/>
        </w:rPr>
        <w:t>（二）</w:t>
      </w:r>
      <w:r>
        <w:rPr>
          <w:color w:val="auto"/>
          <w:sz w:val="29"/>
          <w:szCs w:val="29"/>
        </w:rPr>
        <w:t>项目支出</w:t>
      </w:r>
      <w:bookmarkEnd w:id="5"/>
    </w:p>
    <w:p w14:paraId="2DF45A03">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1.</w:t>
      </w:r>
      <w:r>
        <w:rPr>
          <w:rFonts w:hint="eastAsia" w:ascii="仿宋" w:hAnsi="仿宋" w:eastAsia="仿宋" w:cs="仿宋"/>
          <w:color w:val="auto"/>
          <w:sz w:val="29"/>
          <w:szCs w:val="29"/>
          <w:lang w:eastAsia="zh-CN"/>
        </w:rPr>
        <w:t xml:space="preserve"> </w:t>
      </w:r>
      <w:r>
        <w:rPr>
          <w:color w:val="auto"/>
          <w:sz w:val="29"/>
          <w:szCs w:val="29"/>
        </w:rPr>
        <w:t>项目资金安排落实情况</w:t>
      </w:r>
    </w:p>
    <w:p w14:paraId="6BA9CD0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项目支出年初预算20.00万元，全年预算调整为7.75万元，全部为一般公共预算财政拨款，无上年结转资金、自筹资金及其他资金，项目总投入7.75万元，对应应急广播体系运维费项目，主要保障市级应急广播平台稳定运行、设备巡检维护、重大时段保障、应急演练开展等工作。</w:t>
      </w:r>
    </w:p>
    <w:p w14:paraId="69FA7DC9">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2.</w:t>
      </w:r>
      <w:r>
        <w:rPr>
          <w:rFonts w:hint="eastAsia" w:ascii="仿宋" w:hAnsi="仿宋" w:eastAsia="仿宋" w:cs="仿宋"/>
          <w:color w:val="auto"/>
          <w:sz w:val="29"/>
          <w:szCs w:val="29"/>
          <w:lang w:eastAsia="zh-CN"/>
        </w:rPr>
        <w:t xml:space="preserve"> </w:t>
      </w:r>
      <w:r>
        <w:rPr>
          <w:color w:val="auto"/>
          <w:sz w:val="29"/>
          <w:szCs w:val="29"/>
        </w:rPr>
        <w:t>项目资金实际使用情况</w:t>
      </w:r>
    </w:p>
    <w:p w14:paraId="5E44C2D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项目全年实际支出7.75万元，预算执行率100％。资金全部按规定用途使用，主要用于应急广播平台日常值班值守、核心服务器与传输链路巡检保养、应急处置实战演练、重大时段安全保障、应急信息发布技术支撑等方面，未发生截留、挤占、挪用专项资金情况，资金使用与项目实施内容高度匹配。</w:t>
      </w:r>
    </w:p>
    <w:p w14:paraId="60800AEA">
      <w:pPr>
        <w:pStyle w:val="4"/>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r>
        <w:rPr>
          <w:rFonts w:hint="eastAsia"/>
          <w:color w:val="auto"/>
          <w:sz w:val="29"/>
          <w:szCs w:val="29"/>
          <w:lang w:eastAsia="zh-CN"/>
        </w:rPr>
        <w:t>3.</w:t>
      </w:r>
      <w:r>
        <w:rPr>
          <w:rFonts w:hint="eastAsia" w:ascii="仿宋" w:hAnsi="仿宋" w:eastAsia="仿宋" w:cs="仿宋"/>
          <w:color w:val="auto"/>
          <w:sz w:val="29"/>
          <w:szCs w:val="29"/>
          <w:lang w:eastAsia="zh-CN"/>
        </w:rPr>
        <w:t xml:space="preserve"> </w:t>
      </w:r>
      <w:r>
        <w:rPr>
          <w:color w:val="auto"/>
          <w:sz w:val="29"/>
          <w:szCs w:val="29"/>
        </w:rPr>
        <w:t>项目资金管理情况</w:t>
      </w:r>
    </w:p>
    <w:p w14:paraId="2596FF9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单位制定专项资金管理细则，对项目资金实行专款专用、单独核算。支出审批严格执行“业务科室申请—财务部门审核—分管领导审批”流程，大额支出履行集体决策程序。财务部门按月跟踪资金使用进度，核对支出凭证与业务台账，确保资金支付与工作进度匹配，资金管理全程规范可控。</w:t>
      </w:r>
    </w:p>
    <w:p w14:paraId="24DC3155">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6" w:name="heading_6"/>
      <w:r>
        <w:rPr>
          <w:rFonts w:hint="eastAsia"/>
          <w:color w:val="auto"/>
          <w:sz w:val="29"/>
          <w:szCs w:val="29"/>
          <w:lang w:eastAsia="zh-CN"/>
        </w:rPr>
        <w:t>三、</w:t>
      </w:r>
      <w:r>
        <w:rPr>
          <w:color w:val="auto"/>
          <w:sz w:val="29"/>
          <w:szCs w:val="29"/>
        </w:rPr>
        <w:t>项目组织实施情况</w:t>
      </w:r>
      <w:bookmarkEnd w:id="6"/>
    </w:p>
    <w:p w14:paraId="2095057E">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7" w:name="heading_7"/>
      <w:r>
        <w:rPr>
          <w:rFonts w:hint="eastAsia"/>
          <w:color w:val="auto"/>
          <w:sz w:val="29"/>
          <w:szCs w:val="29"/>
          <w:lang w:eastAsia="zh-CN"/>
        </w:rPr>
        <w:t>（一）</w:t>
      </w:r>
      <w:r>
        <w:rPr>
          <w:color w:val="auto"/>
          <w:sz w:val="29"/>
          <w:szCs w:val="29"/>
        </w:rPr>
        <w:t>项目组织情况</w:t>
      </w:r>
      <w:bookmarkEnd w:id="7"/>
    </w:p>
    <w:p w14:paraId="60F5FFE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应急广播体系运维费为常年运维类项目，无需履行招投标程序，由单位广播电视业务科室牵头组织实施，运维服务、设备检修、演练组织等工作均按年度工作计划有序推进。项目实施过程中未发生重大内容调整，运维范围、工作标准均与年度计划保持一致。年末由单位内部组织工作验收，对照年度运维目标逐项核查完成情况，各项运维任务全部落地，达到预期运行效果。</w:t>
      </w:r>
    </w:p>
    <w:p w14:paraId="708F4494">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8" w:name="heading_8"/>
      <w:r>
        <w:rPr>
          <w:rFonts w:hint="eastAsia"/>
          <w:color w:val="auto"/>
          <w:sz w:val="29"/>
          <w:szCs w:val="29"/>
          <w:lang w:eastAsia="zh-CN"/>
        </w:rPr>
        <w:t>（二）</w:t>
      </w:r>
      <w:r>
        <w:rPr>
          <w:color w:val="auto"/>
          <w:sz w:val="29"/>
          <w:szCs w:val="29"/>
        </w:rPr>
        <w:t>项目管理情况</w:t>
      </w:r>
      <w:bookmarkEnd w:id="8"/>
    </w:p>
    <w:p w14:paraId="4F874DEE">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制度建设方面，建立健全值班值守、设备运维、应急处置、安全保障等专项管理制度，明确各岗位职责分工、工作流程和操作规范，形成标准化运维体系。日常监督管理方面，实行月度常规巡检、季度专项抽查、年度全面复盘的监督机制，定期检查平台运行状态、设备完好情况、值班值守到岗情况，对发现的隐患问题建立台账、限期整改；春节、两会、国庆等重大保障期前，专门开展拉网式隐患排查，确保应急广播体系稳定可靠。</w:t>
      </w:r>
    </w:p>
    <w:p w14:paraId="513428A3">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9" w:name="heading_9"/>
      <w:r>
        <w:rPr>
          <w:rFonts w:hint="eastAsia"/>
          <w:color w:val="auto"/>
          <w:sz w:val="29"/>
          <w:szCs w:val="29"/>
          <w:lang w:eastAsia="zh-CN"/>
        </w:rPr>
        <w:t>四、</w:t>
      </w:r>
      <w:r>
        <w:rPr>
          <w:color w:val="auto"/>
          <w:sz w:val="29"/>
          <w:szCs w:val="29"/>
        </w:rPr>
        <w:t>资产管理情况</w:t>
      </w:r>
      <w:bookmarkEnd w:id="9"/>
    </w:p>
    <w:p w14:paraId="64F51CA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制度建设方面，单位严格执行国有资产管理相关规定，完善固定资产采购、登记、使用、处置全流程管理制度，明确资产管理责任到人，确保国有资产安全完整。管理措施方面，年末组织开展固定资产全面清查，逐一核对资产台账与实物，做到账账相符、账实相符；日常使用中落实资产保管责任，定期对机房设备、办公设备、车辆等进行维护保养，延长资产使用寿命。配置与处置程序方面，资产配置严格按照年度预算和配置标准执行，按规定履行政府采购审批程序；资产处置严格遵循国有资产处置流程，逐级报批后实施，本年度未发生资产处置事项。</w:t>
      </w:r>
    </w:p>
    <w:p w14:paraId="7C90AA1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截至2025年末，单位固定资产主要包含房屋、车辆两类，其中房屋面积758平方米，公务用车1辆，各类资产状态完好，国有资产底数清晰、管理规范。</w:t>
      </w:r>
    </w:p>
    <w:p w14:paraId="17293BB4">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0" w:name="heading_10"/>
      <w:r>
        <w:rPr>
          <w:rFonts w:hint="eastAsia"/>
          <w:color w:val="auto"/>
          <w:sz w:val="29"/>
          <w:szCs w:val="29"/>
          <w:lang w:eastAsia="zh-CN"/>
        </w:rPr>
        <w:t>五、</w:t>
      </w:r>
      <w:r>
        <w:rPr>
          <w:color w:val="auto"/>
          <w:sz w:val="29"/>
          <w:szCs w:val="29"/>
        </w:rPr>
        <w:t>政府性基金预算支出情况</w:t>
      </w:r>
      <w:bookmarkEnd w:id="10"/>
    </w:p>
    <w:p w14:paraId="7A16D0A3">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2025年度本单位无政府性基金预算财政拨款收入，未发生政府性基金预算支出。</w:t>
      </w:r>
    </w:p>
    <w:p w14:paraId="6AB68DC9">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1" w:name="heading_11"/>
      <w:r>
        <w:rPr>
          <w:rFonts w:hint="eastAsia"/>
          <w:color w:val="auto"/>
          <w:sz w:val="29"/>
          <w:szCs w:val="29"/>
          <w:lang w:eastAsia="zh-CN"/>
        </w:rPr>
        <w:t>六、</w:t>
      </w:r>
      <w:r>
        <w:rPr>
          <w:color w:val="auto"/>
          <w:sz w:val="29"/>
          <w:szCs w:val="29"/>
        </w:rPr>
        <w:t>国有资本经营预算支出情况</w:t>
      </w:r>
      <w:bookmarkEnd w:id="11"/>
    </w:p>
    <w:p w14:paraId="78E9A14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2025年度本单位无国有资本经营预算财政拨款收入，未发生国有资本经营预算支出。</w:t>
      </w:r>
    </w:p>
    <w:p w14:paraId="52EC1BC2">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2" w:name="heading_12"/>
      <w:r>
        <w:rPr>
          <w:rFonts w:hint="eastAsia"/>
          <w:color w:val="auto"/>
          <w:sz w:val="29"/>
          <w:szCs w:val="29"/>
          <w:lang w:eastAsia="zh-CN"/>
        </w:rPr>
        <w:t>七、</w:t>
      </w:r>
      <w:r>
        <w:rPr>
          <w:color w:val="auto"/>
          <w:sz w:val="29"/>
          <w:szCs w:val="29"/>
        </w:rPr>
        <w:t>社会保险基金预算支出情况</w:t>
      </w:r>
      <w:bookmarkEnd w:id="12"/>
    </w:p>
    <w:p w14:paraId="7DBEECFA">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2025年度本单位无社会保险基金预算支出，干部职工各项社会保险缴费统一纳入基本支出人员经费核算管理。</w:t>
      </w:r>
    </w:p>
    <w:p w14:paraId="12924EEB">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3" w:name="heading_13"/>
      <w:r>
        <w:rPr>
          <w:rFonts w:hint="eastAsia"/>
          <w:color w:val="auto"/>
          <w:sz w:val="29"/>
          <w:szCs w:val="29"/>
          <w:lang w:eastAsia="zh-CN"/>
        </w:rPr>
        <w:t>八、</w:t>
      </w:r>
      <w:r>
        <w:rPr>
          <w:color w:val="auto"/>
          <w:sz w:val="29"/>
          <w:szCs w:val="29"/>
        </w:rPr>
        <w:t>部门整体支出绩效情况</w:t>
      </w:r>
      <w:bookmarkEnd w:id="13"/>
    </w:p>
    <w:p w14:paraId="29B0079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2025年，单位整体支出绩效目标总体完成良好，经综合评价得分为98分。全年围绕安全播出、监测监管、应急广播体系建设、技术支撑、队伍建设五大重点稳步推进各项工作，全市广电安全运行平稳、监测监管精准有效、应急广播体系日趋完善，部门履职效能充分发挥，取得了良好的运行效益与社会效应。</w:t>
      </w:r>
    </w:p>
    <w:p w14:paraId="1632CCE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从运行成本来看，全年总支出严格控制在预算规模内，项目支出执行率达到100％，公用经费持续压减，严格落实过紧日子要求；安全播出事故发生率为0，设备运维环保合规率100％，成本管控成效明显。</w:t>
      </w:r>
    </w:p>
    <w:p w14:paraId="720A606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从管理效率来看，内部管理制度体系健全，值班值守、财务管理、资产管理等制度完善，形成用制度管人、管事、管权的规范化机制。各项工作流程清晰顺畅，30分钟内预警响应机制有效运行，故障处置、信息发布均能按时办结，单位整体运转效率稳步提升。</w:t>
      </w:r>
    </w:p>
    <w:p w14:paraId="3A8FCB01">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从履职效能来看，一是监测监管全面覆盖，依托省级互联互通监测平台对全市13个县市区广播频率、电视频道、发射台站、传输网络实行常态化监测，全年365天不间断实施广播电视信号实时监测，累计监测时长8760小时，广播电视内容监测准确率100％；全年累计出具《怀化媒体监测》月报12期，聚焦虚假违法广告、低俗内容、违规插播等问题组织专项整治，有效规范了全市播出秩序。二是安全播出底线牢固，针对春节、两会、五一、国庆等重要时期提前制定保障方案，落实领导带班、双人双岗制度，圆满完成各类重保任务，实现“零重大事故、零重大差错、零重大违规播出”；组织安全播出专项检查，对机房、供配电系统、消防设施开展拉网式隐患排查；全年开展实战演练2次，强化突发情况快速响应与跨单位协同能力，应急处置效率持续提升。三是应急广播作用凸显，市级应急广播平台严格落实值班值守制度，定期对核心服务器、设备系统巡检维护，全年平台在线率稳定在97％以上，核心设备完好率达96％以上；围绕防汛抗旱、森林防火、地质灾害、极端天气、政策宣传、民生服务等场景发布应急预警与公益科普信息，有效打通基层信息发布“最后一公里”。四是技术支撑持续强化，完成广播电视监测系统软件升级、数据存储优化、网络安全加固等工程，实现监测数据与省局平台无缝对接；全年完成监控主机、传输链路、备用电源等系统全面检修保养，关键设备运行稳定，为安全播出和应急广播提供坚实技术基础。</w:t>
      </w:r>
    </w:p>
    <w:p w14:paraId="6D25A434">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从社会效应来看，一是守牢了意识形态阵地，聚焦广电播出、内容监管、应急广播发布等关键环节定期开展风险研判，建立重点频率、重点节目、重点发布内容动态监管机制，全年未发生导向性错误，确保了广电阵地安全。二是提升了基层治理能力，应急广播体系在防灾减灾、政策宣讲、民生服务中发挥重要作用，基层应急信息传播能力显著提升，群众防灾避险意识持续增强。三是清朗了视听传播环境，通过常态化监测和专项整治，有效遏制违规广告、低俗内容等问题，维护了全市广播电视播出秩序。</w:t>
      </w:r>
    </w:p>
    <w:p w14:paraId="586ADE19">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从可持续发展能力来看，监测技术体系、应急广播体系不断完善，长效工作机制逐步健全，队伍专业能力稳步提升，为广电监测事业长远发展奠定了基础。但受基层条件限制，应急广播终端运维不均衡、智能监测应用深度不足、基层培训覆盖不全等问题仍然存在，需持续改进提升。</w:t>
      </w:r>
    </w:p>
    <w:p w14:paraId="2529B6F5">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从服务对象满意度来看，基层群众、应急管理、气象等相关部门以及县市区对口单位，对广播电视监测保障、应急广播服务的综合满意度达92％以上，高于年度预期目标，服务成效得到广泛认可。</w:t>
      </w:r>
    </w:p>
    <w:p w14:paraId="2A9A5926">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4" w:name="heading_14"/>
      <w:r>
        <w:rPr>
          <w:rFonts w:hint="eastAsia"/>
          <w:color w:val="auto"/>
          <w:sz w:val="29"/>
          <w:szCs w:val="29"/>
          <w:lang w:eastAsia="zh-CN"/>
        </w:rPr>
        <w:t>九、</w:t>
      </w:r>
      <w:r>
        <w:rPr>
          <w:color w:val="auto"/>
          <w:sz w:val="29"/>
          <w:szCs w:val="29"/>
        </w:rPr>
        <w:t>存在的问题及原因分析</w:t>
      </w:r>
      <w:bookmarkEnd w:id="14"/>
    </w:p>
    <w:p w14:paraId="565D9828">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Style w:val="18"/>
          <w:rFonts w:hint="eastAsia" w:eastAsia="楷体_GB2312"/>
          <w:color w:val="auto"/>
          <w:sz w:val="29"/>
          <w:szCs w:val="29"/>
          <w:lang w:eastAsia="zh-CN"/>
        </w:rPr>
        <w:t>（一）</w:t>
      </w:r>
      <w:r>
        <w:rPr>
          <w:rStyle w:val="18"/>
          <w:color w:val="auto"/>
          <w:sz w:val="29"/>
          <w:szCs w:val="29"/>
        </w:rPr>
        <w:t>基本支出控制略有偏差</w:t>
      </w:r>
      <w:r>
        <w:rPr>
          <w:rFonts w:ascii="Times New Roman" w:hAnsi="Times New Roman" w:eastAsia="仿宋_GB2312" w:cs="仿宋_GB2312"/>
          <w:color w:val="auto"/>
          <w:sz w:val="29"/>
          <w:szCs w:val="29"/>
        </w:rPr>
        <w:t>。基本支出控制率略高于预期标准，主要因人员经费属于刚性支出，受待遇保障政策调整影响</w:t>
      </w:r>
      <w:r>
        <w:rPr>
          <w:rFonts w:ascii="Times New Roman" w:hAnsi="Times New Roman" w:eastAsia="仿宋_GB2312" w:cs="仿宋_GB2312"/>
          <w:color w:val="auto"/>
          <w:spacing w:val="-6"/>
          <w:sz w:val="29"/>
          <w:szCs w:val="29"/>
        </w:rPr>
        <w:t>，人员经费支出规模有所上升，带动基本支出整体小幅超</w:t>
      </w:r>
      <w:r>
        <w:rPr>
          <w:rFonts w:ascii="Times New Roman" w:hAnsi="Times New Roman" w:eastAsia="仿宋_GB2312" w:cs="仿宋_GB2312"/>
          <w:color w:val="auto"/>
          <w:sz w:val="29"/>
          <w:szCs w:val="29"/>
        </w:rPr>
        <w:t>预期。</w:t>
      </w:r>
    </w:p>
    <w:p w14:paraId="1BBE3B8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Style w:val="18"/>
          <w:rFonts w:hint="eastAsia" w:eastAsia="楷体_GB2312"/>
          <w:color w:val="auto"/>
          <w:sz w:val="29"/>
          <w:szCs w:val="29"/>
          <w:lang w:eastAsia="zh-CN"/>
        </w:rPr>
        <w:t>（二）</w:t>
      </w:r>
      <w:r>
        <w:rPr>
          <w:rStyle w:val="18"/>
          <w:color w:val="auto"/>
          <w:sz w:val="29"/>
          <w:szCs w:val="29"/>
        </w:rPr>
        <w:t>应急广播终端运维不均衡</w:t>
      </w:r>
      <w:r>
        <w:rPr>
          <w:rFonts w:ascii="Times New Roman" w:hAnsi="Times New Roman" w:eastAsia="仿宋_GB2312" w:cs="仿宋_GB2312"/>
          <w:color w:val="auto"/>
          <w:sz w:val="29"/>
          <w:szCs w:val="29"/>
        </w:rPr>
        <w:t>。部分乡镇应急广播终端设备使用年限较长、硬件老化，故障发生频次偏高；县乡两级专职运维人员配备不足，专业技术能力参差不齐，导致基层终端运维水平区域差异较大，影响应急广播体系整体运行效能。</w:t>
      </w:r>
    </w:p>
    <w:p w14:paraId="07A2843F">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Style w:val="18"/>
          <w:rFonts w:hint="eastAsia" w:eastAsia="楷体_GB2312"/>
          <w:color w:val="auto"/>
          <w:sz w:val="29"/>
          <w:szCs w:val="29"/>
          <w:lang w:eastAsia="zh-CN"/>
        </w:rPr>
        <w:t>（三）</w:t>
      </w:r>
      <w:r>
        <w:rPr>
          <w:rStyle w:val="18"/>
          <w:color w:val="auto"/>
          <w:sz w:val="29"/>
          <w:szCs w:val="29"/>
        </w:rPr>
        <w:t>智能监测与大数据应用深度不足</w:t>
      </w:r>
      <w:r>
        <w:rPr>
          <w:rFonts w:ascii="Times New Roman" w:hAnsi="Times New Roman" w:eastAsia="仿宋_GB2312" w:cs="仿宋_GB2312"/>
          <w:color w:val="auto"/>
          <w:sz w:val="29"/>
          <w:szCs w:val="29"/>
        </w:rPr>
        <w:t>。当前监测工作仍以人工审核研判为主，自动化识别、智能化分析技术应用不够深入，智能监测与大数据融合程度不高，监测效率和精准度仍有提升空间。</w:t>
      </w:r>
    </w:p>
    <w:p w14:paraId="78DA69FD">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Style w:val="18"/>
          <w:rFonts w:hint="eastAsia" w:eastAsia="楷体_GB2312"/>
          <w:color w:val="auto"/>
          <w:sz w:val="29"/>
          <w:szCs w:val="29"/>
          <w:lang w:eastAsia="zh-CN"/>
        </w:rPr>
        <w:t>（四）</w:t>
      </w:r>
      <w:r>
        <w:rPr>
          <w:rStyle w:val="18"/>
          <w:color w:val="auto"/>
          <w:sz w:val="29"/>
          <w:szCs w:val="29"/>
        </w:rPr>
        <w:t>基层专项培训覆盖面有缺口</w:t>
      </w:r>
      <w:r>
        <w:rPr>
          <w:rFonts w:ascii="Times New Roman" w:hAnsi="Times New Roman" w:eastAsia="仿宋_GB2312" w:cs="仿宋_GB2312"/>
          <w:color w:val="auto"/>
          <w:sz w:val="29"/>
          <w:szCs w:val="29"/>
        </w:rPr>
        <w:t>。县市区应急广播标准化程度不一，针对基层运维人员的专项培训频次不足、覆盖范围有限，基层队伍专业能力提升进度与体系建设要求存在差距。</w:t>
      </w:r>
    </w:p>
    <w:p w14:paraId="646C75AE">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5" w:name="heading_15"/>
      <w:r>
        <w:rPr>
          <w:rFonts w:hint="eastAsia"/>
          <w:color w:val="auto"/>
          <w:sz w:val="29"/>
          <w:szCs w:val="29"/>
          <w:lang w:eastAsia="zh-CN"/>
        </w:rPr>
        <w:t>十、</w:t>
      </w:r>
      <w:r>
        <w:rPr>
          <w:color w:val="auto"/>
          <w:sz w:val="29"/>
          <w:szCs w:val="29"/>
        </w:rPr>
        <w:t>下一步改进措施</w:t>
      </w:r>
      <w:bookmarkEnd w:id="15"/>
    </w:p>
    <w:p w14:paraId="6B554011">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Style w:val="18"/>
          <w:rFonts w:hint="eastAsia" w:eastAsia="楷体_GB2312"/>
          <w:color w:val="auto"/>
          <w:sz w:val="29"/>
          <w:szCs w:val="29"/>
          <w:lang w:eastAsia="zh-CN"/>
        </w:rPr>
        <w:t>（一）</w:t>
      </w:r>
      <w:r>
        <w:rPr>
          <w:rStyle w:val="18"/>
          <w:color w:val="auto"/>
          <w:sz w:val="29"/>
          <w:szCs w:val="29"/>
        </w:rPr>
        <w:t>深化预算精细化管理</w:t>
      </w:r>
      <w:r>
        <w:rPr>
          <w:rFonts w:ascii="Times New Roman" w:hAnsi="Times New Roman" w:eastAsia="仿宋_GB2312" w:cs="仿宋_GB2312"/>
          <w:color w:val="auto"/>
          <w:sz w:val="29"/>
          <w:szCs w:val="29"/>
        </w:rPr>
        <w:t>。进一步做细做实预算编制，科学测算人员经费、公用经费需求，优先保障刚性支出，从严压缩一般性支出；加强预算执行动态监控，按月跟踪支出进度，及时预警超支风险，持续提升预算管控精准度。</w:t>
      </w:r>
    </w:p>
    <w:p w14:paraId="7BC402D3">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Style w:val="18"/>
          <w:rFonts w:hint="eastAsia" w:eastAsia="楷体_GB2312"/>
          <w:color w:val="auto"/>
          <w:sz w:val="29"/>
          <w:szCs w:val="29"/>
          <w:lang w:eastAsia="zh-CN"/>
        </w:rPr>
        <w:t>（二）</w:t>
      </w:r>
      <w:r>
        <w:rPr>
          <w:rStyle w:val="18"/>
          <w:color w:val="auto"/>
          <w:sz w:val="29"/>
          <w:szCs w:val="29"/>
        </w:rPr>
        <w:t>补齐基层运维短板</w:t>
      </w:r>
      <w:r>
        <w:rPr>
          <w:rFonts w:ascii="Times New Roman" w:hAnsi="Times New Roman" w:eastAsia="仿宋_GB2312" w:cs="仿宋_GB2312"/>
          <w:color w:val="auto"/>
          <w:sz w:val="29"/>
          <w:szCs w:val="29"/>
        </w:rPr>
        <w:t>。积极争取上级专项资金支持，分批次更新乡镇老旧终端设备；建立市、县、乡三级联动运维机制，加大对基层的技术指导和督导检查；统一全市应急广播运维标准，推动基层运维工作规范化、标准化。</w:t>
      </w:r>
    </w:p>
    <w:p w14:paraId="4DC8B749">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Style w:val="18"/>
          <w:rFonts w:hint="eastAsia" w:eastAsia="楷体_GB2312"/>
          <w:color w:val="auto"/>
          <w:sz w:val="29"/>
          <w:szCs w:val="29"/>
          <w:lang w:eastAsia="zh-CN"/>
        </w:rPr>
        <w:t>（三）</w:t>
      </w:r>
      <w:r>
        <w:rPr>
          <w:rStyle w:val="18"/>
          <w:color w:val="auto"/>
          <w:sz w:val="29"/>
          <w:szCs w:val="29"/>
        </w:rPr>
        <w:t>推进智慧监测建设</w:t>
      </w:r>
      <w:r>
        <w:rPr>
          <w:rFonts w:ascii="Times New Roman" w:hAnsi="Times New Roman" w:eastAsia="仿宋_GB2312" w:cs="仿宋_GB2312"/>
          <w:color w:val="auto"/>
          <w:sz w:val="29"/>
          <w:szCs w:val="29"/>
        </w:rPr>
        <w:t>。深化数据融合应用，加快构建可视化监测大屏体系，加大智能监测技术投入，提升自动化研判水平</w:t>
      </w:r>
      <w:r>
        <w:rPr>
          <w:rFonts w:ascii="Times New Roman" w:hAnsi="Times New Roman" w:eastAsia="仿宋_GB2312" w:cs="仿宋_GB2312"/>
          <w:color w:val="auto"/>
          <w:spacing w:val="-6"/>
          <w:sz w:val="29"/>
          <w:szCs w:val="29"/>
        </w:rPr>
        <w:t>，推动监测监管向数字化、智能化转型，提高工作效率和精</w:t>
      </w:r>
      <w:r>
        <w:rPr>
          <w:rFonts w:ascii="Times New Roman" w:hAnsi="Times New Roman" w:eastAsia="仿宋_GB2312" w:cs="仿宋_GB2312"/>
          <w:color w:val="auto"/>
          <w:sz w:val="29"/>
          <w:szCs w:val="29"/>
        </w:rPr>
        <w:t>准度。</w:t>
      </w:r>
    </w:p>
    <w:p w14:paraId="489581DA">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Style w:val="18"/>
          <w:rFonts w:hint="eastAsia" w:eastAsia="楷体_GB2312"/>
          <w:color w:val="auto"/>
          <w:sz w:val="29"/>
          <w:szCs w:val="29"/>
          <w:lang w:eastAsia="zh-CN"/>
        </w:rPr>
        <w:t>（四）</w:t>
      </w:r>
      <w:r>
        <w:rPr>
          <w:rStyle w:val="18"/>
          <w:color w:val="auto"/>
          <w:sz w:val="29"/>
          <w:szCs w:val="29"/>
        </w:rPr>
        <w:t>扩大基层培训覆盖</w:t>
      </w:r>
      <w:r>
        <w:rPr>
          <w:rFonts w:ascii="Times New Roman" w:hAnsi="Times New Roman" w:eastAsia="仿宋_GB2312" w:cs="仿宋_GB2312"/>
          <w:color w:val="auto"/>
          <w:sz w:val="29"/>
          <w:szCs w:val="29"/>
        </w:rPr>
        <w:t>。制定系统性年度培训计划，分层分类开展县市区业务培训，覆盖应急广播运维、监测技术、安全播出等内容；通过线上教学、现场实操、以干代训等多种方式，提升基层人员专业能力，逐步缩小区域工作差距。</w:t>
      </w:r>
    </w:p>
    <w:p w14:paraId="4882BD30">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Style w:val="18"/>
          <w:rFonts w:hint="eastAsia" w:eastAsia="楷体_GB2312"/>
          <w:color w:val="auto"/>
          <w:sz w:val="29"/>
          <w:szCs w:val="29"/>
          <w:lang w:eastAsia="zh-CN"/>
        </w:rPr>
        <w:t>（五）</w:t>
      </w:r>
      <w:r>
        <w:rPr>
          <w:rStyle w:val="18"/>
          <w:color w:val="auto"/>
          <w:sz w:val="29"/>
          <w:szCs w:val="29"/>
        </w:rPr>
        <w:t>健全绩效长效机制</w:t>
      </w:r>
      <w:r>
        <w:rPr>
          <w:rFonts w:ascii="Times New Roman" w:hAnsi="Times New Roman" w:eastAsia="仿宋_GB2312" w:cs="仿宋_GB2312"/>
          <w:color w:val="auto"/>
          <w:sz w:val="29"/>
          <w:szCs w:val="29"/>
        </w:rPr>
        <w:t>。将绩效目标融入日常管理，建立季度绩效监控机制，及时发现偏差、督促整改；强化绩效结果运用，将绩效完成情况与科室考核、资金安排挂钩，以绩效导向推动各项工作提质增效。</w:t>
      </w:r>
    </w:p>
    <w:p w14:paraId="5C269542">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6" w:name="heading_16"/>
      <w:r>
        <w:rPr>
          <w:rFonts w:hint="eastAsia"/>
          <w:color w:val="auto"/>
          <w:sz w:val="29"/>
          <w:szCs w:val="29"/>
          <w:lang w:eastAsia="zh-CN"/>
        </w:rPr>
        <w:t>十一、</w:t>
      </w:r>
      <w:r>
        <w:rPr>
          <w:color w:val="auto"/>
          <w:sz w:val="29"/>
          <w:szCs w:val="29"/>
        </w:rPr>
        <w:t>绩效自评结果拟应用和公开情况</w:t>
      </w:r>
      <w:bookmarkEnd w:id="16"/>
    </w:p>
    <w:p w14:paraId="76341A56">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17" w:name="heading_17"/>
      <w:r>
        <w:rPr>
          <w:rFonts w:hint="eastAsia"/>
          <w:color w:val="auto"/>
          <w:sz w:val="29"/>
          <w:szCs w:val="29"/>
          <w:lang w:eastAsia="zh-CN"/>
        </w:rPr>
        <w:t>（一）</w:t>
      </w:r>
      <w:r>
        <w:rPr>
          <w:color w:val="auto"/>
          <w:sz w:val="29"/>
          <w:szCs w:val="29"/>
        </w:rPr>
        <w:t>绩效自评结果拟应用</w:t>
      </w:r>
      <w:bookmarkEnd w:id="17"/>
    </w:p>
    <w:p w14:paraId="15F58EE8">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将本次整体支出绩效自评结果作为下一年度预算编制、资金分配的重要依据，针对绩效短板优化预算结构，资金向重点工作、薄弱环节倾斜；将绩效目标完成情况纳入内部科室年度考核，强化全员绩效意识，推动各科室提升工作质效；针对自评发现的问题逐项制定整改清单，明确责任科室和完成时限，推动整改落地见效。</w:t>
      </w:r>
    </w:p>
    <w:p w14:paraId="2DFB0489">
      <w:pPr>
        <w:pStyle w:val="3"/>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rFonts w:hint="eastAsia" w:ascii="楷体_GB2312" w:hAnsi="楷体_GB2312" w:eastAsia="楷体_GB2312" w:cs="楷体_GB2312"/>
          <w:b w:val="0"/>
          <w:color w:val="auto"/>
          <w:sz w:val="29"/>
          <w:szCs w:val="29"/>
          <w:bdr w:val="none" w:sz="0" w:space="0"/>
        </w:rPr>
      </w:pPr>
      <w:bookmarkStart w:id="18" w:name="heading_18"/>
      <w:r>
        <w:rPr>
          <w:rFonts w:hint="eastAsia"/>
          <w:color w:val="auto"/>
          <w:sz w:val="29"/>
          <w:szCs w:val="29"/>
          <w:lang w:eastAsia="zh-CN"/>
        </w:rPr>
        <w:t>（二）</w:t>
      </w:r>
      <w:r>
        <w:rPr>
          <w:color w:val="auto"/>
          <w:sz w:val="29"/>
          <w:szCs w:val="29"/>
        </w:rPr>
        <w:t>公开情况</w:t>
      </w:r>
      <w:bookmarkEnd w:id="18"/>
    </w:p>
    <w:p w14:paraId="47DCD6E7">
      <w:pPr>
        <w:pStyle w:val="11"/>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仿宋_GB2312" w:cs="仿宋_GB2312"/>
          <w:color w:val="auto"/>
          <w:sz w:val="29"/>
          <w:szCs w:val="29"/>
        </w:rPr>
      </w:pPr>
      <w:r>
        <w:rPr>
          <w:rFonts w:ascii="Times New Roman" w:hAnsi="Times New Roman" w:eastAsia="仿宋_GB2312" w:cs="仿宋_GB2312"/>
          <w:color w:val="auto"/>
          <w:sz w:val="29"/>
          <w:szCs w:val="29"/>
        </w:rPr>
        <w:t>严格按照政务公开和预算绩效管理相关要求，在规定时限内将整体支出绩效自评报告、自评表等材料报送主管部门和财政部门，并按规定程序面向社会公开，主动接受社会监督。</w:t>
      </w:r>
    </w:p>
    <w:p w14:paraId="46965FEA">
      <w:pPr>
        <w:pStyle w:val="2"/>
        <w:keepNext w:val="0"/>
        <w:keepLines w:val="0"/>
        <w:pageBreakBefore w:val="0"/>
        <w:widowControl w:val="0"/>
        <w:numPr>
          <w:numId w:val="0"/>
        </w:numPr>
        <w:kinsoku/>
        <w:wordWrap/>
        <w:overflowPunct/>
        <w:topLinePunct w:val="0"/>
        <w:autoSpaceDE/>
        <w:autoSpaceDN/>
        <w:bidi w:val="0"/>
        <w:adjustRightInd/>
        <w:snapToGrid/>
        <w:ind w:left="0" w:leftChars="0" w:firstLine="640"/>
        <w:textAlignment w:val="auto"/>
        <w:rPr>
          <w:b w:val="0"/>
          <w:color w:val="auto"/>
          <w:sz w:val="29"/>
          <w:szCs w:val="29"/>
          <w:bdr w:val="none" w:sz="0" w:space="0"/>
        </w:rPr>
      </w:pPr>
      <w:bookmarkStart w:id="19" w:name="heading_19"/>
      <w:r>
        <w:rPr>
          <w:rFonts w:hint="eastAsia"/>
          <w:color w:val="auto"/>
          <w:sz w:val="29"/>
          <w:szCs w:val="29"/>
          <w:lang w:eastAsia="zh-CN"/>
        </w:rPr>
        <w:t>十二、</w:t>
      </w:r>
      <w:r>
        <w:rPr>
          <w:color w:val="auto"/>
          <w:sz w:val="29"/>
          <w:szCs w:val="29"/>
        </w:rPr>
        <w:t>其他需要说明的情况</w:t>
      </w:r>
      <w:bookmarkEnd w:id="19"/>
    </w:p>
    <w:p w14:paraId="612D514D">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Fonts w:hint="eastAsia" w:cs="仿宋_GB2312"/>
          <w:color w:val="auto"/>
          <w:sz w:val="29"/>
          <w:szCs w:val="29"/>
          <w:lang w:eastAsia="zh-CN"/>
        </w:rPr>
        <w:t>1.</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2025年单位严格落实厉行节约要求，大力压减一般性支出</w:t>
      </w:r>
      <w:r>
        <w:rPr>
          <w:rFonts w:ascii="Times New Roman" w:hAnsi="Times New Roman" w:eastAsia="仿宋_GB2312" w:cs="仿宋_GB2312"/>
          <w:color w:val="auto"/>
          <w:spacing w:val="-6"/>
          <w:sz w:val="29"/>
          <w:szCs w:val="29"/>
        </w:rPr>
        <w:t>，全年收支规模较上年均有下降，财政资金使用效益进一步</w:t>
      </w:r>
      <w:r>
        <w:rPr>
          <w:rFonts w:ascii="Times New Roman" w:hAnsi="Times New Roman" w:eastAsia="仿宋_GB2312" w:cs="仿宋_GB2312"/>
          <w:color w:val="auto"/>
          <w:sz w:val="29"/>
          <w:szCs w:val="29"/>
        </w:rPr>
        <w:t>提升。</w:t>
      </w:r>
    </w:p>
    <w:p w14:paraId="621B6DDA">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Fonts w:hint="eastAsia" w:cs="仿宋_GB2312"/>
          <w:color w:val="auto"/>
          <w:sz w:val="29"/>
          <w:szCs w:val="29"/>
          <w:lang w:eastAsia="zh-CN"/>
        </w:rPr>
        <w:t>2.</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本年度单位无政府性基金预算、国有资本经营预算、社会保险基金预算收支，无相关事项需补充说明。</w:t>
      </w:r>
    </w:p>
    <w:p w14:paraId="34C5C8F9">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auto"/>
          <w:sz w:val="29"/>
          <w:szCs w:val="29"/>
          <w:bdr w:val="none" w:sz="0" w:space="0"/>
        </w:rPr>
      </w:pPr>
      <w:r>
        <w:rPr>
          <w:rFonts w:hint="eastAsia" w:cs="仿宋_GB2312"/>
          <w:color w:val="auto"/>
          <w:sz w:val="29"/>
          <w:szCs w:val="29"/>
          <w:lang w:eastAsia="zh-CN"/>
        </w:rPr>
        <w:t>3.</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本年度单位安全生产形势平稳，常态化</w:t>
      </w:r>
      <w:bookmarkStart w:id="20" w:name="_GoBack"/>
      <w:bookmarkEnd w:id="20"/>
      <w:r>
        <w:rPr>
          <w:rFonts w:ascii="Times New Roman" w:hAnsi="Times New Roman" w:eastAsia="仿宋_GB2312" w:cs="仿宋_GB2312"/>
          <w:color w:val="auto"/>
          <w:sz w:val="29"/>
          <w:szCs w:val="29"/>
        </w:rPr>
        <w:t>开展安全生产、消防安全检查，全年未发生安全责任事故，国有资产安全完整。</w:t>
      </w:r>
    </w:p>
    <w:p w14:paraId="6C75FCEB">
      <w:pPr>
        <w:pStyle w:val="11"/>
        <w:keepNext w:val="0"/>
        <w:keepLines w:val="0"/>
        <w:pageBreakBefore w:val="0"/>
        <w:widowControl w:val="0"/>
        <w:numPr>
          <w:numId w:val="0"/>
        </w:numPr>
        <w:kinsoku/>
        <w:wordWrap/>
        <w:overflowPunct/>
        <w:topLinePunct w:val="0"/>
        <w:autoSpaceDE/>
        <w:autoSpaceDN/>
        <w:bidi w:val="0"/>
        <w:adjustRightInd/>
        <w:snapToGrid/>
        <w:ind w:left="0" w:leftChars="0" w:firstLine="616"/>
        <w:textAlignment w:val="auto"/>
        <w:rPr>
          <w:rFonts w:ascii="Times New Roman" w:hAnsi="Times New Roman" w:eastAsia="仿宋_GB2312" w:cs="仿宋_GB2312"/>
          <w:b w:val="0"/>
          <w:color w:val="3370FF"/>
          <w:sz w:val="32"/>
          <w:szCs w:val="32"/>
          <w:bdr w:val="none" w:sz="0" w:space="0"/>
        </w:rPr>
      </w:pPr>
      <w:r>
        <w:rPr>
          <w:rFonts w:hint="eastAsia" w:cs="仿宋_GB2312"/>
          <w:color w:val="auto"/>
          <w:sz w:val="29"/>
          <w:szCs w:val="29"/>
          <w:lang w:eastAsia="zh-CN"/>
        </w:rPr>
        <w:t>4.</w:t>
      </w:r>
      <w:r>
        <w:rPr>
          <w:rFonts w:hint="eastAsia" w:ascii="仿宋" w:hAnsi="仿宋" w:eastAsia="仿宋" w:cs="仿宋"/>
          <w:color w:val="auto"/>
          <w:spacing w:val="-6"/>
          <w:sz w:val="29"/>
          <w:szCs w:val="29"/>
          <w:lang w:eastAsia="zh-CN"/>
        </w:rPr>
        <w:t xml:space="preserve"> </w:t>
      </w:r>
      <w:r>
        <w:rPr>
          <w:rFonts w:ascii="Times New Roman" w:hAnsi="Times New Roman" w:eastAsia="仿宋_GB2312" w:cs="仿宋_GB2312"/>
          <w:color w:val="auto"/>
          <w:sz w:val="29"/>
          <w:szCs w:val="29"/>
        </w:rPr>
        <w:t>下一步，中心将继续以习近平新时代中国特色社会主义思想为指导，深入贯彻习近平文化思想，紧扣广电监测核心职责，补短板、强弱项，持续提升整体支出绩效水平，为怀化广电事业高质量发展提供坚实支撑。</w:t>
      </w:r>
    </w:p>
    <w:p w14:paraId="091DFAF6">
      <w:pPr>
        <w:pStyle w:val="11"/>
        <w:bidi w:val="0"/>
      </w:pPr>
    </w:p>
    <w:sectPr>
      <w:headerReference r:id="rId3" w:type="default"/>
      <w:footerReference r:id="rId5" w:type="default"/>
      <w:headerReference r:id="rId4" w:type="even"/>
      <w:footerReference r:id="rId6" w:type="even"/>
      <w:pgSz w:w="11905" w:h="16840"/>
      <w:pgMar w:top="2098" w:right="1474" w:bottom="1984" w:left="1587" w:header="851" w:footer="1417" w:gutter="0"/>
      <w:pgNumType w:fmt="decimal" w:start="1"/>
      <w:cols w:space="720"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77BA0">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03CA4E56">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EvjmXRAAAA&#10;BgEAAA8AAAAAAAAAAQAgAAAAIgAAAGRycy9kb3ducmV2LnhtbFBLAQIUABQAAAAIAIdO4kCNsDni&#10;6wEAANEDAAAOAAAAAAAAAAEAIAAAACABAABkcnMvZTJvRG9jLnhtbFBLBQYAAAAABgAGAFkBAAB9&#10;BQAAAAA=&#10;">
              <v:fill on="f" focussize="0,0"/>
              <v:stroke on="f"/>
              <v:imagedata o:title=""/>
              <o:lock v:ext="edit" aspectratio="f"/>
              <v:textbox inset="16pt,0mm,16pt,0mm" style="mso-fit-shape-to-text:t;">
                <w:txbxContent>
                  <w:p w14:paraId="03CA4E56">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6AD5F">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7C01D93E">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vert="horz" wrap="none" lIns="203200" tIns="0" rIns="203200" bIns="0" anchor="t" anchorCtr="0" upright="0">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xL45l0QAA&#10;AAYBAAAPAAAAAAAAAAEAIAAAACIAAABkcnMvZG93bnJldi54bWxQSwECFAAUAAAACACHTuJA+0dY&#10;1+wBAADRAwAADgAAAAAAAAABACAAAAAgAQAAZHJzL2Uyb0RvYy54bWxQSwUGAAAAAAYABgBZAQAA&#10;fgUAAAAA&#10;">
              <v:fill on="f" focussize="0,0"/>
              <v:stroke on="f"/>
              <v:imagedata o:title=""/>
              <o:lock v:ext="edit" aspectratio="f"/>
              <v:textbox inset="16pt,0mm,16pt,0mm" style="mso-fit-shape-to-text:t;">
                <w:txbxContent>
                  <w:p w14:paraId="7C01D93E">
                    <w:pPr>
                      <w:pStyle w:val="12"/>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73BFA">
    <w:pPr>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22BF0">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evenAndOddHeaders w:val="1"/>
  <w:drawingGridHorizontalSpacing w:val="158"/>
  <w:drawingGridVerticalSpacing w:val="290"/>
  <w:displayHorizontalDrawingGridEvery w:val="2"/>
  <w:displayVerticalDrawingGridEvery w:val="2"/>
  <w:hdrShapeDefaults>
    <o:shapelayout v:ext="edit">
      <o:idmap v:ext="edit" data="2"/>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467379"/>
    <w:rsid w:val="48C25721"/>
    <w:rsid w:val="73A31B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18"/>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11">
    <w:name w:val="Body Tex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2 Char"/>
    <w:link w:val="3"/>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4874</Words>
  <Characters>5007</Characters>
  <TotalTime>7</TotalTime>
  <ScaleCrop>false</ScaleCrop>
  <LinksUpToDate>false</LinksUpToDate>
  <CharactersWithSpaces>5103</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2026-06-16T15:32:00Z</dcterms:created>
  <dc:creator>Apache POI</dc:creator>
  <cp:lastModifiedBy>超级豆丁</cp:lastModifiedBy>
  <dcterms:modified xsi:type="dcterms:W3CDTF">2026-06-16T15:40:32Z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{"Label":"1","ContentProducer":"001191110102MACQD9K64010000","ProduceID":"7652016416712362955","ReservedCode1":"","ContentPropagator":"","PropagateID":"","ReservedCode2":""}</vt:lpwstr>
  </property>
  <property fmtid="{D5CDD505-2E9C-101B-9397-08002B2CF9AE}" pid="3" name="KSOTemplateDocerSaveRecord">
    <vt:lpwstr>eyJoZGlkIjoiOGQyOWU3ZmJlZGI4OGMxYWZmNzc1ODM1OWUwMzAxNTciLCJ1c2VySWQiOiIxNjQwNTUxMjk3In0=</vt:lpwstr>
  </property>
  <property fmtid="{D5CDD505-2E9C-101B-9397-08002B2CF9AE}" pid="4" name="KSOProductBuildVer">
    <vt:lpwstr>2052-12.1.0.26375</vt:lpwstr>
  </property>
  <property fmtid="{D5CDD505-2E9C-101B-9397-08002B2CF9AE}" pid="5" name="ICV">
    <vt:lpwstr>5026C045908042519CD3CCFFFEC4D7D1_13</vt:lpwstr>
  </property>
</Properties>
</file>