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AAD6F">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46B33879">
      <w:pPr>
        <w:pStyle w:val="15"/>
        <w:jc w:val="center"/>
        <w:rPr>
          <w:rFonts w:ascii="Times New Roman" w:hAnsi="Times New Roman" w:cs="Times New Roman"/>
          <w:sz w:val="56"/>
          <w:szCs w:val="56"/>
        </w:rPr>
      </w:pPr>
    </w:p>
    <w:p w14:paraId="67D3BE25">
      <w:pPr>
        <w:pStyle w:val="15"/>
        <w:jc w:val="center"/>
        <w:rPr>
          <w:rFonts w:ascii="Times New Roman" w:hAnsi="Times New Roman" w:cs="Times New Roman"/>
          <w:sz w:val="84"/>
          <w:szCs w:val="84"/>
        </w:rPr>
      </w:pPr>
    </w:p>
    <w:p w14:paraId="797A9B55">
      <w:pPr>
        <w:pStyle w:val="15"/>
        <w:jc w:val="center"/>
        <w:rPr>
          <w:rFonts w:ascii="Times New Roman" w:hAnsi="Times New Roman" w:cs="Times New Roman"/>
          <w:sz w:val="84"/>
          <w:szCs w:val="84"/>
        </w:rPr>
      </w:pPr>
    </w:p>
    <w:p w14:paraId="263349A8">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01A00BC">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怀化市文化馆</w:t>
      </w:r>
      <w:r>
        <w:rPr>
          <w:rFonts w:ascii="Times New Roman" w:hAnsi="Times New Roman" w:eastAsia="方正小标宋简体" w:cs="Times New Roman"/>
          <w:sz w:val="72"/>
          <w:szCs w:val="72"/>
        </w:rPr>
        <w:t>部门决算</w:t>
      </w:r>
    </w:p>
    <w:p w14:paraId="1FCEEA72">
      <w:pPr>
        <w:pStyle w:val="15"/>
        <w:jc w:val="center"/>
        <w:rPr>
          <w:rFonts w:ascii="Times New Roman" w:hAnsi="Times New Roman" w:eastAsia="方正小标宋_GBK" w:cs="Times New Roman"/>
          <w:sz w:val="56"/>
          <w:szCs w:val="56"/>
        </w:rPr>
      </w:pPr>
    </w:p>
    <w:p w14:paraId="41AD20A8">
      <w:pPr>
        <w:pStyle w:val="15"/>
        <w:jc w:val="center"/>
        <w:rPr>
          <w:rFonts w:ascii="Times New Roman" w:hAnsi="Times New Roman" w:cs="Times New Roman"/>
          <w:sz w:val="56"/>
          <w:szCs w:val="56"/>
        </w:rPr>
      </w:pPr>
    </w:p>
    <w:p w14:paraId="7B85DE88">
      <w:pPr>
        <w:pStyle w:val="15"/>
        <w:rPr>
          <w:rFonts w:ascii="Times New Roman" w:hAnsi="Times New Roman" w:cs="Times New Roman"/>
          <w:sz w:val="56"/>
          <w:szCs w:val="56"/>
        </w:rPr>
      </w:pPr>
    </w:p>
    <w:p w14:paraId="28015B69">
      <w:pPr>
        <w:pStyle w:val="15"/>
        <w:jc w:val="center"/>
        <w:rPr>
          <w:rFonts w:ascii="Times New Roman" w:hAnsi="Times New Roman" w:cs="Times New Roman"/>
          <w:sz w:val="32"/>
          <w:szCs w:val="32"/>
        </w:rPr>
      </w:pPr>
    </w:p>
    <w:p w14:paraId="1AFE6C89">
      <w:pPr>
        <w:pStyle w:val="15"/>
        <w:jc w:val="center"/>
        <w:rPr>
          <w:rFonts w:ascii="Times New Roman" w:hAnsi="Times New Roman" w:cs="Times New Roman"/>
          <w:sz w:val="32"/>
          <w:szCs w:val="32"/>
        </w:rPr>
      </w:pPr>
    </w:p>
    <w:p w14:paraId="60FAFD57">
      <w:pPr>
        <w:pStyle w:val="15"/>
        <w:jc w:val="center"/>
        <w:rPr>
          <w:rFonts w:ascii="Times New Roman" w:hAnsi="Times New Roman" w:cs="Times New Roman"/>
          <w:sz w:val="32"/>
          <w:szCs w:val="32"/>
        </w:rPr>
      </w:pPr>
    </w:p>
    <w:p w14:paraId="72D942D2">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9892ACC">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ED9BFCC">
      <w:pPr>
        <w:pStyle w:val="15"/>
        <w:spacing w:line="600" w:lineRule="exact"/>
        <w:jc w:val="center"/>
        <w:rPr>
          <w:rFonts w:ascii="Times New Roman" w:hAnsi="Times New Roman" w:cs="Times New Roman"/>
          <w:b/>
          <w:sz w:val="36"/>
          <w:szCs w:val="28"/>
        </w:rPr>
      </w:pPr>
    </w:p>
    <w:p w14:paraId="07861E5D">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怀化市文化馆</w:t>
      </w:r>
      <w:r>
        <w:rPr>
          <w:rFonts w:ascii="Times New Roman" w:hAnsi="Times New Roman" w:cs="Times New Roman"/>
          <w:bCs/>
          <w:sz w:val="32"/>
          <w:szCs w:val="32"/>
        </w:rPr>
        <w:t>概况</w:t>
      </w:r>
    </w:p>
    <w:p w14:paraId="712AE00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9414FF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BB96D0C">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5C546B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0450C5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3E6A50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643E50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AFDC89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202072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EEB3C2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8D5F793">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4868A8F">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E15A7B4">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978DBF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F03A21C">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DFFB5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A7226A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76048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02BF21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9CEB79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48AA2D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CB4A4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06887E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九、国有资本经营预算</w:t>
      </w:r>
      <w:r>
        <w:rPr>
          <w:rFonts w:ascii="Times New Roman" w:hAnsi="Times New Roman" w:eastAsia="仿宋_GB2312" w:cs="Times New Roman"/>
          <w:color w:val="000000"/>
          <w:kern w:val="0"/>
          <w:sz w:val="32"/>
          <w:szCs w:val="32"/>
        </w:rPr>
        <w:t>收入支出决算情况</w:t>
      </w:r>
    </w:p>
    <w:p w14:paraId="50887B9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3104133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1A75CF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7327FBAC">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2B2E1E1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12F30BA">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8EF1302">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B0E2013">
      <w:pPr>
        <w:pStyle w:val="15"/>
        <w:spacing w:line="600" w:lineRule="exact"/>
        <w:rPr>
          <w:rFonts w:ascii="Times New Roman" w:hAnsi="Times New Roman" w:cs="Times New Roman"/>
          <w:bCs/>
          <w:sz w:val="28"/>
          <w:szCs w:val="28"/>
        </w:rPr>
      </w:pPr>
    </w:p>
    <w:p w14:paraId="2293BA5A">
      <w:pPr>
        <w:jc w:val="center"/>
        <w:rPr>
          <w:rFonts w:ascii="Times New Roman" w:hAnsi="Times New Roman" w:cs="Times New Roman"/>
          <w:sz w:val="72"/>
          <w:szCs w:val="72"/>
        </w:rPr>
      </w:pPr>
    </w:p>
    <w:p w14:paraId="7FADBA65">
      <w:pPr>
        <w:jc w:val="center"/>
        <w:rPr>
          <w:rFonts w:ascii="Times New Roman" w:hAnsi="Times New Roman" w:cs="Times New Roman"/>
          <w:sz w:val="72"/>
          <w:szCs w:val="72"/>
        </w:rPr>
      </w:pPr>
    </w:p>
    <w:p w14:paraId="7D12A55B">
      <w:pPr>
        <w:jc w:val="center"/>
        <w:rPr>
          <w:rFonts w:ascii="Times New Roman" w:hAnsi="Times New Roman" w:cs="Times New Roman"/>
          <w:sz w:val="72"/>
          <w:szCs w:val="72"/>
        </w:rPr>
      </w:pPr>
    </w:p>
    <w:p w14:paraId="568065E8">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E0B9A9E">
      <w:pPr>
        <w:rPr>
          <w:rFonts w:ascii="Times New Roman" w:hAnsi="Times New Roman" w:eastAsia="方正小标宋_GBK" w:cs="Times New Roman"/>
          <w:sz w:val="72"/>
          <w:szCs w:val="72"/>
        </w:rPr>
      </w:pPr>
    </w:p>
    <w:p w14:paraId="60D1E4BD">
      <w:pPr>
        <w:pStyle w:val="15"/>
        <w:spacing w:line="360" w:lineRule="auto"/>
        <w:jc w:val="center"/>
        <w:rPr>
          <w:rFonts w:ascii="Times New Roman" w:hAnsi="Times New Roman" w:eastAsia="方正小标宋_GBK" w:cs="Times New Roman"/>
          <w:sz w:val="52"/>
          <w:szCs w:val="52"/>
        </w:rPr>
      </w:pPr>
    </w:p>
    <w:p w14:paraId="241730A3">
      <w:pPr>
        <w:pStyle w:val="15"/>
        <w:spacing w:line="360" w:lineRule="auto"/>
        <w:jc w:val="center"/>
        <w:rPr>
          <w:rFonts w:ascii="Times New Roman" w:hAnsi="Times New Roman" w:eastAsia="方正小标宋_GBK" w:cs="Times New Roman"/>
          <w:sz w:val="52"/>
          <w:szCs w:val="52"/>
        </w:rPr>
      </w:pPr>
    </w:p>
    <w:p w14:paraId="44159E8B">
      <w:pPr>
        <w:pStyle w:val="15"/>
        <w:spacing w:line="360" w:lineRule="auto"/>
        <w:jc w:val="center"/>
        <w:rPr>
          <w:rFonts w:ascii="Times New Roman" w:hAnsi="Times New Roman" w:eastAsia="方正小标宋_GBK" w:cs="Times New Roman"/>
          <w:sz w:val="52"/>
          <w:szCs w:val="52"/>
        </w:rPr>
      </w:pPr>
    </w:p>
    <w:p w14:paraId="5E9C5C96">
      <w:pPr>
        <w:pStyle w:val="15"/>
        <w:spacing w:line="360" w:lineRule="auto"/>
        <w:jc w:val="center"/>
        <w:rPr>
          <w:rFonts w:ascii="Times New Roman" w:hAnsi="Times New Roman" w:eastAsia="方正小标宋_GBK" w:cs="Times New Roman"/>
          <w:sz w:val="52"/>
          <w:szCs w:val="52"/>
        </w:rPr>
      </w:pPr>
    </w:p>
    <w:p w14:paraId="7C8DC031">
      <w:pPr>
        <w:pStyle w:val="15"/>
        <w:spacing w:line="360" w:lineRule="auto"/>
        <w:jc w:val="center"/>
        <w:rPr>
          <w:rFonts w:ascii="Times New Roman" w:hAnsi="Times New Roman" w:eastAsia="方正小标宋_GBK" w:cs="Times New Roman"/>
          <w:sz w:val="52"/>
          <w:szCs w:val="52"/>
        </w:rPr>
      </w:pPr>
    </w:p>
    <w:p w14:paraId="7F7106E2">
      <w:pPr>
        <w:pStyle w:val="15"/>
        <w:spacing w:line="360" w:lineRule="auto"/>
        <w:jc w:val="center"/>
        <w:rPr>
          <w:rFonts w:ascii="Times New Roman" w:hAnsi="Times New Roman" w:eastAsia="方正小标宋_GBK" w:cs="Times New Roman"/>
          <w:sz w:val="52"/>
          <w:szCs w:val="52"/>
        </w:rPr>
      </w:pPr>
    </w:p>
    <w:p w14:paraId="4B97163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16AD642">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怀化市文化馆</w:t>
      </w:r>
      <w:r>
        <w:rPr>
          <w:rFonts w:ascii="Times New Roman" w:hAnsi="Times New Roman" w:eastAsia="方正小标宋_GBK" w:cs="Times New Roman"/>
          <w:sz w:val="52"/>
          <w:szCs w:val="52"/>
        </w:rPr>
        <w:t>概况</w:t>
      </w:r>
    </w:p>
    <w:p w14:paraId="39A6E0F9">
      <w:pPr>
        <w:pStyle w:val="5"/>
        <w:ind w:left="0" w:leftChars="0" w:firstLine="0" w:firstLineChars="0"/>
        <w:rPr>
          <w:rFonts w:ascii="Times New Roman" w:hAnsi="Times New Roman" w:cs="Times New Roman"/>
        </w:rPr>
      </w:pPr>
    </w:p>
    <w:p w14:paraId="45136830">
      <w:pPr>
        <w:pStyle w:val="16"/>
        <w:spacing w:line="600" w:lineRule="exact"/>
        <w:ind w:firstLine="0" w:firstLineChars="0"/>
        <w:jc w:val="left"/>
        <w:rPr>
          <w:rFonts w:hint="eastAsia" w:ascii="Times New Roman" w:hAnsi="Times New Roman" w:eastAsia="黑体" w:cs="Times New Roman"/>
          <w:sz w:val="32"/>
          <w:szCs w:val="32"/>
        </w:rPr>
      </w:pPr>
    </w:p>
    <w:p w14:paraId="09B094B5">
      <w:pPr>
        <w:pStyle w:val="16"/>
        <w:spacing w:line="600" w:lineRule="exact"/>
        <w:ind w:firstLine="0" w:firstLineChars="0"/>
        <w:jc w:val="left"/>
        <w:rPr>
          <w:rFonts w:hint="eastAsia" w:ascii="Times New Roman" w:hAnsi="Times New Roman" w:eastAsia="黑体" w:cs="Times New Roman"/>
          <w:sz w:val="32"/>
          <w:szCs w:val="32"/>
        </w:rPr>
      </w:pPr>
    </w:p>
    <w:p w14:paraId="61322962">
      <w:pPr>
        <w:pStyle w:val="16"/>
        <w:spacing w:line="600" w:lineRule="exact"/>
        <w:ind w:firstLine="0" w:firstLineChars="0"/>
        <w:jc w:val="left"/>
        <w:rPr>
          <w:rFonts w:hint="eastAsia" w:ascii="Times New Roman" w:hAnsi="Times New Roman" w:eastAsia="黑体" w:cs="Times New Roman"/>
          <w:sz w:val="32"/>
          <w:szCs w:val="32"/>
        </w:rPr>
      </w:pPr>
    </w:p>
    <w:p w14:paraId="13029310">
      <w:pPr>
        <w:pStyle w:val="16"/>
        <w:spacing w:line="600" w:lineRule="exact"/>
        <w:ind w:firstLine="0" w:firstLineChars="0"/>
        <w:jc w:val="left"/>
        <w:rPr>
          <w:rFonts w:hint="eastAsia" w:ascii="Times New Roman" w:hAnsi="Times New Roman" w:eastAsia="黑体" w:cs="Times New Roman"/>
          <w:sz w:val="32"/>
          <w:szCs w:val="32"/>
        </w:rPr>
      </w:pPr>
    </w:p>
    <w:p w14:paraId="531BBD54">
      <w:pPr>
        <w:pStyle w:val="16"/>
        <w:spacing w:line="600" w:lineRule="exact"/>
        <w:ind w:firstLine="0" w:firstLineChars="0"/>
        <w:jc w:val="left"/>
        <w:rPr>
          <w:rFonts w:hint="eastAsia" w:ascii="Times New Roman" w:hAnsi="Times New Roman" w:eastAsia="黑体" w:cs="Times New Roman"/>
          <w:sz w:val="32"/>
          <w:szCs w:val="32"/>
        </w:rPr>
      </w:pPr>
    </w:p>
    <w:p w14:paraId="799CA50B">
      <w:pPr>
        <w:pStyle w:val="16"/>
        <w:spacing w:line="600" w:lineRule="exact"/>
        <w:ind w:firstLine="0" w:firstLineChars="0"/>
        <w:jc w:val="left"/>
        <w:rPr>
          <w:rFonts w:hint="eastAsia" w:ascii="Times New Roman" w:hAnsi="Times New Roman" w:eastAsia="黑体" w:cs="Times New Roman"/>
          <w:sz w:val="32"/>
          <w:szCs w:val="32"/>
        </w:rPr>
      </w:pPr>
    </w:p>
    <w:p w14:paraId="3EFC8DBD">
      <w:pPr>
        <w:pStyle w:val="16"/>
        <w:spacing w:line="600" w:lineRule="exact"/>
        <w:ind w:firstLine="0" w:firstLineChars="0"/>
        <w:jc w:val="left"/>
        <w:rPr>
          <w:rFonts w:hint="eastAsia" w:ascii="Times New Roman" w:hAnsi="Times New Roman" w:eastAsia="黑体" w:cs="Times New Roman"/>
          <w:sz w:val="32"/>
          <w:szCs w:val="32"/>
        </w:rPr>
      </w:pPr>
    </w:p>
    <w:p w14:paraId="1FF5103F">
      <w:pPr>
        <w:pStyle w:val="16"/>
        <w:spacing w:line="600" w:lineRule="exact"/>
        <w:ind w:firstLine="0" w:firstLineChars="0"/>
        <w:jc w:val="left"/>
        <w:rPr>
          <w:rFonts w:hint="eastAsia" w:ascii="Times New Roman" w:hAnsi="Times New Roman" w:eastAsia="黑体" w:cs="Times New Roman"/>
          <w:sz w:val="32"/>
          <w:szCs w:val="32"/>
        </w:rPr>
      </w:pPr>
    </w:p>
    <w:p w14:paraId="5362F6B6">
      <w:pPr>
        <w:pStyle w:val="16"/>
        <w:spacing w:line="600" w:lineRule="exact"/>
        <w:ind w:firstLine="0" w:firstLineChars="0"/>
        <w:jc w:val="left"/>
        <w:rPr>
          <w:rFonts w:hint="eastAsia" w:ascii="Times New Roman" w:hAnsi="Times New Roman" w:eastAsia="黑体" w:cs="Times New Roman"/>
          <w:sz w:val="32"/>
          <w:szCs w:val="32"/>
        </w:rPr>
      </w:pPr>
    </w:p>
    <w:p w14:paraId="5EA5521B">
      <w:pPr>
        <w:pStyle w:val="16"/>
        <w:spacing w:line="600" w:lineRule="exact"/>
        <w:ind w:firstLine="0" w:firstLineChars="0"/>
        <w:jc w:val="left"/>
        <w:rPr>
          <w:rFonts w:hint="eastAsia" w:ascii="Times New Roman" w:hAnsi="Times New Roman" w:eastAsia="黑体" w:cs="Times New Roman"/>
          <w:sz w:val="32"/>
          <w:szCs w:val="32"/>
        </w:rPr>
      </w:pPr>
    </w:p>
    <w:p w14:paraId="6A669C26">
      <w:pPr>
        <w:pStyle w:val="16"/>
        <w:spacing w:line="600" w:lineRule="exact"/>
        <w:ind w:firstLine="0" w:firstLineChars="0"/>
        <w:jc w:val="left"/>
        <w:rPr>
          <w:rFonts w:hint="eastAsia" w:ascii="Times New Roman" w:hAnsi="Times New Roman" w:eastAsia="黑体" w:cs="Times New Roman"/>
          <w:sz w:val="32"/>
          <w:szCs w:val="32"/>
        </w:rPr>
      </w:pPr>
    </w:p>
    <w:p w14:paraId="66CDC208">
      <w:pPr>
        <w:pStyle w:val="16"/>
        <w:spacing w:line="600" w:lineRule="exact"/>
        <w:ind w:firstLine="0" w:firstLineChars="0"/>
        <w:jc w:val="left"/>
        <w:rPr>
          <w:rFonts w:hint="eastAsia" w:ascii="Times New Roman" w:hAnsi="Times New Roman" w:eastAsia="黑体" w:cs="Times New Roman"/>
          <w:sz w:val="32"/>
          <w:szCs w:val="32"/>
        </w:rPr>
      </w:pPr>
    </w:p>
    <w:p w14:paraId="35A1D5B4">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012A2AC">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default" w:ascii="Times New Roman" w:hAnsi="Times New Roman" w:eastAsia="仿宋_GB2312" w:cs="仿宋_GB2312"/>
          <w:bCs/>
          <w:kern w:val="0"/>
          <w:sz w:val="32"/>
          <w:szCs w:val="32"/>
          <w:lang w:val="en-US" w:eastAsia="zh-CN"/>
        </w:rPr>
        <w:t>1、负责承办市委、市政府、市委宣传部和市文体广新局交办的文化艺术活动等工作；负责策划、组织、开展各类群众性文化艺术活动。</w:t>
      </w:r>
    </w:p>
    <w:p w14:paraId="36100F13">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default" w:ascii="Times New Roman" w:hAnsi="Times New Roman" w:eastAsia="仿宋_GB2312" w:cs="仿宋_GB2312"/>
          <w:bCs/>
          <w:kern w:val="0"/>
          <w:sz w:val="32"/>
          <w:szCs w:val="32"/>
          <w:lang w:val="en-US" w:eastAsia="zh-CN"/>
        </w:rPr>
        <w:t>2、负责指导全市各县（市、区）文化馆、专业剧团、文化站业务工作及对其业务干部进行培训；负责辅导、培训基层群众文化艺术业务骨干，开展相关社会文化服务工作。</w:t>
      </w:r>
    </w:p>
    <w:p w14:paraId="632C92E5">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default" w:ascii="Times New Roman" w:hAnsi="Times New Roman" w:eastAsia="仿宋_GB2312" w:cs="仿宋_GB2312"/>
          <w:bCs/>
          <w:kern w:val="0"/>
          <w:sz w:val="32"/>
          <w:szCs w:val="32"/>
          <w:lang w:val="en-US" w:eastAsia="zh-CN"/>
        </w:rPr>
        <w:t>3、负责指导、开展各类群众文化艺术创作工作。</w:t>
      </w:r>
    </w:p>
    <w:p w14:paraId="15CAA6F7">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default" w:ascii="Times New Roman" w:hAnsi="Times New Roman" w:eastAsia="仿宋_GB2312" w:cs="仿宋_GB2312"/>
          <w:bCs/>
          <w:kern w:val="0"/>
          <w:sz w:val="32"/>
          <w:szCs w:val="32"/>
          <w:lang w:val="en-US" w:eastAsia="zh-CN"/>
        </w:rPr>
        <w:t>4、负责开展各艺术门类的培训工作和艺术教育工作。</w:t>
      </w:r>
    </w:p>
    <w:p w14:paraId="026D2922">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default" w:ascii="Times New Roman" w:hAnsi="Times New Roman" w:eastAsia="仿宋_GB2312" w:cs="仿宋_GB2312"/>
          <w:bCs/>
          <w:kern w:val="0"/>
          <w:sz w:val="32"/>
          <w:szCs w:val="32"/>
          <w:lang w:val="en-US" w:eastAsia="zh-CN"/>
        </w:rPr>
        <w:t>5、负责组织、开展艺术理论研究和学术探讨活动。</w:t>
      </w:r>
    </w:p>
    <w:p w14:paraId="79D31593">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default" w:ascii="Times New Roman" w:hAnsi="Times New Roman" w:eastAsia="仿宋_GB2312" w:cs="仿宋_GB2312"/>
          <w:bCs/>
          <w:kern w:val="0"/>
          <w:sz w:val="32"/>
          <w:szCs w:val="32"/>
          <w:lang w:val="en-US" w:eastAsia="zh-CN"/>
        </w:rPr>
        <w:t>6、完成主管部门交办的其他工作。</w:t>
      </w:r>
    </w:p>
    <w:p w14:paraId="17389FE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65A0B13">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怀化市文化馆</w:t>
      </w:r>
      <w:r>
        <w:rPr>
          <w:rFonts w:ascii="Times New Roman" w:hAnsi="Times New Roman" w:eastAsia="仿宋_GB2312" w:cs="Times New Roman"/>
          <w:bCs/>
          <w:kern w:val="0"/>
          <w:sz w:val="32"/>
          <w:szCs w:val="32"/>
        </w:rPr>
        <w:t>内设机构包括：</w:t>
      </w:r>
      <w:r>
        <w:rPr>
          <w:rFonts w:hint="default" w:ascii="Times New Roman" w:hAnsi="Times New Roman" w:eastAsia="仿宋_GB2312" w:cs="仿宋_GB2312"/>
          <w:bCs/>
          <w:kern w:val="0"/>
          <w:sz w:val="32"/>
          <w:szCs w:val="32"/>
          <w:lang w:val="en-US" w:eastAsia="zh-CN"/>
        </w:rPr>
        <w:t>艺术活动部、艺术创作部、文化艺术研究部、文化艺术拓展部、党群办（艺术培训部）、办公室（数字化部）六个部室。</w:t>
      </w:r>
    </w:p>
    <w:p w14:paraId="2E1FEEF5">
      <w:pPr>
        <w:jc w:val="left"/>
        <w:rPr>
          <w:rFonts w:ascii="Times New Roman" w:hAnsi="Times New Roman" w:eastAsia="黑体" w:cs="Times New Roman"/>
          <w:sz w:val="28"/>
          <w:szCs w:val="28"/>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怀化市文化馆</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default" w:ascii="Times New Roman" w:hAnsi="Times New Roman" w:eastAsia="仿宋_GB2312" w:cs="仿宋_GB2312"/>
          <w:bCs/>
          <w:kern w:val="0"/>
          <w:sz w:val="32"/>
          <w:szCs w:val="32"/>
          <w:lang w:val="en-US" w:eastAsia="zh-CN"/>
        </w:rPr>
        <w:t>怀化市</w:t>
      </w:r>
      <w:r>
        <w:rPr>
          <w:rFonts w:hint="eastAsia" w:ascii="Times New Roman" w:hAnsi="Times New Roman" w:eastAsia="仿宋_GB2312" w:cs="仿宋_GB2312"/>
          <w:bCs/>
          <w:kern w:val="0"/>
          <w:sz w:val="32"/>
          <w:szCs w:val="32"/>
          <w:lang w:val="en-US" w:eastAsia="zh-CN"/>
        </w:rPr>
        <w:t>文化</w:t>
      </w:r>
      <w:r>
        <w:rPr>
          <w:rFonts w:hint="default" w:ascii="Times New Roman" w:hAnsi="Times New Roman" w:eastAsia="仿宋_GB2312" w:cs="仿宋_GB2312"/>
          <w:bCs/>
          <w:kern w:val="0"/>
          <w:sz w:val="32"/>
          <w:szCs w:val="32"/>
          <w:lang w:val="en-US" w:eastAsia="zh-CN"/>
        </w:rPr>
        <w:t>馆本级。</w:t>
      </w:r>
    </w:p>
    <w:p w14:paraId="005BDB1C">
      <w:pPr>
        <w:jc w:val="center"/>
        <w:rPr>
          <w:rFonts w:ascii="Times New Roman" w:hAnsi="Times New Roman" w:eastAsia="黑体" w:cs="Times New Roman"/>
          <w:sz w:val="28"/>
          <w:szCs w:val="28"/>
        </w:rPr>
      </w:pPr>
    </w:p>
    <w:p w14:paraId="594CBC45">
      <w:pPr>
        <w:jc w:val="center"/>
        <w:rPr>
          <w:rFonts w:ascii="Times New Roman" w:hAnsi="Times New Roman" w:eastAsia="黑体" w:cs="Times New Roman"/>
          <w:sz w:val="28"/>
          <w:szCs w:val="28"/>
        </w:rPr>
      </w:pPr>
    </w:p>
    <w:p w14:paraId="6ECFCDDB">
      <w:pPr>
        <w:jc w:val="center"/>
        <w:rPr>
          <w:rFonts w:ascii="Times New Roman" w:hAnsi="Times New Roman" w:eastAsia="黑体" w:cs="Times New Roman"/>
          <w:sz w:val="28"/>
          <w:szCs w:val="28"/>
        </w:rPr>
      </w:pPr>
    </w:p>
    <w:p w14:paraId="689A9EDD">
      <w:pPr>
        <w:jc w:val="center"/>
        <w:rPr>
          <w:rFonts w:ascii="Times New Roman" w:hAnsi="Times New Roman" w:eastAsia="黑体" w:cs="Times New Roman"/>
          <w:sz w:val="28"/>
          <w:szCs w:val="28"/>
        </w:rPr>
      </w:pPr>
    </w:p>
    <w:p w14:paraId="5239E454">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3F7BB72">
      <w:pPr>
        <w:pStyle w:val="15"/>
        <w:numPr>
          <w:ilvl w:val="0"/>
          <w:numId w:val="1"/>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14:paraId="7A433A73">
      <w:pPr>
        <w:pStyle w:val="15"/>
        <w:numPr>
          <w:ilvl w:val="0"/>
          <w:numId w:val="0"/>
        </w:numPr>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r>
        <w:rPr>
          <w:rFonts w:hint="eastAsia" w:ascii="Times New Roman" w:hAnsi="Times New Roman" w:eastAsia="方正小标宋_GBK" w:cs="Times New Roman"/>
          <w:sz w:val="52"/>
          <w:szCs w:val="52"/>
          <w:lang w:val="en-US" w:eastAsia="zh-CN"/>
        </w:rPr>
        <w:t xml:space="preserve">          </w:t>
      </w:r>
      <w:r>
        <w:rPr>
          <w:rFonts w:ascii="Times New Roman" w:hAnsi="Times New Roman" w:eastAsia="方正小标宋_GBK" w:cs="Times New Roman"/>
          <w:sz w:val="52"/>
          <w:szCs w:val="52"/>
        </w:rPr>
        <w:t>部门决算表</w:t>
      </w:r>
    </w:p>
    <w:p w14:paraId="6390682E">
      <w:pPr>
        <w:pStyle w:val="15"/>
        <w:rPr>
          <w:rFonts w:ascii="Times New Roman" w:hAnsi="Times New Roman" w:cs="Times New Roman"/>
          <w:sz w:val="72"/>
          <w:szCs w:val="72"/>
        </w:rPr>
      </w:pPr>
    </w:p>
    <w:p w14:paraId="7CC68DBE">
      <w:pPr>
        <w:pStyle w:val="15"/>
        <w:numPr>
          <w:ilvl w:val="0"/>
          <w:numId w:val="0"/>
        </w:numPr>
        <w:jc w:val="center"/>
        <w:rPr>
          <w:rFonts w:hint="default" w:ascii="Times New Roman" w:hAnsi="Times New Roman" w:eastAsia="方正小标宋_GBK" w:cs="Times New Roman"/>
          <w:b w:val="0"/>
          <w:bCs w:val="0"/>
          <w:sz w:val="44"/>
          <w:szCs w:val="44"/>
          <w:lang w:val="en-US" w:eastAsia="zh-CN"/>
        </w:rPr>
      </w:pPr>
      <w:r>
        <w:rPr>
          <w:rFonts w:hint="eastAsia" w:ascii="Times New Roman" w:hAnsi="Times New Roman" w:eastAsia="方正小标宋_GBK" w:cs="Times New Roman"/>
          <w:b w:val="0"/>
          <w:bCs w:val="0"/>
          <w:sz w:val="44"/>
          <w:szCs w:val="44"/>
          <w:lang w:val="en-US" w:eastAsia="zh-CN"/>
        </w:rPr>
        <w:t>见附件二</w:t>
      </w:r>
    </w:p>
    <w:p w14:paraId="6B3AEB65">
      <w:pPr>
        <w:pStyle w:val="15"/>
        <w:rPr>
          <w:rFonts w:ascii="Times New Roman" w:hAnsi="Times New Roman" w:cs="Times New Roman"/>
          <w:sz w:val="72"/>
          <w:szCs w:val="72"/>
        </w:rPr>
      </w:pPr>
    </w:p>
    <w:p w14:paraId="605654D1">
      <w:pPr>
        <w:pStyle w:val="15"/>
        <w:jc w:val="center"/>
        <w:rPr>
          <w:rFonts w:ascii="Times New Roman" w:hAnsi="Times New Roman" w:cs="Times New Roman"/>
          <w:sz w:val="72"/>
          <w:szCs w:val="72"/>
        </w:rPr>
      </w:pPr>
    </w:p>
    <w:p w14:paraId="323554B5">
      <w:pPr>
        <w:pStyle w:val="15"/>
        <w:jc w:val="center"/>
        <w:rPr>
          <w:rFonts w:ascii="Times New Roman" w:hAnsi="Times New Roman" w:eastAsia="方正小标宋_GBK" w:cs="Times New Roman"/>
          <w:sz w:val="72"/>
          <w:szCs w:val="72"/>
        </w:rPr>
      </w:pPr>
    </w:p>
    <w:p w14:paraId="5DEABB59">
      <w:pPr>
        <w:pStyle w:val="15"/>
        <w:spacing w:line="360" w:lineRule="auto"/>
        <w:jc w:val="center"/>
        <w:rPr>
          <w:rFonts w:ascii="Times New Roman" w:hAnsi="Times New Roman" w:eastAsia="方正小标宋_GBK" w:cs="Times New Roman"/>
          <w:sz w:val="52"/>
          <w:szCs w:val="52"/>
        </w:rPr>
      </w:pPr>
    </w:p>
    <w:p w14:paraId="451F8950">
      <w:pPr>
        <w:pStyle w:val="15"/>
        <w:spacing w:line="360" w:lineRule="auto"/>
        <w:jc w:val="center"/>
        <w:rPr>
          <w:rFonts w:ascii="Times New Roman" w:hAnsi="Times New Roman" w:eastAsia="方正小标宋_GBK" w:cs="Times New Roman"/>
          <w:sz w:val="52"/>
          <w:szCs w:val="52"/>
        </w:rPr>
      </w:pPr>
    </w:p>
    <w:p w14:paraId="5690EE8E">
      <w:pPr>
        <w:pStyle w:val="15"/>
        <w:spacing w:line="360" w:lineRule="auto"/>
        <w:jc w:val="center"/>
        <w:rPr>
          <w:rFonts w:ascii="Times New Roman" w:hAnsi="Times New Roman" w:eastAsia="方正小标宋_GBK" w:cs="Times New Roman"/>
          <w:sz w:val="52"/>
          <w:szCs w:val="52"/>
        </w:rPr>
      </w:pPr>
    </w:p>
    <w:p w14:paraId="293B46A5">
      <w:pPr>
        <w:pStyle w:val="15"/>
        <w:spacing w:line="360" w:lineRule="auto"/>
        <w:jc w:val="center"/>
        <w:rPr>
          <w:rFonts w:ascii="Times New Roman" w:hAnsi="Times New Roman" w:eastAsia="方正小标宋_GBK" w:cs="Times New Roman"/>
          <w:sz w:val="52"/>
          <w:szCs w:val="52"/>
        </w:rPr>
      </w:pPr>
    </w:p>
    <w:p w14:paraId="7F0BBD73">
      <w:pPr>
        <w:pStyle w:val="15"/>
        <w:spacing w:line="360" w:lineRule="auto"/>
        <w:jc w:val="center"/>
        <w:rPr>
          <w:rFonts w:ascii="Times New Roman" w:hAnsi="Times New Roman" w:eastAsia="方正小标宋_GBK" w:cs="Times New Roman"/>
          <w:sz w:val="52"/>
          <w:szCs w:val="52"/>
        </w:rPr>
      </w:pPr>
    </w:p>
    <w:p w14:paraId="739455FC">
      <w:pPr>
        <w:pStyle w:val="15"/>
        <w:spacing w:line="360" w:lineRule="auto"/>
        <w:jc w:val="center"/>
        <w:rPr>
          <w:rFonts w:ascii="Times New Roman" w:hAnsi="Times New Roman" w:eastAsia="方正小标宋_GBK" w:cs="Times New Roman"/>
          <w:sz w:val="52"/>
          <w:szCs w:val="52"/>
        </w:rPr>
      </w:pPr>
    </w:p>
    <w:p w14:paraId="37075882">
      <w:pPr>
        <w:pStyle w:val="15"/>
        <w:spacing w:line="360" w:lineRule="auto"/>
        <w:jc w:val="center"/>
        <w:rPr>
          <w:rFonts w:ascii="Times New Roman" w:hAnsi="Times New Roman" w:eastAsia="方正小标宋_GBK" w:cs="Times New Roman"/>
          <w:sz w:val="52"/>
          <w:szCs w:val="52"/>
        </w:rPr>
      </w:pPr>
    </w:p>
    <w:p w14:paraId="3DF19457">
      <w:pPr>
        <w:pStyle w:val="15"/>
        <w:spacing w:line="360" w:lineRule="auto"/>
        <w:jc w:val="center"/>
        <w:rPr>
          <w:rFonts w:ascii="Times New Roman" w:hAnsi="Times New Roman" w:eastAsia="方正小标宋_GBK" w:cs="Times New Roman"/>
          <w:sz w:val="52"/>
          <w:szCs w:val="52"/>
        </w:rPr>
      </w:pPr>
    </w:p>
    <w:p w14:paraId="5DDE9694">
      <w:pPr>
        <w:pStyle w:val="15"/>
        <w:spacing w:line="360" w:lineRule="auto"/>
        <w:jc w:val="center"/>
        <w:rPr>
          <w:rFonts w:ascii="Times New Roman" w:hAnsi="Times New Roman" w:eastAsia="方正小标宋_GBK" w:cs="Times New Roman"/>
          <w:sz w:val="52"/>
          <w:szCs w:val="52"/>
        </w:rPr>
      </w:pPr>
    </w:p>
    <w:p w14:paraId="7CDF6FF0">
      <w:pPr>
        <w:pStyle w:val="15"/>
        <w:spacing w:line="360" w:lineRule="auto"/>
        <w:jc w:val="center"/>
        <w:rPr>
          <w:rFonts w:ascii="Times New Roman" w:hAnsi="Times New Roman" w:eastAsia="方正小标宋_GBK" w:cs="Times New Roman"/>
          <w:sz w:val="52"/>
          <w:szCs w:val="52"/>
        </w:rPr>
      </w:pPr>
    </w:p>
    <w:p w14:paraId="2BB8B057">
      <w:pPr>
        <w:pStyle w:val="15"/>
        <w:spacing w:line="360" w:lineRule="auto"/>
        <w:jc w:val="center"/>
        <w:rPr>
          <w:rFonts w:ascii="Times New Roman" w:hAnsi="Times New Roman" w:eastAsia="方正小标宋_GBK" w:cs="Times New Roman"/>
          <w:sz w:val="52"/>
          <w:szCs w:val="52"/>
        </w:rPr>
      </w:pPr>
    </w:p>
    <w:p w14:paraId="38D5288A">
      <w:pPr>
        <w:pStyle w:val="15"/>
        <w:spacing w:line="360" w:lineRule="auto"/>
        <w:jc w:val="center"/>
        <w:rPr>
          <w:rFonts w:ascii="Times New Roman" w:hAnsi="Times New Roman" w:eastAsia="方正小标宋_GBK" w:cs="Times New Roman"/>
          <w:sz w:val="52"/>
          <w:szCs w:val="52"/>
        </w:rPr>
      </w:pPr>
    </w:p>
    <w:p w14:paraId="104E8EA8">
      <w:pPr>
        <w:pStyle w:val="15"/>
        <w:spacing w:line="360" w:lineRule="auto"/>
        <w:jc w:val="center"/>
        <w:rPr>
          <w:rFonts w:ascii="Times New Roman" w:hAnsi="Times New Roman" w:eastAsia="方正小标宋_GBK" w:cs="Times New Roman"/>
          <w:sz w:val="52"/>
          <w:szCs w:val="52"/>
        </w:rPr>
      </w:pPr>
    </w:p>
    <w:p w14:paraId="6BA4BE82">
      <w:pPr>
        <w:pStyle w:val="15"/>
        <w:spacing w:line="360" w:lineRule="auto"/>
        <w:jc w:val="center"/>
        <w:rPr>
          <w:rFonts w:ascii="Times New Roman" w:hAnsi="Times New Roman" w:eastAsia="方正小标宋_GBK" w:cs="Times New Roman"/>
          <w:sz w:val="52"/>
          <w:szCs w:val="52"/>
        </w:rPr>
      </w:pPr>
    </w:p>
    <w:p w14:paraId="397B68BA">
      <w:pPr>
        <w:pStyle w:val="15"/>
        <w:spacing w:line="360" w:lineRule="auto"/>
        <w:jc w:val="center"/>
        <w:rPr>
          <w:rFonts w:ascii="Times New Roman" w:hAnsi="Times New Roman" w:eastAsia="方正小标宋_GBK" w:cs="Times New Roman"/>
          <w:sz w:val="52"/>
          <w:szCs w:val="52"/>
        </w:rPr>
      </w:pPr>
    </w:p>
    <w:p w14:paraId="3BE5698B">
      <w:pPr>
        <w:pStyle w:val="15"/>
        <w:spacing w:line="360" w:lineRule="auto"/>
        <w:jc w:val="center"/>
        <w:rPr>
          <w:rFonts w:ascii="Times New Roman" w:hAnsi="Times New Roman" w:eastAsia="方正小标宋_GBK" w:cs="Times New Roman"/>
          <w:sz w:val="52"/>
          <w:szCs w:val="52"/>
        </w:rPr>
      </w:pPr>
    </w:p>
    <w:p w14:paraId="11A21B41">
      <w:pPr>
        <w:pStyle w:val="15"/>
        <w:spacing w:line="360" w:lineRule="auto"/>
        <w:jc w:val="center"/>
        <w:rPr>
          <w:rFonts w:ascii="Times New Roman" w:hAnsi="Times New Roman" w:eastAsia="方正小标宋_GBK" w:cs="Times New Roman"/>
          <w:sz w:val="52"/>
          <w:szCs w:val="52"/>
        </w:rPr>
      </w:pPr>
    </w:p>
    <w:p w14:paraId="2054DEB4">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18E303A">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515CC5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B5F704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6B50AA1">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879.49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98.72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12.64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一般公共服务支出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基本支出及项目支出增加</w:t>
      </w:r>
      <w:r>
        <w:rPr>
          <w:rFonts w:hint="eastAsia" w:ascii="Times New Roman" w:hAnsi="Times New Roman" w:eastAsia="仿宋_GB2312" w:cs="Times New Roman"/>
          <w:sz w:val="32"/>
          <w:szCs w:val="32"/>
          <w:lang w:eastAsia="zh-CN"/>
        </w:rPr>
        <w:t>。</w:t>
      </w:r>
    </w:p>
    <w:p w14:paraId="5B8245A2">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color w:val="auto"/>
          <w:sz w:val="32"/>
          <w:szCs w:val="32"/>
          <w:lang w:val="en-US" w:eastAsia="zh-CN"/>
        </w:rPr>
        <w:t>保工资</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保运作</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保基本民生</w:t>
      </w:r>
      <w:r>
        <w:rPr>
          <w:rFonts w:hint="eastAsia" w:ascii="Times New Roman" w:hAnsi="Times New Roman" w:eastAsia="仿宋_GB2312" w:cs="Times New Roman"/>
          <w:color w:val="auto"/>
          <w:sz w:val="32"/>
          <w:szCs w:val="32"/>
          <w:lang w:eastAsia="zh-CN"/>
        </w:rPr>
        <w:t>等重点支出，体现在有关支出科目中。</w:t>
      </w:r>
    </w:p>
    <w:p w14:paraId="5BF43933">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BF5BB5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879.49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879.49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其他收入。</w:t>
      </w:r>
    </w:p>
    <w:p w14:paraId="47B445E8">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5D9058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879.49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645.23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73.36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234.27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26.64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对附属单位补助支出。</w:t>
      </w:r>
    </w:p>
    <w:p w14:paraId="7B0AEA8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75B149D">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879.49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98.72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12.64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人员经费及项目支出拨款增加。</w:t>
      </w:r>
    </w:p>
    <w:p w14:paraId="267E7FD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445778F">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36043EB">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879.49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98.72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12.64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工资福利支出及项目支出增加。</w:t>
      </w:r>
    </w:p>
    <w:p w14:paraId="44598D49">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A18D1F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879.49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54.79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750.45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85.33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49.12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19.63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0.62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F59453E">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1D208C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673.3</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879.49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130.62</w:t>
      </w:r>
      <w:r>
        <w:rPr>
          <w:rFonts w:ascii="Times New Roman" w:hAnsi="Times New Roman" w:eastAsia="仿宋_GB2312" w:cs="Times New Roman"/>
          <w:sz w:val="32"/>
          <w:szCs w:val="32"/>
        </w:rPr>
        <w:t>%，其中：</w:t>
      </w:r>
    </w:p>
    <w:p w14:paraId="71D404A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602525A4">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54.79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追加工资福利支出49.79万元、项目支出原创大合唱歌曲《和平颂》录制经费5万元。</w:t>
      </w:r>
    </w:p>
    <w:p w14:paraId="7872C74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0972FF2E">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505.36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521.18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103.13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基本持平，主要用于在职人员工资、津贴补贴、奖金、伙食补助费、其他社会保障缴费、退休人员一次性生活补助及办公费、差旅费、劳务费、委托业务费、工会经费等公用支出。</w:t>
      </w:r>
    </w:p>
    <w:p w14:paraId="40876CE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群众文化</w:t>
      </w:r>
      <w:r>
        <w:rPr>
          <w:rFonts w:ascii="Times New Roman" w:hAnsi="Times New Roman" w:eastAsia="仿宋_GB2312" w:cs="Times New Roman"/>
          <w:sz w:val="32"/>
          <w:szCs w:val="32"/>
        </w:rPr>
        <w:t>（项）。</w:t>
      </w:r>
    </w:p>
    <w:p w14:paraId="0B5A9405">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84.62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年初预算项目《怀化公共文化》内刊费5万元，因资金未拨付，项目未开展。</w:t>
      </w:r>
    </w:p>
    <w:p w14:paraId="0449681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其他文化和旅游支出</w:t>
      </w:r>
      <w:r>
        <w:rPr>
          <w:rFonts w:ascii="Times New Roman" w:hAnsi="Times New Roman" w:eastAsia="仿宋_GB2312" w:cs="Times New Roman"/>
          <w:sz w:val="32"/>
          <w:szCs w:val="32"/>
        </w:rPr>
        <w:t>（项）。</w:t>
      </w:r>
    </w:p>
    <w:p w14:paraId="155EA130">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167.14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追加项目支出47万元，分别为2025年中央及省级补助地方免费开放专项资金42万元、“原创群舞《侗千锤》提质创作费”5万元。</w:t>
      </w:r>
    </w:p>
    <w:p w14:paraId="4F3B44A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（项）。</w:t>
      </w:r>
    </w:p>
    <w:p w14:paraId="223FA1F0">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84.77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追加项目支出“怀化市迎新春各界人士座谈会文艺演出经费”8.56万元、怀化市文化馆《乡村欢歌》文艺创作经费1.98万元、文化馆业务用房装修5万元、省旅发大会市文化馆巫傩文化展演经费预备费（LFDH）49.43万元、“数看五溪”怀化市特色资源库建设项目9.8万元及2025年第二批中央支持地方公共文化服务体系建设补助资金（怀化市文化和旅游公共服务产品采购会）10万元。</w:t>
      </w:r>
    </w:p>
    <w:p w14:paraId="1B375D8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行政单位离退休</w:t>
      </w:r>
      <w:r>
        <w:rPr>
          <w:rFonts w:ascii="Times New Roman" w:hAnsi="Times New Roman" w:eastAsia="仿宋_GB2312" w:cs="Times New Roman"/>
          <w:sz w:val="32"/>
          <w:szCs w:val="32"/>
        </w:rPr>
        <w:t>（项）。</w:t>
      </w:r>
    </w:p>
    <w:p w14:paraId="140C26DA">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46.91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年初预算</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val="en-US" w:eastAsia="zh-CN"/>
        </w:rPr>
        <w:t>功能科目调整。</w:t>
      </w:r>
    </w:p>
    <w:p w14:paraId="7BDAEA5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61372E1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49.12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支付</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val="en-US" w:eastAsia="zh-CN"/>
        </w:rPr>
        <w:t>功能科目调整，由</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行政单位离退休</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2080501</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调整为</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2080505</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p>
    <w:p w14:paraId="376B437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4BDA857D">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18.57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19.63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105.71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val="en-US" w:eastAsia="zh-CN"/>
        </w:rPr>
        <w:t>基本持平，</w:t>
      </w:r>
      <w:r>
        <w:rPr>
          <w:rFonts w:ascii="Times New Roman" w:hAnsi="Times New Roman" w:eastAsia="仿宋_GB2312" w:cs="Times New Roman"/>
          <w:sz w:val="32"/>
          <w:szCs w:val="32"/>
        </w:rPr>
        <w:t>主要</w:t>
      </w:r>
      <w:r>
        <w:rPr>
          <w:rFonts w:hint="eastAsia" w:ascii="Times New Roman" w:hAnsi="Times New Roman" w:eastAsia="仿宋_GB2312" w:cs="Times New Roman"/>
          <w:sz w:val="32"/>
          <w:szCs w:val="32"/>
          <w:lang w:val="en-US" w:eastAsia="zh-CN"/>
        </w:rPr>
        <w:t>用于在职人员基本医疗保险缴费。</w:t>
      </w:r>
    </w:p>
    <w:p w14:paraId="1A2D5A0E">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36BA670B">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追加财政配套公积金。</w:t>
      </w:r>
    </w:p>
    <w:p w14:paraId="6D33AE8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按照支出功能分类，文化旅游体育与传媒支出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支出规模较大，2025年度</w:t>
      </w:r>
      <w:r>
        <w:rPr>
          <w:rFonts w:hint="eastAsia" w:ascii="Times New Roman" w:hAnsi="Times New Roman" w:eastAsia="仿宋_GB2312" w:cs="Times New Roman"/>
          <w:sz w:val="32"/>
          <w:szCs w:val="32"/>
          <w:lang w:val="en-US" w:eastAsia="zh-CN"/>
        </w:rPr>
        <w:t>支出</w:t>
      </w:r>
      <w:r>
        <w:rPr>
          <w:rFonts w:hint="eastAsia" w:ascii="Times New Roman" w:hAnsi="Times New Roman" w:eastAsia="仿宋_GB2312" w:cs="Times New Roman"/>
          <w:sz w:val="32"/>
          <w:szCs w:val="32"/>
        </w:rPr>
        <w:t>决算数为</w:t>
      </w:r>
      <w:r>
        <w:rPr>
          <w:rFonts w:hint="eastAsia" w:ascii="Times New Roman" w:hAnsi="Times New Roman" w:eastAsia="仿宋_GB2312" w:cs="Times New Roman"/>
          <w:sz w:val="32"/>
          <w:szCs w:val="32"/>
          <w:lang w:val="en-US" w:eastAsia="zh-CN"/>
        </w:rPr>
        <w:t>750.45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85.33</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主要用于基本支出及2025年中央、省、市级免费开放、省旅发大会市文化馆巫傩文化展演经费预备费（LFDH）及文化馆开展活动场地租金等。</w:t>
      </w:r>
    </w:p>
    <w:p w14:paraId="7E43F78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B3718D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645.23</w:t>
      </w:r>
      <w:r>
        <w:rPr>
          <w:rFonts w:ascii="Times New Roman" w:hAnsi="Times New Roman" w:eastAsia="仿宋_GB2312" w:cs="Times New Roman"/>
          <w:sz w:val="32"/>
          <w:szCs w:val="32"/>
        </w:rPr>
        <w:t>万元，其中：</w:t>
      </w:r>
    </w:p>
    <w:p w14:paraId="747D2F5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607.24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94.11</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、机关事业单位基本养老保险缴费、职工基本医疗保险缴费、住房公积金</w:t>
      </w:r>
      <w:r>
        <w:rPr>
          <w:rFonts w:hint="eastAsia" w:ascii="Times New Roman" w:hAnsi="Times New Roman" w:eastAsia="仿宋_GB2312" w:cs="Times New Roman"/>
          <w:sz w:val="32"/>
          <w:szCs w:val="32"/>
          <w:lang w:val="en-US" w:eastAsia="zh-CN"/>
        </w:rPr>
        <w:t>及离退休人员一次性生活补助等</w:t>
      </w:r>
      <w:r>
        <w:rPr>
          <w:rFonts w:ascii="Times New Roman" w:hAnsi="Times New Roman" w:eastAsia="仿宋_GB2312" w:cs="Times New Roman"/>
          <w:sz w:val="32"/>
          <w:szCs w:val="32"/>
        </w:rPr>
        <w:t>。</w:t>
      </w:r>
    </w:p>
    <w:p w14:paraId="0F39ED19">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37.98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5.89</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差旅费、劳务费、委托业务费、工会经费、福利费等。</w:t>
      </w:r>
    </w:p>
    <w:p w14:paraId="6E1746B3">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AFD2C9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94D75EB">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40.24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的主要原因是年初预算接待费1万元，本年无接待费支出</w:t>
      </w:r>
      <w:r>
        <w:rPr>
          <w:rFonts w:ascii="Times New Roman" w:hAnsi="Times New Roman" w:eastAsia="仿宋_GB2312" w:cs="Times New Roman"/>
          <w:sz w:val="32"/>
          <w:szCs w:val="32"/>
        </w:rPr>
        <w:t>。</w:t>
      </w:r>
    </w:p>
    <w:p w14:paraId="4CB1E3C7">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E936A76">
      <w:pPr>
        <w:pStyle w:val="15"/>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0F2B8CE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40.24</w:t>
      </w:r>
      <w:r>
        <w:rPr>
          <w:rFonts w:ascii="Times New Roman" w:hAnsi="Times New Roman" w:eastAsia="仿宋_GB2312" w:cs="Times New Roman"/>
          <w:sz w:val="32"/>
          <w:szCs w:val="32"/>
        </w:rPr>
        <w:t>%。其中：</w:t>
      </w:r>
    </w:p>
    <w:p w14:paraId="16011D8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2024年、2025年均无</w:t>
      </w:r>
      <w:r>
        <w:rPr>
          <w:rFonts w:ascii="Times New Roman" w:hAnsi="Times New Roman" w:eastAsia="仿宋_GB2312" w:cs="Times New Roman"/>
          <w:sz w:val="32"/>
          <w:szCs w:val="32"/>
        </w:rPr>
        <w:t>公务用车购置费支出；</w:t>
      </w:r>
    </w:p>
    <w:p w14:paraId="29FA1AA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w:t>
      </w:r>
    </w:p>
    <w:p w14:paraId="4149855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用于车辆保险、车辆维修费、购汽油及高速过路费等，</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40.24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408B21BF">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2024年、2025年均无</w:t>
      </w:r>
      <w:r>
        <w:rPr>
          <w:rFonts w:ascii="Times New Roman" w:hAnsi="Times New Roman" w:eastAsia="仿宋_GB2312" w:cs="Times New Roman"/>
          <w:sz w:val="32"/>
          <w:szCs w:val="32"/>
        </w:rPr>
        <w:t>接待支出。</w:t>
      </w:r>
    </w:p>
    <w:p w14:paraId="7B8A006F">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C9551B2">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政府性基金预算财政拨款收</w:t>
      </w:r>
      <w:r>
        <w:rPr>
          <w:rFonts w:hint="eastAsia" w:ascii="Times New Roman" w:hAnsi="Times New Roman" w:eastAsia="仿宋_GB2312" w:cs="Times New Roman"/>
          <w:sz w:val="32"/>
          <w:szCs w:val="32"/>
          <w:lang w:val="en-US" w:eastAsia="zh-CN"/>
        </w:rPr>
        <w:t>支。</w:t>
      </w:r>
    </w:p>
    <w:p w14:paraId="74D0A39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lang w:val="en-US" w:eastAsia="zh-CN"/>
        </w:rPr>
      </w:pPr>
      <w:r>
        <w:rPr>
          <w:rFonts w:hint="eastAsia" w:ascii="Times New Roman" w:hAnsi="Times New Roman" w:cs="Times New Roman"/>
          <w:bCs/>
          <w:sz w:val="32"/>
          <w:szCs w:val="32"/>
          <w:lang w:val="en-US" w:eastAsia="zh-CN"/>
        </w:rPr>
        <w:t>九、</w:t>
      </w:r>
      <w:r>
        <w:rPr>
          <w:rFonts w:hint="eastAsia" w:ascii="黑体" w:hAnsi="黑体" w:eastAsia="黑体" w:cs="黑体"/>
          <w:b w:val="0"/>
          <w:bCs/>
          <w:sz w:val="32"/>
          <w:szCs w:val="32"/>
          <w:lang w:val="en-US" w:eastAsia="zh-CN"/>
        </w:rPr>
        <w:t>国有资本经营预算收入支出</w:t>
      </w:r>
      <w:r>
        <w:rPr>
          <w:rFonts w:hint="eastAsia" w:ascii="黑体" w:hAnsi="黑体" w:eastAsia="黑体" w:cs="黑体"/>
          <w:b w:val="0"/>
          <w:bCs/>
          <w:sz w:val="32"/>
          <w:szCs w:val="32"/>
        </w:rPr>
        <w:t>决算情况</w:t>
      </w:r>
    </w:p>
    <w:p w14:paraId="7E9C5B2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2025年度本单位无国有资本经营预算财政拨款收支。</w:t>
      </w:r>
    </w:p>
    <w:p w14:paraId="1E3D2D58">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1662CA70">
      <w:pPr>
        <w:pStyle w:val="15"/>
        <w:overflowPunct w:val="0"/>
        <w:autoSpaceDE/>
        <w:autoSpaceDN/>
        <w:spacing w:line="600" w:lineRule="exact"/>
        <w:ind w:firstLine="640" w:firstLineChars="200"/>
        <w:jc w:val="both"/>
        <w:rPr>
          <w:rFonts w:hint="eastAsia" w:asciiTheme="minorEastAsia" w:hAnsiTheme="minorEastAsia" w:eastAsiaTheme="minorEastAsia"/>
          <w:sz w:val="32"/>
          <w:szCs w:val="32"/>
          <w:lang w:eastAsia="zh-CN"/>
        </w:rPr>
      </w:pPr>
      <w:r>
        <w:rPr>
          <w:rFonts w:hint="eastAsia" w:ascii="Times New Roman" w:hAnsi="Times New Roman" w:eastAsia="仿宋_GB2312" w:cs="Times New Roman"/>
          <w:sz w:val="32"/>
          <w:szCs w:val="32"/>
          <w:lang w:val="en-US" w:eastAsia="zh-CN"/>
        </w:rPr>
        <w:t>本单位是财政补助事业单位无</w:t>
      </w:r>
      <w:r>
        <w:rPr>
          <w:rFonts w:hint="eastAsia" w:ascii="Times New Roman" w:hAnsi="Times New Roman" w:eastAsia="仿宋_GB2312" w:cs="Times New Roman"/>
          <w:sz w:val="32"/>
          <w:szCs w:val="32"/>
        </w:rPr>
        <w:t>机关运行经费支出</w:t>
      </w:r>
      <w:r>
        <w:rPr>
          <w:rFonts w:hint="eastAsia" w:ascii="Times New Roman" w:hAnsi="Times New Roman" w:eastAsia="仿宋_GB2312" w:cs="Times New Roman"/>
          <w:sz w:val="32"/>
          <w:szCs w:val="32"/>
          <w:lang w:eastAsia="zh-CN"/>
        </w:rPr>
        <w:t>。</w:t>
      </w:r>
    </w:p>
    <w:p w14:paraId="0D4E650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03117E53">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0.46</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lang w:val="en-US" w:eastAsia="zh-CN"/>
        </w:rPr>
        <w:t>事业单位技术人员继续教育</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举办节庆、晚会、论坛、赛事活动</w:t>
      </w:r>
      <w:r>
        <w:rPr>
          <w:rFonts w:hint="eastAsia" w:ascii="Times New Roman" w:hAnsi="Times New Roman" w:eastAsia="仿宋_GB2312" w:cs="Times New Roman"/>
          <w:sz w:val="32"/>
          <w:szCs w:val="32"/>
          <w:lang w:val="en-US" w:eastAsia="zh-CN"/>
        </w:rPr>
        <w:t>等开支。</w:t>
      </w:r>
    </w:p>
    <w:p w14:paraId="1ADE5CE7">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780D9A70">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168.31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0.87</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167.44</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168.31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168.31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5742F421">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14B3E0AD">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val="en-US" w:eastAsia="zh-CN"/>
        </w:rPr>
        <w:t>开展本单位相关工作业务用车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292D1E6">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6AE419A">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38FD5A6D">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18</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234.27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18</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234.27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26.64</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0DD7F8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358445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673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879</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49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130.62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w:t>
      </w:r>
    </w:p>
    <w:p w14:paraId="2CBC380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b w:val="0"/>
          <w:bCs w:val="0"/>
          <w:color w:val="auto"/>
          <w:sz w:val="30"/>
          <w:szCs w:val="30"/>
          <w:lang w:val="en-US" w:eastAsia="zh-CN"/>
        </w:rPr>
      </w:pPr>
      <w:r>
        <w:rPr>
          <w:rFonts w:hint="eastAsia" w:ascii="仿宋" w:hAnsi="仿宋" w:eastAsia="仿宋" w:cs="仿宋"/>
          <w:b/>
          <w:bCs/>
          <w:color w:val="auto"/>
          <w:sz w:val="30"/>
          <w:szCs w:val="30"/>
          <w:lang w:val="en-US" w:eastAsia="zh-CN"/>
        </w:rPr>
        <w:t>党建工作</w:t>
      </w:r>
      <w:r>
        <w:rPr>
          <w:rFonts w:hint="eastAsia" w:ascii="仿宋" w:hAnsi="仿宋" w:eastAsia="仿宋" w:cs="仿宋"/>
          <w:b w:val="0"/>
          <w:bCs w:val="0"/>
          <w:color w:val="auto"/>
          <w:sz w:val="30"/>
          <w:szCs w:val="30"/>
          <w:lang w:val="en-US" w:eastAsia="zh-CN"/>
        </w:rPr>
        <w:t>。坚持第一议题制度，发挥党员先锋模范作用，与中国移动怀化分公司达成共建品牌，做好离退休老同志服务工作，组织志愿者为独居老艺人文化团年。加强党风廉政建设，发挥五溪清廉智慧云作用，开展内部审计。严守意识形态阵地，完善“三审三校”，将意识形态审核延伸到演出道具，比如春节团拜会京剧表演道具旗是否妥当，及时咨询相关专家，并向意识形态部门报告。</w:t>
      </w:r>
    </w:p>
    <w:p w14:paraId="0832CBC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全国品牌</w:t>
      </w:r>
      <w:r>
        <w:rPr>
          <w:rFonts w:hint="eastAsia" w:ascii="仿宋" w:hAnsi="仿宋" w:eastAsia="仿宋" w:cs="仿宋"/>
          <w:color w:val="auto"/>
          <w:sz w:val="30"/>
          <w:szCs w:val="30"/>
          <w:lang w:val="en-US" w:eastAsia="zh-CN"/>
        </w:rPr>
        <w:t>。怀化“百村网红工程”项目成功入选2025中国群众文化品牌典型创新案例。11月7日，怀化市文化馆馆长应邀参加在三亚市举行的2025中国群众文化品牌发展大会。由怀化市文旅广体局主办，怀化市文化馆执行的《实施“百村网红工程” 推动“文艺赋美乡村”》项目获评2025中国群众文化品牌典型案例“文化融入美好生活类”创新案例。2025中国群众文化品牌发展大会已成功举办3届，系我国群众文化领域极具影响力和标志性的文化活动，怀化连续两年获中国群众文化品牌发展大会表彰。</w:t>
      </w:r>
    </w:p>
    <w:p w14:paraId="112A9E8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群文管理</w:t>
      </w:r>
      <w:r>
        <w:rPr>
          <w:rFonts w:hint="eastAsia" w:ascii="仿宋" w:hAnsi="仿宋" w:eastAsia="仿宋" w:cs="仿宋"/>
          <w:color w:val="auto"/>
          <w:sz w:val="30"/>
          <w:szCs w:val="30"/>
          <w:lang w:val="en-US" w:eastAsia="zh-CN"/>
        </w:rPr>
        <w:t>。</w:t>
      </w:r>
      <w:r>
        <w:rPr>
          <w:rFonts w:hint="eastAsia" w:ascii="仿宋" w:hAnsi="仿宋" w:eastAsia="仿宋" w:cs="仿宋"/>
          <w:b/>
          <w:bCs/>
          <w:color w:val="auto"/>
          <w:sz w:val="30"/>
          <w:szCs w:val="30"/>
          <w:lang w:val="en-US" w:eastAsia="zh-CN"/>
        </w:rPr>
        <w:t>一是订制储备艺术团</w:t>
      </w:r>
      <w:r>
        <w:rPr>
          <w:rFonts w:hint="eastAsia" w:ascii="仿宋" w:hAnsi="仿宋" w:eastAsia="仿宋" w:cs="仿宋"/>
          <w:color w:val="auto"/>
          <w:sz w:val="30"/>
          <w:szCs w:val="30"/>
          <w:lang w:val="en-US" w:eastAsia="zh-CN"/>
        </w:rPr>
        <w:t>。解决文化馆青年演员不足问题。我们订制“青年人才拼单”的花花艺术团作为后备“储蓄”，推出“你出演，我买单；好好演，馆传7遍”等激励形式，成为笼络优质文化资源直达基层的生力军。</w:t>
      </w:r>
      <w:r>
        <w:rPr>
          <w:rFonts w:hint="eastAsia" w:ascii="仿宋" w:hAnsi="仿宋" w:eastAsia="仿宋" w:cs="仿宋"/>
          <w:b/>
          <w:bCs/>
          <w:color w:val="auto"/>
          <w:sz w:val="30"/>
          <w:szCs w:val="30"/>
          <w:lang w:val="en-US" w:eastAsia="zh-CN"/>
        </w:rPr>
        <w:t>二是重视中青年人才培养</w:t>
      </w:r>
      <w:r>
        <w:rPr>
          <w:rFonts w:hint="eastAsia" w:ascii="仿宋" w:hAnsi="仿宋" w:eastAsia="仿宋" w:cs="仿宋"/>
          <w:color w:val="auto"/>
          <w:sz w:val="30"/>
          <w:szCs w:val="30"/>
          <w:lang w:val="en-US" w:eastAsia="zh-CN"/>
        </w:rPr>
        <w:t>。2025年，退伍军人安置1人、调入2人，获评副研究馆员2名、中级职称2名。肖俞君、曾紫晗获市委、市政府“湖南省第五届旅发大会嘉奖”。杨芷清、周敏分别被市委宣传部推荐参评芙蓉计划宣传思想文化领军人才“文化领军人才”、文艺“三百”人才。杨芷清入选省文化和旅游厅2025推荐参评部优专家公示名单（公示推荐部优专家2名、部优艺术家2名），荣获湖</w:t>
      </w:r>
      <w:bookmarkStart w:id="0" w:name="_GoBack"/>
      <w:bookmarkEnd w:id="0"/>
      <w:r>
        <w:rPr>
          <w:rFonts w:hint="eastAsia" w:ascii="仿宋" w:hAnsi="仿宋" w:eastAsia="仿宋" w:cs="仿宋"/>
          <w:color w:val="auto"/>
          <w:sz w:val="30"/>
          <w:szCs w:val="30"/>
          <w:lang w:val="en-US" w:eastAsia="zh-CN"/>
        </w:rPr>
        <w:t>南省文化科技卫生“三下乡”活动服务标兵、中宣部全国文化科技卫生“三下乡”活动服务标兵称号。</w:t>
      </w:r>
      <w:r>
        <w:rPr>
          <w:rFonts w:hint="eastAsia" w:ascii="仿宋" w:hAnsi="仿宋" w:eastAsia="仿宋" w:cs="仿宋"/>
          <w:b/>
          <w:bCs/>
          <w:color w:val="auto"/>
          <w:sz w:val="30"/>
          <w:szCs w:val="30"/>
          <w:lang w:val="en-US" w:eastAsia="zh-CN"/>
        </w:rPr>
        <w:t>三是加强文化交流</w:t>
      </w:r>
      <w:r>
        <w:rPr>
          <w:rFonts w:hint="eastAsia" w:ascii="仿宋" w:hAnsi="仿宋" w:eastAsia="仿宋" w:cs="仿宋"/>
          <w:color w:val="auto"/>
          <w:sz w:val="30"/>
          <w:szCs w:val="30"/>
          <w:lang w:val="en-US" w:eastAsia="zh-CN"/>
        </w:rPr>
        <w:t>。赴岳阳市汨罗市开展“六市一州”文化走亲活动，本馆专家应邀赴贵州铜仁市文化馆以及靖州、溆浦等地授课。</w:t>
      </w:r>
      <w:r>
        <w:rPr>
          <w:rFonts w:hint="eastAsia" w:ascii="仿宋" w:hAnsi="仿宋" w:eastAsia="仿宋" w:cs="仿宋"/>
          <w:b/>
          <w:bCs/>
          <w:color w:val="auto"/>
          <w:sz w:val="30"/>
          <w:szCs w:val="30"/>
          <w:lang w:val="en-US" w:eastAsia="zh-CN"/>
        </w:rPr>
        <w:t>四是争取项目支持</w:t>
      </w:r>
      <w:r>
        <w:rPr>
          <w:rFonts w:hint="eastAsia" w:ascii="仿宋" w:hAnsi="仿宋" w:eastAsia="仿宋" w:cs="仿宋"/>
          <w:color w:val="auto"/>
          <w:sz w:val="30"/>
          <w:szCs w:val="30"/>
          <w:lang w:val="en-US" w:eastAsia="zh-CN"/>
        </w:rPr>
        <w:t>。全年争取各类项目资金526万元。完成怀化市文化馆新型文化空间镶嵌工程“十大铿锵号子”数字化展示。怀化成为2025年全国16个“乡村网红走基层”活动入选地之一。我馆在2025年全省文化馆馆长培训班上作《让群文事业日新日进 赢群众笑脸越来越多》交流发言。</w:t>
      </w:r>
    </w:p>
    <w:p w14:paraId="2C3D30A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创作研究</w:t>
      </w:r>
      <w:r>
        <w:rPr>
          <w:rFonts w:hint="eastAsia" w:ascii="仿宋" w:hAnsi="仿宋" w:eastAsia="仿宋" w:cs="仿宋"/>
          <w:color w:val="auto"/>
          <w:sz w:val="30"/>
          <w:szCs w:val="30"/>
          <w:lang w:val="en-US" w:eastAsia="zh-CN"/>
        </w:rPr>
        <w:t>。市文化馆和开放大学合唱团创作音乐《葡萄姑娘》获“三湘群星奖”最佳作品奖。杨芷清、陈元贵作词，杨晓伟作曲的“养心志 育情操”喜庆场景歌曲MV《乡村欢歌》获2025年全国民族原创排舞大赛一等奖，并被湖南卫视作为2026年湖南油菜花节主打歌曲。创作《山歌越唱越痛快》获2025年全省“欢乐潇湘”新创群众文艺作品优秀作品奖。由湖南省文化馆推荐、怀化市文化馆报送的案例《探索建立乡村网红“联培联创联盟联推”机制 “网”出文旅新质生产力》（作者：杨芷清、江海鹰、陆莎莎）获得2025年中国文化馆年会征文活动一等论文（文化和旅游部全国公共文化发展中心、中国文化馆协会颁证）。靖州文化馆张瑜兰创作的农民画作品《生命欢歌》入选文化和旅游部公共服务司与中国国家博物馆共同主办“大地绘彩——2025年农民画大展”。“文旅中国”宣推纪念中国人民抗日战争暨世界反法西斯战争胜利80周年献礼原创合唱歌曲MV《和平颂》。举办《沅水悠悠—怀化组曲》发布会。</w:t>
      </w:r>
    </w:p>
    <w:p w14:paraId="6A9397D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重大活动。1.全国性活动</w:t>
      </w:r>
      <w:r>
        <w:rPr>
          <w:rFonts w:hint="eastAsia" w:ascii="仿宋" w:hAnsi="仿宋" w:eastAsia="仿宋" w:cs="仿宋"/>
          <w:b w:val="0"/>
          <w:bCs w:val="0"/>
          <w:color w:val="auto"/>
          <w:sz w:val="30"/>
          <w:szCs w:val="30"/>
          <w:lang w:val="en-US" w:eastAsia="zh-CN"/>
        </w:rPr>
        <w:t>。</w:t>
      </w:r>
      <w:r>
        <w:rPr>
          <w:rFonts w:hint="eastAsia" w:ascii="仿宋" w:hAnsi="仿宋" w:eastAsia="仿宋" w:cs="仿宋"/>
          <w:color w:val="auto"/>
          <w:sz w:val="30"/>
          <w:szCs w:val="30"/>
          <w:lang w:val="en-US" w:eastAsia="zh-CN"/>
        </w:rPr>
        <w:t>2025年“乡村网红走基层”总结交流活动在怀化举行 。12月14日-15日，2025年“乡村网红走基层”总结交流活动暨湖南怀化站系列活动在怀化市中方县荆坪古村举行。活动由文化和旅游部全国公共文化发展中心（以下简称“发展中心”）联合湖南省文化和旅游厅、怀化市人民政府主办，湖南省文化馆、怀化市文化旅游广电体育局、中方县人民政府承办，快手平台予以支持。发展中心联合内蒙古、福建、山东、河南、湖北、湖南等9个省市自治区文化馆，邀请多位乡村网红代表现场开展行进式直播推介，聘请业内权威师资开展新大众文艺人才培训，特邀中央歌剧院将优质惠民演出送到怀化，同时推出乡村文旅市集和最美乡村公共文化空间主题展。在启动仪式上，7位乡村文旅达人以30秒快闪形式登场，精彩推介各地及怀化特色文旅资源。“文旅乡村好韵味、网红带你逛潇湘”湖南省第四届乡村文旅网红大赛同步启动，文艺惠民演出穿插开展。14日上午，新大众文艺人才培训在怀化新闻发布中心开课。发展中心特邀抖音官方认证讲师聂艺璇以“文旅自媒体账号打造实战指南”为题，天桥短剧联合创始人杨文静以“乡村文旅微短剧创作思考”为题，为现场150余位学员进行精彩授课。2025年中央歌剧院公共文化服务走进怀化暨网红巴士走基层——“三江一湾”特色文旅直播推介活动，将文旅推介与艺术惠民演出紧密结合。中央歌剧院的20位艺术家们组成演出小分队，深入怀化榆树湾、安江农校杂交水稻纪念园、洪江古商城、芷江中国人民抗日战争胜利受降纪念馆等地，以快闪、互动演出、现场培训等形式为当地群众、游客带来了一场场接地气的文艺演出，让村民和游客尽享艺术盛宴。文旅达人及网红代表同步直播推介怀化“三江一湾”的民族风情文化、稻作文化、商道文化、和平文化，线上观众频频互动，引起热烈关注。“怀化荆坪河畔文旅市集”与“最美乡村公共文化空间交流展”同步亮相本次活动。在2025年“乡村网红走基层”活动总结交流会上，来自“乡村网红走基层”活动入选地的有关省级文化馆以及有关地市文化和旅游局代表共40余人齐聚一堂，总结全年“乡村网红走基层”活动成效，湖南怀化市分享了实施“百村网红工程”的经验做法，河南滑县介绍了当地实施乡村网红人才培训工作带来的产销对接成效。参会代表表示，“乡村网红走基层”活动积极发挥新大众文艺人才优势，紧扣基层需要，成效显著，希望发展中心持续推进此项惠民活动。</w:t>
      </w:r>
      <w:r>
        <w:rPr>
          <w:rFonts w:hint="eastAsia" w:ascii="仿宋" w:hAnsi="仿宋" w:eastAsia="仿宋" w:cs="仿宋"/>
          <w:b/>
          <w:bCs/>
          <w:color w:val="auto"/>
          <w:sz w:val="30"/>
          <w:szCs w:val="30"/>
          <w:lang w:val="en-US" w:eastAsia="zh-CN"/>
        </w:rPr>
        <w:t>2.全省性活动</w:t>
      </w:r>
      <w:r>
        <w:rPr>
          <w:rFonts w:hint="eastAsia" w:ascii="仿宋" w:hAnsi="仿宋" w:eastAsia="仿宋" w:cs="仿宋"/>
          <w:color w:val="auto"/>
          <w:sz w:val="30"/>
          <w:szCs w:val="30"/>
          <w:lang w:val="en-US" w:eastAsia="zh-CN"/>
        </w:rPr>
        <w:t>。一是参与第五届湖南旅游发展大会“乐动五溪 歌行千年”村歌联唱活动。开启群文品牌成为湖南旅发大会“主角儿”之一，受到省委、省政府主要领导肯定。二是圆满执行湘黔赣三地傩文化汇演。市委、市政府明确此项工作由市文化馆具体执行。9月15日至18日，怀化榆树湾傩文化展演在榆树湾文旅商综合体举行，通过丰富的面具图腾和独特舞步韵律，向观众展示了怀化及周边地区傩文化的独特魅力。本次展演汇聚了来自湘、黔、赣三地的10项非遗瑰宝，包括6个国家级非遗项目。展演期间，精选的21个剧（节）目连续四天演出8场，并在天问岛加演两场。湖南旅发大会期间让广大群众、专家享受在地文化“神秘色彩”，确保节目质量与意识形态安全，获省市有关领导、专家好评，观众叫好。此外，举办湘黔两省五县“村晚”大联欢，参与湖南第十五届农民工春节联欢晚会、湖南省第八届“花儿朵朵开”美育成果展演（展览）。</w:t>
      </w:r>
      <w:r>
        <w:rPr>
          <w:rFonts w:hint="eastAsia" w:ascii="仿宋" w:hAnsi="仿宋" w:eastAsia="仿宋" w:cs="仿宋"/>
          <w:b/>
          <w:bCs/>
          <w:color w:val="auto"/>
          <w:sz w:val="30"/>
          <w:szCs w:val="30"/>
          <w:lang w:val="en-US" w:eastAsia="zh-CN"/>
        </w:rPr>
        <w:t>3.全市性活动</w:t>
      </w:r>
      <w:r>
        <w:rPr>
          <w:rFonts w:hint="eastAsia" w:ascii="仿宋" w:hAnsi="仿宋" w:eastAsia="仿宋" w:cs="仿宋"/>
          <w:color w:val="auto"/>
          <w:sz w:val="30"/>
          <w:szCs w:val="30"/>
          <w:lang w:val="en-US" w:eastAsia="zh-CN"/>
        </w:rPr>
        <w:t>。一是举办辐射全市的“怀化有戏·村歌会”。构建起村、镇、县、市四级联动选拔机制，覆盖全市13个县市区，实现全民参与、全域覆盖和全媒体传播。在6个月时间里，“村歌会”累计举办56场赛事，参赛选手涵盖乡村教师、理发师、快递员、养牛专业户等。二是举办“奋进新征程，建功新时代”怀化市庆祝中华人民共和国成立76周年文艺晚会。本次晚会由市文旅广体局主办，市文化馆承办，380多名演员与观众欢聚一堂，共同祝福伟大祖国繁荣昌盛。晚会以“奋进新征程、建功新时代”为主线，分为“铭记历史，赓续荣光”“福地怀化 因你绽放”“拼搏奋进，昂首未来”三个篇章。三是怀化文化馆服务宣传周活动彰显“养心志、育情操”。5月18日，2025年怀化市“文化馆服务宣传周”系列活动启动仪式暨“养心志、育情操”美育大课堂、第三届“艺星向未来”社会艺术考级成果展演在市文化馆举行。怀化市县两级15个文化馆共举办81项特色文化活动。其中，市文化馆活动包括启动仪式暨“艺星向未来”社会艺术考级成果展演、“养心志 育情操”美育大课堂、第四届俏媳妇讲文明“五个一起来”、音乐舞蹈创作研讨培训班、“推动优质文化资源直达基层”热点交流、“福地怀化·光影为民”摄影展、花灯戏之《乡村欢歌》公益培训、湘遇文旅·艺彩潇湘“百县千团进万村”怀化群文轻骑队走基层暨乡村网红走基层、文化镶嵌新型文化空间、“百村网红”培训班等十大活动。二胡班学员荆欢英专题为怀化市文化馆作诗《七律·谢市文化馆二胡公益课》：“鹤城雅韵绕云空，公益课堂暖意融。弦流雅韵传天籁，妙手亲传化雨风。耆年乐聚琴声里，德润桑榆夕照中。最是春蚕丝不尽，五溪情寄夕阳红。”</w:t>
      </w:r>
    </w:p>
    <w:p w14:paraId="6C7847E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此外，举办怀化市春节团拜会文艺演出、“欢乐潇湘·福地怀化”文艺下基层演出、“数字赋能乡村 村播助力古冲”直播带货邀请赛、福地怀化·声动五溪——2025年怀化市“文明一起来•怀化更精彩”活动、“怀化有戏”文旅体惠民走进长泥坡社区、“城乡互动新画卷·共美共乐过大年”、“福地怀化·过大年”、“体艺飞扬·阔步2026”欢度元旦文旅体惠民文艺汇演。3月，应怀化市财政局邀请，为其策划组织庆“三八妇女节”活动；7月，配合市局推广科参与评选并完成我市旅游金曲推广活动；8月，参与2025年全民健身日全国主会场（湖南）活动启动仪式和广场舞《福地漫游》的创作编排及教练员免费培训活动；10月，策划组织怀化市第二届小戏（剧）、小品文艺作品创作大赛，策划组织两场湘超足球联赛开幕式大型文体表演（暖场和中场），参与市第七届运动会开幕式相关工作。</w:t>
      </w:r>
    </w:p>
    <w:p w14:paraId="06532B5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美育教育</w:t>
      </w:r>
      <w:r>
        <w:rPr>
          <w:rFonts w:hint="eastAsia" w:ascii="仿宋" w:hAnsi="仿宋" w:eastAsia="仿宋" w:cs="仿宋"/>
          <w:color w:val="auto"/>
          <w:sz w:val="30"/>
          <w:szCs w:val="30"/>
          <w:lang w:val="en-US" w:eastAsia="zh-CN"/>
        </w:rPr>
        <w:t>。一是举办“福地怀化 懂你如家”2025年怀化市生态摄影专题讲座。活动由省文化馆、省艺术摄影学会指导，市文化馆、市摄影家协会主办。讲座由中国摄影家协会会员、湖南摄影培训中心执行校长阿诺主讲。二是举办怀化市“百村网红”工程培训班。8月5日至6日，2025年怀化市“百村网红”工程培训班如期举行。培训为期三天，共设两期课程，分为理论授课与实操演练两大阶段，计划培训学员100余人，学员主要来自各县市区推荐的农村青年、返乡创业者、大学生村官等新生代乡村内容创作者。邀请AI时代全国运营中心主理人谢淑芸、怀化学院现代传媒实验教学中心主任石光辉、知名主持人田边、湖南省数字商务协会秘书长吴从锋等授课。三是举办2025年怀化市音乐舞蹈创作研讨培训班。5月22日，自各县（市、区）专业院团、文化馆，社会文艺团队和协会，以及市直民间文艺团体及爱好者，在音乐、舞蹈方面有创作能力的人员共60余人参加培训。邀请杨霞、马卓明分别以《舞向未来：以当代思维激活舞蹈创作的生命力》、《民族民间舞蹈音乐民间音乐素材的提炼与二度创作》为题开展专题讲座。四是举办“养心志·育情操 ”美育大课堂免费培训，共举办3期培训班，分别开设二胡、口才、舞蹈、声乐、国画等基础课程。</w:t>
      </w:r>
    </w:p>
    <w:p w14:paraId="31161FB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亮点工作</w:t>
      </w:r>
      <w:r>
        <w:rPr>
          <w:rFonts w:hint="eastAsia" w:ascii="仿宋" w:hAnsi="仿宋" w:eastAsia="仿宋" w:cs="仿宋"/>
          <w:color w:val="auto"/>
          <w:sz w:val="30"/>
          <w:szCs w:val="30"/>
          <w:lang w:val="en-US" w:eastAsia="zh-CN"/>
        </w:rPr>
        <w:t>。会同举办“点亮中国美”走进湖南会同暨2025会同手工柴火月饼文化旅游系列活动；通道举办2025年全国冬季“村晚”示范展示活动暨通道县侗年节，“侗听”音乐会定期举办；靖州张瑜兰、姚明珠的作品《柚里生花酿美好》成功入选由全国公共文化发展中心、中国文化馆协会等主办的2025“和美乡村”农民画精品展，并被重庆市綦江区农民版画院永久收藏，张瑜兰创作的农民画《生命欢歌》成功入选由文化和旅游部公共服务司与中国国家博物馆共同主办的“大地绘彩——2025年农民画大展”；溆浦全年聚焦传统节日、文化节点及群众需求，开展各类群文活动70余场次，服务群众超70万人次；辰溪县成功举办“兵工小镇”摄影展、“燕尾龙舟展”；沅陵成功组织2025年中国皮划艇巡回赛总决赛（湖南·沅陵）的热场文艺演出；新晃舞蹈作品《活着》获第一届湖南省舞蹈大赛作品金奖；麻阳成功承办全国民族民间龙舟赛、“龙腾潇湘”中国传统龙舟赛的开幕式文艺演出；鹤城开展“风起榆树湾”主题夜游演出、鹤鸣洲水幕电影灯光秀；中方县文化科技卫生“三下乡”活动开展得红红火火；洪江区成功策划组织《古城音浪战·全民开麦秀》大型群众文化唱歌比赛，搭建全民展示自我的文化舞台，成为洪江区年度文化盛事；洪江市承办“情系中国梦·关爱农民工”湖南第十五届农民工春节联欢晚会；芷江在第六届中国芷江国际和平文化节等“三大盛会”中，文化馆担当“文化引擎”角色，组织近1600名群众参与演出，原创非遗舞蹈《龙腾侗乡》等节目惊艳亮相。</w:t>
      </w:r>
    </w:p>
    <w:p w14:paraId="67160EF9">
      <w:pPr>
        <w:widowControl/>
        <w:shd w:val="clear" w:color="auto" w:fill="FFFFFF"/>
        <w:spacing w:line="640" w:lineRule="exact"/>
        <w:ind w:left="0" w:right="0" w:firstLine="632"/>
        <w:rPr>
          <w:rFonts w:ascii="Times New Roman" w:hAnsi="Times New Roman" w:eastAsia="仿宋_GB2312" w:cs="Times New Roman"/>
          <w:bCs/>
          <w:sz w:val="32"/>
          <w:szCs w:val="32"/>
        </w:rPr>
      </w:pPr>
      <w:r>
        <w:rPr>
          <w:rFonts w:ascii="Times New Roman" w:hAnsi="Times New Roman" w:eastAsia="仿宋_GB2312" w:cs="Times New Roman"/>
          <w:sz w:val="32"/>
          <w:szCs w:val="32"/>
        </w:rPr>
        <w:t>下一步改进措施：</w:t>
      </w:r>
      <w:r>
        <w:rPr>
          <w:rFonts w:hint="eastAsia" w:ascii="仿宋" w:hAnsi="仿宋" w:eastAsia="仿宋" w:cs="仿宋"/>
          <w:color w:val="494949"/>
          <w:kern w:val="2"/>
          <w:sz w:val="30"/>
          <w:szCs w:val="30"/>
          <w:highlight w:val="none"/>
          <w:shd w:val="clear" w:color="auto" w:fill="FFFFFF"/>
          <w:lang w:val="en-US" w:eastAsia="zh-CN" w:bidi="ar-SA"/>
        </w:rPr>
        <w:t>1、科学合理地设置绩效指标。首先，强化资金使用和绩效目标管理意识；其次，根据单位职能科学合理地设置绩效指标，提高预算绩效指标的针对性和可测性，充分发挥预算绩效目标管理的导向作用。2、强化预算约束。各部室合力加速流程管理，确保在2026年度加快项目进度及专项项目资金的支付，强化预算执行的严肃性。</w:t>
      </w:r>
      <w:r>
        <w:rPr>
          <w:rFonts w:ascii="Times New Roman" w:hAnsi="Times New Roman" w:eastAsia="仿宋_GB2312" w:cs="Times New Roman"/>
          <w:kern w:val="0"/>
          <w:sz w:val="32"/>
          <w:szCs w:val="32"/>
        </w:rPr>
        <w:t>。</w:t>
      </w:r>
    </w:p>
    <w:p w14:paraId="1975A1FB">
      <w:pPr>
        <w:widowControl/>
        <w:shd w:val="clear" w:color="auto" w:fill="FFFFFF"/>
        <w:spacing w:line="640" w:lineRule="exact"/>
        <w:ind w:left="0" w:right="0" w:firstLine="632"/>
        <w:rPr>
          <w:rFonts w:hint="default" w:ascii="仿宋" w:hAnsi="仿宋" w:eastAsia="仿宋" w:cs="仿宋"/>
          <w:color w:val="494949"/>
          <w:kern w:val="2"/>
          <w:sz w:val="30"/>
          <w:szCs w:val="30"/>
          <w:highlight w:val="none"/>
          <w:shd w:val="clear" w:color="auto" w:fill="FFFFFF"/>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color w:val="494949"/>
          <w:kern w:val="2"/>
          <w:sz w:val="30"/>
          <w:szCs w:val="30"/>
          <w:highlight w:val="none"/>
          <w:shd w:val="clear" w:color="auto" w:fill="FFFFFF"/>
          <w:lang w:val="en-US" w:eastAsia="zh-CN" w:bidi="ar-SA"/>
        </w:rPr>
        <w:t>将绩效自评结果作为本单位完善制度和改进管理的重要依据，</w:t>
      </w:r>
      <w:r>
        <w:rPr>
          <w:rFonts w:hint="default" w:ascii="仿宋" w:hAnsi="仿宋" w:eastAsia="仿宋" w:cs="仿宋"/>
          <w:color w:val="494949"/>
          <w:kern w:val="2"/>
          <w:sz w:val="30"/>
          <w:szCs w:val="30"/>
          <w:highlight w:val="none"/>
          <w:shd w:val="clear" w:color="auto" w:fill="FFFFFF"/>
          <w:lang w:val="en-US" w:eastAsia="zh-CN" w:bidi="ar-SA"/>
        </w:rPr>
        <w:t>根据绩效自评结果，对比设定目标和实际完成情况，及时调整工作重点</w:t>
      </w:r>
      <w:r>
        <w:rPr>
          <w:rFonts w:hint="eastAsia" w:ascii="仿宋" w:hAnsi="仿宋" w:eastAsia="仿宋" w:cs="仿宋"/>
          <w:color w:val="494949"/>
          <w:kern w:val="2"/>
          <w:sz w:val="30"/>
          <w:szCs w:val="30"/>
          <w:highlight w:val="none"/>
          <w:shd w:val="clear" w:color="auto" w:fill="FFFFFF"/>
          <w:lang w:val="en-US" w:eastAsia="zh-CN" w:bidi="ar-SA"/>
        </w:rPr>
        <w:t>，</w:t>
      </w:r>
      <w:r>
        <w:rPr>
          <w:rFonts w:hint="default" w:ascii="仿宋" w:hAnsi="仿宋" w:eastAsia="仿宋" w:cs="仿宋"/>
          <w:color w:val="494949"/>
          <w:kern w:val="2"/>
          <w:sz w:val="30"/>
          <w:szCs w:val="30"/>
          <w:highlight w:val="none"/>
          <w:shd w:val="clear" w:color="auto" w:fill="FFFFFF"/>
          <w:lang w:val="en-US" w:eastAsia="zh-CN" w:bidi="ar-SA"/>
        </w:rPr>
        <w:t>提高工作效率</w:t>
      </w:r>
      <w:r>
        <w:rPr>
          <w:rFonts w:hint="eastAsia" w:ascii="仿宋" w:hAnsi="仿宋" w:eastAsia="仿宋" w:cs="仿宋"/>
          <w:color w:val="494949"/>
          <w:kern w:val="2"/>
          <w:sz w:val="30"/>
          <w:szCs w:val="30"/>
          <w:highlight w:val="none"/>
          <w:shd w:val="clear" w:color="auto" w:fill="FFFFFF"/>
          <w:lang w:val="en-US" w:eastAsia="zh-CN" w:bidi="ar-SA"/>
        </w:rPr>
        <w:t>，</w:t>
      </w:r>
      <w:r>
        <w:rPr>
          <w:rFonts w:hint="default" w:ascii="仿宋" w:hAnsi="仿宋" w:eastAsia="仿宋" w:cs="仿宋"/>
          <w:color w:val="494949"/>
          <w:kern w:val="2"/>
          <w:sz w:val="30"/>
          <w:szCs w:val="30"/>
          <w:highlight w:val="none"/>
          <w:shd w:val="clear" w:color="auto" w:fill="FFFFFF"/>
          <w:lang w:val="en-US" w:eastAsia="zh-CN" w:bidi="ar-SA"/>
        </w:rPr>
        <w:t>根据绩效自评结果，制定发展计划，提高财政资金支出决策水平和管理水平。</w:t>
      </w:r>
    </w:p>
    <w:p w14:paraId="0FC6919C">
      <w:pPr>
        <w:pStyle w:val="15"/>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CBC0A80">
      <w:pPr>
        <w:pStyle w:val="15"/>
        <w:jc w:val="center"/>
        <w:rPr>
          <w:rFonts w:ascii="Times New Roman" w:hAnsi="Times New Roman" w:cs="Times New Roman"/>
          <w:sz w:val="72"/>
          <w:szCs w:val="72"/>
        </w:rPr>
      </w:pPr>
    </w:p>
    <w:p w14:paraId="5EC92C8F">
      <w:pPr>
        <w:pStyle w:val="15"/>
        <w:jc w:val="center"/>
        <w:rPr>
          <w:rFonts w:ascii="Times New Roman" w:hAnsi="Times New Roman" w:cs="Times New Roman"/>
          <w:sz w:val="72"/>
          <w:szCs w:val="72"/>
        </w:rPr>
      </w:pPr>
    </w:p>
    <w:p w14:paraId="6998E0F2">
      <w:pPr>
        <w:pStyle w:val="15"/>
        <w:jc w:val="center"/>
        <w:rPr>
          <w:rFonts w:ascii="Times New Roman" w:hAnsi="Times New Roman" w:cs="Times New Roman"/>
          <w:sz w:val="72"/>
          <w:szCs w:val="72"/>
        </w:rPr>
      </w:pPr>
    </w:p>
    <w:p w14:paraId="36291136">
      <w:pPr>
        <w:pStyle w:val="15"/>
        <w:jc w:val="center"/>
        <w:rPr>
          <w:rFonts w:ascii="Times New Roman" w:hAnsi="Times New Roman" w:cs="Times New Roman"/>
          <w:sz w:val="72"/>
          <w:szCs w:val="72"/>
        </w:rPr>
      </w:pPr>
    </w:p>
    <w:p w14:paraId="56AB54EC">
      <w:pPr>
        <w:pStyle w:val="15"/>
        <w:jc w:val="center"/>
        <w:rPr>
          <w:rFonts w:ascii="Times New Roman" w:hAnsi="Times New Roman" w:cs="Times New Roman"/>
          <w:sz w:val="72"/>
          <w:szCs w:val="72"/>
        </w:rPr>
      </w:pPr>
    </w:p>
    <w:p w14:paraId="545F8C5F">
      <w:pPr>
        <w:pStyle w:val="15"/>
        <w:jc w:val="center"/>
        <w:rPr>
          <w:rFonts w:ascii="Times New Roman" w:hAnsi="Times New Roman" w:cs="Times New Roman"/>
          <w:sz w:val="72"/>
          <w:szCs w:val="72"/>
        </w:rPr>
      </w:pPr>
    </w:p>
    <w:p w14:paraId="07A298E4">
      <w:pPr>
        <w:pStyle w:val="15"/>
        <w:jc w:val="center"/>
        <w:rPr>
          <w:rFonts w:ascii="Times New Roman" w:hAnsi="Times New Roman" w:cs="Times New Roman"/>
          <w:sz w:val="72"/>
          <w:szCs w:val="72"/>
        </w:rPr>
      </w:pPr>
    </w:p>
    <w:p w14:paraId="4DC61B10">
      <w:pPr>
        <w:pStyle w:val="15"/>
        <w:jc w:val="center"/>
        <w:rPr>
          <w:rFonts w:ascii="Times New Roman" w:hAnsi="Times New Roman" w:cs="Times New Roman"/>
          <w:sz w:val="72"/>
          <w:szCs w:val="72"/>
        </w:rPr>
      </w:pPr>
    </w:p>
    <w:p w14:paraId="6841DFCC">
      <w:pPr>
        <w:pStyle w:val="15"/>
        <w:jc w:val="center"/>
        <w:rPr>
          <w:rFonts w:ascii="Times New Roman" w:hAnsi="Times New Roman" w:cs="Times New Roman"/>
          <w:sz w:val="72"/>
          <w:szCs w:val="72"/>
        </w:rPr>
      </w:pPr>
    </w:p>
    <w:p w14:paraId="64D5F09D">
      <w:pPr>
        <w:pStyle w:val="15"/>
        <w:jc w:val="center"/>
        <w:rPr>
          <w:rFonts w:ascii="Times New Roman" w:hAnsi="Times New Roman" w:cs="Times New Roman"/>
          <w:sz w:val="72"/>
          <w:szCs w:val="72"/>
        </w:rPr>
      </w:pPr>
    </w:p>
    <w:p w14:paraId="5C6A088D">
      <w:pPr>
        <w:pStyle w:val="15"/>
        <w:jc w:val="both"/>
        <w:rPr>
          <w:rFonts w:ascii="Times New Roman" w:hAnsi="Times New Roman" w:cs="Times New Roman"/>
          <w:sz w:val="72"/>
          <w:szCs w:val="72"/>
        </w:rPr>
      </w:pPr>
    </w:p>
    <w:p w14:paraId="35437968">
      <w:pPr>
        <w:pStyle w:val="15"/>
        <w:spacing w:line="360" w:lineRule="auto"/>
        <w:jc w:val="center"/>
        <w:rPr>
          <w:rFonts w:ascii="Times New Roman" w:hAnsi="Times New Roman" w:eastAsia="方正小标宋_GBK" w:cs="Times New Roman"/>
          <w:sz w:val="52"/>
          <w:szCs w:val="52"/>
        </w:rPr>
      </w:pPr>
    </w:p>
    <w:p w14:paraId="455D6585">
      <w:pPr>
        <w:pStyle w:val="15"/>
        <w:spacing w:line="360" w:lineRule="auto"/>
        <w:jc w:val="center"/>
        <w:rPr>
          <w:rFonts w:ascii="Times New Roman" w:hAnsi="Times New Roman" w:eastAsia="方正小标宋_GBK" w:cs="Times New Roman"/>
          <w:sz w:val="52"/>
          <w:szCs w:val="52"/>
        </w:rPr>
      </w:pPr>
    </w:p>
    <w:p w14:paraId="446BC2A4">
      <w:pPr>
        <w:pStyle w:val="15"/>
        <w:spacing w:line="360" w:lineRule="auto"/>
        <w:jc w:val="center"/>
        <w:rPr>
          <w:rFonts w:ascii="Times New Roman" w:hAnsi="Times New Roman" w:eastAsia="方正小标宋_GBK" w:cs="Times New Roman"/>
          <w:sz w:val="52"/>
          <w:szCs w:val="52"/>
        </w:rPr>
      </w:pPr>
    </w:p>
    <w:p w14:paraId="21A50530">
      <w:pPr>
        <w:pStyle w:val="15"/>
        <w:spacing w:line="360" w:lineRule="auto"/>
        <w:jc w:val="center"/>
        <w:rPr>
          <w:rFonts w:ascii="Times New Roman" w:hAnsi="Times New Roman" w:eastAsia="方正小标宋_GBK" w:cs="Times New Roman"/>
          <w:sz w:val="52"/>
          <w:szCs w:val="52"/>
        </w:rPr>
      </w:pPr>
    </w:p>
    <w:p w14:paraId="43DDEB3F">
      <w:pPr>
        <w:pStyle w:val="15"/>
        <w:spacing w:line="360" w:lineRule="auto"/>
        <w:jc w:val="center"/>
        <w:rPr>
          <w:rFonts w:ascii="Times New Roman" w:hAnsi="Times New Roman" w:eastAsia="方正小标宋_GBK" w:cs="Times New Roman"/>
          <w:sz w:val="52"/>
          <w:szCs w:val="52"/>
        </w:rPr>
      </w:pPr>
    </w:p>
    <w:p w14:paraId="67CC1F47">
      <w:pPr>
        <w:pStyle w:val="15"/>
        <w:spacing w:line="360" w:lineRule="auto"/>
        <w:jc w:val="center"/>
        <w:rPr>
          <w:rFonts w:ascii="Times New Roman" w:hAnsi="Times New Roman" w:eastAsia="方正小标宋_GBK" w:cs="Times New Roman"/>
          <w:sz w:val="52"/>
          <w:szCs w:val="52"/>
        </w:rPr>
      </w:pPr>
    </w:p>
    <w:p w14:paraId="7CCC4366">
      <w:pPr>
        <w:pStyle w:val="15"/>
        <w:numPr>
          <w:ilvl w:val="0"/>
          <w:numId w:val="2"/>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14:paraId="37FB5901">
      <w:pPr>
        <w:pStyle w:val="15"/>
        <w:numPr>
          <w:ilvl w:val="0"/>
          <w:numId w:val="0"/>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名词解释</w:t>
      </w:r>
    </w:p>
    <w:p w14:paraId="4DF02F7F">
      <w:pPr>
        <w:widowControl/>
        <w:jc w:val="left"/>
        <w:rPr>
          <w:rFonts w:ascii="Times New Roman" w:hAnsi="Times New Roman" w:cs="Times New Roman"/>
          <w:color w:val="000000"/>
          <w:kern w:val="0"/>
          <w:sz w:val="32"/>
          <w:szCs w:val="32"/>
        </w:rPr>
      </w:pPr>
    </w:p>
    <w:p w14:paraId="24ADC779">
      <w:pPr>
        <w:widowControl/>
        <w:ind w:firstLine="640" w:firstLineChars="200"/>
        <w:jc w:val="left"/>
        <w:rPr>
          <w:rFonts w:ascii="Times New Roman" w:hAnsi="Times New Roman" w:eastAsia="仿宋_GB2312" w:cs="Times New Roman"/>
          <w:color w:val="000000"/>
          <w:kern w:val="0"/>
          <w:sz w:val="32"/>
          <w:szCs w:val="32"/>
        </w:rPr>
      </w:pPr>
    </w:p>
    <w:p w14:paraId="196BC38B">
      <w:pPr>
        <w:widowControl/>
        <w:ind w:firstLine="640" w:firstLineChars="200"/>
        <w:jc w:val="left"/>
        <w:rPr>
          <w:rFonts w:ascii="Times New Roman" w:hAnsi="Times New Roman" w:eastAsia="仿宋_GB2312" w:cs="Times New Roman"/>
          <w:color w:val="000000"/>
          <w:kern w:val="0"/>
          <w:sz w:val="32"/>
          <w:szCs w:val="32"/>
        </w:rPr>
      </w:pPr>
    </w:p>
    <w:p w14:paraId="78A8A3AF">
      <w:pPr>
        <w:widowControl/>
        <w:ind w:firstLine="640" w:firstLineChars="200"/>
        <w:jc w:val="left"/>
        <w:rPr>
          <w:rFonts w:ascii="Times New Roman" w:hAnsi="Times New Roman" w:eastAsia="仿宋_GB2312" w:cs="Times New Roman"/>
          <w:color w:val="000000"/>
          <w:kern w:val="0"/>
          <w:sz w:val="32"/>
          <w:szCs w:val="32"/>
        </w:rPr>
      </w:pPr>
    </w:p>
    <w:p w14:paraId="2A6679F8">
      <w:pPr>
        <w:widowControl/>
        <w:ind w:firstLine="640" w:firstLineChars="200"/>
        <w:jc w:val="left"/>
        <w:rPr>
          <w:rFonts w:ascii="Times New Roman" w:hAnsi="Times New Roman" w:eastAsia="仿宋_GB2312" w:cs="Times New Roman"/>
          <w:color w:val="000000"/>
          <w:kern w:val="0"/>
          <w:sz w:val="32"/>
          <w:szCs w:val="32"/>
        </w:rPr>
      </w:pPr>
    </w:p>
    <w:p w14:paraId="1C83B97A">
      <w:pPr>
        <w:widowControl/>
        <w:ind w:firstLine="640" w:firstLineChars="200"/>
        <w:jc w:val="left"/>
        <w:rPr>
          <w:rFonts w:ascii="Times New Roman" w:hAnsi="Times New Roman" w:eastAsia="仿宋_GB2312" w:cs="Times New Roman"/>
          <w:color w:val="000000"/>
          <w:kern w:val="0"/>
          <w:sz w:val="32"/>
          <w:szCs w:val="32"/>
        </w:rPr>
      </w:pPr>
    </w:p>
    <w:p w14:paraId="6351136D">
      <w:pPr>
        <w:widowControl/>
        <w:ind w:firstLine="640" w:firstLineChars="200"/>
        <w:jc w:val="left"/>
        <w:rPr>
          <w:rFonts w:ascii="Times New Roman" w:hAnsi="Times New Roman" w:eastAsia="仿宋_GB2312" w:cs="Times New Roman"/>
          <w:color w:val="000000"/>
          <w:kern w:val="0"/>
          <w:sz w:val="32"/>
          <w:szCs w:val="32"/>
        </w:rPr>
      </w:pPr>
    </w:p>
    <w:p w14:paraId="42CE4369">
      <w:pPr>
        <w:widowControl/>
        <w:ind w:firstLine="640" w:firstLineChars="200"/>
        <w:jc w:val="left"/>
        <w:rPr>
          <w:rFonts w:ascii="Times New Roman" w:hAnsi="Times New Roman" w:eastAsia="仿宋_GB2312" w:cs="Times New Roman"/>
          <w:color w:val="000000"/>
          <w:kern w:val="0"/>
          <w:sz w:val="32"/>
          <w:szCs w:val="32"/>
        </w:rPr>
      </w:pPr>
    </w:p>
    <w:p w14:paraId="02201DFE">
      <w:pPr>
        <w:widowControl/>
        <w:ind w:firstLine="640" w:firstLineChars="200"/>
        <w:jc w:val="left"/>
        <w:rPr>
          <w:rFonts w:ascii="Times New Roman" w:hAnsi="Times New Roman" w:eastAsia="仿宋_GB2312" w:cs="Times New Roman"/>
          <w:color w:val="000000"/>
          <w:kern w:val="0"/>
          <w:sz w:val="32"/>
          <w:szCs w:val="32"/>
        </w:rPr>
      </w:pPr>
    </w:p>
    <w:p w14:paraId="5EB0D5A1">
      <w:pPr>
        <w:widowControl/>
        <w:ind w:firstLine="640" w:firstLineChars="200"/>
        <w:jc w:val="left"/>
        <w:rPr>
          <w:rFonts w:ascii="Times New Roman" w:hAnsi="Times New Roman" w:eastAsia="仿宋_GB2312" w:cs="Times New Roman"/>
          <w:color w:val="000000"/>
          <w:kern w:val="0"/>
          <w:sz w:val="32"/>
          <w:szCs w:val="32"/>
        </w:rPr>
      </w:pPr>
    </w:p>
    <w:p w14:paraId="4A920D3C">
      <w:pPr>
        <w:widowControl/>
        <w:ind w:firstLine="640" w:firstLineChars="200"/>
        <w:jc w:val="left"/>
        <w:rPr>
          <w:rFonts w:ascii="Times New Roman" w:hAnsi="Times New Roman" w:eastAsia="仿宋_GB2312" w:cs="Times New Roman"/>
          <w:color w:val="000000"/>
          <w:kern w:val="0"/>
          <w:sz w:val="32"/>
          <w:szCs w:val="32"/>
        </w:rPr>
      </w:pPr>
    </w:p>
    <w:p w14:paraId="6537EC0E">
      <w:pPr>
        <w:widowControl/>
        <w:ind w:firstLine="640" w:firstLineChars="200"/>
        <w:jc w:val="left"/>
        <w:rPr>
          <w:rFonts w:ascii="Times New Roman" w:hAnsi="Times New Roman" w:eastAsia="仿宋_GB2312" w:cs="Times New Roman"/>
          <w:color w:val="000000"/>
          <w:kern w:val="0"/>
          <w:sz w:val="32"/>
          <w:szCs w:val="32"/>
        </w:rPr>
      </w:pPr>
    </w:p>
    <w:p w14:paraId="3CDF6473">
      <w:pPr>
        <w:widowControl/>
        <w:ind w:firstLine="640" w:firstLineChars="200"/>
        <w:jc w:val="left"/>
        <w:rPr>
          <w:rFonts w:ascii="Times New Roman" w:hAnsi="Times New Roman" w:eastAsia="仿宋_GB2312" w:cs="Times New Roman"/>
          <w:color w:val="000000"/>
          <w:kern w:val="0"/>
          <w:sz w:val="32"/>
          <w:szCs w:val="32"/>
        </w:rPr>
      </w:pPr>
    </w:p>
    <w:p w14:paraId="0DFD33B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55" w:lineRule="atLeast"/>
        <w:ind w:right="0" w:firstLine="640" w:firstLineChars="200"/>
        <w:jc w:val="both"/>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19D135B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 w:afterAutospacing="0" w:line="255" w:lineRule="atLeast"/>
        <w:ind w:right="0" w:firstLine="640" w:firstLineChars="200"/>
        <w:jc w:val="both"/>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38B6FBEF">
      <w:pPr>
        <w:pStyle w:val="15"/>
        <w:jc w:val="center"/>
        <w:rPr>
          <w:rFonts w:ascii="Times New Roman" w:hAnsi="Times New Roman" w:cs="Times New Roman"/>
          <w:sz w:val="72"/>
          <w:szCs w:val="72"/>
        </w:rPr>
      </w:pPr>
    </w:p>
    <w:p w14:paraId="00B502F3">
      <w:pPr>
        <w:pStyle w:val="15"/>
        <w:jc w:val="center"/>
        <w:rPr>
          <w:rFonts w:ascii="Times New Roman" w:hAnsi="Times New Roman" w:cs="Times New Roman"/>
          <w:sz w:val="72"/>
          <w:szCs w:val="72"/>
        </w:rPr>
      </w:pPr>
    </w:p>
    <w:p w14:paraId="1E15B005">
      <w:pPr>
        <w:pStyle w:val="15"/>
        <w:jc w:val="center"/>
        <w:rPr>
          <w:rFonts w:ascii="Times New Roman" w:hAnsi="Times New Roman" w:cs="Times New Roman"/>
          <w:sz w:val="72"/>
          <w:szCs w:val="72"/>
        </w:rPr>
      </w:pPr>
    </w:p>
    <w:p w14:paraId="65EA3B79">
      <w:pPr>
        <w:pStyle w:val="15"/>
        <w:jc w:val="center"/>
        <w:rPr>
          <w:rFonts w:ascii="Times New Roman" w:hAnsi="Times New Roman" w:cs="Times New Roman"/>
          <w:sz w:val="72"/>
          <w:szCs w:val="72"/>
        </w:rPr>
      </w:pPr>
    </w:p>
    <w:p w14:paraId="160F68DC">
      <w:pPr>
        <w:pStyle w:val="15"/>
        <w:jc w:val="center"/>
        <w:rPr>
          <w:rFonts w:ascii="Times New Roman" w:hAnsi="Times New Roman" w:cs="Times New Roman"/>
          <w:sz w:val="72"/>
          <w:szCs w:val="72"/>
        </w:rPr>
      </w:pPr>
    </w:p>
    <w:p w14:paraId="439213F4">
      <w:pPr>
        <w:pStyle w:val="15"/>
        <w:jc w:val="center"/>
        <w:rPr>
          <w:rFonts w:ascii="Times New Roman" w:hAnsi="Times New Roman" w:cs="Times New Roman"/>
          <w:sz w:val="72"/>
          <w:szCs w:val="72"/>
        </w:rPr>
      </w:pPr>
    </w:p>
    <w:p w14:paraId="104CABC2">
      <w:pPr>
        <w:pStyle w:val="15"/>
        <w:jc w:val="center"/>
        <w:rPr>
          <w:rFonts w:ascii="Times New Roman" w:hAnsi="Times New Roman" w:cs="Times New Roman"/>
          <w:sz w:val="72"/>
          <w:szCs w:val="72"/>
        </w:rPr>
      </w:pPr>
    </w:p>
    <w:p w14:paraId="4CFC9E9C">
      <w:pPr>
        <w:pStyle w:val="15"/>
        <w:jc w:val="center"/>
        <w:rPr>
          <w:rFonts w:ascii="Times New Roman" w:hAnsi="Times New Roman" w:cs="Times New Roman"/>
          <w:sz w:val="72"/>
          <w:szCs w:val="72"/>
        </w:rPr>
      </w:pPr>
    </w:p>
    <w:p w14:paraId="7DAFC248">
      <w:pPr>
        <w:pStyle w:val="15"/>
        <w:jc w:val="center"/>
        <w:rPr>
          <w:rFonts w:ascii="Times New Roman" w:hAnsi="Times New Roman" w:cs="Times New Roman"/>
          <w:sz w:val="72"/>
          <w:szCs w:val="72"/>
        </w:rPr>
      </w:pPr>
    </w:p>
    <w:p w14:paraId="096D25C9">
      <w:pPr>
        <w:pStyle w:val="15"/>
        <w:jc w:val="both"/>
        <w:rPr>
          <w:rFonts w:ascii="Times New Roman" w:hAnsi="Times New Roman" w:cs="Times New Roman"/>
          <w:sz w:val="72"/>
          <w:szCs w:val="72"/>
        </w:rPr>
      </w:pPr>
    </w:p>
    <w:p w14:paraId="46EFFC1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第五部分 </w:t>
      </w:r>
    </w:p>
    <w:p w14:paraId="3F66167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 件</w:t>
      </w:r>
    </w:p>
    <w:p w14:paraId="33844F75">
      <w:pPr>
        <w:rPr>
          <w:rFonts w:ascii="Times New Roman" w:hAnsi="Times New Roman" w:cs="Times New Roman"/>
          <w:sz w:val="72"/>
          <w:szCs w:val="72"/>
        </w:rPr>
      </w:pPr>
    </w:p>
    <w:p w14:paraId="053D37D3">
      <w:pPr>
        <w:pStyle w:val="15"/>
        <w:spacing w:line="600" w:lineRule="exact"/>
        <w:ind w:firstLine="640" w:firstLineChars="200"/>
        <w:rPr>
          <w:rFonts w:ascii="Times New Roman" w:hAnsi="Times New Roman" w:eastAsia="仿宋_GB2312" w:cs="Times New Roman"/>
          <w:b/>
          <w:bCs/>
          <w:sz w:val="32"/>
          <w:szCs w:val="32"/>
        </w:rPr>
      </w:pPr>
    </w:p>
    <w:p w14:paraId="4AB05E0B">
      <w:pPr>
        <w:pStyle w:val="15"/>
        <w:spacing w:line="600" w:lineRule="exact"/>
        <w:ind w:firstLine="640" w:firstLineChars="200"/>
        <w:rPr>
          <w:rFonts w:ascii="Times New Roman" w:hAnsi="Times New Roman" w:eastAsia="仿宋_GB2312" w:cs="Times New Roman"/>
          <w:b/>
          <w:bCs/>
          <w:sz w:val="32"/>
          <w:szCs w:val="32"/>
        </w:rPr>
      </w:pPr>
    </w:p>
    <w:p w14:paraId="0AC62EE6">
      <w:pPr>
        <w:pStyle w:val="15"/>
        <w:spacing w:line="600" w:lineRule="exact"/>
        <w:ind w:firstLine="640" w:firstLineChars="200"/>
        <w:rPr>
          <w:rFonts w:ascii="Times New Roman" w:hAnsi="Times New Roman" w:eastAsia="仿宋_GB2312" w:cs="Times New Roman"/>
          <w:b/>
          <w:bCs/>
          <w:sz w:val="32"/>
          <w:szCs w:val="32"/>
        </w:rPr>
      </w:pPr>
    </w:p>
    <w:p w14:paraId="222CC31B">
      <w:pPr>
        <w:pStyle w:val="15"/>
        <w:spacing w:line="600" w:lineRule="exact"/>
        <w:ind w:firstLine="640" w:firstLineChars="200"/>
        <w:rPr>
          <w:rFonts w:ascii="Times New Roman" w:hAnsi="Times New Roman" w:eastAsia="仿宋_GB2312" w:cs="Times New Roman"/>
          <w:b/>
          <w:bCs/>
          <w:sz w:val="32"/>
          <w:szCs w:val="32"/>
        </w:rPr>
      </w:pPr>
    </w:p>
    <w:p w14:paraId="21ADB5A8">
      <w:pPr>
        <w:pStyle w:val="15"/>
        <w:spacing w:line="600" w:lineRule="exact"/>
        <w:ind w:firstLine="640" w:firstLineChars="200"/>
        <w:rPr>
          <w:rFonts w:ascii="Times New Roman" w:hAnsi="Times New Roman" w:eastAsia="仿宋_GB2312" w:cs="Times New Roman"/>
          <w:b/>
          <w:bCs/>
          <w:sz w:val="32"/>
          <w:szCs w:val="32"/>
        </w:rPr>
      </w:pPr>
    </w:p>
    <w:p w14:paraId="162E94AC">
      <w:pPr>
        <w:pStyle w:val="15"/>
        <w:spacing w:line="600" w:lineRule="exact"/>
        <w:ind w:firstLine="640" w:firstLineChars="200"/>
        <w:rPr>
          <w:rFonts w:ascii="Times New Roman" w:hAnsi="Times New Roman" w:eastAsia="仿宋_GB2312" w:cs="Times New Roman"/>
          <w:b/>
          <w:bCs/>
          <w:sz w:val="32"/>
          <w:szCs w:val="32"/>
        </w:rPr>
      </w:pPr>
    </w:p>
    <w:p w14:paraId="60673010">
      <w:pPr>
        <w:pStyle w:val="15"/>
        <w:spacing w:line="600" w:lineRule="exact"/>
        <w:ind w:firstLine="640" w:firstLineChars="200"/>
        <w:rPr>
          <w:rFonts w:ascii="Times New Roman" w:hAnsi="Times New Roman" w:eastAsia="仿宋_GB2312" w:cs="Times New Roman"/>
          <w:b/>
          <w:bCs/>
          <w:sz w:val="32"/>
          <w:szCs w:val="32"/>
        </w:rPr>
      </w:pPr>
    </w:p>
    <w:p w14:paraId="377B9D0B">
      <w:pPr>
        <w:pStyle w:val="15"/>
        <w:spacing w:line="600" w:lineRule="exact"/>
        <w:ind w:firstLine="640" w:firstLineChars="200"/>
        <w:rPr>
          <w:rFonts w:ascii="Times New Roman" w:hAnsi="Times New Roman" w:eastAsia="仿宋_GB2312" w:cs="Times New Roman"/>
          <w:b/>
          <w:bCs/>
          <w:sz w:val="32"/>
          <w:szCs w:val="32"/>
        </w:rPr>
      </w:pPr>
    </w:p>
    <w:p w14:paraId="5832CF13">
      <w:pPr>
        <w:pStyle w:val="15"/>
        <w:spacing w:line="600" w:lineRule="exact"/>
        <w:ind w:firstLine="640" w:firstLineChars="200"/>
        <w:rPr>
          <w:rFonts w:ascii="Times New Roman" w:hAnsi="Times New Roman" w:eastAsia="仿宋_GB2312" w:cs="Times New Roman"/>
          <w:b/>
          <w:bCs/>
          <w:sz w:val="32"/>
          <w:szCs w:val="32"/>
        </w:rPr>
      </w:pPr>
    </w:p>
    <w:p w14:paraId="540710A0">
      <w:pPr>
        <w:pStyle w:val="15"/>
        <w:spacing w:line="600" w:lineRule="exact"/>
        <w:ind w:firstLine="640" w:firstLineChars="200"/>
        <w:rPr>
          <w:rFonts w:ascii="Times New Roman" w:hAnsi="Times New Roman" w:eastAsia="仿宋_GB2312" w:cs="Times New Roman"/>
          <w:b/>
          <w:bCs/>
          <w:sz w:val="32"/>
          <w:szCs w:val="32"/>
        </w:rPr>
      </w:pPr>
    </w:p>
    <w:p w14:paraId="095E7340">
      <w:pPr>
        <w:pStyle w:val="15"/>
        <w:spacing w:line="600" w:lineRule="exact"/>
        <w:ind w:firstLine="640" w:firstLineChars="200"/>
        <w:rPr>
          <w:rFonts w:ascii="Times New Roman" w:hAnsi="Times New Roman" w:eastAsia="仿宋_GB2312" w:cs="Times New Roman"/>
          <w:b/>
          <w:bCs/>
          <w:sz w:val="32"/>
          <w:szCs w:val="32"/>
        </w:rPr>
      </w:pPr>
    </w:p>
    <w:p w14:paraId="52F618D1">
      <w:pPr>
        <w:pStyle w:val="15"/>
        <w:spacing w:line="600" w:lineRule="exact"/>
        <w:ind w:firstLine="640" w:firstLineChars="200"/>
        <w:rPr>
          <w:rFonts w:ascii="Times New Roman" w:hAnsi="Times New Roman" w:eastAsia="仿宋_GB2312" w:cs="Times New Roman"/>
          <w:b/>
          <w:bCs/>
          <w:sz w:val="32"/>
          <w:szCs w:val="32"/>
        </w:rPr>
      </w:pPr>
    </w:p>
    <w:p w14:paraId="290ED867">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34CBF2DC">
      <w:pPr>
        <w:pStyle w:val="15"/>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二、2025年度部门决算公开表。</w:t>
      </w:r>
    </w:p>
    <w:p w14:paraId="7F8D9691">
      <w:pPr>
        <w:pStyle w:val="15"/>
        <w:spacing w:line="600" w:lineRule="exact"/>
        <w:ind w:firstLine="640" w:firstLineChars="200"/>
        <w:rPr>
          <w:rFonts w:ascii="Times New Roman" w:hAnsi="Times New Roman" w:eastAsia="仿宋_GB2312" w:cs="Times New Roman"/>
          <w:sz w:val="32"/>
          <w:szCs w:val="32"/>
        </w:rPr>
      </w:pPr>
    </w:p>
    <w:p w14:paraId="5D087876">
      <w:pPr>
        <w:pStyle w:val="15"/>
        <w:jc w:val="center"/>
        <w:rPr>
          <w:rFonts w:ascii="Times New Roman" w:hAnsi="Times New Roman" w:cs="Times New Roman"/>
          <w:sz w:val="72"/>
          <w:szCs w:val="72"/>
        </w:rPr>
      </w:pPr>
    </w:p>
    <w:p w14:paraId="031DD3F6">
      <w:pPr>
        <w:pStyle w:val="15"/>
        <w:jc w:val="center"/>
        <w:rPr>
          <w:rFonts w:ascii="Times New Roman" w:hAnsi="Times New Roman" w:cs="Times New Roman"/>
          <w:sz w:val="72"/>
          <w:szCs w:val="72"/>
        </w:rPr>
      </w:pPr>
    </w:p>
    <w:p w14:paraId="689724C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62C7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3CC10">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943F3">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A5016">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7236A">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777236A">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3D58C8"/>
    <w:multiLevelType w:val="singleLevel"/>
    <w:tmpl w:val="403D58C8"/>
    <w:lvl w:ilvl="0" w:tentative="0">
      <w:start w:val="4"/>
      <w:numFmt w:val="chineseCounting"/>
      <w:suff w:val="space"/>
      <w:lvlText w:val="第%1部分"/>
      <w:lvlJc w:val="left"/>
      <w:rPr>
        <w:rFonts w:hint="eastAsia"/>
      </w:rPr>
    </w:lvl>
  </w:abstractNum>
  <w:abstractNum w:abstractNumId="1">
    <w:nsid w:val="7954B7AB"/>
    <w:multiLevelType w:val="singleLevel"/>
    <w:tmpl w:val="7954B7AB"/>
    <w:lvl w:ilvl="0" w:tentative="0">
      <w:start w:val="2"/>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932CE9"/>
    <w:rsid w:val="081859DF"/>
    <w:rsid w:val="0F136F00"/>
    <w:rsid w:val="1410126E"/>
    <w:rsid w:val="1D97DEFF"/>
    <w:rsid w:val="1DFF72E5"/>
    <w:rsid w:val="1EFC6F07"/>
    <w:rsid w:val="2AD102FF"/>
    <w:rsid w:val="2FDF85B8"/>
    <w:rsid w:val="2FFFEE04"/>
    <w:rsid w:val="34DF85B0"/>
    <w:rsid w:val="361B6516"/>
    <w:rsid w:val="380354B4"/>
    <w:rsid w:val="3B8F36BC"/>
    <w:rsid w:val="3F5D48DE"/>
    <w:rsid w:val="491FF225"/>
    <w:rsid w:val="4FFD214C"/>
    <w:rsid w:val="51CF723E"/>
    <w:rsid w:val="5777D4F5"/>
    <w:rsid w:val="57BB325E"/>
    <w:rsid w:val="590F3861"/>
    <w:rsid w:val="59DD8326"/>
    <w:rsid w:val="5A205D3C"/>
    <w:rsid w:val="5DEF592A"/>
    <w:rsid w:val="5FC6BB1E"/>
    <w:rsid w:val="5FF720F1"/>
    <w:rsid w:val="67FF5C0B"/>
    <w:rsid w:val="6EFC0924"/>
    <w:rsid w:val="6FB74722"/>
    <w:rsid w:val="6FEF8B7E"/>
    <w:rsid w:val="71A6591B"/>
    <w:rsid w:val="733205B0"/>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100" w:beforeAutospacing="1" w:after="100" w:afterAutospacing="1"/>
      <w:jc w:val="left"/>
      <w:outlineLvl w:val="0"/>
    </w:pPr>
    <w:rPr>
      <w:rFonts w:hint="eastAsia" w:ascii="宋体" w:hAnsi="宋体" w:eastAsia="宋体" w:cs="宋体"/>
      <w:b/>
      <w:bCs/>
      <w:kern w:val="44"/>
      <w:sz w:val="48"/>
      <w:szCs w:val="48"/>
      <w:lang w:val="en-US" w:eastAsia="zh-CN"/>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lock Text"/>
    <w:basedOn w:val="1"/>
    <w:unhideWhenUsed/>
    <w:qFormat/>
    <w:uiPriority w:val="99"/>
    <w:pPr>
      <w:ind w:firstLine="64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566</Words>
  <Characters>584</Characters>
  <Lines>69</Lines>
  <Paragraphs>19</Paragraphs>
  <TotalTime>3</TotalTime>
  <ScaleCrop>false</ScaleCrop>
  <LinksUpToDate>false</LinksUpToDate>
  <CharactersWithSpaces>613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2026-10-15T16:49:40Z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eyJoZGlkIjoiYmQzOWU2ZTE2YmNjNzFkZTcwNzEwMzg3Yzk5MTIzNzMiLCJ1c2VySWQiOiI5OTk0NjQwODEifQ==</vt:lpwstr>
  </property>
</Properties>
</file>