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80C3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right="0" w:firstLine="0"/>
        <w:jc w:val="center"/>
        <w:textAlignment w:val="auto"/>
        <w:rPr>
          <w:rFonts w:hint="eastAsia" w:ascii="仿宋" w:hAnsi="仿宋" w:eastAsia="仿宋" w:cs="仿宋"/>
          <w:b/>
          <w:bCs/>
          <w:i w:val="0"/>
          <w:iCs w:val="0"/>
          <w:caps w:val="0"/>
          <w:color w:val="000000"/>
          <w:spacing w:val="0"/>
          <w:sz w:val="32"/>
          <w:szCs w:val="32"/>
          <w:shd w:val="clear" w:fill="FFFFFF"/>
        </w:rPr>
      </w:pPr>
    </w:p>
    <w:p w14:paraId="38AF748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52F530A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4B0862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1B1D279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6A196B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22" w:firstLineChars="100"/>
        <w:textAlignment w:val="auto"/>
        <w:rPr>
          <w:rFonts w:hint="eastAsia" w:ascii="仿宋" w:hAnsi="仿宋" w:eastAsia="仿宋" w:cs="仿宋"/>
          <w:b/>
          <w:bCs/>
          <w:i w:val="0"/>
          <w:iCs w:val="0"/>
          <w:caps w:val="0"/>
          <w:color w:val="000000"/>
          <w:spacing w:val="0"/>
          <w:sz w:val="52"/>
          <w:szCs w:val="52"/>
          <w:shd w:val="clear" w:fill="FFFFFF"/>
          <w:lang w:val="en-US" w:eastAsia="zh-CN"/>
        </w:rPr>
      </w:pPr>
      <w:r>
        <w:rPr>
          <w:rFonts w:hint="eastAsia" w:ascii="仿宋" w:hAnsi="仿宋" w:eastAsia="仿宋" w:cs="仿宋"/>
          <w:b/>
          <w:bCs/>
          <w:i w:val="0"/>
          <w:iCs w:val="0"/>
          <w:caps w:val="0"/>
          <w:color w:val="000000"/>
          <w:spacing w:val="0"/>
          <w:sz w:val="52"/>
          <w:szCs w:val="52"/>
          <w:shd w:val="clear" w:fill="FFFFFF"/>
          <w:lang w:val="en-US" w:eastAsia="zh-CN"/>
        </w:rPr>
        <w:t>2025年度怀化市图书馆整体支出</w:t>
      </w:r>
    </w:p>
    <w:p w14:paraId="3D2156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2610" w:firstLineChars="500"/>
        <w:textAlignment w:val="auto"/>
        <w:rPr>
          <w:rFonts w:hint="eastAsia" w:ascii="仿宋" w:hAnsi="仿宋" w:eastAsia="仿宋" w:cs="仿宋"/>
          <w:b/>
          <w:bCs/>
          <w:i w:val="0"/>
          <w:iCs w:val="0"/>
          <w:caps w:val="0"/>
          <w:color w:val="000000"/>
          <w:spacing w:val="0"/>
          <w:sz w:val="52"/>
          <w:szCs w:val="52"/>
          <w:shd w:val="clear" w:fill="FFFFFF"/>
          <w:lang w:val="en-US" w:eastAsia="zh-CN"/>
        </w:rPr>
      </w:pPr>
      <w:r>
        <w:rPr>
          <w:rFonts w:hint="eastAsia" w:ascii="仿宋" w:hAnsi="仿宋" w:eastAsia="仿宋" w:cs="仿宋"/>
          <w:b/>
          <w:bCs/>
          <w:i w:val="0"/>
          <w:iCs w:val="0"/>
          <w:caps w:val="0"/>
          <w:color w:val="000000"/>
          <w:spacing w:val="0"/>
          <w:sz w:val="52"/>
          <w:szCs w:val="52"/>
          <w:shd w:val="clear" w:fill="FFFFFF"/>
          <w:lang w:val="en-US" w:eastAsia="zh-CN"/>
        </w:rPr>
        <w:t>绩效自评报告</w:t>
      </w:r>
    </w:p>
    <w:p w14:paraId="2DE4A33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r>
        <w:rPr>
          <w:rFonts w:hint="eastAsia" w:ascii="仿宋" w:hAnsi="仿宋" w:eastAsia="仿宋" w:cs="仿宋"/>
          <w:b/>
          <w:bCs/>
          <w:i w:val="0"/>
          <w:iCs w:val="0"/>
          <w:caps w:val="0"/>
          <w:color w:val="000000"/>
          <w:spacing w:val="0"/>
          <w:sz w:val="48"/>
          <w:szCs w:val="48"/>
          <w:shd w:val="clear" w:fill="FFFFFF"/>
          <w:lang w:val="en-US" w:eastAsia="zh-CN"/>
        </w:rPr>
        <w:t xml:space="preserve">   </w:t>
      </w:r>
    </w:p>
    <w:p w14:paraId="525D186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4CB0EA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76570F5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3109F4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6F08613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760D2F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0D066B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00EB964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654574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7A36D14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r>
        <w:rPr>
          <w:rFonts w:hint="eastAsia" w:ascii="仿宋" w:hAnsi="仿宋" w:eastAsia="仿宋" w:cs="仿宋"/>
          <w:b/>
          <w:bCs/>
          <w:i w:val="0"/>
          <w:iCs w:val="0"/>
          <w:caps w:val="0"/>
          <w:color w:val="000000"/>
          <w:spacing w:val="0"/>
          <w:sz w:val="48"/>
          <w:szCs w:val="48"/>
          <w:shd w:val="clear" w:fill="FFFFFF"/>
          <w:lang w:val="en-US" w:eastAsia="zh-CN"/>
        </w:rPr>
        <w:t xml:space="preserve">   </w:t>
      </w:r>
    </w:p>
    <w:p w14:paraId="205ECAD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5F48CE5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5E3A10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732C66B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1446" w:firstLineChars="300"/>
        <w:textAlignment w:val="auto"/>
        <w:rPr>
          <w:rFonts w:hint="default" w:ascii="仿宋" w:hAnsi="仿宋" w:eastAsia="仿宋" w:cs="仿宋"/>
          <w:b/>
          <w:bCs/>
          <w:i w:val="0"/>
          <w:iCs w:val="0"/>
          <w:caps w:val="0"/>
          <w:color w:val="000000"/>
          <w:spacing w:val="0"/>
          <w:sz w:val="48"/>
          <w:szCs w:val="48"/>
          <w:shd w:val="clear" w:fill="FFFFFF"/>
          <w:lang w:val="en-US" w:eastAsia="zh-CN"/>
        </w:rPr>
      </w:pPr>
      <w:r>
        <w:rPr>
          <w:rFonts w:hint="eastAsia" w:ascii="仿宋" w:hAnsi="仿宋" w:eastAsia="仿宋" w:cs="仿宋"/>
          <w:b/>
          <w:bCs/>
          <w:i w:val="0"/>
          <w:iCs w:val="0"/>
          <w:caps w:val="0"/>
          <w:color w:val="000000"/>
          <w:spacing w:val="0"/>
          <w:sz w:val="48"/>
          <w:szCs w:val="48"/>
          <w:shd w:val="clear" w:fill="FFFFFF"/>
          <w:lang w:val="en-US" w:eastAsia="zh-CN"/>
        </w:rPr>
        <w:t xml:space="preserve"> 怀化市图书馆（盖章）：</w:t>
      </w:r>
    </w:p>
    <w:p w14:paraId="2B9464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156AC5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5129938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3A90A3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16AD071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46D2913E">
      <w:pPr>
        <w:pStyle w:val="4"/>
        <w:bidi w:val="0"/>
        <w:rPr>
          <w:rFonts w:hint="eastAsia"/>
        </w:rPr>
      </w:pPr>
    </w:p>
    <w:p w14:paraId="11DD3B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lang w:eastAsia="zh-CN"/>
        </w:rPr>
      </w:pPr>
      <w:r>
        <w:rPr>
          <w:rFonts w:hint="eastAsia" w:ascii="仿宋" w:hAnsi="仿宋" w:eastAsia="仿宋" w:cs="仿宋"/>
          <w:b/>
          <w:bCs/>
          <w:i w:val="0"/>
          <w:iCs w:val="0"/>
          <w:caps w:val="0"/>
          <w:color w:val="000000"/>
          <w:spacing w:val="0"/>
          <w:sz w:val="32"/>
          <w:szCs w:val="32"/>
          <w:shd w:val="clear" w:fill="FFFFFF"/>
        </w:rPr>
        <w:t>一、部门</w:t>
      </w:r>
      <w:r>
        <w:rPr>
          <w:rFonts w:hint="eastAsia" w:ascii="仿宋" w:hAnsi="仿宋" w:eastAsia="仿宋" w:cs="仿宋"/>
          <w:b/>
          <w:bCs/>
          <w:i w:val="0"/>
          <w:iCs w:val="0"/>
          <w:caps w:val="0"/>
          <w:color w:val="000000"/>
          <w:spacing w:val="0"/>
          <w:sz w:val="32"/>
          <w:szCs w:val="32"/>
          <w:shd w:val="clear" w:fill="FFFFFF"/>
          <w:lang w:eastAsia="zh-CN"/>
        </w:rPr>
        <w:t>概况</w:t>
      </w:r>
    </w:p>
    <w:p w14:paraId="7823250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outlineLvl w:val="9"/>
        <w:rPr>
          <w:rFonts w:hint="eastAsia" w:ascii="仿宋" w:hAnsi="仿宋" w:eastAsia="仿宋" w:cs="仿宋"/>
          <w:i w:val="0"/>
          <w:iCs w:val="0"/>
          <w:caps w:val="0"/>
          <w:color w:val="000000"/>
          <w:spacing w:val="0"/>
          <w:sz w:val="32"/>
          <w:szCs w:val="32"/>
          <w:lang w:eastAsia="zh-CN"/>
        </w:rPr>
      </w:pPr>
      <w:r>
        <w:rPr>
          <w:rFonts w:hint="eastAsia" w:ascii="仿宋" w:hAnsi="仿宋" w:eastAsia="仿宋" w:cs="仿宋"/>
          <w:i w:val="0"/>
          <w:iCs w:val="0"/>
          <w:caps w:val="0"/>
          <w:color w:val="000000"/>
          <w:spacing w:val="0"/>
          <w:sz w:val="32"/>
          <w:szCs w:val="32"/>
          <w:shd w:val="clear" w:fill="FFFFFF"/>
        </w:rPr>
        <w:t>（一）</w:t>
      </w:r>
      <w:r>
        <w:rPr>
          <w:rFonts w:hint="eastAsia" w:ascii="仿宋" w:hAnsi="仿宋" w:eastAsia="仿宋" w:cs="仿宋"/>
          <w:i w:val="0"/>
          <w:iCs w:val="0"/>
          <w:caps w:val="0"/>
          <w:color w:val="000000"/>
          <w:spacing w:val="0"/>
          <w:sz w:val="32"/>
          <w:szCs w:val="32"/>
          <w:shd w:val="clear" w:fill="FFFFFF"/>
          <w:lang w:eastAsia="zh-CN"/>
        </w:rPr>
        <w:t>图书馆基本</w:t>
      </w:r>
      <w:r>
        <w:rPr>
          <w:rFonts w:hint="eastAsia" w:ascii="仿宋" w:hAnsi="仿宋" w:eastAsia="仿宋" w:cs="仿宋"/>
          <w:i w:val="0"/>
          <w:iCs w:val="0"/>
          <w:caps w:val="0"/>
          <w:color w:val="000000"/>
          <w:spacing w:val="0"/>
          <w:sz w:val="32"/>
          <w:szCs w:val="32"/>
          <w:shd w:val="clear" w:fill="FFFFFF"/>
        </w:rPr>
        <w:t>情况</w:t>
      </w:r>
      <w:r>
        <w:rPr>
          <w:rFonts w:hint="eastAsia" w:ascii="仿宋" w:hAnsi="仿宋" w:eastAsia="仿宋" w:cs="仿宋"/>
          <w:i w:val="0"/>
          <w:iCs w:val="0"/>
          <w:caps w:val="0"/>
          <w:color w:val="000000"/>
          <w:spacing w:val="0"/>
          <w:sz w:val="32"/>
          <w:szCs w:val="32"/>
          <w:shd w:val="clear" w:fill="FFFFFF"/>
          <w:lang w:eastAsia="zh-CN"/>
        </w:rPr>
        <w:t>。</w:t>
      </w:r>
    </w:p>
    <w:p w14:paraId="0B40301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textAlignment w:val="auto"/>
        <w:outlineLvl w:val="9"/>
        <w:rPr>
          <w:rFonts w:hint="eastAsia" w:ascii="仿宋" w:hAnsi="仿宋" w:eastAsia="仿宋" w:cs="仿宋"/>
          <w:i w:val="0"/>
          <w:iCs w:val="0"/>
          <w:caps w:val="0"/>
          <w:color w:val="000000"/>
          <w:spacing w:val="0"/>
          <w:sz w:val="32"/>
          <w:szCs w:val="32"/>
          <w:lang w:eastAsia="zh-CN"/>
        </w:rPr>
      </w:pPr>
      <w:r>
        <w:rPr>
          <w:rFonts w:hint="eastAsia" w:ascii="仿宋" w:hAnsi="仿宋" w:eastAsia="仿宋" w:cs="仿宋"/>
          <w:color w:val="000000"/>
          <w:sz w:val="32"/>
          <w:szCs w:val="32"/>
        </w:rPr>
        <w:t>图书馆的职责是保存借阅图书资料，促进社会经济文化发展，采集与储藏图书资料、网络系统、文献数字化处理及图书馆学研究、编辑、出版、知识培训与社会教育。我馆作为文化传播、公共文化服务单位职能是结合社会力量开展社会性的阅读活动、</w:t>
      </w:r>
      <w:r>
        <w:rPr>
          <w:rFonts w:hint="eastAsia" w:ascii="仿宋" w:hAnsi="仿宋" w:eastAsia="仿宋" w:cs="仿宋"/>
          <w:color w:val="333333"/>
          <w:sz w:val="32"/>
          <w:szCs w:val="32"/>
        </w:rPr>
        <w:t>开展社会教育、传递科学情报、开发智力资源、提供文化娱乐等。</w:t>
      </w:r>
      <w:r>
        <w:rPr>
          <w:rFonts w:hint="eastAsia" w:ascii="仿宋" w:hAnsi="仿宋" w:eastAsia="仿宋" w:cs="仿宋"/>
          <w:sz w:val="32"/>
          <w:szCs w:val="32"/>
        </w:rPr>
        <w:t>内设</w:t>
      </w:r>
      <w:r>
        <w:rPr>
          <w:rFonts w:hint="eastAsia" w:ascii="仿宋" w:hAnsi="仿宋" w:eastAsia="仿宋" w:cs="仿宋"/>
          <w:sz w:val="32"/>
          <w:szCs w:val="32"/>
          <w:lang w:eastAsia="zh-CN"/>
        </w:rPr>
        <w:t>三室三</w:t>
      </w:r>
      <w:r>
        <w:rPr>
          <w:rFonts w:hint="eastAsia" w:ascii="仿宋" w:hAnsi="仿宋" w:eastAsia="仿宋" w:cs="仿宋"/>
          <w:sz w:val="32"/>
          <w:szCs w:val="32"/>
        </w:rPr>
        <w:t>部</w:t>
      </w:r>
      <w:r>
        <w:rPr>
          <w:rFonts w:hint="eastAsia" w:ascii="仿宋" w:hAnsi="仿宋" w:eastAsia="仿宋" w:cs="仿宋"/>
          <w:sz w:val="32"/>
          <w:szCs w:val="32"/>
          <w:lang w:eastAsia="zh-CN"/>
        </w:rPr>
        <w:t>：</w:t>
      </w:r>
      <w:r>
        <w:rPr>
          <w:rFonts w:hint="eastAsia" w:ascii="仿宋" w:hAnsi="仿宋" w:eastAsia="仿宋" w:cs="仿宋"/>
          <w:sz w:val="32"/>
          <w:szCs w:val="32"/>
        </w:rPr>
        <w:t>办公室、财务室、采编室</w:t>
      </w:r>
      <w:r>
        <w:rPr>
          <w:rFonts w:hint="eastAsia" w:ascii="仿宋" w:hAnsi="仿宋" w:eastAsia="仿宋" w:cs="仿宋"/>
          <w:sz w:val="32"/>
          <w:szCs w:val="32"/>
          <w:lang w:eastAsia="zh-CN"/>
        </w:rPr>
        <w:t>，读者服务</w:t>
      </w:r>
      <w:r>
        <w:rPr>
          <w:rFonts w:hint="eastAsia" w:ascii="仿宋" w:hAnsi="仿宋" w:eastAsia="仿宋" w:cs="仿宋"/>
          <w:sz w:val="32"/>
          <w:szCs w:val="32"/>
        </w:rPr>
        <w:t>部、</w:t>
      </w:r>
      <w:r>
        <w:rPr>
          <w:rFonts w:hint="eastAsia" w:ascii="仿宋" w:hAnsi="仿宋" w:eastAsia="仿宋" w:cs="仿宋"/>
          <w:sz w:val="32"/>
          <w:szCs w:val="32"/>
          <w:lang w:eastAsia="zh-CN"/>
        </w:rPr>
        <w:t>合作推广</w:t>
      </w:r>
      <w:r>
        <w:rPr>
          <w:rFonts w:hint="eastAsia" w:ascii="仿宋" w:hAnsi="仿宋" w:eastAsia="仿宋" w:cs="仿宋"/>
          <w:sz w:val="32"/>
          <w:szCs w:val="32"/>
        </w:rPr>
        <w:t>部</w:t>
      </w:r>
      <w:r>
        <w:rPr>
          <w:rFonts w:hint="eastAsia" w:ascii="仿宋" w:hAnsi="仿宋" w:eastAsia="仿宋" w:cs="仿宋"/>
          <w:sz w:val="32"/>
          <w:szCs w:val="32"/>
          <w:lang w:eastAsia="zh-CN"/>
        </w:rPr>
        <w:t>、数据资源部</w:t>
      </w:r>
      <w:r>
        <w:rPr>
          <w:rFonts w:hint="eastAsia" w:ascii="仿宋" w:hAnsi="仿宋" w:eastAsia="仿宋" w:cs="仿宋"/>
          <w:sz w:val="32"/>
          <w:szCs w:val="32"/>
        </w:rPr>
        <w:t>。开放</w:t>
      </w:r>
      <w:r>
        <w:rPr>
          <w:rFonts w:hint="eastAsia" w:ascii="仿宋" w:hAnsi="仿宋" w:eastAsia="仿宋" w:cs="仿宋"/>
          <w:sz w:val="32"/>
          <w:szCs w:val="32"/>
          <w:lang w:eastAsia="zh-CN"/>
        </w:rPr>
        <w:t>五</w:t>
      </w:r>
      <w:r>
        <w:rPr>
          <w:rFonts w:hint="eastAsia" w:ascii="仿宋" w:hAnsi="仿宋" w:eastAsia="仿宋" w:cs="仿宋"/>
          <w:sz w:val="32"/>
          <w:szCs w:val="32"/>
        </w:rPr>
        <w:t>个服务窗口：综合阅览室、</w:t>
      </w:r>
      <w:r>
        <w:rPr>
          <w:rFonts w:hint="eastAsia" w:ascii="仿宋" w:hAnsi="仿宋" w:eastAsia="仿宋" w:cs="仿宋"/>
          <w:sz w:val="32"/>
          <w:szCs w:val="32"/>
          <w:lang w:eastAsia="zh-CN"/>
        </w:rPr>
        <w:t>文学艺术借阅室、</w:t>
      </w:r>
      <w:r>
        <w:rPr>
          <w:rFonts w:hint="eastAsia" w:ascii="仿宋" w:hAnsi="仿宋" w:eastAsia="仿宋" w:cs="仿宋"/>
          <w:sz w:val="32"/>
          <w:szCs w:val="32"/>
        </w:rPr>
        <w:t>少儿外借室、报刊阅览室、电子阅览室。202</w:t>
      </w:r>
      <w:r>
        <w:rPr>
          <w:rFonts w:hint="eastAsia" w:ascii="仿宋" w:hAnsi="仿宋" w:eastAsia="仿宋" w:cs="仿宋"/>
          <w:sz w:val="32"/>
          <w:szCs w:val="32"/>
          <w:lang w:val="en-US" w:eastAsia="zh-CN"/>
        </w:rPr>
        <w:t>5</w:t>
      </w:r>
      <w:r>
        <w:rPr>
          <w:rFonts w:hint="eastAsia" w:ascii="仿宋" w:hAnsi="仿宋" w:eastAsia="仿宋" w:cs="仿宋"/>
          <w:sz w:val="32"/>
          <w:szCs w:val="32"/>
        </w:rPr>
        <w:t>年度我馆编制人数2</w:t>
      </w:r>
      <w:r>
        <w:rPr>
          <w:rFonts w:hint="eastAsia" w:ascii="仿宋" w:hAnsi="仿宋" w:eastAsia="仿宋" w:cs="仿宋"/>
          <w:sz w:val="32"/>
          <w:szCs w:val="32"/>
          <w:lang w:val="en-US" w:eastAsia="zh-CN"/>
        </w:rPr>
        <w:t>3</w:t>
      </w:r>
      <w:r>
        <w:rPr>
          <w:rFonts w:hint="eastAsia" w:ascii="仿宋" w:hAnsi="仿宋" w:eastAsia="仿宋" w:cs="仿宋"/>
          <w:sz w:val="32"/>
          <w:szCs w:val="32"/>
        </w:rPr>
        <w:t>名，实际年末在职人数2</w:t>
      </w:r>
      <w:r>
        <w:rPr>
          <w:rFonts w:hint="eastAsia" w:ascii="仿宋" w:hAnsi="仿宋" w:eastAsia="仿宋" w:cs="仿宋"/>
          <w:sz w:val="32"/>
          <w:szCs w:val="32"/>
          <w:lang w:val="en-US" w:eastAsia="zh-CN"/>
        </w:rPr>
        <w:t>3</w:t>
      </w:r>
      <w:r>
        <w:rPr>
          <w:rFonts w:hint="eastAsia" w:ascii="仿宋" w:hAnsi="仿宋" w:eastAsia="仿宋" w:cs="仿宋"/>
          <w:sz w:val="32"/>
          <w:szCs w:val="32"/>
        </w:rPr>
        <w:t>名。其中管理岗位6名，专技岗位1</w:t>
      </w:r>
      <w:r>
        <w:rPr>
          <w:rFonts w:hint="eastAsia" w:ascii="仿宋" w:hAnsi="仿宋" w:eastAsia="仿宋" w:cs="仿宋"/>
          <w:sz w:val="32"/>
          <w:szCs w:val="32"/>
          <w:lang w:val="en-US" w:eastAsia="zh-CN"/>
        </w:rPr>
        <w:t>6</w:t>
      </w:r>
      <w:r>
        <w:rPr>
          <w:rFonts w:hint="eastAsia" w:ascii="仿宋" w:hAnsi="仿宋" w:eastAsia="仿宋" w:cs="仿宋"/>
          <w:sz w:val="32"/>
          <w:szCs w:val="32"/>
        </w:rPr>
        <w:t>名，工勤岗位1名</w:t>
      </w:r>
      <w:r>
        <w:rPr>
          <w:rFonts w:hint="eastAsia" w:ascii="仿宋" w:hAnsi="仿宋" w:eastAsia="仿宋" w:cs="仿宋"/>
          <w:sz w:val="32"/>
          <w:szCs w:val="32"/>
          <w:lang w:eastAsia="zh-CN"/>
        </w:rPr>
        <w:t>。</w:t>
      </w:r>
    </w:p>
    <w:p w14:paraId="2BE08E2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outlineLvl w:val="9"/>
        <w:rPr>
          <w:rFonts w:hint="eastAsia" w:ascii="仿宋" w:hAnsi="仿宋" w:eastAsia="仿宋" w:cs="仿宋"/>
          <w:i w:val="0"/>
          <w:iCs w:val="0"/>
          <w:caps w:val="0"/>
          <w:color w:val="000000"/>
          <w:spacing w:val="0"/>
          <w:sz w:val="32"/>
          <w:szCs w:val="32"/>
          <w:lang w:eastAsia="zh-CN"/>
        </w:rPr>
      </w:pPr>
      <w:r>
        <w:rPr>
          <w:rFonts w:hint="eastAsia" w:ascii="仿宋" w:hAnsi="仿宋" w:eastAsia="仿宋" w:cs="仿宋"/>
          <w:i w:val="0"/>
          <w:iCs w:val="0"/>
          <w:caps w:val="0"/>
          <w:color w:val="000000"/>
          <w:spacing w:val="0"/>
          <w:sz w:val="32"/>
          <w:szCs w:val="32"/>
          <w:lang w:eastAsia="zh-CN"/>
        </w:rPr>
        <w:t>（二）图书馆整体支出规模、使用方向和主要内容、涉及范围等。</w:t>
      </w:r>
    </w:p>
    <w:p w14:paraId="3C9363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textAlignment w:val="auto"/>
        <w:rPr>
          <w:rFonts w:hint="eastAsia" w:ascii="仿宋_GB2312" w:hAnsi="仿宋_GB2312" w:eastAsia="仿宋_GB2312" w:cs="仿宋_GB2312"/>
          <w:b w:val="0"/>
          <w:bCs w:val="0"/>
          <w:color w:val="1F2329"/>
          <w:sz w:val="32"/>
          <w:szCs w:val="32"/>
        </w:rPr>
      </w:pPr>
      <w:r>
        <w:rPr>
          <w:rFonts w:hint="eastAsia" w:ascii="仿宋_GB2312" w:hAnsi="仿宋_GB2312" w:eastAsia="仿宋_GB2312" w:cs="仿宋_GB2312"/>
          <w:b w:val="0"/>
          <w:bCs w:val="0"/>
          <w:color w:val="1F2329"/>
          <w:sz w:val="32"/>
          <w:szCs w:val="32"/>
          <w:lang w:val="en-US" w:eastAsia="zh-CN"/>
        </w:rPr>
        <w:t xml:space="preserve">    1、</w:t>
      </w:r>
      <w:r>
        <w:rPr>
          <w:rFonts w:hint="eastAsia" w:ascii="仿宋_GB2312" w:hAnsi="仿宋_GB2312" w:eastAsia="仿宋_GB2312" w:cs="仿宋_GB2312"/>
          <w:b w:val="0"/>
          <w:bCs w:val="0"/>
          <w:color w:val="1F2329"/>
          <w:sz w:val="32"/>
          <w:szCs w:val="32"/>
        </w:rPr>
        <w:t>馆藏资源建设提质增效</w:t>
      </w:r>
      <w:r>
        <w:rPr>
          <w:rFonts w:hint="eastAsia" w:ascii="仿宋_GB2312" w:hAnsi="仿宋_GB2312" w:eastAsia="仿宋_GB2312" w:cs="仿宋_GB2312"/>
          <w:b w:val="0"/>
          <w:bCs w:val="0"/>
          <w:color w:val="1F2329"/>
          <w:sz w:val="32"/>
          <w:szCs w:val="32"/>
          <w:lang w:eastAsia="zh-CN"/>
        </w:rPr>
        <w:t>。</w:t>
      </w:r>
      <w:r>
        <w:rPr>
          <w:rFonts w:hint="eastAsia" w:ascii="仿宋_GB2312" w:hAnsi="仿宋_GB2312" w:eastAsia="仿宋_GB2312" w:cs="仿宋_GB2312"/>
          <w:b w:val="0"/>
          <w:bCs w:val="0"/>
          <w:color w:val="1F2329"/>
          <w:sz w:val="32"/>
          <w:szCs w:val="32"/>
        </w:rPr>
        <w:t>全年累计新增书籍10.7万余册，馆藏多样性显著提升，特色馆藏使用率同比</w:t>
      </w:r>
      <w:r>
        <w:rPr>
          <w:rFonts w:hint="eastAsia" w:ascii="仿宋_GB2312" w:hAnsi="仿宋_GB2312" w:eastAsia="仿宋_GB2312" w:cs="仿宋_GB2312"/>
          <w:b w:val="0"/>
          <w:bCs w:val="0"/>
          <w:color w:val="auto"/>
          <w:sz w:val="32"/>
          <w:szCs w:val="32"/>
        </w:rPr>
        <w:t>提高5%。维护“interlib图创管理系统”“超星移动图书馆（含30余万册电子书）”2个核心数据库，新增“超星期刊”、文旅融合专题数据库等资源，完</w:t>
      </w:r>
      <w:r>
        <w:rPr>
          <w:rFonts w:hint="eastAsia" w:ascii="仿宋_GB2312" w:hAnsi="仿宋_GB2312" w:eastAsia="仿宋_GB2312" w:cs="仿宋_GB2312"/>
          <w:b w:val="0"/>
          <w:bCs w:val="0"/>
          <w:color w:val="1F2329"/>
          <w:sz w:val="32"/>
          <w:szCs w:val="32"/>
        </w:rPr>
        <w:t>善资源共享机制。坚守内容导向底线，全年无意识形态问题及盗版图书流通，淘汰低效文献，重点引进地方特色、学术价值突出的优质图书，优化馆藏结构。</w:t>
      </w:r>
    </w:p>
    <w:p w14:paraId="7C08F9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仿宋_GB2312" w:hAnsi="仿宋_GB2312" w:eastAsia="仿宋_GB2312" w:cs="仿宋_GB2312"/>
          <w:b w:val="0"/>
          <w:bCs w:val="0"/>
          <w:color w:val="1F2329"/>
          <w:sz w:val="32"/>
          <w:szCs w:val="32"/>
        </w:rPr>
      </w:pPr>
      <w:r>
        <w:rPr>
          <w:rFonts w:hint="eastAsia" w:ascii="仿宋_GB2312" w:hAnsi="仿宋_GB2312" w:eastAsia="仿宋_GB2312" w:cs="仿宋_GB2312"/>
          <w:b w:val="0"/>
          <w:bCs w:val="0"/>
          <w:color w:val="1F2329"/>
          <w:sz w:val="32"/>
          <w:szCs w:val="32"/>
          <w:lang w:val="en-US" w:eastAsia="zh-CN"/>
        </w:rPr>
        <w:t>2、</w:t>
      </w:r>
      <w:r>
        <w:rPr>
          <w:rFonts w:hint="eastAsia" w:ascii="仿宋_GB2312" w:hAnsi="仿宋_GB2312" w:eastAsia="仿宋_GB2312" w:cs="仿宋_GB2312"/>
          <w:b w:val="0"/>
          <w:bCs w:val="0"/>
          <w:color w:val="1F2329"/>
          <w:sz w:val="32"/>
          <w:szCs w:val="32"/>
        </w:rPr>
        <w:t>阅读推广活动亮点纷呈</w:t>
      </w:r>
      <w:r>
        <w:rPr>
          <w:rFonts w:hint="eastAsia" w:ascii="仿宋_GB2312" w:hAnsi="仿宋_GB2312" w:eastAsia="仿宋_GB2312" w:cs="仿宋_GB2312"/>
          <w:b w:val="0"/>
          <w:bCs w:val="0"/>
          <w:color w:val="1F2329"/>
          <w:sz w:val="32"/>
          <w:szCs w:val="32"/>
          <w:lang w:eastAsia="zh-CN"/>
        </w:rPr>
        <w:t>。</w:t>
      </w:r>
      <w:r>
        <w:rPr>
          <w:rFonts w:hint="eastAsia" w:ascii="仿宋_GB2312" w:hAnsi="仿宋_GB2312" w:eastAsia="仿宋_GB2312" w:cs="仿宋_GB2312"/>
          <w:b w:val="0"/>
          <w:bCs w:val="0"/>
          <w:color w:val="1F2329"/>
          <w:sz w:val="32"/>
          <w:szCs w:val="32"/>
        </w:rPr>
        <w:t>全年开展各类阅读推广活动90余次，覆盖超</w:t>
      </w:r>
      <w:r>
        <w:rPr>
          <w:rFonts w:hint="eastAsia" w:ascii="仿宋_GB2312" w:hAnsi="仿宋_GB2312" w:eastAsia="仿宋_GB2312" w:cs="仿宋_GB2312"/>
          <w:b w:val="0"/>
          <w:bCs w:val="0"/>
          <w:color w:val="1F2329"/>
          <w:sz w:val="32"/>
          <w:szCs w:val="32"/>
          <w:lang w:val="en-US" w:eastAsia="zh-CN"/>
        </w:rPr>
        <w:t>10</w:t>
      </w:r>
      <w:r>
        <w:rPr>
          <w:rFonts w:hint="eastAsia" w:ascii="仿宋_GB2312" w:hAnsi="仿宋_GB2312" w:eastAsia="仿宋_GB2312" w:cs="仿宋_GB2312"/>
          <w:b w:val="0"/>
          <w:bCs w:val="0"/>
          <w:color w:val="1F2329"/>
          <w:sz w:val="32"/>
          <w:szCs w:val="32"/>
        </w:rPr>
        <w:t>万人次。以“阅美怀化”为核心品牌，开展全民阅读主题活动30余次，举办“福地怀化过大年”“大唐诗会”等特色活动，4次“送书进机关、社区、乡镇”活动捐赠书籍1500余册。国庆中秋期间，举办摄影展与非遗剪纸展，吸引超5万人次参观。联合社会力量开展公益阅读活动20余期，服务特定群体获某部队锦旗致谢。组织参与省级赛事屡获佳绩，4个节目入围省少儿才艺展演，经典阅读大赛斩获二等奖1项、三等奖3项，推荐100余件作品参与国际摄影大展。</w:t>
      </w:r>
    </w:p>
    <w:p w14:paraId="4FED40A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textAlignment w:val="auto"/>
        <w:rPr>
          <w:rFonts w:hint="eastAsia" w:ascii="仿宋_GB2312" w:hAnsi="仿宋_GB2312" w:eastAsia="仿宋_GB2312" w:cs="仿宋_GB2312"/>
          <w:b w:val="0"/>
          <w:bCs w:val="0"/>
          <w:color w:val="1F2329"/>
          <w:sz w:val="32"/>
          <w:szCs w:val="32"/>
        </w:rPr>
      </w:pPr>
      <w:r>
        <w:rPr>
          <w:rFonts w:hint="eastAsia" w:ascii="仿宋_GB2312" w:hAnsi="仿宋_GB2312" w:eastAsia="仿宋_GB2312" w:cs="仿宋_GB2312"/>
          <w:b w:val="0"/>
          <w:bCs w:val="0"/>
          <w:color w:val="1F2329"/>
          <w:sz w:val="32"/>
          <w:szCs w:val="32"/>
          <w:lang w:val="en-US" w:eastAsia="zh-CN"/>
        </w:rPr>
        <w:t>3、</w:t>
      </w:r>
      <w:r>
        <w:rPr>
          <w:rFonts w:hint="eastAsia" w:ascii="仿宋_GB2312" w:hAnsi="仿宋_GB2312" w:eastAsia="仿宋_GB2312" w:cs="仿宋_GB2312"/>
          <w:b w:val="0"/>
          <w:bCs w:val="0"/>
          <w:color w:val="1F2329"/>
          <w:sz w:val="32"/>
          <w:szCs w:val="32"/>
        </w:rPr>
        <w:t>基础服务优化升级</w:t>
      </w:r>
      <w:r>
        <w:rPr>
          <w:rFonts w:hint="eastAsia" w:ascii="仿宋_GB2312" w:hAnsi="仿宋_GB2312" w:eastAsia="仿宋_GB2312" w:cs="仿宋_GB2312"/>
          <w:b w:val="0"/>
          <w:bCs w:val="0"/>
          <w:color w:val="1F2329"/>
          <w:sz w:val="32"/>
          <w:szCs w:val="32"/>
          <w:lang w:eastAsia="zh-CN"/>
        </w:rPr>
        <w:t>。</w:t>
      </w:r>
      <w:r>
        <w:rPr>
          <w:rFonts w:hint="eastAsia" w:ascii="仿宋_GB2312" w:hAnsi="仿宋_GB2312" w:eastAsia="仿宋_GB2312" w:cs="仿宋_GB2312"/>
          <w:b w:val="0"/>
          <w:bCs w:val="0"/>
          <w:color w:val="1F2329"/>
          <w:sz w:val="32"/>
          <w:szCs w:val="32"/>
        </w:rPr>
        <w:t>全年接待到馆读者</w:t>
      </w:r>
      <w:r>
        <w:rPr>
          <w:rFonts w:hint="eastAsia" w:ascii="仿宋_GB2312" w:hAnsi="仿宋_GB2312" w:eastAsia="仿宋_GB2312" w:cs="仿宋_GB2312"/>
          <w:b w:val="0"/>
          <w:bCs w:val="0"/>
          <w:color w:val="1F2329"/>
          <w:sz w:val="32"/>
          <w:szCs w:val="32"/>
          <w:lang w:val="en-US" w:eastAsia="zh-CN"/>
        </w:rPr>
        <w:t>42</w:t>
      </w:r>
      <w:r>
        <w:rPr>
          <w:rFonts w:hint="eastAsia" w:ascii="仿宋_GB2312" w:hAnsi="仿宋_GB2312" w:eastAsia="仿宋_GB2312" w:cs="仿宋_GB2312"/>
          <w:b w:val="0"/>
          <w:bCs w:val="0"/>
          <w:color w:val="1F2329"/>
          <w:sz w:val="32"/>
          <w:szCs w:val="32"/>
        </w:rPr>
        <w:t>万人次</w:t>
      </w:r>
      <w:r>
        <w:rPr>
          <w:rFonts w:hint="eastAsia" w:ascii="仿宋_GB2312" w:hAnsi="仿宋_GB2312" w:eastAsia="仿宋_GB2312" w:cs="仿宋_GB2312"/>
          <w:b w:val="0"/>
          <w:bCs w:val="0"/>
          <w:color w:val="1F2329"/>
          <w:sz w:val="32"/>
          <w:szCs w:val="32"/>
          <w:lang w:eastAsia="zh-CN"/>
        </w:rPr>
        <w:t>（包括</w:t>
      </w:r>
      <w:r>
        <w:rPr>
          <w:rFonts w:hint="eastAsia" w:ascii="仿宋_GB2312" w:hAnsi="仿宋_GB2312" w:eastAsia="仿宋_GB2312" w:cs="仿宋_GB2312"/>
          <w:b w:val="0"/>
          <w:bCs w:val="0"/>
          <w:color w:val="1F2329"/>
          <w:sz w:val="32"/>
          <w:szCs w:val="32"/>
          <w:lang w:val="en-US" w:eastAsia="zh-CN"/>
        </w:rPr>
        <w:t>5个自助图书馆流通人数），</w:t>
      </w:r>
      <w:r>
        <w:rPr>
          <w:rFonts w:hint="eastAsia" w:ascii="仿宋_GB2312" w:hAnsi="仿宋_GB2312" w:eastAsia="仿宋_GB2312" w:cs="仿宋_GB2312"/>
          <w:b w:val="0"/>
          <w:bCs w:val="0"/>
          <w:color w:val="1F2329"/>
          <w:sz w:val="32"/>
          <w:szCs w:val="32"/>
        </w:rPr>
        <w:t>文献借还30.4万册次，新增注册读者8505人，订购期刊427种，报刊杂志总量达408种</w:t>
      </w:r>
      <w:r>
        <w:rPr>
          <w:rFonts w:hint="eastAsia" w:ascii="仿宋_GB2312" w:hAnsi="仿宋_GB2312" w:eastAsia="仿宋_GB2312" w:cs="仿宋_GB2312"/>
          <w:b w:val="0"/>
          <w:bCs w:val="0"/>
          <w:color w:val="1F2329"/>
          <w:sz w:val="32"/>
          <w:szCs w:val="32"/>
          <w:lang w:eastAsia="zh-CN"/>
        </w:rPr>
        <w:t>；</w:t>
      </w:r>
      <w:r>
        <w:rPr>
          <w:rFonts w:hint="eastAsia" w:ascii="仿宋_GB2312" w:hAnsi="仿宋_GB2312" w:eastAsia="仿宋_GB2312" w:cs="仿宋_GB2312"/>
          <w:b w:val="0"/>
          <w:bCs w:val="0"/>
          <w:color w:val="1F2329"/>
          <w:sz w:val="32"/>
          <w:szCs w:val="32"/>
        </w:rPr>
        <w:t>落实“定岗定人”制度，国庆高峰新增5个人工窗口，建立“每日巡馆”与“读者诉求闭环处理”机制，全年受理建议投诉10余件，办结率与满意度均达100%</w:t>
      </w:r>
      <w:r>
        <w:rPr>
          <w:rFonts w:hint="eastAsia" w:ascii="仿宋_GB2312" w:hAnsi="仿宋_GB2312" w:eastAsia="仿宋_GB2312" w:cs="仿宋_GB2312"/>
          <w:b w:val="0"/>
          <w:bCs w:val="0"/>
          <w:color w:val="1F2329"/>
          <w:sz w:val="32"/>
          <w:szCs w:val="32"/>
          <w:lang w:eastAsia="zh-CN"/>
        </w:rPr>
        <w:t>；</w:t>
      </w:r>
      <w:r>
        <w:rPr>
          <w:rFonts w:hint="eastAsia" w:ascii="仿宋_GB2312" w:hAnsi="仿宋_GB2312" w:eastAsia="仿宋_GB2312" w:cs="仿宋_GB2312"/>
          <w:b w:val="0"/>
          <w:bCs w:val="0"/>
          <w:color w:val="1F2329"/>
          <w:sz w:val="32"/>
          <w:szCs w:val="32"/>
        </w:rPr>
        <w:t>完成自助借还设备、视觉盘点系统安装调试，实现“自助入馆—智能借还”全流程服务，13台自助借还机及门禁系统全天候运行，建立24小时专人监控制度</w:t>
      </w:r>
      <w:r>
        <w:rPr>
          <w:rFonts w:hint="eastAsia" w:ascii="仿宋_GB2312" w:hAnsi="仿宋_GB2312" w:eastAsia="仿宋_GB2312" w:cs="仿宋_GB2312"/>
          <w:b w:val="0"/>
          <w:bCs w:val="0"/>
          <w:color w:val="1F2329"/>
          <w:sz w:val="32"/>
          <w:szCs w:val="32"/>
          <w:lang w:eastAsia="zh-CN"/>
        </w:rPr>
        <w:t>；</w:t>
      </w:r>
      <w:r>
        <w:rPr>
          <w:rFonts w:hint="eastAsia" w:ascii="仿宋_GB2312" w:hAnsi="仿宋_GB2312" w:eastAsia="仿宋_GB2312" w:cs="仿宋_GB2312"/>
          <w:b w:val="0"/>
          <w:bCs w:val="0"/>
          <w:color w:val="1F2329"/>
          <w:sz w:val="32"/>
          <w:szCs w:val="32"/>
        </w:rPr>
        <w:t>推广公众号及检索工具</w:t>
      </w:r>
      <w:r>
        <w:rPr>
          <w:rFonts w:hint="eastAsia" w:ascii="仿宋_GB2312" w:hAnsi="仿宋_GB2312" w:eastAsia="仿宋_GB2312" w:cs="仿宋_GB2312"/>
          <w:b w:val="0"/>
          <w:bCs w:val="0"/>
          <w:color w:val="1F2329"/>
          <w:sz w:val="32"/>
          <w:szCs w:val="32"/>
          <w:lang w:val="en-US" w:eastAsia="zh-CN"/>
        </w:rPr>
        <w:t>5000</w:t>
      </w:r>
      <w:r>
        <w:rPr>
          <w:rFonts w:hint="eastAsia" w:ascii="仿宋_GB2312" w:hAnsi="仿宋_GB2312" w:eastAsia="仿宋_GB2312" w:cs="仿宋_GB2312"/>
          <w:b w:val="0"/>
          <w:bCs w:val="0"/>
          <w:color w:val="1F2329"/>
          <w:sz w:val="32"/>
          <w:szCs w:val="32"/>
        </w:rPr>
        <w:t>余次，提供咨询服务2500余次，公众号每周推送</w:t>
      </w:r>
      <w:r>
        <w:rPr>
          <w:rFonts w:hint="eastAsia" w:ascii="仿宋_GB2312" w:hAnsi="仿宋_GB2312" w:eastAsia="仿宋_GB2312" w:cs="仿宋_GB2312"/>
          <w:b w:val="0"/>
          <w:bCs w:val="0"/>
          <w:color w:val="1F2329"/>
          <w:sz w:val="32"/>
          <w:szCs w:val="32"/>
          <w:lang w:val="en-US" w:eastAsia="zh-CN"/>
        </w:rPr>
        <w:t>2-3本</w:t>
      </w:r>
      <w:r>
        <w:rPr>
          <w:rFonts w:hint="eastAsia" w:ascii="仿宋_GB2312" w:hAnsi="仿宋_GB2312" w:eastAsia="仿宋_GB2312" w:cs="仿宋_GB2312"/>
          <w:b w:val="0"/>
          <w:bCs w:val="0"/>
          <w:color w:val="1F2329"/>
          <w:sz w:val="32"/>
          <w:szCs w:val="32"/>
          <w:lang w:eastAsia="zh-CN"/>
        </w:rPr>
        <w:t>优质新</w:t>
      </w:r>
      <w:r>
        <w:rPr>
          <w:rFonts w:hint="eastAsia" w:ascii="仿宋_GB2312" w:hAnsi="仿宋_GB2312" w:eastAsia="仿宋_GB2312" w:cs="仿宋_GB2312"/>
          <w:b w:val="0"/>
          <w:bCs w:val="0"/>
          <w:color w:val="1F2329"/>
          <w:sz w:val="32"/>
          <w:szCs w:val="32"/>
        </w:rPr>
        <w:t>书。</w:t>
      </w:r>
    </w:p>
    <w:p w14:paraId="558ADD8B">
      <w:pPr>
        <w:keepNext w:val="0"/>
        <w:keepLines w:val="0"/>
        <w:pageBreakBefore w:val="0"/>
        <w:numPr>
          <w:ilvl w:val="0"/>
          <w:numId w:val="0"/>
        </w:numPr>
        <w:kinsoku/>
        <w:wordWrap/>
        <w:overflowPunct/>
        <w:topLinePunct w:val="0"/>
        <w:autoSpaceDE/>
        <w:autoSpaceDN/>
        <w:bidi w:val="0"/>
        <w:adjustRightInd/>
        <w:snapToGrid w:val="0"/>
        <w:spacing w:line="560" w:lineRule="exact"/>
        <w:textAlignment w:val="auto"/>
        <w:outlineLvl w:val="9"/>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b/>
          <w:bCs/>
          <w:i w:val="0"/>
          <w:iCs w:val="0"/>
          <w:caps w:val="0"/>
          <w:color w:val="000000"/>
          <w:spacing w:val="0"/>
          <w:kern w:val="0"/>
          <w:sz w:val="32"/>
          <w:szCs w:val="32"/>
          <w:shd w:val="clear" w:fill="FFFFFF"/>
          <w:lang w:val="en-US" w:eastAsia="zh-CN" w:bidi="ar"/>
        </w:rPr>
        <w:t>二、一般公共预算支出情况</w:t>
      </w:r>
    </w:p>
    <w:p w14:paraId="1F7C459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val="en-US" w:eastAsia="zh-CN"/>
        </w:rPr>
        <w:t>（一）</w:t>
      </w:r>
      <w:r>
        <w:rPr>
          <w:rFonts w:hint="eastAsia" w:ascii="仿宋" w:hAnsi="仿宋" w:eastAsia="仿宋" w:cs="仿宋"/>
          <w:i w:val="0"/>
          <w:iCs w:val="0"/>
          <w:caps w:val="0"/>
          <w:color w:val="000000"/>
          <w:spacing w:val="0"/>
          <w:sz w:val="32"/>
          <w:szCs w:val="32"/>
          <w:shd w:val="clear" w:fill="FFFFFF"/>
        </w:rPr>
        <w:t>基本支出</w:t>
      </w:r>
    </w:p>
    <w:p w14:paraId="32CC71E0">
      <w:pPr>
        <w:keepNext w:val="0"/>
        <w:keepLines w:val="0"/>
        <w:pageBreakBefore w:val="0"/>
        <w:kinsoku/>
        <w:wordWrap/>
        <w:overflowPunct/>
        <w:topLinePunct w:val="0"/>
        <w:autoSpaceDN/>
        <w:bidi w:val="0"/>
        <w:adjustRightInd/>
        <w:snapToGrid w:val="0"/>
        <w:spacing w:line="560" w:lineRule="exact"/>
        <w:ind w:firstLine="640" w:firstLineChars="200"/>
        <w:textAlignment w:val="auto"/>
        <w:outlineLvl w:val="9"/>
        <w:rPr>
          <w:rFonts w:hint="default" w:ascii="仿宋" w:hAnsi="仿宋" w:eastAsia="仿宋" w:cs="仿宋"/>
          <w:b w:val="0"/>
          <w:bCs/>
          <w:sz w:val="32"/>
          <w:szCs w:val="32"/>
          <w:lang w:val="en-US" w:eastAsia="zh-CN"/>
        </w:rPr>
      </w:pPr>
      <w:r>
        <w:rPr>
          <w:rFonts w:hint="eastAsia" w:ascii="仿宋" w:hAnsi="仿宋" w:eastAsia="仿宋" w:cs="仿宋"/>
          <w:i w:val="0"/>
          <w:iCs w:val="0"/>
          <w:caps w:val="0"/>
          <w:color w:val="000000"/>
          <w:spacing w:val="0"/>
          <w:sz w:val="32"/>
          <w:szCs w:val="32"/>
          <w:shd w:val="clear" w:fill="FFFFFF"/>
          <w:lang w:val="en-US" w:eastAsia="zh-CN"/>
        </w:rPr>
        <w:t xml:space="preserve"> 1、基本支出情况。 </w:t>
      </w:r>
      <w:r>
        <w:rPr>
          <w:rFonts w:hint="eastAsia" w:ascii="仿宋" w:hAnsi="仿宋" w:eastAsia="仿宋" w:cs="仿宋"/>
          <w:b w:val="0"/>
          <w:bCs/>
          <w:sz w:val="32"/>
          <w:szCs w:val="32"/>
          <w:lang w:val="en-US" w:eastAsia="zh-CN"/>
        </w:rPr>
        <w:t>2025年度我单位基本支出年初预算数384.44万元，实际支出436.75万元，按照支出结构：人员经费支出423.88万元；公用经费支出12.87万元；其中</w:t>
      </w:r>
      <w:r>
        <w:rPr>
          <w:rFonts w:hint="eastAsia" w:ascii="仿宋" w:hAnsi="仿宋" w:eastAsia="仿宋" w:cs="仿宋"/>
          <w:b w:val="0"/>
          <w:bCs w:val="0"/>
          <w:sz w:val="32"/>
          <w:szCs w:val="32"/>
          <w:lang w:val="en-US" w:eastAsia="zh-CN"/>
        </w:rPr>
        <w:t>社会保障和就业支出1.3万元；</w:t>
      </w:r>
      <w:r>
        <w:rPr>
          <w:rFonts w:hint="eastAsia" w:ascii="仿宋" w:hAnsi="仿宋" w:eastAsia="仿宋" w:cs="仿宋"/>
          <w:b w:val="0"/>
          <w:bCs/>
          <w:sz w:val="32"/>
          <w:szCs w:val="32"/>
          <w:lang w:val="en-US" w:eastAsia="zh-CN"/>
        </w:rPr>
        <w:t>卫生健康支出0.65万元；住房保障支出3.4万元。按照支出项目：工资福利支出406.51万元；商品和服务支出91.44万元；对个人和家庭的补助支出18.27万元；资本性支出14万元。</w:t>
      </w:r>
    </w:p>
    <w:p w14:paraId="67266340">
      <w:pPr>
        <w:keepNext w:val="0"/>
        <w:keepLines w:val="0"/>
        <w:pageBreakBefore w:val="0"/>
        <w:numPr>
          <w:ilvl w:val="0"/>
          <w:numId w:val="0"/>
        </w:numPr>
        <w:kinsoku/>
        <w:wordWrap/>
        <w:overflowPunct/>
        <w:topLinePunct w:val="0"/>
        <w:autoSpaceDN/>
        <w:bidi w:val="0"/>
        <w:adjustRightInd/>
        <w:snapToGrid w:val="0"/>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基本支出管理情况：2025年我单位绩效目标考核工作严格按照财政要求按时完成，单位成立绩效目标考核工作小组，主要领导负责此项工作的开展并对其真实性和完整性负责。建立健全单位绩效监控管理制度，细化明确内部绩效监控职责分工，定期对绩效监控信息进行收集、审核、分析、汇总、填报，及时督促相关人员按规定要求及时报送财政。</w:t>
      </w:r>
    </w:p>
    <w:p w14:paraId="3D88B07F">
      <w:pPr>
        <w:keepNext w:val="0"/>
        <w:keepLines w:val="0"/>
        <w:pageBreakBefore w:val="0"/>
        <w:numPr>
          <w:ilvl w:val="0"/>
          <w:numId w:val="0"/>
        </w:numPr>
        <w:kinsoku/>
        <w:wordWrap/>
        <w:overflowPunct/>
        <w:topLinePunct w:val="0"/>
        <w:autoSpaceDN/>
        <w:bidi w:val="0"/>
        <w:adjustRightInd/>
        <w:snapToGrid w:val="0"/>
        <w:spacing w:line="560" w:lineRule="exact"/>
        <w:ind w:firstLine="640" w:firstLineChars="200"/>
        <w:textAlignment w:val="auto"/>
        <w:outlineLvl w:val="9"/>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b w:val="0"/>
          <w:bCs w:val="0"/>
          <w:sz w:val="32"/>
          <w:szCs w:val="32"/>
          <w:lang w:val="en-US" w:eastAsia="zh-CN"/>
        </w:rPr>
        <w:t>3、“三</w:t>
      </w:r>
      <w:r>
        <w:rPr>
          <w:rFonts w:hint="eastAsia" w:ascii="仿宋" w:hAnsi="仿宋" w:eastAsia="仿宋" w:cs="仿宋"/>
          <w:i w:val="0"/>
          <w:iCs w:val="0"/>
          <w:caps w:val="0"/>
          <w:color w:val="000000"/>
          <w:spacing w:val="0"/>
          <w:sz w:val="32"/>
          <w:szCs w:val="32"/>
          <w:shd w:val="clear" w:fill="FFFFFF"/>
        </w:rPr>
        <w:t>公</w:t>
      </w:r>
      <w:r>
        <w:rPr>
          <w:rFonts w:hint="eastAsia" w:ascii="仿宋" w:hAnsi="仿宋" w:eastAsia="仿宋" w:cs="仿宋"/>
          <w:i w:val="0"/>
          <w:iCs w:val="0"/>
          <w:caps w:val="0"/>
          <w:color w:val="000000"/>
          <w:spacing w:val="0"/>
          <w:sz w:val="32"/>
          <w:szCs w:val="32"/>
          <w:shd w:val="clear" w:fill="FFFFFF"/>
          <w:lang w:val="en-US" w:eastAsia="zh-CN"/>
        </w:rPr>
        <w:t>”</w:t>
      </w:r>
      <w:r>
        <w:rPr>
          <w:rFonts w:hint="eastAsia" w:ascii="仿宋" w:hAnsi="仿宋" w:eastAsia="仿宋" w:cs="仿宋"/>
          <w:i w:val="0"/>
          <w:iCs w:val="0"/>
          <w:caps w:val="0"/>
          <w:color w:val="000000"/>
          <w:spacing w:val="0"/>
          <w:sz w:val="32"/>
          <w:szCs w:val="32"/>
          <w:shd w:val="clear" w:fill="FFFFFF"/>
        </w:rPr>
        <w:t>经费使用和管理情况</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sz w:val="32"/>
          <w:szCs w:val="32"/>
          <w:lang w:val="en-US" w:eastAsia="zh-CN"/>
        </w:rPr>
        <w:t>2025年单位“三公”经费预算数为1万元，其中公务用车运行维护费1万元；业务接待费预算0万元。2025年我单位公务用车保有量1辆，全年支付公务用车运行维护费1万元，主要是用于单位公务用车运行维护费及维修费。2025年我单位没有发生业务招待费用支出。</w:t>
      </w:r>
    </w:p>
    <w:p w14:paraId="6099036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val="en-US" w:eastAsia="zh-CN"/>
        </w:rPr>
        <w:t>(二）</w:t>
      </w:r>
      <w:r>
        <w:rPr>
          <w:rFonts w:hint="eastAsia" w:ascii="仿宋" w:hAnsi="仿宋" w:eastAsia="仿宋" w:cs="仿宋"/>
          <w:i w:val="0"/>
          <w:iCs w:val="0"/>
          <w:caps w:val="0"/>
          <w:color w:val="000000"/>
          <w:spacing w:val="0"/>
          <w:sz w:val="32"/>
          <w:szCs w:val="32"/>
          <w:shd w:val="clear" w:fill="FFFFFF"/>
        </w:rPr>
        <w:t>项目支出</w:t>
      </w:r>
    </w:p>
    <w:p w14:paraId="4EEE8F54">
      <w:pPr>
        <w:keepNext w:val="0"/>
        <w:keepLines w:val="0"/>
        <w:pageBreakBefore w:val="0"/>
        <w:numPr>
          <w:ilvl w:val="0"/>
          <w:numId w:val="0"/>
        </w:numPr>
        <w:kinsoku/>
        <w:wordWrap/>
        <w:overflowPunct/>
        <w:topLinePunct w:val="0"/>
        <w:autoSpaceDN/>
        <w:bidi w:val="0"/>
        <w:adjustRightInd/>
        <w:spacing w:line="560" w:lineRule="exact"/>
        <w:ind w:leftChars="0" w:firstLine="640" w:firstLineChars="200"/>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1、项目资金安排落实、总投入等情况分析。</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eastAsia="zh-CN"/>
        </w:rPr>
        <w:t>我单位项目支出年初预算数</w:t>
      </w:r>
      <w:r>
        <w:rPr>
          <w:rFonts w:hint="eastAsia" w:ascii="仿宋" w:hAnsi="仿宋" w:eastAsia="仿宋" w:cs="仿宋"/>
          <w:sz w:val="32"/>
          <w:szCs w:val="32"/>
          <w:lang w:val="en-US" w:eastAsia="zh-CN"/>
        </w:rPr>
        <w:t>89.2万元，实际</w:t>
      </w:r>
      <w:r>
        <w:rPr>
          <w:rFonts w:hint="eastAsia" w:ascii="仿宋" w:hAnsi="仿宋" w:eastAsia="仿宋" w:cs="仿宋"/>
          <w:sz w:val="32"/>
          <w:szCs w:val="32"/>
          <w:lang w:eastAsia="zh-CN"/>
        </w:rPr>
        <w:t>项目支出</w:t>
      </w:r>
      <w:r>
        <w:rPr>
          <w:rFonts w:hint="eastAsia" w:ascii="仿宋" w:hAnsi="仿宋" w:eastAsia="仿宋" w:cs="仿宋"/>
          <w:sz w:val="32"/>
          <w:szCs w:val="32"/>
          <w:lang w:val="en-US" w:eastAsia="zh-CN"/>
        </w:rPr>
        <w:t>93.47</w:t>
      </w:r>
      <w:r>
        <w:rPr>
          <w:rFonts w:hint="eastAsia" w:ascii="仿宋" w:hAnsi="仿宋" w:eastAsia="仿宋" w:cs="仿宋"/>
          <w:sz w:val="32"/>
          <w:szCs w:val="32"/>
        </w:rPr>
        <w:t>万元，其中专项工作经费</w:t>
      </w:r>
      <w:r>
        <w:rPr>
          <w:rFonts w:hint="eastAsia" w:ascii="仿宋" w:hAnsi="仿宋" w:eastAsia="仿宋" w:cs="仿宋"/>
          <w:sz w:val="32"/>
          <w:szCs w:val="32"/>
          <w:lang w:eastAsia="zh-CN"/>
        </w:rPr>
        <w:t>支出</w:t>
      </w:r>
      <w:r>
        <w:rPr>
          <w:rFonts w:hint="eastAsia" w:ascii="仿宋" w:hAnsi="仿宋" w:eastAsia="仿宋" w:cs="仿宋"/>
          <w:sz w:val="32"/>
          <w:szCs w:val="32"/>
          <w:lang w:val="en-US" w:eastAsia="zh-CN"/>
        </w:rPr>
        <w:t>28.97</w:t>
      </w:r>
      <w:r>
        <w:rPr>
          <w:rFonts w:hint="eastAsia" w:ascii="仿宋" w:hAnsi="仿宋" w:eastAsia="仿宋" w:cs="仿宋"/>
          <w:sz w:val="32"/>
          <w:szCs w:val="32"/>
        </w:rPr>
        <w:t>万元；图书购置经费</w:t>
      </w:r>
      <w:r>
        <w:rPr>
          <w:rFonts w:hint="eastAsia" w:ascii="仿宋" w:hAnsi="仿宋" w:eastAsia="仿宋" w:cs="仿宋"/>
          <w:sz w:val="32"/>
          <w:szCs w:val="32"/>
          <w:lang w:eastAsia="zh-CN"/>
        </w:rPr>
        <w:t>支出</w:t>
      </w:r>
      <w:r>
        <w:rPr>
          <w:rFonts w:hint="eastAsia" w:ascii="仿宋" w:hAnsi="仿宋" w:eastAsia="仿宋" w:cs="仿宋"/>
          <w:sz w:val="32"/>
          <w:szCs w:val="32"/>
          <w:lang w:val="en-US" w:eastAsia="zh-CN"/>
        </w:rPr>
        <w:t>11</w:t>
      </w:r>
      <w:r>
        <w:rPr>
          <w:rFonts w:hint="eastAsia" w:ascii="仿宋" w:hAnsi="仿宋" w:eastAsia="仿宋" w:cs="仿宋"/>
          <w:sz w:val="32"/>
          <w:szCs w:val="32"/>
        </w:rPr>
        <w:t>万元;中央补助地方公共图书馆免费开放专项资金</w:t>
      </w:r>
      <w:r>
        <w:rPr>
          <w:rFonts w:hint="eastAsia" w:ascii="仿宋" w:hAnsi="仿宋" w:eastAsia="仿宋" w:cs="仿宋"/>
          <w:sz w:val="32"/>
          <w:szCs w:val="32"/>
          <w:lang w:eastAsia="zh-CN"/>
        </w:rPr>
        <w:t>支出</w:t>
      </w:r>
      <w:r>
        <w:rPr>
          <w:rFonts w:hint="eastAsia" w:ascii="仿宋" w:hAnsi="仿宋" w:eastAsia="仿宋" w:cs="仿宋"/>
          <w:sz w:val="32"/>
          <w:szCs w:val="32"/>
          <w:lang w:val="en-US" w:eastAsia="zh-CN"/>
        </w:rPr>
        <w:t>22</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5个自助图书馆开放运行经费25万元；“三馆一站”免费开放省级配套资金6.5万元。中央及省级免费开放资金没有纳入当年预算，2025年项目资金调减24.2万元。</w:t>
      </w:r>
    </w:p>
    <w:p w14:paraId="47CD0638">
      <w:pPr>
        <w:keepNext w:val="0"/>
        <w:keepLines w:val="0"/>
        <w:pageBreakBefore w:val="0"/>
        <w:kinsoku/>
        <w:wordWrap/>
        <w:overflowPunct/>
        <w:topLinePunct w:val="0"/>
        <w:autoSpaceDN/>
        <w:bidi w:val="0"/>
        <w:adjustRightInd/>
        <w:spacing w:line="560" w:lineRule="exact"/>
        <w:ind w:firstLine="640" w:firstLineChars="200"/>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2、项目资金实际使用情况分析。</w:t>
      </w:r>
      <w:r>
        <w:rPr>
          <w:rFonts w:hint="eastAsia" w:ascii="仿宋" w:hAnsi="仿宋" w:eastAsia="仿宋" w:cs="仿宋"/>
          <w:sz w:val="32"/>
          <w:szCs w:val="32"/>
        </w:rPr>
        <w:t>我馆利用专项资金充分发挥图书馆的功能效益，积极开展流通阅览、图书宣传、读者辅导、文献编制等多种形式的读者服务工作，完善图书馆公共文化服务项目及数字资源库的建设，扩大免费开放的社会影响，让更多读者了解这些公共文化服务阵地的功能作用，吸引广大群众走进文化设施，共享文化发展繁荣成果</w:t>
      </w:r>
      <w:r>
        <w:rPr>
          <w:rFonts w:hint="eastAsia" w:ascii="仿宋" w:hAnsi="仿宋" w:eastAsia="仿宋" w:cs="仿宋"/>
          <w:sz w:val="32"/>
          <w:szCs w:val="32"/>
          <w:lang w:eastAsia="zh-CN"/>
        </w:rPr>
        <w:t>。合理制定购书计划、精心选择购书渠道，对所有采购的图书资料都严格按照我馆全面入藏、重点选择入藏、一般选择入藏的采选原则执行，保证新书目预定的完整性和连续性。积极开展流通阅览、图书宣传、读者辅导、文献编制等多种形式的读者服务工作，增加图书的出借次数以及出借数量，力求使有限的价值投入获得最大的办馆效益。不断完善读者服务，优化及扩展服务内容，开展形式多样、内容丰富的读书活动，充分发挥图书馆的功能效益。</w:t>
      </w:r>
      <w:r>
        <w:rPr>
          <w:rFonts w:hint="eastAsia" w:ascii="仿宋" w:hAnsi="仿宋" w:eastAsia="仿宋" w:cs="仿宋"/>
          <w:sz w:val="32"/>
          <w:szCs w:val="32"/>
          <w:lang w:val="en-US" w:eastAsia="zh-CN"/>
        </w:rPr>
        <w:t xml:space="preserve"> </w:t>
      </w:r>
    </w:p>
    <w:p w14:paraId="48A1CDA9">
      <w:pPr>
        <w:keepNext w:val="0"/>
        <w:keepLines w:val="0"/>
        <w:pageBreakBefore w:val="0"/>
        <w:kinsoku/>
        <w:wordWrap/>
        <w:overflowPunct/>
        <w:topLinePunct w:val="0"/>
        <w:autoSpaceDN/>
        <w:bidi w:val="0"/>
        <w:adjustRightInd/>
        <w:spacing w:before="120" w:beforeLines="50" w:line="560" w:lineRule="exact"/>
        <w:ind w:left="15" w:leftChars="7" w:right="11" w:firstLine="640" w:firstLineChars="200"/>
        <w:textAlignment w:val="auto"/>
        <w:outlineLvl w:val="9"/>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sz w:val="32"/>
          <w:szCs w:val="32"/>
          <w:lang w:val="en-US" w:eastAsia="zh-CN"/>
        </w:rPr>
        <w:t>3、项目资金管理情况分析，主要包括管理制度、办法的制定及执行情况。我馆</w:t>
      </w:r>
      <w:r>
        <w:rPr>
          <w:rFonts w:hint="eastAsia" w:ascii="仿宋" w:hAnsi="仿宋" w:eastAsia="仿宋" w:cs="仿宋"/>
          <w:sz w:val="32"/>
          <w:szCs w:val="32"/>
        </w:rPr>
        <w:t>专项资金实行“专账核算、专项使用</w:t>
      </w:r>
      <w:r>
        <w:rPr>
          <w:rFonts w:hint="eastAsia" w:ascii="仿宋" w:hAnsi="仿宋" w:eastAsia="仿宋" w:cs="仿宋"/>
          <w:sz w:val="32"/>
          <w:szCs w:val="32"/>
          <w:lang w:eastAsia="zh-CN"/>
        </w:rPr>
        <w:t>”</w:t>
      </w:r>
      <w:r>
        <w:rPr>
          <w:rFonts w:hint="eastAsia" w:ascii="仿宋" w:hAnsi="仿宋" w:eastAsia="仿宋" w:cs="仿宋"/>
          <w:sz w:val="32"/>
          <w:szCs w:val="32"/>
        </w:rPr>
        <w:t>，严格按照项目资金批准的使用计划和项目批复内容执行，不得挪用、挤占。健全管理机制，购书经费使用的每一环节，包括决策、采购、验收、审批、报销等都要有章可循，各阶段负责人员认真履行岗位职责，加强监督制约。</w:t>
      </w:r>
      <w:r>
        <w:rPr>
          <w:rFonts w:hint="eastAsia" w:ascii="仿宋" w:hAnsi="仿宋" w:eastAsia="仿宋" w:cs="仿宋"/>
          <w:sz w:val="32"/>
          <w:szCs w:val="32"/>
          <w:lang w:eastAsia="zh-CN"/>
        </w:rPr>
        <w:t>加强对购书经费使用情况的监督与管理，合理、有效、规范使用专项购书经费</w:t>
      </w:r>
      <w:r>
        <w:rPr>
          <w:rFonts w:hint="eastAsia" w:ascii="仿宋" w:hAnsi="仿宋" w:eastAsia="仿宋" w:cs="仿宋"/>
          <w:sz w:val="32"/>
          <w:szCs w:val="32"/>
          <w:lang w:val="en-US" w:eastAsia="zh-CN"/>
        </w:rPr>
        <w:t>,</w:t>
      </w:r>
      <w:r>
        <w:rPr>
          <w:rFonts w:hint="eastAsia" w:ascii="仿宋" w:hAnsi="仿宋" w:eastAsia="仿宋" w:cs="仿宋"/>
          <w:sz w:val="32"/>
          <w:szCs w:val="32"/>
        </w:rPr>
        <w:t>增强购书专项</w:t>
      </w:r>
      <w:r>
        <w:rPr>
          <w:rFonts w:hint="eastAsia" w:ascii="仿宋" w:hAnsi="仿宋" w:eastAsia="仿宋" w:cs="仿宋"/>
          <w:sz w:val="32"/>
          <w:szCs w:val="32"/>
          <w:lang w:eastAsia="zh-CN"/>
        </w:rPr>
        <w:t>经</w:t>
      </w:r>
      <w:r>
        <w:rPr>
          <w:rFonts w:hint="eastAsia" w:ascii="仿宋" w:hAnsi="仿宋" w:eastAsia="仿宋" w:cs="仿宋"/>
          <w:sz w:val="32"/>
          <w:szCs w:val="32"/>
        </w:rPr>
        <w:t>费使用情况的透明度，财务部门加强对购书渠道及折扣情况进行审查监督，并科学选择购书渠道，保证购书费用合理使用。</w:t>
      </w:r>
      <w:r>
        <w:rPr>
          <w:rFonts w:hint="eastAsia" w:ascii="仿宋" w:hAnsi="仿宋" w:eastAsia="仿宋" w:cs="仿宋"/>
          <w:spacing w:val="6"/>
          <w:sz w:val="32"/>
          <w:szCs w:val="32"/>
        </w:rPr>
        <w:t>建立健全</w:t>
      </w:r>
      <w:r>
        <w:rPr>
          <w:rFonts w:hint="eastAsia" w:ascii="仿宋" w:hAnsi="仿宋" w:eastAsia="仿宋" w:cs="仿宋"/>
          <w:spacing w:val="6"/>
          <w:sz w:val="32"/>
          <w:szCs w:val="32"/>
          <w:lang w:eastAsia="zh-CN"/>
        </w:rPr>
        <w:t>单位项目资金</w:t>
      </w:r>
      <w:r>
        <w:rPr>
          <w:rFonts w:hint="eastAsia" w:ascii="仿宋" w:hAnsi="仿宋" w:eastAsia="仿宋" w:cs="仿宋"/>
          <w:spacing w:val="6"/>
          <w:sz w:val="32"/>
          <w:szCs w:val="32"/>
        </w:rPr>
        <w:t>内部控制制度，全面梳理</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业务流程，明确</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业务环节，分析</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风险隐患，完善</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风险评价机制，制定</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风险应对策略；有效运用不相容岗位相互分离、内部授权审批控制、归口管理、预算控制、财产保护控制、会计控制、单据控制、信息内部公开等内部控制基本方法，加强对单位层面和业务层面的双重控制，使</w:t>
      </w:r>
      <w:r>
        <w:rPr>
          <w:rFonts w:hint="eastAsia" w:ascii="仿宋" w:hAnsi="仿宋" w:eastAsia="仿宋" w:cs="仿宋"/>
          <w:spacing w:val="6"/>
          <w:sz w:val="32"/>
          <w:szCs w:val="32"/>
          <w:lang w:eastAsia="zh-CN"/>
        </w:rPr>
        <w:t>项目资金</w:t>
      </w:r>
      <w:r>
        <w:rPr>
          <w:rFonts w:hint="eastAsia" w:ascii="仿宋" w:hAnsi="仿宋" w:eastAsia="仿宋" w:cs="仿宋"/>
          <w:spacing w:val="6"/>
          <w:sz w:val="32"/>
          <w:szCs w:val="32"/>
        </w:rPr>
        <w:t>内部控制有效实施。建立单位内控监督约束机制，让单位纪检监察、内审、业务部门参与到</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资金使用监督环节，确保</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资金安全、合理、高效使用，最大限度</w:t>
      </w:r>
      <w:r>
        <w:rPr>
          <w:rFonts w:hint="eastAsia" w:ascii="仿宋" w:hAnsi="仿宋" w:eastAsia="仿宋" w:cs="仿宋"/>
          <w:spacing w:val="6"/>
          <w:sz w:val="32"/>
          <w:szCs w:val="32"/>
          <w:lang w:eastAsia="zh-CN"/>
        </w:rPr>
        <w:t>地</w:t>
      </w:r>
      <w:r>
        <w:rPr>
          <w:rFonts w:hint="eastAsia" w:ascii="仿宋" w:hAnsi="仿宋" w:eastAsia="仿宋" w:cs="仿宋"/>
          <w:spacing w:val="6"/>
          <w:sz w:val="32"/>
          <w:szCs w:val="32"/>
        </w:rPr>
        <w:t>发挥财政资金的使用效益。</w:t>
      </w:r>
    </w:p>
    <w:p w14:paraId="1FA5849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rPr>
        <w:t>三、</w:t>
      </w:r>
      <w:r>
        <w:rPr>
          <w:rFonts w:hint="eastAsia" w:ascii="仿宋" w:hAnsi="仿宋" w:eastAsia="仿宋" w:cs="仿宋"/>
          <w:b/>
          <w:bCs/>
          <w:i w:val="0"/>
          <w:iCs w:val="0"/>
          <w:caps w:val="0"/>
          <w:color w:val="000000"/>
          <w:spacing w:val="0"/>
          <w:sz w:val="32"/>
          <w:szCs w:val="32"/>
          <w:shd w:val="clear" w:fill="FFFFFF"/>
          <w:lang w:eastAsia="zh-CN"/>
        </w:rPr>
        <w:t>项目组织实施情况</w:t>
      </w:r>
    </w:p>
    <w:p w14:paraId="68C07F34">
      <w:pPr>
        <w:pStyle w:val="9"/>
        <w:keepNext w:val="0"/>
        <w:keepLines w:val="0"/>
        <w:pageBreakBefore w:val="0"/>
        <w:kinsoku/>
        <w:wordWrap/>
        <w:overflowPunct/>
        <w:topLinePunct w:val="0"/>
        <w:autoSpaceDN/>
        <w:bidi w:val="0"/>
        <w:adjustRightInd/>
        <w:spacing w:line="560" w:lineRule="exact"/>
        <w:ind w:left="0" w:leftChars="0" w:firstLine="640" w:firstLineChars="200"/>
        <w:textAlignment w:val="auto"/>
        <w:outlineLvl w:val="9"/>
        <w:rPr>
          <w:rFonts w:hint="default" w:ascii="仿宋" w:hAnsi="仿宋" w:eastAsia="仿宋" w:cs="仿宋"/>
          <w:sz w:val="32"/>
          <w:szCs w:val="32"/>
          <w:lang w:val="en-US"/>
        </w:rPr>
      </w:pPr>
      <w:r>
        <w:rPr>
          <w:rFonts w:hint="eastAsia" w:ascii="仿宋" w:hAnsi="仿宋" w:eastAsia="仿宋" w:cs="仿宋"/>
          <w:i w:val="0"/>
          <w:iCs w:val="0"/>
          <w:caps w:val="0"/>
          <w:color w:val="000000"/>
          <w:spacing w:val="0"/>
          <w:sz w:val="32"/>
          <w:szCs w:val="32"/>
          <w:shd w:val="clear" w:fill="FFFFFF"/>
          <w:lang w:val="en-US" w:eastAsia="zh-CN"/>
        </w:rPr>
        <w:t>（一）项目组织情况分析。</w:t>
      </w:r>
      <w:r>
        <w:rPr>
          <w:rFonts w:hint="eastAsia" w:ascii="仿宋" w:hAnsi="仿宋" w:eastAsia="仿宋" w:cs="仿宋"/>
          <w:sz w:val="32"/>
          <w:szCs w:val="32"/>
        </w:rPr>
        <w:t>利用专项资金的投入，在服务读者的基础上，依靠丰富的文献资源将服务范围扩大到我市基层人民群众、劳务用工人员等弱势群体，以及怀化市内各社区读书爱好者及各军营的战士们，不断满足他们的精神文化需求。健全文献资源保障体系，切实增强怀化市文化凝聚力，提高全市人民群众的科学文化素质、思想道德素质和文化品</w:t>
      </w:r>
      <w:r>
        <w:rPr>
          <w:rFonts w:hint="eastAsia" w:ascii="仿宋" w:hAnsi="仿宋" w:eastAsia="仿宋" w:cs="仿宋"/>
          <w:sz w:val="32"/>
          <w:szCs w:val="32"/>
          <w:lang w:eastAsia="zh-CN"/>
        </w:rPr>
        <w:t>位</w:t>
      </w:r>
      <w:r>
        <w:rPr>
          <w:rFonts w:hint="eastAsia" w:ascii="仿宋" w:hAnsi="仿宋" w:eastAsia="仿宋" w:cs="仿宋"/>
          <w:sz w:val="32"/>
          <w:szCs w:val="32"/>
        </w:rPr>
        <w:t>，创造良好的人文环境，起到积极的推动作用。不断完善读者服务，优化及扩展服务内容，开展形式多样、内容丰富的读书活动，充分发挥图书馆的功能效益。</w:t>
      </w:r>
      <w:r>
        <w:rPr>
          <w:rFonts w:hint="eastAsia" w:ascii="仿宋" w:hAnsi="仿宋" w:eastAsia="仿宋" w:cs="仿宋"/>
          <w:sz w:val="32"/>
          <w:szCs w:val="32"/>
          <w:lang w:val="en-US" w:eastAsia="zh-CN"/>
        </w:rPr>
        <w:t xml:space="preserve"> </w:t>
      </w:r>
    </w:p>
    <w:p w14:paraId="55EBC94B">
      <w:pPr>
        <w:keepNext w:val="0"/>
        <w:keepLines w:val="0"/>
        <w:pageBreakBefore w:val="0"/>
        <w:kinsoku/>
        <w:wordWrap/>
        <w:overflowPunct/>
        <w:topLinePunct w:val="0"/>
        <w:autoSpaceDN/>
        <w:bidi w:val="0"/>
        <w:adjustRightInd/>
        <w:spacing w:before="120" w:beforeLines="50" w:line="560" w:lineRule="exact"/>
        <w:ind w:right="11"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（二）项目管理情况分析。</w:t>
      </w:r>
      <w:r>
        <w:rPr>
          <w:rFonts w:hint="eastAsia" w:ascii="仿宋" w:hAnsi="仿宋" w:eastAsia="仿宋" w:cs="仿宋"/>
          <w:spacing w:val="6"/>
          <w:sz w:val="32"/>
          <w:szCs w:val="32"/>
        </w:rPr>
        <w:t>严格执行项目支出预算，积极组织项目实施，对于达到政府采购标准的项目支出，明确规定采购项目的采购期限，督促尽快组织实施采购计划。加强对预算执行过程的控制和结果的反馈，对预算执行差异及时分析成因和影响，并及时向领导和相关部室进行反馈，以采取措施纠正执行偏差，促进预算目标的全面完成。</w:t>
      </w:r>
      <w:r>
        <w:rPr>
          <w:rFonts w:hint="eastAsia" w:ascii="仿宋" w:hAnsi="仿宋" w:eastAsia="仿宋" w:cs="仿宋"/>
          <w:sz w:val="32"/>
          <w:szCs w:val="32"/>
        </w:rPr>
        <w:t>在</w:t>
      </w:r>
      <w:r>
        <w:rPr>
          <w:rFonts w:hint="eastAsia" w:ascii="仿宋" w:hAnsi="仿宋" w:eastAsia="仿宋" w:cs="仿宋"/>
          <w:sz w:val="32"/>
          <w:szCs w:val="32"/>
          <w:lang w:eastAsia="zh-CN"/>
        </w:rPr>
        <w:t>项目</w:t>
      </w:r>
      <w:r>
        <w:rPr>
          <w:rFonts w:hint="eastAsia" w:ascii="仿宋" w:hAnsi="仿宋" w:eastAsia="仿宋" w:cs="仿宋"/>
          <w:sz w:val="32"/>
          <w:szCs w:val="32"/>
        </w:rPr>
        <w:t>资金使用上，建立专项资金使用管理责任制，明确</w:t>
      </w:r>
      <w:r>
        <w:rPr>
          <w:rFonts w:hint="eastAsia" w:ascii="仿宋" w:hAnsi="仿宋" w:eastAsia="仿宋" w:cs="仿宋"/>
          <w:sz w:val="32"/>
          <w:szCs w:val="32"/>
          <w:lang w:eastAsia="zh-CN"/>
        </w:rPr>
        <w:t>了</w:t>
      </w:r>
      <w:r>
        <w:rPr>
          <w:rFonts w:hint="eastAsia" w:ascii="仿宋" w:hAnsi="仿宋" w:eastAsia="仿宋" w:cs="仿宋"/>
          <w:sz w:val="32"/>
          <w:szCs w:val="32"/>
        </w:rPr>
        <w:t>专项资金管理办法及管理部门，提高使用效率。坚持专款专用的原则，使各项专用资金正确使用达到预期目的。加强专项资金的财务管理及使用监督管理，专项资金使用严格按项目资金申报计划执行</w:t>
      </w:r>
      <w:r>
        <w:rPr>
          <w:rFonts w:hint="eastAsia" w:ascii="仿宋" w:hAnsi="仿宋" w:eastAsia="仿宋" w:cs="仿宋"/>
          <w:sz w:val="32"/>
          <w:szCs w:val="32"/>
          <w:lang w:eastAsia="zh-CN"/>
        </w:rPr>
        <w:t>。</w:t>
      </w:r>
      <w:r>
        <w:rPr>
          <w:rFonts w:hint="eastAsia" w:ascii="仿宋" w:hAnsi="仿宋" w:eastAsia="仿宋" w:cs="仿宋"/>
          <w:sz w:val="32"/>
          <w:szCs w:val="32"/>
        </w:rPr>
        <w:t>图书馆购书经费，是国家财政部门为保证图书馆工作正常开展，使图书资料不断更新充实，更好</w:t>
      </w:r>
      <w:r>
        <w:rPr>
          <w:rFonts w:hint="eastAsia" w:ascii="仿宋" w:hAnsi="仿宋" w:eastAsia="仿宋" w:cs="仿宋"/>
          <w:sz w:val="32"/>
          <w:szCs w:val="32"/>
          <w:lang w:eastAsia="zh-CN"/>
        </w:rPr>
        <w:t>地</w:t>
      </w:r>
      <w:r>
        <w:rPr>
          <w:rFonts w:hint="eastAsia" w:ascii="仿宋" w:hAnsi="仿宋" w:eastAsia="仿宋" w:cs="仿宋"/>
          <w:sz w:val="32"/>
          <w:szCs w:val="32"/>
        </w:rPr>
        <w:t>满足读者借阅需求而提供的财力保障。健全</w:t>
      </w:r>
      <w:r>
        <w:rPr>
          <w:rFonts w:hint="eastAsia" w:ascii="仿宋" w:hAnsi="仿宋" w:eastAsia="仿宋" w:cs="仿宋"/>
          <w:sz w:val="32"/>
          <w:szCs w:val="32"/>
          <w:lang w:eastAsia="zh-CN"/>
        </w:rPr>
        <w:t>项目</w:t>
      </w:r>
      <w:r>
        <w:rPr>
          <w:rFonts w:hint="eastAsia" w:ascii="仿宋" w:hAnsi="仿宋" w:eastAsia="仿宋" w:cs="仿宋"/>
          <w:sz w:val="32"/>
          <w:szCs w:val="32"/>
        </w:rPr>
        <w:t>管理机制，</w:t>
      </w:r>
      <w:r>
        <w:rPr>
          <w:rFonts w:hint="eastAsia" w:ascii="仿宋" w:hAnsi="仿宋" w:eastAsia="仿宋" w:cs="仿宋"/>
          <w:sz w:val="32"/>
          <w:szCs w:val="32"/>
          <w:lang w:eastAsia="zh-CN"/>
        </w:rPr>
        <w:t>项目经费</w:t>
      </w:r>
      <w:r>
        <w:rPr>
          <w:rFonts w:hint="eastAsia" w:ascii="仿宋" w:hAnsi="仿宋" w:eastAsia="仿宋" w:cs="仿宋"/>
          <w:sz w:val="32"/>
          <w:szCs w:val="32"/>
        </w:rPr>
        <w:t>使用的每一环节，包括决策、采购、验收、审批、报销等都要有章可循，各阶段负责人员则要认真履行岗位职责，更要加强监督制约。增加</w:t>
      </w:r>
      <w:r>
        <w:rPr>
          <w:rFonts w:hint="eastAsia" w:ascii="仿宋" w:hAnsi="仿宋" w:eastAsia="仿宋" w:cs="仿宋"/>
          <w:sz w:val="32"/>
          <w:szCs w:val="32"/>
          <w:lang w:eastAsia="zh-CN"/>
        </w:rPr>
        <w:t>项目经</w:t>
      </w:r>
      <w:r>
        <w:rPr>
          <w:rFonts w:hint="eastAsia" w:ascii="仿宋" w:hAnsi="仿宋" w:eastAsia="仿宋" w:cs="仿宋"/>
          <w:sz w:val="32"/>
          <w:szCs w:val="32"/>
        </w:rPr>
        <w:t>费使用情况的透明度</w:t>
      </w:r>
      <w:r>
        <w:rPr>
          <w:rFonts w:hint="eastAsia" w:ascii="仿宋" w:hAnsi="仿宋" w:eastAsia="仿宋" w:cs="仿宋"/>
          <w:sz w:val="32"/>
          <w:szCs w:val="32"/>
          <w:lang w:eastAsia="zh-CN"/>
        </w:rPr>
        <w:t>。</w:t>
      </w:r>
      <w:r>
        <w:rPr>
          <w:rFonts w:hint="eastAsia" w:ascii="仿宋" w:hAnsi="仿宋" w:eastAsia="仿宋" w:cs="仿宋"/>
          <w:i w:val="0"/>
          <w:iCs w:val="0"/>
          <w:caps w:val="0"/>
          <w:color w:val="000000"/>
          <w:spacing w:val="0"/>
          <w:sz w:val="32"/>
          <w:szCs w:val="32"/>
          <w:shd w:val="clear" w:fill="FFFFFF"/>
          <w:lang w:val="en-US" w:eastAsia="zh-CN"/>
        </w:rPr>
        <w:t xml:space="preserve">     </w:t>
      </w:r>
    </w:p>
    <w:p w14:paraId="2D2113C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val="en-US" w:eastAsia="zh-CN"/>
        </w:rPr>
        <w:t>四、</w:t>
      </w:r>
      <w:r>
        <w:rPr>
          <w:rFonts w:hint="eastAsia" w:ascii="仿宋" w:hAnsi="仿宋" w:eastAsia="仿宋" w:cs="仿宋"/>
          <w:b/>
          <w:bCs/>
          <w:i w:val="0"/>
          <w:iCs w:val="0"/>
          <w:caps w:val="0"/>
          <w:color w:val="000000"/>
          <w:spacing w:val="0"/>
          <w:sz w:val="32"/>
          <w:szCs w:val="32"/>
          <w:shd w:val="clear" w:fill="FFFFFF"/>
          <w:lang w:eastAsia="zh-CN"/>
        </w:rPr>
        <w:t>资产管理情况</w:t>
      </w:r>
    </w:p>
    <w:p w14:paraId="3863C293">
      <w:pPr>
        <w:keepNext w:val="0"/>
        <w:keepLines w:val="0"/>
        <w:pageBreakBefore w:val="0"/>
        <w:kinsoku/>
        <w:wordWrap/>
        <w:overflowPunct/>
        <w:topLinePunct w:val="0"/>
        <w:autoSpaceDN/>
        <w:bidi w:val="0"/>
        <w:adjustRightInd/>
        <w:spacing w:before="120" w:beforeLines="50" w:line="560" w:lineRule="exact"/>
        <w:ind w:left="15" w:leftChars="7" w:right="11"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sz w:val="32"/>
          <w:szCs w:val="32"/>
        </w:rPr>
        <w:t>为加强和规范单位国有资产管理，提高财政资金使用效益，保证单位国有资产的安全完整，进一步提高资产管理水平，我馆认真执行</w:t>
      </w:r>
      <w:r>
        <w:rPr>
          <w:rFonts w:hint="eastAsia" w:ascii="仿宋" w:hAnsi="仿宋" w:eastAsia="仿宋" w:cs="仿宋"/>
          <w:sz w:val="32"/>
          <w:szCs w:val="32"/>
          <w:lang w:eastAsia="zh-CN"/>
        </w:rPr>
        <w:t>《</w:t>
      </w:r>
      <w:r>
        <w:rPr>
          <w:rFonts w:hint="eastAsia" w:ascii="仿宋" w:hAnsi="仿宋" w:eastAsia="仿宋" w:cs="仿宋"/>
          <w:sz w:val="32"/>
          <w:szCs w:val="32"/>
        </w:rPr>
        <w:t>行政事业单位国有资产管理暂行办法》《事业单位国有资产管理暂行办法》等有关文件，明确了工作职责与工作要求，力求做到规范管理、科学统筹，不断提高资产使用效率</w:t>
      </w:r>
      <w:r>
        <w:rPr>
          <w:rFonts w:hint="eastAsia" w:ascii="仿宋" w:hAnsi="仿宋" w:eastAsia="仿宋" w:cs="仿宋"/>
          <w:sz w:val="32"/>
          <w:szCs w:val="32"/>
          <w:lang w:eastAsia="zh-CN"/>
        </w:rPr>
        <w:t>。</w:t>
      </w:r>
      <w:r>
        <w:rPr>
          <w:rFonts w:hint="eastAsia" w:ascii="仿宋" w:hAnsi="仿宋" w:eastAsia="仿宋" w:cs="仿宋"/>
          <w:sz w:val="32"/>
          <w:szCs w:val="32"/>
        </w:rPr>
        <w:t>实施“单位资产动态</w:t>
      </w:r>
      <w:r>
        <w:rPr>
          <w:rFonts w:hint="eastAsia" w:ascii="仿宋" w:hAnsi="仿宋" w:eastAsia="仿宋" w:cs="仿宋"/>
          <w:sz w:val="32"/>
          <w:szCs w:val="32"/>
          <w:lang w:eastAsia="zh-CN"/>
        </w:rPr>
        <w:t>监</w:t>
      </w:r>
      <w:bookmarkStart w:id="0" w:name="_GoBack"/>
      <w:bookmarkEnd w:id="0"/>
      <w:r>
        <w:rPr>
          <w:rFonts w:hint="eastAsia" w:ascii="仿宋" w:hAnsi="仿宋" w:eastAsia="仿宋" w:cs="仿宋"/>
          <w:sz w:val="32"/>
          <w:szCs w:val="32"/>
        </w:rPr>
        <w:t>管，资源共享，资产管理与预算管理、资金管理相结合”的管理办法</w:t>
      </w:r>
      <w:r>
        <w:rPr>
          <w:rFonts w:hint="eastAsia" w:ascii="仿宋" w:hAnsi="仿宋" w:eastAsia="仿宋" w:cs="仿宋"/>
          <w:sz w:val="32"/>
          <w:szCs w:val="32"/>
          <w:lang w:eastAsia="zh-CN"/>
        </w:rPr>
        <w:t>。</w:t>
      </w:r>
      <w:r>
        <w:rPr>
          <w:rFonts w:hint="eastAsia" w:ascii="仿宋" w:hAnsi="仿宋" w:eastAsia="仿宋" w:cs="仿宋"/>
          <w:sz w:val="32"/>
          <w:szCs w:val="32"/>
        </w:rPr>
        <w:t>新增（购买、接收捐赠）资产及时入账，落实保管制度，责任到人。资产盘亏、报废由馆办公室盘点后提出资产盘亏、报废申请报告，并会同财务部门核查落实后，报财政部门审批，严格规范资产处置程序。落实检查制度，对各部室资产的调配、使用、保管进行定期和不定期检查，特别是对易携带、易丢失、已损坏资产的检查，通过检查未发现有出租、出借、私自带走单位资产的现象，基本做到了账实相符，存放地点清楚，责任人员明确</w:t>
      </w:r>
      <w:r>
        <w:rPr>
          <w:rFonts w:hint="eastAsia" w:ascii="仿宋" w:hAnsi="仿宋" w:eastAsia="仿宋" w:cs="仿宋"/>
          <w:sz w:val="32"/>
          <w:szCs w:val="32"/>
          <w:lang w:eastAsia="zh-CN"/>
        </w:rPr>
        <w:t>。每年末进行一次单位资产清查。</w:t>
      </w:r>
      <w:r>
        <w:rPr>
          <w:rFonts w:hint="eastAsia" w:ascii="仿宋" w:hAnsi="仿宋" w:eastAsia="仿宋" w:cs="仿宋"/>
          <w:color w:val="222222"/>
          <w:kern w:val="0"/>
          <w:sz w:val="32"/>
          <w:szCs w:val="32"/>
        </w:rPr>
        <w:t>一是现场核查。清查小组成员到各资产存放部门和使用地点现场进行以账对物、逐一办公地点盘点、调查资产实存情况和使用现状</w:t>
      </w:r>
      <w:r>
        <w:rPr>
          <w:rFonts w:hint="eastAsia" w:ascii="仿宋" w:hAnsi="仿宋" w:eastAsia="仿宋" w:cs="仿宋"/>
          <w:color w:val="222222"/>
          <w:kern w:val="0"/>
          <w:sz w:val="32"/>
          <w:szCs w:val="32"/>
          <w:lang w:eastAsia="zh-CN"/>
        </w:rPr>
        <w:t>；</w:t>
      </w:r>
      <w:r>
        <w:rPr>
          <w:rFonts w:hint="eastAsia" w:ascii="仿宋" w:hAnsi="仿宋" w:eastAsia="仿宋" w:cs="仿宋"/>
          <w:color w:val="222222"/>
          <w:kern w:val="0"/>
          <w:sz w:val="32"/>
          <w:szCs w:val="32"/>
        </w:rPr>
        <w:t>二是复核。资产清查办公室到固定资产管理部门现场核查结果进行复核、分析、整理。三是分类。对在用和不在用进行分类，对不在用报废及报损的资产登记并进行上报，经领导报批后予以核销，同时单位财务会计要及时进行相关账务处理。</w:t>
      </w:r>
      <w:r>
        <w:rPr>
          <w:rFonts w:hint="eastAsia" w:ascii="仿宋" w:hAnsi="仿宋" w:eastAsia="仿宋" w:cs="仿宋"/>
          <w:spacing w:val="6"/>
          <w:sz w:val="32"/>
          <w:szCs w:val="32"/>
        </w:rPr>
        <w:t>加强</w:t>
      </w:r>
      <w:r>
        <w:rPr>
          <w:rFonts w:hint="eastAsia" w:ascii="仿宋" w:hAnsi="仿宋" w:eastAsia="仿宋" w:cs="仿宋"/>
          <w:spacing w:val="6"/>
          <w:sz w:val="32"/>
          <w:szCs w:val="32"/>
          <w:lang w:eastAsia="zh-CN"/>
        </w:rPr>
        <w:t>固定资产</w:t>
      </w:r>
      <w:r>
        <w:rPr>
          <w:rFonts w:hint="eastAsia" w:ascii="仿宋" w:hAnsi="仿宋" w:eastAsia="仿宋" w:cs="仿宋"/>
          <w:spacing w:val="6"/>
          <w:sz w:val="32"/>
          <w:szCs w:val="32"/>
        </w:rPr>
        <w:t>会计核算工作，严格执行现行固定资产管理制度，对已完工的基建工程、购入固定资产、收到的捐赠资产、上级主管部门调拨资产及时入账、并按照数量、金额登记明细账，及时编制资产卡片，确保不漏登少登固定资产，做到账实相符。加强</w:t>
      </w:r>
      <w:r>
        <w:rPr>
          <w:rFonts w:hint="eastAsia" w:ascii="仿宋" w:hAnsi="仿宋" w:eastAsia="仿宋" w:cs="仿宋"/>
          <w:spacing w:val="6"/>
          <w:sz w:val="32"/>
          <w:szCs w:val="32"/>
          <w:lang w:eastAsia="zh-CN"/>
        </w:rPr>
        <w:t>固定资产购入</w:t>
      </w:r>
      <w:r>
        <w:rPr>
          <w:rFonts w:hint="eastAsia" w:ascii="仿宋" w:hAnsi="仿宋" w:eastAsia="仿宋" w:cs="仿宋"/>
          <w:spacing w:val="6"/>
          <w:sz w:val="32"/>
          <w:szCs w:val="32"/>
        </w:rPr>
        <w:t>流程管理，对纳入政府采购目录范围内的资产采购，先报市财政局政府采购管理部门审批，对未纳入政府采购目录范围的物资采购，也要货比三家。对未纳入预算的固定资产不得随意采购，确需采购的，必须经预算管理部门批准。加强</w:t>
      </w:r>
      <w:r>
        <w:rPr>
          <w:rFonts w:hint="eastAsia" w:ascii="仿宋" w:hAnsi="仿宋" w:eastAsia="仿宋" w:cs="仿宋"/>
          <w:spacing w:val="6"/>
          <w:sz w:val="32"/>
          <w:szCs w:val="32"/>
          <w:lang w:eastAsia="zh-CN"/>
        </w:rPr>
        <w:t>固定资产</w:t>
      </w:r>
      <w:r>
        <w:rPr>
          <w:rFonts w:hint="eastAsia" w:ascii="仿宋" w:hAnsi="仿宋" w:eastAsia="仿宋" w:cs="仿宋"/>
          <w:spacing w:val="6"/>
          <w:sz w:val="32"/>
          <w:szCs w:val="32"/>
        </w:rPr>
        <w:t>内部监督，定期或者不定期对固定资产进行清查盘点，检查资产的购置、领用、处置是否合</w:t>
      </w:r>
      <w:r>
        <w:rPr>
          <w:rFonts w:hint="eastAsia" w:ascii="仿宋" w:hAnsi="仿宋" w:eastAsia="仿宋" w:cs="仿宋"/>
          <w:spacing w:val="6"/>
          <w:sz w:val="32"/>
          <w:szCs w:val="32"/>
          <w:lang w:eastAsia="zh-CN"/>
        </w:rPr>
        <w:t>理</w:t>
      </w:r>
      <w:r>
        <w:rPr>
          <w:rFonts w:hint="eastAsia" w:ascii="仿宋" w:hAnsi="仿宋" w:eastAsia="仿宋" w:cs="仿宋"/>
          <w:spacing w:val="6"/>
          <w:sz w:val="32"/>
          <w:szCs w:val="32"/>
        </w:rPr>
        <w:t>合规、账实是否相符，防止国有资产遭受损失和流失。</w:t>
      </w:r>
    </w:p>
    <w:p w14:paraId="66FAC91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eastAsia="zh-CN"/>
        </w:rPr>
      </w:pPr>
    </w:p>
    <w:p w14:paraId="1F7CC18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eastAsia="zh-CN"/>
        </w:rPr>
        <w:t>五、政府性基金预算支出情况</w:t>
      </w:r>
    </w:p>
    <w:p w14:paraId="21F38FD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3" w:firstLineChars="20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val="en-US" w:eastAsia="zh-CN"/>
        </w:rPr>
        <w:t>无</w:t>
      </w:r>
    </w:p>
    <w:p w14:paraId="03B365C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eastAsia="zh-CN"/>
        </w:rPr>
        <w:t>六、国有资本经营预算支出情况</w:t>
      </w:r>
    </w:p>
    <w:p w14:paraId="7637590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3" w:firstLineChars="20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val="en-US" w:eastAsia="zh-CN"/>
        </w:rPr>
        <w:t>无</w:t>
      </w:r>
    </w:p>
    <w:p w14:paraId="41C0C6F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rPr>
      </w:pPr>
      <w:r>
        <w:rPr>
          <w:rFonts w:hint="eastAsia" w:ascii="仿宋" w:hAnsi="仿宋" w:eastAsia="仿宋" w:cs="仿宋"/>
          <w:b/>
          <w:bCs/>
          <w:i w:val="0"/>
          <w:iCs w:val="0"/>
          <w:caps w:val="0"/>
          <w:color w:val="000000"/>
          <w:spacing w:val="0"/>
          <w:sz w:val="32"/>
          <w:szCs w:val="32"/>
          <w:shd w:val="clear" w:fill="FFFFFF"/>
          <w:lang w:eastAsia="zh-CN"/>
        </w:rPr>
        <w:t>七、</w:t>
      </w:r>
      <w:r>
        <w:rPr>
          <w:rFonts w:hint="eastAsia" w:ascii="仿宋" w:hAnsi="仿宋" w:eastAsia="仿宋" w:cs="仿宋"/>
          <w:b/>
          <w:bCs/>
          <w:i w:val="0"/>
          <w:iCs w:val="0"/>
          <w:caps w:val="0"/>
          <w:color w:val="000000"/>
          <w:spacing w:val="0"/>
          <w:sz w:val="32"/>
          <w:szCs w:val="32"/>
          <w:shd w:val="clear" w:fill="FFFFFF"/>
        </w:rPr>
        <w:t>社会保险基金预算支出情况</w:t>
      </w:r>
    </w:p>
    <w:p w14:paraId="19A335AE">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3" w:firstLineChars="200"/>
        <w:textAlignment w:val="auto"/>
        <w:outlineLvl w:val="9"/>
        <w:rPr>
          <w:rFonts w:hint="eastAsia" w:ascii="仿宋" w:hAnsi="仿宋" w:eastAsia="仿宋" w:cs="仿宋"/>
          <w:b/>
          <w:bCs/>
          <w:i w:val="0"/>
          <w:iCs w:val="0"/>
          <w:caps w:val="0"/>
          <w:color w:val="000000"/>
          <w:spacing w:val="0"/>
          <w:sz w:val="32"/>
          <w:szCs w:val="32"/>
          <w:shd w:val="clear" w:fill="FFFFFF"/>
          <w:lang w:val="en-US" w:eastAsia="zh-CN"/>
        </w:rPr>
      </w:pPr>
      <w:r>
        <w:rPr>
          <w:rFonts w:hint="eastAsia" w:ascii="仿宋" w:hAnsi="仿宋" w:eastAsia="仿宋" w:cs="仿宋"/>
          <w:b/>
          <w:bCs/>
          <w:i w:val="0"/>
          <w:iCs w:val="0"/>
          <w:caps w:val="0"/>
          <w:color w:val="000000"/>
          <w:spacing w:val="0"/>
          <w:sz w:val="32"/>
          <w:szCs w:val="32"/>
          <w:shd w:val="clear" w:fill="FFFFFF"/>
          <w:lang w:val="en-US" w:eastAsia="zh-CN"/>
        </w:rPr>
        <w:t>无</w:t>
      </w:r>
    </w:p>
    <w:p w14:paraId="51E22C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shd w:val="clear" w:fill="FFFFFF"/>
          <w:lang w:eastAsia="zh-CN"/>
        </w:rPr>
        <w:t>八</w:t>
      </w:r>
      <w:r>
        <w:rPr>
          <w:rFonts w:hint="eastAsia" w:ascii="仿宋" w:hAnsi="仿宋" w:eastAsia="仿宋" w:cs="仿宋"/>
          <w:b/>
          <w:bCs/>
          <w:i w:val="0"/>
          <w:iCs w:val="0"/>
          <w:caps w:val="0"/>
          <w:color w:val="000000"/>
          <w:spacing w:val="0"/>
          <w:sz w:val="32"/>
          <w:szCs w:val="32"/>
          <w:shd w:val="clear" w:fill="FFFFFF"/>
        </w:rPr>
        <w:t>、部门整体支出绩效情况</w:t>
      </w:r>
    </w:p>
    <w:p w14:paraId="5A98C0F7">
      <w:pPr>
        <w:keepNext w:val="0"/>
        <w:keepLines w:val="0"/>
        <w:pageBreakBefore w:val="0"/>
        <w:kinsoku/>
        <w:wordWrap/>
        <w:overflowPunct/>
        <w:topLinePunct w:val="0"/>
        <w:autoSpaceDE w:val="0"/>
        <w:autoSpaceDN/>
        <w:bidi w:val="0"/>
        <w:adjustRightInd/>
        <w:spacing w:line="560" w:lineRule="exact"/>
        <w:ind w:firstLine="640" w:firstLineChars="200"/>
        <w:textAlignment w:val="auto"/>
        <w:outlineLvl w:val="9"/>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sz w:val="32"/>
          <w:szCs w:val="32"/>
        </w:rPr>
        <w:t>怀化市图书馆</w:t>
      </w:r>
      <w:r>
        <w:rPr>
          <w:rFonts w:hint="eastAsia" w:ascii="仿宋" w:hAnsi="仿宋" w:eastAsia="仿宋" w:cs="仿宋"/>
          <w:color w:val="000000"/>
          <w:sz w:val="32"/>
          <w:szCs w:val="32"/>
        </w:rPr>
        <w:t>作为文化传播、公共文化服务单位主要的职责是保存借阅图书资料，促进社会经济文化发展及图书馆知识培训与社会教育。</w:t>
      </w:r>
      <w:r>
        <w:rPr>
          <w:rFonts w:hint="eastAsia" w:ascii="仿宋" w:hAnsi="仿宋" w:eastAsia="仿宋" w:cs="仿宋"/>
          <w:sz w:val="32"/>
          <w:szCs w:val="32"/>
        </w:rPr>
        <w:t>图书馆本着一切为读者服务的宗旨，积极拓展图书馆教育和信息的功能，从开展为读者服务、图书、报刊借阅业务管理及各项读书活动等大大提升了图书馆的知名度。专项支出</w:t>
      </w:r>
      <w:r>
        <w:rPr>
          <w:rFonts w:hint="eastAsia" w:ascii="仿宋" w:hAnsi="仿宋" w:eastAsia="仿宋" w:cs="仿宋"/>
          <w:kern w:val="0"/>
          <w:sz w:val="32"/>
          <w:szCs w:val="32"/>
        </w:rPr>
        <w:t>根据财政要求及规定预算支出，按要求走政府采购流程。数字化图书馆建设不断发展方向将会成为怀化市各级党政机构信息资源的永久保存和服务中心，本地资源数字化能为读者提供本地特色文化的数据平台，有效地提升和弘扬本土文化,使当地文化视频化宣传更鲜活。图书馆还需</w:t>
      </w:r>
      <w:r>
        <w:rPr>
          <w:rFonts w:hint="eastAsia" w:ascii="仿宋" w:hAnsi="仿宋" w:eastAsia="仿宋" w:cs="仿宋"/>
          <w:color w:val="434343"/>
          <w:sz w:val="32"/>
          <w:szCs w:val="32"/>
        </w:rPr>
        <w:t>多组织开展系列读者读书活动，引导读者多读书、读好书，学习中华传统文化。</w:t>
      </w:r>
      <w:r>
        <w:rPr>
          <w:rFonts w:hint="eastAsia" w:ascii="仿宋" w:hAnsi="仿宋" w:eastAsia="仿宋" w:cs="仿宋"/>
          <w:sz w:val="32"/>
          <w:szCs w:val="32"/>
        </w:rPr>
        <w:t>尊重、平等地对待每一位读者.增强“一切为了读者”的服务观念, 对读者的个性化需求开展有针对性的主动和深层次的知识信息服务。</w:t>
      </w:r>
      <w:r>
        <w:rPr>
          <w:rFonts w:hint="eastAsia" w:ascii="仿宋" w:hAnsi="仿宋" w:eastAsia="仿宋" w:cs="仿宋"/>
          <w:color w:val="000000"/>
          <w:sz w:val="32"/>
          <w:szCs w:val="32"/>
          <w:lang w:val="en-US" w:eastAsia="zh-CN"/>
        </w:rPr>
        <w:t>2025年度</w:t>
      </w:r>
      <w:r>
        <w:rPr>
          <w:rFonts w:hint="eastAsia" w:ascii="仿宋" w:hAnsi="仿宋" w:eastAsia="仿宋" w:cs="仿宋"/>
          <w:color w:val="333333"/>
          <w:sz w:val="32"/>
          <w:szCs w:val="32"/>
        </w:rPr>
        <w:t>怀化市图书馆</w:t>
      </w:r>
      <w:r>
        <w:rPr>
          <w:rFonts w:hint="eastAsia" w:ascii="仿宋" w:hAnsi="仿宋" w:eastAsia="仿宋" w:cs="仿宋"/>
          <w:sz w:val="32"/>
          <w:szCs w:val="32"/>
        </w:rPr>
        <w:t>坚持科学发展观和先进文化的前进方向，以促进文化发展及公共图书事业为己任，从思想政治、借阅服务、读书活动等方面入手，始终以认真、负责的态度，平稳有序地推进各项工作。</w:t>
      </w:r>
      <w:r>
        <w:rPr>
          <w:rFonts w:hint="eastAsia" w:ascii="仿宋" w:hAnsi="仿宋" w:eastAsia="仿宋" w:cs="仿宋"/>
          <w:b w:val="0"/>
          <w:bCs w:val="0"/>
          <w:sz w:val="32"/>
          <w:szCs w:val="32"/>
          <w:lang w:val="en-US" w:eastAsia="zh-CN"/>
        </w:rPr>
        <w:t>提升读者借阅环境，按读者要求采买各类书籍、提高阅读环境等管理，使读者能有愉悦的心情阅读书籍，也满足了社会各类读者的阅读要求。创新形式举办服务宣传与阅读推广活动，大力推进全民阅读活动，着重开展世界读书日、全民阅读月、服务宣传周等活动，不断丰富群众精神文化生活，打造书香怀化。</w:t>
      </w:r>
    </w:p>
    <w:p w14:paraId="722DA67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shd w:val="clear" w:fill="FFFFFF"/>
          <w:lang w:eastAsia="zh-CN"/>
        </w:rPr>
        <w:t>九</w:t>
      </w:r>
      <w:r>
        <w:rPr>
          <w:rFonts w:hint="eastAsia" w:ascii="仿宋" w:hAnsi="仿宋" w:eastAsia="仿宋" w:cs="仿宋"/>
          <w:b/>
          <w:bCs/>
          <w:i w:val="0"/>
          <w:iCs w:val="0"/>
          <w:caps w:val="0"/>
          <w:color w:val="000000"/>
          <w:spacing w:val="0"/>
          <w:sz w:val="32"/>
          <w:szCs w:val="32"/>
          <w:shd w:val="clear" w:fill="FFFFFF"/>
        </w:rPr>
        <w:t>、存在的问题及原因分析</w:t>
      </w:r>
    </w:p>
    <w:p w14:paraId="7A585837">
      <w:pPr>
        <w:keepNext w:val="0"/>
        <w:keepLines w:val="0"/>
        <w:pageBreakBefore w:val="0"/>
        <w:kinsoku/>
        <w:wordWrap/>
        <w:overflowPunct/>
        <w:topLinePunct w:val="0"/>
        <w:autoSpaceDN/>
        <w:bidi w:val="0"/>
        <w:adjustRightInd/>
        <w:spacing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还应</w:t>
      </w:r>
      <w:r>
        <w:rPr>
          <w:rFonts w:hint="eastAsia" w:ascii="仿宋" w:hAnsi="仿宋" w:eastAsia="仿宋" w:cs="仿宋"/>
          <w:sz w:val="32"/>
          <w:szCs w:val="32"/>
        </w:rPr>
        <w:t>优化服务流程，简化办证手续，开展预约借阅、集体借阅等，最大限度地方便读者，创新服务载体。</w:t>
      </w:r>
      <w:r>
        <w:rPr>
          <w:rFonts w:hint="eastAsia" w:ascii="仿宋" w:hAnsi="仿宋" w:eastAsia="仿宋" w:cs="仿宋"/>
          <w:sz w:val="32"/>
          <w:szCs w:val="32"/>
          <w:lang w:eastAsia="zh-CN"/>
        </w:rPr>
        <w:t>特别是要</w:t>
      </w:r>
      <w:r>
        <w:rPr>
          <w:rFonts w:hint="eastAsia" w:ascii="仿宋" w:hAnsi="仿宋" w:eastAsia="仿宋" w:cs="仿宋"/>
          <w:sz w:val="32"/>
          <w:szCs w:val="32"/>
        </w:rPr>
        <w:t>注重馆藏体多元化，采购的图书除纸质图书外，加强声像读物和数字资源的购置，提高资源利用率。增设电子图书借阅点、手机图书馆、和移动电子终端阅读器，利用新技术平台延伸服务。</w:t>
      </w:r>
    </w:p>
    <w:p w14:paraId="1567132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rPr>
      </w:pPr>
      <w:r>
        <w:rPr>
          <w:rFonts w:hint="eastAsia" w:ascii="仿宋" w:hAnsi="仿宋" w:eastAsia="仿宋" w:cs="仿宋"/>
          <w:b/>
          <w:bCs/>
          <w:i w:val="0"/>
          <w:iCs w:val="0"/>
          <w:caps w:val="0"/>
          <w:color w:val="000000"/>
          <w:spacing w:val="0"/>
          <w:sz w:val="32"/>
          <w:szCs w:val="32"/>
          <w:shd w:val="clear" w:fill="FFFFFF"/>
          <w:lang w:eastAsia="zh-CN"/>
        </w:rPr>
        <w:t>十、</w:t>
      </w:r>
      <w:r>
        <w:rPr>
          <w:rFonts w:hint="eastAsia" w:ascii="仿宋" w:hAnsi="仿宋" w:eastAsia="仿宋" w:cs="仿宋"/>
          <w:b/>
          <w:bCs/>
          <w:i w:val="0"/>
          <w:iCs w:val="0"/>
          <w:caps w:val="0"/>
          <w:color w:val="000000"/>
          <w:spacing w:val="0"/>
          <w:sz w:val="32"/>
          <w:szCs w:val="32"/>
          <w:shd w:val="clear" w:fill="FFFFFF"/>
        </w:rPr>
        <w:t>下一步改进措施</w:t>
      </w:r>
    </w:p>
    <w:p w14:paraId="6BF92E14">
      <w:pPr>
        <w:keepNext w:val="0"/>
        <w:keepLines w:val="0"/>
        <w:pageBreakBefore w:val="0"/>
        <w:kinsoku/>
        <w:wordWrap/>
        <w:overflowPunct/>
        <w:topLinePunct w:val="0"/>
        <w:autoSpaceDN/>
        <w:bidi w:val="0"/>
        <w:adjustRightInd/>
        <w:spacing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以大力建设怀化市数字图书馆为依托，促进全市信息资源共享工程的推进，充分发挥图书馆社会教育职能。</w:t>
      </w:r>
      <w:r>
        <w:rPr>
          <w:rFonts w:hint="eastAsia" w:ascii="仿宋" w:hAnsi="仿宋" w:eastAsia="仿宋" w:cs="仿宋"/>
          <w:i w:val="0"/>
          <w:iCs w:val="0"/>
          <w:caps w:val="0"/>
          <w:color w:val="000000"/>
          <w:spacing w:val="0"/>
          <w:sz w:val="32"/>
          <w:szCs w:val="32"/>
          <w:shd w:val="clear" w:fill="FFFFFF"/>
          <w:lang w:val="en-US" w:eastAsia="zh-CN"/>
        </w:rPr>
        <w:t xml:space="preserve"> </w:t>
      </w:r>
      <w:r>
        <w:rPr>
          <w:rFonts w:hint="eastAsia" w:ascii="仿宋" w:hAnsi="仿宋" w:eastAsia="仿宋" w:cs="仿宋"/>
          <w:sz w:val="32"/>
          <w:szCs w:val="32"/>
        </w:rPr>
        <w:t>根据本市</w:t>
      </w:r>
      <w:r>
        <w:rPr>
          <w:rFonts w:hint="eastAsia" w:ascii="仿宋" w:hAnsi="仿宋" w:eastAsia="仿宋" w:cs="仿宋"/>
          <w:sz w:val="32"/>
          <w:szCs w:val="32"/>
          <w:lang w:eastAsia="zh-CN"/>
        </w:rPr>
        <w:t>文化</w:t>
      </w:r>
      <w:r>
        <w:rPr>
          <w:rFonts w:hint="eastAsia" w:ascii="仿宋" w:hAnsi="仿宋" w:eastAsia="仿宋" w:cs="仿宋"/>
          <w:sz w:val="32"/>
          <w:szCs w:val="32"/>
        </w:rPr>
        <w:t>发展的需求，</w:t>
      </w:r>
      <w:r>
        <w:rPr>
          <w:rFonts w:hint="eastAsia" w:ascii="仿宋" w:hAnsi="仿宋" w:eastAsia="仿宋" w:cs="仿宋"/>
          <w:sz w:val="32"/>
          <w:szCs w:val="32"/>
          <w:lang w:eastAsia="zh-CN"/>
        </w:rPr>
        <w:t>我们</w:t>
      </w:r>
      <w:r>
        <w:rPr>
          <w:rFonts w:hint="eastAsia" w:ascii="仿宋" w:hAnsi="仿宋" w:eastAsia="仿宋" w:cs="仿宋"/>
          <w:sz w:val="32"/>
          <w:szCs w:val="32"/>
        </w:rPr>
        <w:t>要科学地按比例增加馆藏文献，尽可能满足不同类型读者的需求</w:t>
      </w:r>
      <w:r>
        <w:rPr>
          <w:rFonts w:hint="eastAsia" w:ascii="仿宋" w:hAnsi="仿宋" w:eastAsia="仿宋" w:cs="仿宋"/>
          <w:sz w:val="32"/>
          <w:szCs w:val="32"/>
          <w:lang w:eastAsia="zh-CN"/>
        </w:rPr>
        <w:t>。</w:t>
      </w:r>
      <w:r>
        <w:rPr>
          <w:rFonts w:hint="eastAsia" w:ascii="仿宋" w:hAnsi="仿宋" w:eastAsia="仿宋" w:cs="仿宋"/>
          <w:sz w:val="32"/>
          <w:szCs w:val="32"/>
        </w:rPr>
        <w:t>健全文献资源保障体系，对提高全市人民群众的科学文化素质、思想道德素质和文化品位，创造良好的人文环境，建设文化强市将起到积极的推动作用。</w:t>
      </w:r>
    </w:p>
    <w:p w14:paraId="2F70E57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val="en-US" w:eastAsia="zh-CN"/>
        </w:rPr>
      </w:pPr>
      <w:r>
        <w:rPr>
          <w:rFonts w:hint="eastAsia" w:ascii="仿宋" w:hAnsi="仿宋" w:eastAsia="仿宋" w:cs="仿宋"/>
          <w:b/>
          <w:bCs/>
          <w:i w:val="0"/>
          <w:iCs w:val="0"/>
          <w:caps w:val="0"/>
          <w:color w:val="000000"/>
          <w:spacing w:val="0"/>
          <w:sz w:val="32"/>
          <w:szCs w:val="32"/>
          <w:shd w:val="clear" w:fill="FFFFFF"/>
          <w:lang w:val="en-US" w:eastAsia="zh-CN"/>
        </w:rPr>
        <w:t>十一、绩效自评结果拟应用和公开情况</w:t>
      </w:r>
    </w:p>
    <w:p w14:paraId="32A7944E">
      <w:pPr>
        <w:keepNext w:val="0"/>
        <w:keepLines w:val="0"/>
        <w:pageBreakBefore w:val="0"/>
        <w:numPr>
          <w:ilvl w:val="0"/>
          <w:numId w:val="0"/>
        </w:numPr>
        <w:kinsoku/>
        <w:wordWrap/>
        <w:overflowPunct/>
        <w:topLinePunct w:val="0"/>
        <w:autoSpaceDN/>
        <w:bidi w:val="0"/>
        <w:adjustRightInd/>
        <w:spacing w:line="560" w:lineRule="exact"/>
        <w:ind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val="en-US" w:eastAsia="zh-CN"/>
        </w:rPr>
      </w:pPr>
      <w:r>
        <w:rPr>
          <w:rFonts w:hint="eastAsia" w:ascii="仿宋" w:hAnsi="仿宋" w:eastAsia="仿宋" w:cs="仿宋"/>
          <w:b w:val="0"/>
          <w:bCs w:val="0"/>
          <w:sz w:val="32"/>
          <w:szCs w:val="32"/>
          <w:lang w:val="en-US" w:eastAsia="zh-CN"/>
        </w:rPr>
        <w:t>我单位绩效目标考核工作严格按照财政要求按时完成，单位成立绩效目标考核工作小组，主要领导负责此项工作的开展并对其真实性和完整性负责。建立健全单位绩效监控管理制度，细化明确内部绩效监控职责分工，定期对绩效监控信息进行收集、审核、分析、汇总、填报，及时督促相关人员按规定要求及时报送财政。</w:t>
      </w:r>
      <w:r>
        <w:rPr>
          <w:rFonts w:hint="eastAsia" w:ascii="仿宋" w:hAnsi="仿宋" w:eastAsia="仿宋" w:cs="仿宋"/>
          <w:spacing w:val="6"/>
          <w:sz w:val="32"/>
          <w:szCs w:val="32"/>
        </w:rPr>
        <w:t>进一步提高预算绩效管理意识，在绩效目标编制方面，针对绩效目标设置指向不清、预算和工作目标不相匹配，数量指标和质量指标量化不细，效益指标编制不完整等方面加以改进。</w:t>
      </w:r>
      <w:r>
        <w:rPr>
          <w:rFonts w:hint="eastAsia" w:ascii="仿宋" w:hAnsi="仿宋" w:eastAsia="仿宋" w:cs="仿宋"/>
          <w:spacing w:val="6"/>
          <w:sz w:val="32"/>
          <w:szCs w:val="32"/>
          <w:lang w:val="en-US" w:eastAsia="zh-CN"/>
        </w:rPr>
        <w:t>2025年度我单位绩效自评为97分，</w:t>
      </w:r>
      <w:r>
        <w:rPr>
          <w:rFonts w:hint="eastAsia" w:ascii="仿宋" w:hAnsi="仿宋" w:eastAsia="仿宋" w:cs="仿宋"/>
          <w:sz w:val="32"/>
          <w:szCs w:val="32"/>
          <w:lang w:eastAsia="zh-CN"/>
        </w:rPr>
        <w:t>自评结果</w:t>
      </w:r>
      <w:r>
        <w:rPr>
          <w:rFonts w:hint="eastAsia" w:ascii="仿宋" w:hAnsi="仿宋" w:eastAsia="仿宋" w:cs="仿宋"/>
          <w:sz w:val="32"/>
          <w:szCs w:val="32"/>
        </w:rPr>
        <w:t>信息公开工作</w:t>
      </w:r>
      <w:r>
        <w:rPr>
          <w:rFonts w:hint="eastAsia" w:ascii="仿宋" w:hAnsi="仿宋" w:eastAsia="仿宋" w:cs="仿宋"/>
          <w:sz w:val="32"/>
          <w:szCs w:val="32"/>
          <w:lang w:eastAsia="zh-CN"/>
        </w:rPr>
        <w:t>严格按照市级财政要求及时公开信息。</w:t>
      </w:r>
    </w:p>
    <w:p w14:paraId="7EF5E5D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shd w:val="clear" w:fill="FFFFFF"/>
          <w:lang w:eastAsia="zh-CN"/>
        </w:rPr>
        <w:t>十二</w:t>
      </w:r>
      <w:r>
        <w:rPr>
          <w:rFonts w:hint="eastAsia" w:ascii="仿宋" w:hAnsi="仿宋" w:eastAsia="仿宋" w:cs="仿宋"/>
          <w:b/>
          <w:bCs/>
          <w:i w:val="0"/>
          <w:iCs w:val="0"/>
          <w:caps w:val="0"/>
          <w:color w:val="000000"/>
          <w:spacing w:val="0"/>
          <w:sz w:val="32"/>
          <w:szCs w:val="32"/>
          <w:shd w:val="clear" w:fill="FFFFFF"/>
        </w:rPr>
        <w:t>、其他需要说明的情况</w:t>
      </w:r>
    </w:p>
    <w:p w14:paraId="0F01F46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3" w:firstLineChars="200"/>
        <w:textAlignment w:val="auto"/>
        <w:outlineLvl w:val="9"/>
        <w:rPr>
          <w:rFonts w:hint="eastAsia" w:ascii="仿宋" w:hAnsi="仿宋" w:eastAsia="仿宋" w:cs="仿宋"/>
          <w:b/>
          <w:bCs/>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无</w:t>
      </w:r>
    </w:p>
    <w:p w14:paraId="09A751B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eastAsia" w:ascii="仿宋" w:hAnsi="仿宋" w:eastAsia="仿宋" w:cs="仿宋"/>
          <w:i w:val="0"/>
          <w:iCs w:val="0"/>
          <w:caps w:val="0"/>
          <w:color w:val="000000"/>
          <w:spacing w:val="0"/>
          <w:sz w:val="32"/>
          <w:szCs w:val="32"/>
        </w:rPr>
      </w:pPr>
    </w:p>
    <w:p w14:paraId="33F3A35A"/>
    <w:p w14:paraId="364D9806"/>
    <w:p w14:paraId="570B0D24"/>
    <w:p w14:paraId="09A4441C"/>
    <w:p w14:paraId="161EDF21"/>
    <w:p w14:paraId="2849C329"/>
    <w:p w14:paraId="5E3B01E8"/>
    <w:p w14:paraId="4F56A3FC"/>
    <w:p w14:paraId="6C5DD786"/>
    <w:p w14:paraId="2D321898"/>
    <w:p w14:paraId="0D1EAF60"/>
    <w:p w14:paraId="26A2E1A1"/>
    <w:p w14:paraId="019D3436"/>
    <w:p w14:paraId="269049AF"/>
    <w:p w14:paraId="1563FE5A"/>
    <w:p w14:paraId="72F1EAD1"/>
    <w:p w14:paraId="278736DD"/>
    <w:p w14:paraId="6E47DAB8"/>
    <w:p w14:paraId="3D3A594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2FACF4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BA57D3"/>
    <w:rsid w:val="01714809"/>
    <w:rsid w:val="02E1151B"/>
    <w:rsid w:val="033C49A3"/>
    <w:rsid w:val="03AA4003"/>
    <w:rsid w:val="03C76963"/>
    <w:rsid w:val="04E15802"/>
    <w:rsid w:val="077B0190"/>
    <w:rsid w:val="07866B35"/>
    <w:rsid w:val="08400A92"/>
    <w:rsid w:val="09016473"/>
    <w:rsid w:val="09BA2AC6"/>
    <w:rsid w:val="0A2148F3"/>
    <w:rsid w:val="0A8D3D36"/>
    <w:rsid w:val="0B0B182B"/>
    <w:rsid w:val="0B3348DE"/>
    <w:rsid w:val="0B464611"/>
    <w:rsid w:val="0B9F3D21"/>
    <w:rsid w:val="0C5A67CC"/>
    <w:rsid w:val="0CBA3508"/>
    <w:rsid w:val="0D4B23B2"/>
    <w:rsid w:val="0D9C49BC"/>
    <w:rsid w:val="0EA53D44"/>
    <w:rsid w:val="0EC74770"/>
    <w:rsid w:val="0EE26D46"/>
    <w:rsid w:val="0EE77EB9"/>
    <w:rsid w:val="0F2E3D3A"/>
    <w:rsid w:val="0FA97864"/>
    <w:rsid w:val="106C2D6C"/>
    <w:rsid w:val="10B62239"/>
    <w:rsid w:val="1108048F"/>
    <w:rsid w:val="1111121D"/>
    <w:rsid w:val="112278CE"/>
    <w:rsid w:val="121D1E44"/>
    <w:rsid w:val="12280F14"/>
    <w:rsid w:val="132F62D2"/>
    <w:rsid w:val="14810FD8"/>
    <w:rsid w:val="14D0319D"/>
    <w:rsid w:val="152754B3"/>
    <w:rsid w:val="156A53A0"/>
    <w:rsid w:val="156F6CB6"/>
    <w:rsid w:val="15FF3D3A"/>
    <w:rsid w:val="16467BBB"/>
    <w:rsid w:val="16610551"/>
    <w:rsid w:val="170E3FDB"/>
    <w:rsid w:val="18057C1D"/>
    <w:rsid w:val="1822677A"/>
    <w:rsid w:val="18300B23"/>
    <w:rsid w:val="1855508C"/>
    <w:rsid w:val="190B50EC"/>
    <w:rsid w:val="199724DC"/>
    <w:rsid w:val="1A07140F"/>
    <w:rsid w:val="1AAE31A9"/>
    <w:rsid w:val="1B4A41F8"/>
    <w:rsid w:val="1B590390"/>
    <w:rsid w:val="1B803B6F"/>
    <w:rsid w:val="1C56042C"/>
    <w:rsid w:val="1E1862E1"/>
    <w:rsid w:val="1E8B046A"/>
    <w:rsid w:val="1E9B0CC0"/>
    <w:rsid w:val="207812B9"/>
    <w:rsid w:val="20A91472"/>
    <w:rsid w:val="20B41BC5"/>
    <w:rsid w:val="232A616E"/>
    <w:rsid w:val="2335523F"/>
    <w:rsid w:val="23887A65"/>
    <w:rsid w:val="24681644"/>
    <w:rsid w:val="253E5283"/>
    <w:rsid w:val="261849A4"/>
    <w:rsid w:val="263D6ED8"/>
    <w:rsid w:val="26431A21"/>
    <w:rsid w:val="27167136"/>
    <w:rsid w:val="27196C26"/>
    <w:rsid w:val="27492409"/>
    <w:rsid w:val="279F35CF"/>
    <w:rsid w:val="2859594E"/>
    <w:rsid w:val="286D547B"/>
    <w:rsid w:val="287560DE"/>
    <w:rsid w:val="28BE7A85"/>
    <w:rsid w:val="29325D7D"/>
    <w:rsid w:val="29862557"/>
    <w:rsid w:val="29B35110"/>
    <w:rsid w:val="2AA1140C"/>
    <w:rsid w:val="2B390A95"/>
    <w:rsid w:val="2B6366C1"/>
    <w:rsid w:val="2C7548FE"/>
    <w:rsid w:val="2CE83322"/>
    <w:rsid w:val="2FFA3A98"/>
    <w:rsid w:val="30D047F9"/>
    <w:rsid w:val="30FA7AC8"/>
    <w:rsid w:val="31540F86"/>
    <w:rsid w:val="31A33CBC"/>
    <w:rsid w:val="31F42769"/>
    <w:rsid w:val="330E33B7"/>
    <w:rsid w:val="336E3E55"/>
    <w:rsid w:val="33A15FD9"/>
    <w:rsid w:val="33F26834"/>
    <w:rsid w:val="34237336"/>
    <w:rsid w:val="34967B08"/>
    <w:rsid w:val="34A71D15"/>
    <w:rsid w:val="35D02BA5"/>
    <w:rsid w:val="361236CF"/>
    <w:rsid w:val="367125DA"/>
    <w:rsid w:val="37144D14"/>
    <w:rsid w:val="37264E23"/>
    <w:rsid w:val="375515B4"/>
    <w:rsid w:val="376143FD"/>
    <w:rsid w:val="37E62B54"/>
    <w:rsid w:val="39FF1CAB"/>
    <w:rsid w:val="3DAA1C08"/>
    <w:rsid w:val="3E3A3845"/>
    <w:rsid w:val="3E3C1720"/>
    <w:rsid w:val="3E956959"/>
    <w:rsid w:val="3F8844F1"/>
    <w:rsid w:val="41B415CD"/>
    <w:rsid w:val="42843695"/>
    <w:rsid w:val="43090183"/>
    <w:rsid w:val="4346094B"/>
    <w:rsid w:val="43B24229"/>
    <w:rsid w:val="44000AFA"/>
    <w:rsid w:val="440D56A5"/>
    <w:rsid w:val="453273D9"/>
    <w:rsid w:val="4568104C"/>
    <w:rsid w:val="45A32084"/>
    <w:rsid w:val="45DE4E6B"/>
    <w:rsid w:val="45F83C8A"/>
    <w:rsid w:val="472D7E58"/>
    <w:rsid w:val="48F6071D"/>
    <w:rsid w:val="48F74BC1"/>
    <w:rsid w:val="4A935802"/>
    <w:rsid w:val="4B0435C5"/>
    <w:rsid w:val="4B7D2C9A"/>
    <w:rsid w:val="4C0513A3"/>
    <w:rsid w:val="4C375E7B"/>
    <w:rsid w:val="4DD54DA5"/>
    <w:rsid w:val="4E4836E8"/>
    <w:rsid w:val="4EF676C9"/>
    <w:rsid w:val="4F476D1A"/>
    <w:rsid w:val="4F5E52D6"/>
    <w:rsid w:val="4F781F6B"/>
    <w:rsid w:val="4FF736F9"/>
    <w:rsid w:val="511D2CEB"/>
    <w:rsid w:val="514209A3"/>
    <w:rsid w:val="514E7348"/>
    <w:rsid w:val="52806EC8"/>
    <w:rsid w:val="52C84ED8"/>
    <w:rsid w:val="539B439B"/>
    <w:rsid w:val="53D855EF"/>
    <w:rsid w:val="53EB088A"/>
    <w:rsid w:val="543B00DA"/>
    <w:rsid w:val="56A25A40"/>
    <w:rsid w:val="56BF65F2"/>
    <w:rsid w:val="578F4217"/>
    <w:rsid w:val="57BD0D84"/>
    <w:rsid w:val="58A27F7A"/>
    <w:rsid w:val="58D565A1"/>
    <w:rsid w:val="59F842F5"/>
    <w:rsid w:val="5ABA77FD"/>
    <w:rsid w:val="5AC16DDD"/>
    <w:rsid w:val="5BCF1755"/>
    <w:rsid w:val="5C967DF5"/>
    <w:rsid w:val="5D004485"/>
    <w:rsid w:val="5DED1C97"/>
    <w:rsid w:val="5EA762EA"/>
    <w:rsid w:val="5FC61F44"/>
    <w:rsid w:val="6144074B"/>
    <w:rsid w:val="61EE47DE"/>
    <w:rsid w:val="62314848"/>
    <w:rsid w:val="62591743"/>
    <w:rsid w:val="625D388F"/>
    <w:rsid w:val="62AB1491"/>
    <w:rsid w:val="62CE02E9"/>
    <w:rsid w:val="631D301E"/>
    <w:rsid w:val="6442567C"/>
    <w:rsid w:val="65931376"/>
    <w:rsid w:val="65AD68DC"/>
    <w:rsid w:val="65BD63F3"/>
    <w:rsid w:val="66666A8A"/>
    <w:rsid w:val="666F1DE3"/>
    <w:rsid w:val="66F2031E"/>
    <w:rsid w:val="66F347C2"/>
    <w:rsid w:val="680E73DA"/>
    <w:rsid w:val="68E94B72"/>
    <w:rsid w:val="68FB5BB0"/>
    <w:rsid w:val="69584DB0"/>
    <w:rsid w:val="69845BA5"/>
    <w:rsid w:val="6AD42215"/>
    <w:rsid w:val="6B32518D"/>
    <w:rsid w:val="6B621F16"/>
    <w:rsid w:val="6BFF7765"/>
    <w:rsid w:val="6C163F88"/>
    <w:rsid w:val="6EDE5D94"/>
    <w:rsid w:val="6EE92007"/>
    <w:rsid w:val="6FC30AAA"/>
    <w:rsid w:val="6FDA2AEA"/>
    <w:rsid w:val="70871AD7"/>
    <w:rsid w:val="71A355A3"/>
    <w:rsid w:val="74BA57D3"/>
    <w:rsid w:val="75D1777B"/>
    <w:rsid w:val="77C27899"/>
    <w:rsid w:val="786F17CF"/>
    <w:rsid w:val="799A287B"/>
    <w:rsid w:val="79C63670"/>
    <w:rsid w:val="79ED32F3"/>
    <w:rsid w:val="79F71A7C"/>
    <w:rsid w:val="7A320D06"/>
    <w:rsid w:val="7A9E283F"/>
    <w:rsid w:val="7AD869D0"/>
    <w:rsid w:val="7B113011"/>
    <w:rsid w:val="7B2F3497"/>
    <w:rsid w:val="7B812553"/>
    <w:rsid w:val="7BB93CD1"/>
    <w:rsid w:val="7C2D5C29"/>
    <w:rsid w:val="7C4411C4"/>
    <w:rsid w:val="7D473F98"/>
    <w:rsid w:val="7DA22646"/>
    <w:rsid w:val="7DFF1847"/>
    <w:rsid w:val="7E1F3C97"/>
    <w:rsid w:val="7E4E1E86"/>
    <w:rsid w:val="7ECF746B"/>
    <w:rsid w:val="7EFC0024"/>
    <w:rsid w:val="BF3F1C04"/>
    <w:rsid w:val="DF1EB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0"/>
    <w:pPr>
      <w:spacing w:after="120"/>
    </w:pPr>
  </w:style>
  <w:style w:type="paragraph" w:styleId="5">
    <w:name w:val="Body Text First Indent"/>
    <w:basedOn w:val="4"/>
    <w:qFormat/>
    <w:uiPriority w:val="0"/>
    <w:pPr>
      <w:ind w:firstLine="420" w:firstLineChars="1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正文样式"/>
    <w:basedOn w:val="1"/>
    <w:next w:val="5"/>
    <w:qFormat/>
    <w:uiPriority w:val="0"/>
    <w:pPr>
      <w:spacing w:after="120" w:line="360" w:lineRule="auto"/>
      <w:ind w:firstLine="420" w:firstLineChars="200"/>
      <w:jc w:val="left"/>
    </w:pPr>
    <w:rPr>
      <w:rFonts w:hint="eastAsia"/>
      <w:lang w:val="en-US"/>
    </w:rPr>
  </w:style>
  <w:style w:type="paragraph" w:customStyle="1" w:styleId="10">
    <w:name w:val="标题1"/>
    <w:basedOn w:val="3"/>
    <w:qFormat/>
    <w:uiPriority w:val="0"/>
    <w:rPr>
      <w:rFonts w:eastAsia="黑体"/>
    </w:rPr>
  </w:style>
  <w:style w:type="paragraph" w:customStyle="1" w:styleId="11">
    <w:name w:val="正文-公1"/>
    <w:basedOn w:val="12"/>
    <w:next w:val="1"/>
    <w:qFormat/>
    <w:uiPriority w:val="0"/>
    <w:pPr>
      <w:ind w:firstLine="200" w:firstLineChars="200"/>
    </w:p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1"/>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6400</Words>
  <Characters>6869</Characters>
  <Lines>0</Lines>
  <Paragraphs>0</Paragraphs>
  <TotalTime>152</TotalTime>
  <ScaleCrop>false</ScaleCrop>
  <LinksUpToDate>false</LinksUpToDate>
  <CharactersWithSpaces>7075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2025-05-29T19:09:00Z</dcterms:created>
  <dc:creator>Administrator</dc:creator>
  <cp:lastModifiedBy>A梦</cp:lastModifiedBy>
  <cp:lastPrinted>2014-01-01T08:28:00Z</cp:lastPrinted>
  <dcterms:modified xsi:type="dcterms:W3CDTF">2026-10-15T16:40:51Z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eyJoZGlkIjoiNzBhNzFmNjRiNmQyNzA3ODI2ZTY5ZGExZWQ2MmQzNDEiLCJ1c2VySWQiOiIzNDQwMDQzNTQifQ==</vt:lpwstr>
  </property>
  <property fmtid="{D5CDD505-2E9C-101B-9397-08002B2CF9AE}" pid="4" name="ICV">
    <vt:lpwstr>698D10EBC1BD4690AC702BC248E4C904_12</vt:lpwstr>
  </property>
</Properties>
</file>