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6B2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14:paraId="3C97A12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C4A5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BCA33F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2025年度怀化市文化旅游广电体育局</w:t>
      </w:r>
    </w:p>
    <w:p w14:paraId="6323504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整体支出绩效自评报告</w:t>
      </w:r>
    </w:p>
    <w:p w14:paraId="5AD8FC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3EB9AEA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F33D64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96EC0A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D2BB2C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3739B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F4C1C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3271B2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BD7E35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0F9987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0A5BB6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C2B4FF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AD874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3FD80E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774F0B8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C39CE2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2E27710">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585ADC6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单位名称（盖章）：怀化市文化旅游广电体育局</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1F16B620">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1A41DE5B">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lang w:val="en-US" w:eastAsia="zh-CN"/>
        </w:rPr>
      </w:pPr>
      <w:r>
        <w:rPr>
          <w:rFonts w:hint="eastAsia" w:ascii="方正楷体_GB2312" w:hAnsi="方正楷体_GB2312" w:eastAsia="方正楷体_GB2312" w:cs="方正楷体_GB2312"/>
          <w:b/>
          <w:bCs/>
          <w:spacing w:val="-2"/>
          <w:sz w:val="32"/>
          <w:szCs w:val="32"/>
          <w:lang w:val="en-US" w:eastAsia="zh-CN"/>
        </w:rPr>
        <w:t>1.</w:t>
      </w:r>
      <w:r>
        <w:rPr>
          <w:rFonts w:hint="default" w:ascii="方正楷体_GB2312" w:hAnsi="方正楷体_GB2312" w:eastAsia="方正楷体_GB2312" w:cs="方正楷体_GB2312"/>
          <w:b/>
          <w:bCs/>
          <w:spacing w:val="-2"/>
          <w:sz w:val="32"/>
          <w:szCs w:val="32"/>
          <w:lang w:val="en-US" w:eastAsia="zh-CN"/>
        </w:rPr>
        <w:t>机构设置情况</w:t>
      </w:r>
    </w:p>
    <w:p w14:paraId="12191259">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仿宋" w:hAnsi="仿宋" w:eastAsia="仿宋" w:cs="Times New Roman"/>
          <w:b w:val="0"/>
          <w:bCs w:val="0"/>
          <w:spacing w:val="-2"/>
          <w:sz w:val="30"/>
          <w:szCs w:val="30"/>
          <w:lang w:val="en-US" w:eastAsia="zh-CN"/>
        </w:rPr>
      </w:pPr>
      <w:r>
        <w:rPr>
          <w:rFonts w:hint="eastAsia" w:ascii="仿宋" w:hAnsi="仿宋" w:eastAsia="仿宋" w:cs="Times New Roman"/>
          <w:b w:val="0"/>
          <w:bCs w:val="0"/>
          <w:spacing w:val="-2"/>
          <w:sz w:val="32"/>
          <w:szCs w:val="32"/>
          <w:lang w:val="en-US" w:eastAsia="zh-CN"/>
        </w:rPr>
        <w:t>怀化市文化旅游广电体育局作为一级部门预算单位，内设机构为：办公室、人事教育科（退休人员管理服务科）、计划财务科、产业发展科、政策法规科、文化艺术科、市场管理科（行政审批服务科）、资源开发与全域旅游推进科（红色旅游指导科）、推广传播和交流合作科、广播电视科、群众体育科、竞赛训练科、文物保护科（博物馆与社会文物科）、机关党委。</w:t>
      </w:r>
    </w:p>
    <w:p w14:paraId="7A18B2AF">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lang w:val="en-US" w:eastAsia="zh-CN"/>
        </w:rPr>
      </w:pPr>
      <w:r>
        <w:rPr>
          <w:rFonts w:hint="eastAsia" w:ascii="方正楷体_GB2312" w:hAnsi="方正楷体_GB2312" w:eastAsia="方正楷体_GB2312" w:cs="方正楷体_GB2312"/>
          <w:b/>
          <w:bCs/>
          <w:spacing w:val="-2"/>
          <w:sz w:val="32"/>
          <w:szCs w:val="32"/>
          <w:lang w:val="en-US" w:eastAsia="zh-CN"/>
        </w:rPr>
        <w:t>2.</w:t>
      </w:r>
      <w:r>
        <w:rPr>
          <w:rFonts w:hint="default" w:ascii="方正楷体_GB2312" w:hAnsi="方正楷体_GB2312" w:eastAsia="方正楷体_GB2312" w:cs="方正楷体_GB2312"/>
          <w:b/>
          <w:bCs/>
          <w:spacing w:val="-2"/>
          <w:sz w:val="32"/>
          <w:szCs w:val="32"/>
          <w:lang w:val="en-US" w:eastAsia="zh-CN"/>
        </w:rPr>
        <w:t>人员编制情况</w:t>
      </w:r>
    </w:p>
    <w:p w14:paraId="7484C3D3">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截止2025年12月31日，我局编制人数36名，其中：行政编制34名、工勤人员编制2名，期末实有在职人数36人（未含提前退休1人）。</w:t>
      </w:r>
    </w:p>
    <w:p w14:paraId="539E3EF0">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lang w:val="en-US" w:eastAsia="zh-CN"/>
        </w:rPr>
      </w:pPr>
      <w:r>
        <w:rPr>
          <w:rFonts w:hint="eastAsia" w:ascii="方正楷体_GB2312" w:hAnsi="方正楷体_GB2312" w:eastAsia="方正楷体_GB2312" w:cs="方正楷体_GB2312"/>
          <w:b/>
          <w:bCs/>
          <w:spacing w:val="-2"/>
          <w:sz w:val="32"/>
          <w:szCs w:val="32"/>
          <w:lang w:val="en-US" w:eastAsia="zh-CN"/>
        </w:rPr>
        <w:t>3.</w:t>
      </w:r>
      <w:r>
        <w:rPr>
          <w:rFonts w:hint="default" w:ascii="方正楷体_GB2312" w:hAnsi="方正楷体_GB2312" w:eastAsia="方正楷体_GB2312" w:cs="方正楷体_GB2312"/>
          <w:b/>
          <w:bCs/>
          <w:spacing w:val="-2"/>
          <w:sz w:val="32"/>
          <w:szCs w:val="32"/>
          <w:lang w:val="en-US" w:eastAsia="zh-CN"/>
        </w:rPr>
        <w:t>主要职能职责</w:t>
      </w:r>
    </w:p>
    <w:p w14:paraId="21D1D67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贯彻党和国家有关文化、旅游、广播电视、体育工作方针、政策和法律、法规，拟订全市文化、旅游、广播电视、体育事业发展规划并指导实施，指导、推进全市文化、旅游、广播电视、体育、文物领域体制机制创新；</w:t>
      </w:r>
    </w:p>
    <w:p w14:paraId="5B117830">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（2）推进全市文化旅游广电体育领域的公共服务，规划、引导公共文化产品生产，统筹安排全市文化、旅游、广电、体育事业经费，指导全市重点文化旅游广电体育设施建设和基层文化旅游广电体育设施建设；</w:t>
      </w:r>
    </w:p>
    <w:p w14:paraId="7C7265DB">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（3）拟订全市文化旅游广电体育产业发展规划，指导、协调全市文化旅游广电体育产业发展，推进文化旅游广电体育产业交流与合作；</w:t>
      </w:r>
    </w:p>
    <w:p w14:paraId="1282492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（4）指导全市文化艺术创作与生产，管理全市性重大文化活动，重点扶持代表性、示范性、实验性文化艺术品种和特色文艺院团，推动各门类艺术的发展；</w:t>
      </w:r>
    </w:p>
    <w:p w14:paraId="20152723">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5）指导、管理全市文化艺术和体育事业，指导、管理全市图书馆、博物馆、文化馆（站）、体育馆事业和基层文化体育建设。指导非公有性文化旅游体育文物机构和文化艺术类、旅游类、体育类、文物类社会组织的业务工作；</w:t>
      </w:r>
    </w:p>
    <w:p w14:paraId="47B5D18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（6）指导推进全市文化旅游广电体育文物科技创新发展，推进文化旅游广电体育文物行业信息化、标准化建设；</w:t>
      </w:r>
    </w:p>
    <w:p w14:paraId="59371F69">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（7）负责全市物质与非物质文化遗产保护和优秀民族文化的挖掘抢救传承宣传研究工作；</w:t>
      </w:r>
    </w:p>
    <w:p w14:paraId="714EBB5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（8）指导全市文化、旅游、广电、体育、文物等市场发展，对文化旅游广电体育文物市场经营进行行业监管，推进文化旅游广电体育文物行业信用体系建设，依法规范文化旅游广电体育文物市场；</w:t>
      </w:r>
    </w:p>
    <w:p w14:paraId="6D1A57D1">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9）组织、指导全市重要旅游产品的开发，促进和引导旅游业利用外资和社会投资工作。拟订全市国际旅游市场开发战略，组织全市旅游形象的对外宣传和重大推广活动。培育、完善和开拓国内旅游市场，拟订我市开拓旅游市场的措施并指导实施；</w:t>
      </w:r>
    </w:p>
    <w:p w14:paraId="5F7C7CFE">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10）组织全市旅游资源的普查、规划、开发和相关保护工作。指导协调旅游区的规划编制和开发建设，引导休闲度假。监测全市旅游经济运行，负责旅游统计及行业信息发布。协调和指导全市假日旅游和红色旅游工作；</w:t>
      </w:r>
    </w:p>
    <w:p w14:paraId="5063D197">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11）承担规范旅游市场秩序、监督管理服务质量、维护旅游消费者和经营者合法权益的责任。规范旅游企业和从业人员的经营和服务行为。组织实施国家确定的各类旅游区（点）、旅游设施、旅游服务、旅游产品等方面的等级和标准，组织实施旅游饭店、旅行社星级标准、星级评定与复核工作。审批市内旅行社设立和经营范围变更。审核报批经营出境旅游业务的旅行社。负责全市旅游安全的综合协调和监督管理，指导应急救援。指导旅游行业精神文明建设和诚信体系建设。加强对旅游市场实施监督管理；</w:t>
      </w:r>
    </w:p>
    <w:p w14:paraId="338BB08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12）指导旅游教育、培训工作，制定并组织实施全市旅游人才规划，指导实施旅游从业人员的职业资格标准和等级标准。指导全市有关院校开展旅游教育的有关工作。联系和指导旅行社团机构建设和制度建设等工作；</w:t>
      </w:r>
    </w:p>
    <w:p w14:paraId="50340BF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13）统筹规划群众体育发展，负责推行全民健身计划，指导群众性体育活动的开展，监督实施国家体育锻炼标准，推动国民体质监测和社会体育指导员工作队伍制度建设，指导公共体育设施建设，负责公共体育设施的监督管理；</w:t>
      </w:r>
    </w:p>
    <w:p w14:paraId="2A2869E0">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（14）统筹规划竞技体育发展和青少年体育发展，负责制定全市体育竞赛项目设置和重点布局，组织管理体育训练、体育竞赛、运动队伍建设，加强体育后备人才建设，推进青少年体育工作；</w:t>
      </w:r>
    </w:p>
    <w:p w14:paraId="40D2359E">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（15）组织体育领域科学研究的攻关和成果推广，负责组织、协调、监督体育运动中的反兴奋剂工作；</w:t>
      </w:r>
    </w:p>
    <w:p w14:paraId="21BA628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（16）组织推进全市广播电视公共服务，负责全市广播电视、信息网络视听节目服务机构和业务的监管并实施准入和退出管理，对从事广播电视节目制作民办机构进行监管；</w:t>
      </w:r>
    </w:p>
    <w:p w14:paraId="3CCA7EFB">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（17）指导、管理文化旅游广电体育行业对外及对港澳台交流、合作和宣传、推广工作；</w:t>
      </w:r>
    </w:p>
    <w:p w14:paraId="530FAB1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（18）承担旅游人才开发培训、旅游服务质量提升、智慧旅游信息化建设；</w:t>
      </w:r>
    </w:p>
    <w:p w14:paraId="4387442C">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0"/>
          <w:szCs w:val="30"/>
          <w:lang w:val="en-US" w:eastAsia="zh-CN"/>
        </w:rPr>
      </w:pPr>
      <w:r>
        <w:rPr>
          <w:rFonts w:hint="eastAsia" w:ascii="仿宋" w:hAnsi="仿宋" w:eastAsia="仿宋" w:cs="Times New Roman"/>
          <w:b w:val="0"/>
          <w:bCs w:val="0"/>
          <w:spacing w:val="-2"/>
          <w:sz w:val="32"/>
          <w:szCs w:val="32"/>
          <w:lang w:val="en-US" w:eastAsia="zh-CN"/>
        </w:rPr>
        <w:t>（19）完成市委、市政府交办的其他任务。</w:t>
      </w:r>
    </w:p>
    <w:p w14:paraId="5DD184E3">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lang w:val="en-US" w:eastAsia="zh-CN"/>
        </w:rPr>
      </w:pPr>
      <w:r>
        <w:rPr>
          <w:rFonts w:hint="eastAsia" w:ascii="方正楷体_GB2312" w:hAnsi="方正楷体_GB2312" w:eastAsia="方正楷体_GB2312" w:cs="方正楷体_GB2312"/>
          <w:b/>
          <w:bCs/>
          <w:spacing w:val="-2"/>
          <w:sz w:val="32"/>
          <w:szCs w:val="32"/>
          <w:lang w:val="en-US" w:eastAsia="zh-CN"/>
        </w:rPr>
        <w:t>4.</w:t>
      </w:r>
      <w:r>
        <w:rPr>
          <w:rFonts w:hint="default" w:ascii="方正楷体_GB2312" w:hAnsi="方正楷体_GB2312" w:eastAsia="方正楷体_GB2312" w:cs="方正楷体_GB2312"/>
          <w:b/>
          <w:bCs/>
          <w:spacing w:val="-2"/>
          <w:sz w:val="32"/>
          <w:szCs w:val="32"/>
          <w:lang w:val="en-US" w:eastAsia="zh-CN"/>
        </w:rPr>
        <w:t>绩效目标设定情况</w:t>
      </w:r>
    </w:p>
    <w:p w14:paraId="64059FB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聚焦承办省旅游发展大会，精心谋划第五届湖南省旅游发展大会；举办青少年赛事活动20场次以上；创建四星级酒店2家，五星级1家，国家甲级民宿1家，省级民宿2家及以上；力争全年全市接待国内外游客人次达到7000万人次以上，同比增长15%；实现旅游总花费近700亿元，同比增长15%。</w:t>
      </w:r>
    </w:p>
    <w:p w14:paraId="42FF960B">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（二）部门（单位）整体支出规模、使用方向和主要内容、涉及范围等。</w:t>
      </w:r>
    </w:p>
    <w:p w14:paraId="6F8372C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方正楷体_GB2312" w:hAnsi="方正楷体_GB2312" w:eastAsia="方正楷体_GB2312" w:cs="方正楷体_GB2312"/>
          <w:b/>
          <w:bCs/>
          <w:color w:val="auto"/>
          <w:spacing w:val="-2"/>
          <w:sz w:val="32"/>
          <w:szCs w:val="32"/>
          <w:lang w:val="en-US" w:eastAsia="zh-CN"/>
        </w:rPr>
      </w:pPr>
      <w:r>
        <w:rPr>
          <w:rFonts w:hint="eastAsia" w:ascii="方正楷体_GB2312" w:hAnsi="方正楷体_GB2312" w:eastAsia="方正楷体_GB2312" w:cs="方正楷体_GB2312"/>
          <w:b/>
          <w:bCs/>
          <w:color w:val="auto"/>
          <w:spacing w:val="-2"/>
          <w:sz w:val="32"/>
          <w:szCs w:val="32"/>
          <w:lang w:val="en-US" w:eastAsia="zh-CN"/>
        </w:rPr>
        <w:t>1.2025年部门预算情况</w:t>
      </w:r>
    </w:p>
    <w:p w14:paraId="1495D9B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根据怀财预〔2025〕4号文预算批复，我局2025年年初预算收入2370.95万元，其中：一般公共预算经费拨款2180.45万元，政府性基金预算财政拨款190.5万元；年初支出总预算2370.95万元，其中：基本支出757.95万元，项目支出1613万元。</w:t>
      </w:r>
    </w:p>
    <w:p w14:paraId="1275BA10">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2025年支出年中调整预算数4985.99万元，与年初预算安排的差额主要是基本支出年中预算增加139.51万元、项目支出年中预算增加4846.48万元。</w:t>
      </w:r>
    </w:p>
    <w:p w14:paraId="228980CF">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方正楷体_GB2312" w:hAnsi="方正楷体_GB2312" w:eastAsia="方正楷体_GB2312" w:cs="方正楷体_GB2312"/>
          <w:b/>
          <w:bCs/>
          <w:color w:val="auto"/>
          <w:spacing w:val="-2"/>
          <w:sz w:val="32"/>
          <w:szCs w:val="32"/>
          <w:lang w:val="en-US" w:eastAsia="zh-CN"/>
        </w:rPr>
      </w:pPr>
      <w:r>
        <w:rPr>
          <w:rFonts w:hint="eastAsia" w:ascii="方正楷体_GB2312" w:hAnsi="方正楷体_GB2312" w:eastAsia="方正楷体_GB2312" w:cs="方正楷体_GB2312"/>
          <w:b/>
          <w:bCs/>
          <w:color w:val="auto"/>
          <w:spacing w:val="-2"/>
          <w:sz w:val="32"/>
          <w:szCs w:val="32"/>
          <w:lang w:val="en-US" w:eastAsia="zh-CN"/>
        </w:rPr>
        <w:t>2.2025年部门决算情况</w:t>
      </w:r>
    </w:p>
    <w:p w14:paraId="7317508D">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我局2025年度决算总收入6362.85万元，总支出6362.85万元，其中：基本支出886.17万元，占总支出的13.93%；项目支出5476.68万元，占总支出的86.07%。2025年年末无结转和结余。</w:t>
      </w:r>
    </w:p>
    <w:p w14:paraId="6D909F39">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方正楷体_GB2312" w:hAnsi="方正楷体_GB2312" w:eastAsia="方正楷体_GB2312" w:cs="方正楷体_GB2312"/>
          <w:b/>
          <w:bCs/>
          <w:color w:val="auto"/>
          <w:spacing w:val="-2"/>
          <w:sz w:val="32"/>
          <w:szCs w:val="32"/>
          <w:lang w:val="en-US" w:eastAsia="zh-CN"/>
        </w:rPr>
      </w:pPr>
      <w:r>
        <w:rPr>
          <w:rFonts w:hint="eastAsia" w:ascii="方正楷体_GB2312" w:hAnsi="方正楷体_GB2312" w:eastAsia="方正楷体_GB2312" w:cs="方正楷体_GB2312"/>
          <w:b/>
          <w:bCs/>
          <w:color w:val="auto"/>
          <w:spacing w:val="-2"/>
          <w:sz w:val="32"/>
          <w:szCs w:val="32"/>
          <w:lang w:val="en-US" w:eastAsia="zh-CN"/>
        </w:rPr>
        <w:t>3.主要内容及涉及范围</w:t>
      </w:r>
    </w:p>
    <w:p w14:paraId="2081CB73">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color w:val="auto"/>
          <w:spacing w:val="-2"/>
          <w:sz w:val="32"/>
          <w:szCs w:val="32"/>
          <w:lang w:val="en-US" w:eastAsia="zh-CN"/>
        </w:rPr>
        <w:t>部门整体支出主要为部门人员经费开支、机构日常运行经费开支、专项业务费以及项目开支。通过项目实施，进一步完善了公共文化服务体系建设，推动生态文化旅游业转型升级，大力发展竞技体育和全民健身，深入推进全市广电公共服务事业发展。</w:t>
      </w:r>
    </w:p>
    <w:p w14:paraId="1F950FFA">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486C674">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基本支出系保障我局正常运转、完成日常工作任务而发生的人员经费和日常公用经费。具体包括：工资福利支出、商品和服务支出、对个人和家庭的补助。2025年基本支出886.17万元，具体包括：</w:t>
      </w:r>
    </w:p>
    <w:p w14:paraId="59900D28">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仿宋" w:hAnsi="仿宋" w:eastAsia="仿宋" w:cs="仿宋"/>
          <w:b w:val="0"/>
          <w:bCs w:val="0"/>
          <w:color w:val="FF0000"/>
          <w:spacing w:val="-2"/>
          <w:sz w:val="32"/>
          <w:szCs w:val="32"/>
          <w:lang w:val="en-US" w:eastAsia="zh-CN"/>
        </w:rPr>
      </w:pPr>
      <w:r>
        <w:rPr>
          <w:rFonts w:hint="eastAsia" w:ascii="仿宋" w:hAnsi="仿宋" w:eastAsia="仿宋" w:cs="仿宋"/>
          <w:b/>
          <w:bCs/>
          <w:spacing w:val="-2"/>
          <w:sz w:val="32"/>
          <w:szCs w:val="32"/>
          <w:lang w:val="en-US" w:eastAsia="zh-CN"/>
        </w:rPr>
        <w:t>1.人员经费。</w:t>
      </w:r>
      <w:r>
        <w:rPr>
          <w:rFonts w:hint="eastAsia" w:ascii="仿宋" w:hAnsi="仿宋" w:eastAsia="仿宋" w:cs="仿宋"/>
          <w:b w:val="0"/>
          <w:bCs w:val="0"/>
          <w:spacing w:val="-2"/>
          <w:sz w:val="32"/>
          <w:szCs w:val="32"/>
          <w:lang w:val="en-US" w:eastAsia="zh-CN"/>
        </w:rPr>
        <w:t>人</w:t>
      </w:r>
      <w:r>
        <w:rPr>
          <w:rFonts w:hint="eastAsia" w:ascii="仿宋" w:hAnsi="仿宋" w:eastAsia="仿宋" w:cs="仿宋"/>
          <w:b w:val="0"/>
          <w:bCs w:val="0"/>
          <w:color w:val="auto"/>
          <w:spacing w:val="-2"/>
          <w:sz w:val="32"/>
          <w:szCs w:val="32"/>
          <w:lang w:val="en-US" w:eastAsia="zh-CN"/>
        </w:rPr>
        <w:t>员经费818.15万元，占基本支出的92.32%，较上年减少75.16万元，减幅8.41%，主要原因是本年度市旅游发展事务中心人员调出17人，人员经费支出减少。</w:t>
      </w:r>
    </w:p>
    <w:p w14:paraId="36FB83C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仿宋"/>
          <w:b w:val="0"/>
          <w:bCs w:val="0"/>
          <w:color w:val="auto"/>
          <w:spacing w:val="-2"/>
          <w:sz w:val="32"/>
          <w:szCs w:val="32"/>
          <w:lang w:val="en-US" w:eastAsia="zh-CN"/>
        </w:rPr>
      </w:pPr>
      <w:r>
        <w:rPr>
          <w:rFonts w:hint="eastAsia" w:ascii="仿宋" w:hAnsi="仿宋" w:eastAsia="仿宋" w:cs="仿宋"/>
          <w:b w:val="0"/>
          <w:bCs w:val="0"/>
          <w:color w:val="auto"/>
          <w:spacing w:val="-2"/>
          <w:sz w:val="32"/>
          <w:szCs w:val="32"/>
          <w:lang w:val="en-US" w:eastAsia="zh-CN"/>
        </w:rPr>
        <w:t>（1）工资福利支出686.33万元，主要包括在职基本工资、津贴补贴、奖金、伙食补助费、机关事业单位基本养老保险缴费、职工基本医疗保险缴费、其他社会保障费、住房公积金、其他工资福利支出。</w:t>
      </w:r>
    </w:p>
    <w:p w14:paraId="11EA88AA">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lang w:val="en-US" w:eastAsia="zh-CN"/>
        </w:rPr>
      </w:pPr>
      <w:r>
        <w:rPr>
          <w:rFonts w:hint="eastAsia" w:ascii="仿宋" w:hAnsi="仿宋" w:eastAsia="仿宋" w:cs="仿宋"/>
          <w:b w:val="0"/>
          <w:bCs w:val="0"/>
          <w:color w:val="auto"/>
          <w:spacing w:val="-2"/>
          <w:sz w:val="32"/>
          <w:szCs w:val="32"/>
          <w:lang w:val="en-US" w:eastAsia="zh-CN"/>
        </w:rPr>
        <w:t>（2）对个人和家庭补助支出131.82万元。主要包括离休</w:t>
      </w:r>
      <w:r>
        <w:rPr>
          <w:rFonts w:hint="eastAsia" w:ascii="仿宋" w:hAnsi="仿宋" w:eastAsia="仿宋" w:cs="Times New Roman"/>
          <w:b w:val="0"/>
          <w:bCs w:val="0"/>
          <w:color w:val="auto"/>
          <w:spacing w:val="-2"/>
          <w:sz w:val="32"/>
          <w:szCs w:val="32"/>
          <w:lang w:val="en-US" w:eastAsia="zh-CN"/>
        </w:rPr>
        <w:t>费、退休费、抚恤金、生活补助、奖励金、其他对个人和家庭的补助。</w:t>
      </w:r>
    </w:p>
    <w:p w14:paraId="5EA4DDFE">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5" w:firstLineChars="200"/>
        <w:jc w:val="both"/>
        <w:textAlignment w:val="auto"/>
        <w:rPr>
          <w:rFonts w:hint="eastAsia" w:ascii="仿宋" w:hAnsi="仿宋" w:eastAsia="仿宋" w:cs="Times New Roman"/>
          <w:b w:val="0"/>
          <w:bCs w:val="0"/>
          <w:spacing w:val="-2"/>
          <w:sz w:val="32"/>
          <w:szCs w:val="32"/>
          <w:lang w:val="en-US" w:eastAsia="zh-CN"/>
        </w:rPr>
      </w:pPr>
      <w:r>
        <w:rPr>
          <w:rFonts w:hint="eastAsia" w:ascii="方正楷体_GB2312" w:hAnsi="方正楷体_GB2312" w:eastAsia="方正楷体_GB2312" w:cs="方正楷体_GB2312"/>
          <w:b/>
          <w:bCs/>
          <w:spacing w:val="-2"/>
          <w:sz w:val="32"/>
          <w:szCs w:val="32"/>
          <w:lang w:val="en-US" w:eastAsia="zh-CN"/>
        </w:rPr>
        <w:t>2.日常公用经费。</w:t>
      </w:r>
      <w:r>
        <w:rPr>
          <w:rFonts w:hint="eastAsia" w:ascii="仿宋" w:hAnsi="仿宋" w:eastAsia="仿宋" w:cs="Times New Roman"/>
          <w:b w:val="0"/>
          <w:bCs w:val="0"/>
          <w:spacing w:val="-2"/>
          <w:sz w:val="32"/>
          <w:szCs w:val="32"/>
          <w:lang w:val="en-US" w:eastAsia="zh-CN"/>
        </w:rPr>
        <w:t>日常公用经费68.02万元，较上年减少23.47万元，减幅25.65%，主要是厉行节约，严控经费支出。</w:t>
      </w:r>
    </w:p>
    <w:p w14:paraId="5A280EA6">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spacing w:val="-2"/>
          <w:sz w:val="32"/>
          <w:szCs w:val="32"/>
          <w:lang w:val="en-US" w:eastAsia="zh-CN"/>
        </w:rPr>
      </w:pPr>
      <w:r>
        <w:rPr>
          <w:rFonts w:hint="eastAsia" w:ascii="仿宋" w:hAnsi="仿宋" w:eastAsia="仿宋" w:cs="Times New Roman"/>
          <w:b w:val="0"/>
          <w:bCs w:val="0"/>
          <w:spacing w:val="-2"/>
          <w:sz w:val="32"/>
          <w:szCs w:val="32"/>
          <w:lang w:val="en-US" w:eastAsia="zh-CN"/>
        </w:rPr>
        <w:t>商品和服务支出68.02万元。包括日常运行正常的委托业务费、工会经费、福利费、其他交通费用、其他商品服务支出等。</w:t>
      </w:r>
    </w:p>
    <w:p w14:paraId="6763862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2B5C0A7E">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Times New Roman Regular" w:hAnsi="Times New Roman Regular" w:eastAsia="仿宋_GB2312" w:cs="Times New Roman Regular"/>
          <w:color w:val="FF0000"/>
          <w:sz w:val="32"/>
          <w:szCs w:val="32"/>
          <w:highlight w:val="none"/>
          <w:lang w:val="en-US" w:eastAsia="zh-CN"/>
        </w:rPr>
      </w:pPr>
      <w:r>
        <w:rPr>
          <w:rFonts w:hint="eastAsia" w:ascii="仿宋" w:hAnsi="仿宋" w:eastAsia="仿宋" w:cs="Times New Roman"/>
          <w:b w:val="0"/>
          <w:bCs w:val="0"/>
          <w:spacing w:val="-2"/>
          <w:sz w:val="32"/>
          <w:szCs w:val="32"/>
          <w:lang w:val="en-US" w:eastAsia="zh-CN"/>
        </w:rPr>
        <w:t>2025年一般公共预算项目资金指标下达5148.75万元。其中：根据怀财预〔2025〕4号文件，2025年度市财政年初预算安排本单位一般公共预算项目资金1422.5万元，实际下达823.46万元，到位率57.89%；年中追加一般公共预算项目资金4052.94万元，主要有文化和旅游专项资金、应急广播平台建设专项、怀化市两馆（图书馆、博物馆）装修展陈、2025年省级文旅专项资金、2025年中央文化人才专项经费、2025年“5+10”现代产业体系建设产业链专班工作经费、2024年下半年现代产业体系建设产业链专班工作经费、市文旅局宣传推介组经费第五届湖南旅游发展大会征集活动、AK替代专项；年中结转以前年度项目资金272.35万元，主要有怀化市文化旅游广电体育局中波台建设前期经费、2024年真抓实干奖励资金、市文旅局京昆古驿道（怀化段）自驾游文化旅游</w:t>
      </w:r>
      <w:r>
        <w:rPr>
          <w:rFonts w:hint="eastAsia" w:ascii="仿宋" w:hAnsi="仿宋" w:eastAsia="仿宋" w:cs="Times New Roman"/>
          <w:b w:val="0"/>
          <w:bCs w:val="0"/>
          <w:color w:val="auto"/>
          <w:spacing w:val="-2"/>
          <w:sz w:val="32"/>
          <w:szCs w:val="32"/>
          <w:lang w:val="en-US" w:eastAsia="zh-CN"/>
        </w:rPr>
        <w:t>项目资金。</w:t>
      </w:r>
    </w:p>
    <w:p w14:paraId="1F94C084">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2、项目资金（主要指财政资金）实际使用情况分析。</w:t>
      </w:r>
    </w:p>
    <w:p w14:paraId="169850C1">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Times New Roman Regular" w:hAnsi="Times New Roman Regular" w:eastAsia="仿宋_GB2312" w:cs="Times New Roman Regular"/>
          <w:color w:val="FF0000"/>
          <w:sz w:val="32"/>
          <w:szCs w:val="32"/>
          <w:highlight w:val="none"/>
          <w:lang w:val="en-US" w:eastAsia="zh-CN"/>
        </w:rPr>
      </w:pPr>
      <w:r>
        <w:rPr>
          <w:rFonts w:hint="eastAsia" w:ascii="仿宋" w:hAnsi="仿宋" w:eastAsia="仿宋" w:cs="Times New Roman"/>
          <w:b w:val="0"/>
          <w:bCs w:val="0"/>
          <w:color w:val="auto"/>
          <w:spacing w:val="-2"/>
          <w:sz w:val="32"/>
          <w:szCs w:val="32"/>
          <w:lang w:val="en-US" w:eastAsia="zh-CN"/>
        </w:rPr>
        <w:t>2025年度我局项目支出4601.35万元，主要用于一般公共服务支出（类）、文化旅游体育与传媒支出（类）、资源勘探工业信息等支出（类），其中：老艺人困难补助12.84万元；文化及旅游执法管理经费15.34万元；送戏下乡及京剧业务费10万元；拆迁补偿款及工作经费10.44万元；群众公共文化服务经费251.23万元；全域旅游示范区创建专项43.7万元；旅游宣传广告经费81.39万元；旅游营销联盟专项179.65万元；张吉怀旅游联盟会费50万元；市文物保护与修复经费25.2万元；怀化市第四次全国文物普查专项经费20.05万元；抽样统计调查经费19.61万元；广电及推进文化数字化战略专项经费9.44万元；组织市旅发大会专项经费21.33万元；结转2024年真抓实干奖励资金10.73万元；2024年“5+10”现代化产业体系建设产业链专班工作经费（第二批）4.99万元；怀化中波台迁建工作前期工作经费7万元；市文旅局京昆古驿道（怀化段）自驾游文化旅游59.45万元；省旅发大会执委办工作经费58.07万元；2025年省级文旅专项资金（“你学法我送票-跟着旅发大会游湖南”活动）50万元；2025年省级文旅专项资金（怀化非遗文创开发）20万元；2025年省级文旅专项资金（文化和旅游综合统计项目）8.14万元；怀化市两馆（图书馆、博物馆）装修展陈2916.39万元；应急广播平台建设专项经费64.44万元；文化和旅游专项资金（第五届湖南旅游发展大会）615.07万元；市级配套第五届湖南旅游发展大会专项（宣传推介组经费)35万元；AK替代专项0.88万元；2025年中央文化人才专项经费0.97万元。</w:t>
      </w:r>
    </w:p>
    <w:p w14:paraId="1D04E3C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3、项目资金管理情况分析，主要包括管理制度、办法的</w:t>
      </w:r>
      <w:r>
        <w:rPr>
          <w:rFonts w:hint="eastAsia" w:ascii="Times New Roman Regular" w:hAnsi="Times New Roman Regular" w:eastAsia="仿宋_GB2312" w:cs="Times New Roman Regular"/>
          <w:color w:val="auto"/>
          <w:sz w:val="32"/>
          <w:szCs w:val="32"/>
          <w:highlight w:val="none"/>
          <w:lang w:val="en-US" w:eastAsia="zh-CN"/>
        </w:rPr>
        <w:t>制定</w:t>
      </w:r>
      <w:r>
        <w:rPr>
          <w:rFonts w:hint="default" w:ascii="Times New Roman Regular" w:hAnsi="Times New Roman Regular" w:eastAsia="仿宋_GB2312" w:cs="Times New Roman Regular"/>
          <w:color w:val="auto"/>
          <w:sz w:val="32"/>
          <w:szCs w:val="32"/>
          <w:highlight w:val="none"/>
          <w:lang w:val="en-US" w:eastAsia="zh-CN"/>
        </w:rPr>
        <w:t>及执行情况。</w:t>
      </w:r>
    </w:p>
    <w:p w14:paraId="680C4527">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default" w:ascii="仿宋" w:hAnsi="仿宋" w:eastAsia="仿宋" w:cs="Times New Roman"/>
          <w:b w:val="0"/>
          <w:bCs w:val="0"/>
          <w:color w:val="auto"/>
          <w:spacing w:val="-2"/>
          <w:sz w:val="32"/>
          <w:szCs w:val="32"/>
          <w:lang w:val="en-US" w:eastAsia="zh-CN"/>
        </w:rPr>
      </w:pPr>
      <w:r>
        <w:rPr>
          <w:rFonts w:hint="eastAsia" w:ascii="仿宋" w:hAnsi="仿宋" w:eastAsia="仿宋" w:cs="Times New Roman"/>
          <w:b w:val="0"/>
          <w:bCs w:val="0"/>
          <w:color w:val="auto"/>
          <w:spacing w:val="-2"/>
          <w:sz w:val="32"/>
          <w:szCs w:val="32"/>
          <w:lang w:val="en-US" w:eastAsia="zh-CN"/>
        </w:rPr>
        <w:t>本单位所有专项项目均按照法律法规、省市财政部门、上级文化和旅游部门、上级体育部门制定的专项资金管理办法规定的程序进行管理和实施。大额资金支出实行“三重一大”集体决策机制，达到需要政府采购限额的，全部执行了政府采购程序；需要进行财政评审的，都按要求进行了评审，确保资金使用公开、公正、科学、高效，做到专款专用。</w:t>
      </w:r>
    </w:p>
    <w:p w14:paraId="47AF94BA">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573D16EF">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你学法我送票·跟着旅发大会游湖南活动由湖南纵烨工程管理有限责任公司代理，采购方式为竞争性磋商，计划编号为怀财采计202530077，中标单位为湖南一二三零一文化旅游服务有限公司，中标金额74.4万元，成交公告日期为2025年4月29日，于2025年5月16日签订合同</w:t>
      </w:r>
      <w:r>
        <w:rPr>
          <w:rFonts w:hint="eastAsia" w:ascii="仿宋" w:hAnsi="仿宋" w:eastAsia="仿宋" w:cs="Times New Roman"/>
          <w:b w:val="0"/>
          <w:bCs w:val="0"/>
          <w:color w:val="auto"/>
          <w:spacing w:val="-2"/>
          <w:sz w:val="32"/>
          <w:szCs w:val="32"/>
          <w:highlight w:val="none"/>
          <w:lang w:val="en-US" w:eastAsia="zh-CN"/>
        </w:rPr>
        <w:t>。2025 年“你学法我送票·跟着旅发大会游湖南”创新公益普法活动于 5 月 17 日正式启动,11 月 7 日完成所有十二轮抽奖环节,全程历时 174 天,活动累计参与人数为 879,926 人,总参与人次2,119,564 次,人均参与约 2.4 次。</w:t>
      </w:r>
    </w:p>
    <w:p w14:paraId="47F09295">
      <w:pPr>
        <w:keepNext w:val="0"/>
        <w:keepLines w:val="0"/>
        <w:pageBreakBefore w:val="0"/>
        <w:widowControl/>
        <w:shd w:val="clear" w:color="auto" w:fill="FFFFFF"/>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highlight w:val="yellow"/>
          <w:lang w:val="en-US" w:eastAsia="zh-CN"/>
        </w:rPr>
      </w:pPr>
      <w:r>
        <w:rPr>
          <w:rFonts w:hint="eastAsia" w:ascii="仿宋" w:hAnsi="仿宋" w:eastAsia="仿宋" w:cs="Times New Roman"/>
          <w:b w:val="0"/>
          <w:bCs w:val="0"/>
          <w:spacing w:val="-2"/>
          <w:sz w:val="32"/>
          <w:szCs w:val="32"/>
          <w:highlight w:val="none"/>
          <w:lang w:val="en-US" w:eastAsia="zh-CN"/>
        </w:rPr>
        <w:t>张吉怀旅游全国旅行商采购大会项目由湖南纵烨工程管理有限责任公司代理，采购方式为竞争性磋商，计划编号为怀财采计202530080，中标单位为湖南华天国际旅行社有限责任公司，中标金额48.14万元，成交公告日期为2025年5月6日，于2025年5月18日签订合同</w:t>
      </w:r>
      <w:r>
        <w:rPr>
          <w:rFonts w:hint="eastAsia" w:ascii="仿宋" w:hAnsi="仿宋" w:eastAsia="仿宋" w:cs="Times New Roman"/>
          <w:b w:val="0"/>
          <w:bCs w:val="0"/>
          <w:color w:val="auto"/>
          <w:spacing w:val="-2"/>
          <w:sz w:val="32"/>
          <w:szCs w:val="32"/>
          <w:highlight w:val="none"/>
          <w:lang w:val="en-US" w:eastAsia="zh-CN"/>
        </w:rPr>
        <w:t>。2025年5月19日，怀化市作为张吉怀旅游共同体轮值主席单位，牵头举办张吉怀旅游共同体张吉怀旅游全国旅行商采购大会。会上，张家界、湘西州、怀化文旅推介官们作精彩推介，通过视频、文字、民族歌舞等方式，向大家展示了张吉怀的人文、历史、地理之美。中青旅联盟旅行商与张吉怀旅游景区签署战略合作协议，涵盖客源输送、产品推广等领域；市委常委、宣传部部长胡臣为“寻美张吉怀 邀约全世界”中青旅联盟同业考察团授旗，会后考察团赴三市州重点景区进行为期3天的考察活动。</w:t>
      </w:r>
    </w:p>
    <w:p w14:paraId="4A39C94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32" w:firstLineChars="200"/>
        <w:jc w:val="both"/>
        <w:textAlignment w:val="auto"/>
        <w:rPr>
          <w:rFonts w:hint="eastAsia" w:ascii="仿宋" w:hAnsi="仿宋" w:eastAsia="仿宋" w:cs="Times New Roman"/>
          <w:b w:val="0"/>
          <w:bCs w:val="0"/>
          <w:color w:val="auto"/>
          <w:spacing w:val="-2"/>
          <w:sz w:val="32"/>
          <w:szCs w:val="32"/>
          <w:highlight w:val="yellow"/>
          <w:lang w:val="en-US" w:eastAsia="zh-CN"/>
        </w:rPr>
      </w:pPr>
      <w:r>
        <w:rPr>
          <w:rFonts w:hint="eastAsia" w:ascii="仿宋" w:hAnsi="仿宋" w:eastAsia="仿宋" w:cs="Times New Roman"/>
          <w:b w:val="0"/>
          <w:bCs w:val="0"/>
          <w:spacing w:val="-2"/>
          <w:sz w:val="32"/>
          <w:szCs w:val="32"/>
          <w:highlight w:val="none"/>
          <w:lang w:val="en-US" w:eastAsia="zh-CN"/>
        </w:rPr>
        <w:t>怀化市博物馆新馆展陈项目由怀化顺展项目管理有限公司代理，采购方式为公开招标，计划编号为怀财采计202530107，中标单位分别为京东方艺云科技有限公司、湖南景成创意展览有限公司、湖南集智创意展览服务有限公司、中泓顺源建设科技集团有限公司，中标金额6124.51万元，成交公告日期为2025年6月10日，于2025年7月15日签订合同并开始施工建</w:t>
      </w:r>
      <w:r>
        <w:rPr>
          <w:rFonts w:hint="eastAsia" w:ascii="仿宋" w:hAnsi="仿宋" w:eastAsia="仿宋" w:cs="Times New Roman"/>
          <w:b w:val="0"/>
          <w:bCs w:val="0"/>
          <w:color w:val="auto"/>
          <w:spacing w:val="-2"/>
          <w:sz w:val="32"/>
          <w:szCs w:val="32"/>
          <w:highlight w:val="none"/>
          <w:lang w:val="en-US" w:eastAsia="zh-CN"/>
        </w:rPr>
        <w:t>设。</w:t>
      </w:r>
      <w:r>
        <w:rPr>
          <w:rFonts w:hint="eastAsia" w:ascii="仿宋" w:hAnsi="仿宋" w:eastAsia="仿宋" w:cs="Times New Roman"/>
          <w:b w:val="0"/>
          <w:bCs w:val="0"/>
          <w:spacing w:val="-2"/>
          <w:sz w:val="32"/>
          <w:szCs w:val="32"/>
          <w:highlight w:val="none"/>
          <w:lang w:val="en-US" w:eastAsia="zh-CN"/>
        </w:rPr>
        <w:t>项目</w:t>
      </w:r>
      <w:r>
        <w:rPr>
          <w:rFonts w:hint="default" w:ascii="仿宋" w:hAnsi="仿宋" w:eastAsia="仿宋" w:cs="Times New Roman"/>
          <w:b w:val="0"/>
          <w:bCs w:val="0"/>
          <w:spacing w:val="-2"/>
          <w:sz w:val="32"/>
          <w:szCs w:val="32"/>
          <w:highlight w:val="none"/>
          <w:lang w:val="en-US" w:eastAsia="zh-CN"/>
        </w:rPr>
        <w:t>主要建设内容包括怀化市博物馆新馆一层、二层、五层的历史文化通史展、木雕展、数字展、临展和馆外怀化市老火车站仓库遗址主题展的陈列布展，以及多媒体工程、专业灯光工程、数字信息化系统、导航标识、文物修复及文物库房等设备设施等</w:t>
      </w:r>
      <w:r>
        <w:rPr>
          <w:rFonts w:hint="eastAsia" w:ascii="仿宋" w:hAnsi="仿宋" w:eastAsia="仿宋" w:cs="Times New Roman"/>
          <w:b w:val="0"/>
          <w:bCs w:val="0"/>
          <w:spacing w:val="-2"/>
          <w:sz w:val="32"/>
          <w:szCs w:val="32"/>
          <w:highlight w:val="none"/>
          <w:lang w:val="en-US" w:eastAsia="zh-CN"/>
        </w:rPr>
        <w:t>，2025年9月15日，项目竣工毕并投入使用，2025年10月10日，完成项目验收，截至2026年6月29日，怀化市博物馆新馆入馆参观人数已达52.7697万人次。</w:t>
      </w:r>
      <w:r>
        <w:rPr>
          <w:rFonts w:hint="default" w:ascii="仿宋" w:hAnsi="仿宋" w:eastAsia="仿宋" w:cs="Times New Roman"/>
          <w:b w:val="0"/>
          <w:bCs w:val="0"/>
          <w:spacing w:val="-2"/>
          <w:sz w:val="32"/>
          <w:szCs w:val="32"/>
          <w:highlight w:val="none"/>
          <w:lang w:val="en-US" w:eastAsia="zh-CN"/>
        </w:rPr>
        <w:t>目前</w:t>
      </w:r>
      <w:r>
        <w:rPr>
          <w:rFonts w:hint="eastAsia" w:ascii="仿宋" w:hAnsi="仿宋" w:eastAsia="仿宋" w:cs="Times New Roman"/>
          <w:b w:val="0"/>
          <w:bCs w:val="0"/>
          <w:spacing w:val="-2"/>
          <w:sz w:val="32"/>
          <w:szCs w:val="32"/>
          <w:highlight w:val="none"/>
          <w:lang w:val="en-US" w:eastAsia="zh-CN"/>
        </w:rPr>
        <w:t>该项目已进入结算审计阶段，</w:t>
      </w:r>
      <w:r>
        <w:rPr>
          <w:rFonts w:hint="default" w:ascii="仿宋" w:hAnsi="仿宋" w:eastAsia="仿宋" w:cs="Times New Roman"/>
          <w:b w:val="0"/>
          <w:bCs w:val="0"/>
          <w:spacing w:val="-2"/>
          <w:sz w:val="32"/>
          <w:szCs w:val="32"/>
          <w:highlight w:val="none"/>
          <w:lang w:val="en-US" w:eastAsia="zh-CN"/>
        </w:rPr>
        <w:t>正在</w:t>
      </w:r>
      <w:r>
        <w:rPr>
          <w:rFonts w:hint="eastAsia" w:ascii="仿宋" w:hAnsi="仿宋" w:eastAsia="仿宋" w:cs="Times New Roman"/>
          <w:b w:val="0"/>
          <w:bCs w:val="0"/>
          <w:spacing w:val="-2"/>
          <w:sz w:val="32"/>
          <w:szCs w:val="32"/>
          <w:highlight w:val="none"/>
          <w:lang w:val="en-US" w:eastAsia="zh-CN"/>
        </w:rPr>
        <w:t>推进相关</w:t>
      </w:r>
      <w:r>
        <w:rPr>
          <w:rFonts w:hint="default" w:ascii="仿宋" w:hAnsi="仿宋" w:eastAsia="仿宋" w:cs="Times New Roman"/>
          <w:b w:val="0"/>
          <w:bCs w:val="0"/>
          <w:spacing w:val="-2"/>
          <w:sz w:val="32"/>
          <w:szCs w:val="32"/>
          <w:highlight w:val="none"/>
          <w:lang w:val="en-US" w:eastAsia="zh-CN"/>
        </w:rPr>
        <w:t>工作。</w:t>
      </w:r>
    </w:p>
    <w:p w14:paraId="2CD7D7B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年全民健身日活动全国主会场活动由湖南纵烨工程管理有限责任公司代理，采购方式为竞争性磋商，计划编号为怀财采计202530126，中标单位为怀化学院，中标金额49.48万元，成交公告日期为2025年7月18日，于2025年8月7日签订合同。2025年8月上旬已完成全民健身日活动全国主会场活动。</w:t>
      </w:r>
    </w:p>
    <w:p w14:paraId="2D7BA3A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京昆古驿道怀化段旅游交通标识标牌设计与施工项目由湖南纵烨工程管理有限责任公司代理，采购方式为竞争性磋商，计划编号为怀财采计202530133，中标单位为湖南伟达文化传播有限公司，中标金额148.62万元，成交公告日期为2025年7月23日，于2025年8月13日签订合同。依托京昆古驿道厚重历史文脉，紧扣第五届湖南省旅游发展大会举办契机，深度融合五溪文化、本土民俗、非遗特色三大核心资源，系统性推进京昆古驿道怀化段文化活化利用与提质改造工作，开展京昆古驿道怀化段标识标牌设计与施工项目。项目辐射沅陵、新晃、辰溪、芷江、鹤城、中方六大区县，高标准完善古驿道配套文旅基础设施，累计完成落地式标识标牌4套、立地式形象标识8个、道路指引标识22个、驿路专属标识9个，完成路面文化喷涂528平方米，打造主题网红打卡装置4套，全面优化古道游览动线与文旅视觉形象。</w:t>
      </w:r>
    </w:p>
    <w:p w14:paraId="6DA7441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"歌行千年 乐动五溪”村歌联唱由湖南纵烨工程管理有限责任公司代理，采购方式为公开招标，计划编号为怀财采计202530134，中标单位为湖南经视传媒有限公司，中标金额297.15万元，成交公告日期为2025年7月24日，于2025年8月28日签订合同。该项目为第五届湖南旅游发展大会核心配套文旅演艺活动，怀化市标志性村歌文化盛典，由湖南省文旅厅、怀化市人民政府主办，市文旅广体局牵头承办，于2025 年 9 月 17 日 19:30在怀化鹤城区鹤鸣洲水上实景舞台，整场演出约 90 分钟，400 余名演职人员参演。前期配套 “怀化有戏・村歌会” 赛事，全年开展 56 场县域选拔赛，覆盖怀化 13 个县市区，线上全网曝光超 2000 万人次，线下群众参与超 10 万，为晚会储备原创村歌作品。</w:t>
      </w:r>
    </w:p>
    <w:p w14:paraId="29933F8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怀化市博物馆新馆“省市联动”体系建设宣传推广项目由怀化顺展项目管理有限公司代理，采购方式为公开招标，计划编号为怀财采计202530143，中标单位为湖南红网文化传播有限公司 ，中标金额199.92万元，成交公告日期为2025年8月4日，于2025年9月11日签订合同。2025年9月12日，怀化市博物馆新馆（后简称“怀博”）正式开馆 ，作为全省博物馆“省市联动”体系建设暨“湘见万年”文博特展矩阵项目的重要组成部分，红网对怀化市博物馆新馆有步骤、有亮点、有创新地展开了集中宣传推广工作，通过系列原创报道、观潮的螃蟹、创意视频、AI海报、长图、时刻直播、千屏联播、时刻开机页等多种形式，并充分综合运用红网新媒体传播矩阵、“湘见万年”新媒体传播矩阵进行宣传推广，推广和运营期间，线上、线下、室内、室外流量互动传播，累计持续影响超5000万人次，助力怀博火爆出圈。自2025年9月12日至12月12日，红网全网发布怀化市博物馆新馆宣传稿件403篇（单篇阅读量20W+，持续增长），推出红网时刻新闻专题《湘见万年·怀化》1个，开展时刻新闻直播1场；《戏精文物“开麦啦”》《0745文物邀请函》《文物出差了》《湘见万年解密局》《60秒说怀博》等系列报道共31篇稿件均被学习强国推荐；“湘见万年”微博、微信公众号发布原创稿件37篇。</w:t>
      </w:r>
    </w:p>
    <w:p w14:paraId="5D802A28">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湖南文旅产业投融资大会由湖南纵烨工程管理有限责任公司代理，采购方式为竞争性磋商，计划编号为怀财采计202530148，中标单位为湖南日报社，中标金额128.5万元，成交公告日期为2025年8月4日，于2025年9月1日签订合同。该项目为第五届湖南旅游发展大会开幕式暨湖南文旅产业投融资大会活动，于2025年9月17日在怀化市成功举办，参会人数600余人。本次大会坚持双轮驱动，政府主导与市场运作相结合，建立了高效协同的工作机制。大会办会模式突破创新，首次采用"开幕式+投融资大会"双会合一的形式，推动办会模式向市场化转型。</w:t>
      </w:r>
    </w:p>
    <w:p w14:paraId="7BD2C338">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第四届湖南非遗博览会会展服务项目由湖南纵烨工程管理有限责任公司代理，采购方式为公开招标，计划编号为怀财采计202530151，中标单位为华声在线股份有限公司，中标金额258.8万元，成交公告日期为2025年8月5日，于2025年9月10日签订合同。该活动于9月16日—18日在怀化五溪非遗园及市区相关点位举办，顺利开展启动仪式、非遗出海商品交易会、五省边区城市号、非遗生活荟、健康之夜、流动舞台车巡游展演、非遗跳蚤集市、高铁站快闪秀、多场景达人直播及媒体全程宣传等全部主体与配套活动。活动成功邀约五省边区文旅部门领导、省内各市县非遗工作负责人、非遗传承人、非遗企业、30家专业采购商及电商跨境平台参会参展；现场完成布展搭建、舞台设备调试、展演节目编排彩排、志愿服务、后勤接待、安全保障及氛围营造等工作；精准开展非遗产销“相亲会”、主旨分享、项目签约，多场次流动展演、义诊体验、市集展销全面落地；抖音达人采风、多场景直播带货、媒体矩阵预热及现场报道有序开展，线上话题热度持续攀升，线下观展、参与体验群众人数达标。</w:t>
      </w:r>
    </w:p>
    <w:p w14:paraId="65E024F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怀化市绿色公共服务设施建设工程室内装饰装修工程监理项目由湖南凯顺项目管理有限公司代理，采购方式为竞争性磋商，计划编号为怀财采计202530161，中标单位为湖南省益佳建设监理有限公司，中标金额51.9万元，成交公告日期为2025年8月25日，于2025年9月5日签订合同。监理项目内容为图书馆装修建筑面积12682.90平方米，博物馆装修建筑面积11897.40平方米。工程共分为5个分项：装饰工程、电气工程、通风与空调、给排水工程、建筑智能化工程，所有分项工程质量验收合格。有关安全和使用功能的检测（如接地电阻测试、照明照度测试、室内环境检测等）结果符合要求。本工程施工质量符合设计及规范要求，质量等级评定为合格。</w:t>
      </w:r>
    </w:p>
    <w:p w14:paraId="3582ED5C">
      <w:pPr>
        <w:keepNext w:val="0"/>
        <w:keepLines w:val="0"/>
        <w:pageBreakBefore w:val="0"/>
        <w:kinsoku/>
        <w:wordWrap/>
        <w:overflowPunct/>
        <w:topLinePunct w:val="0"/>
        <w:autoSpaceDE/>
        <w:autoSpaceDN/>
        <w:bidi w:val="0"/>
        <w:adjustRightInd/>
        <w:spacing w:line="580" w:lineRule="exact"/>
        <w:ind w:firstLine="632" w:firstLineChars="200"/>
        <w:jc w:val="both"/>
        <w:textAlignment w:val="auto"/>
        <w:rPr>
          <w:rFonts w:hint="eastAsia" w:ascii="仿宋" w:hAnsi="仿宋" w:eastAsia="仿宋"/>
          <w:color w:val="FF0000"/>
          <w:sz w:val="32"/>
          <w:szCs w:val="32"/>
          <w:highlight w:val="yellow"/>
          <w:lang w:val="en-US" w:eastAsia="zh-CN"/>
        </w:rPr>
      </w:pPr>
      <w:r>
        <w:rPr>
          <w:rFonts w:hint="eastAsia" w:ascii="仿宋" w:hAnsi="仿宋" w:eastAsia="仿宋" w:cs="Times New Roman"/>
          <w:b w:val="0"/>
          <w:bCs w:val="0"/>
          <w:spacing w:val="-2"/>
          <w:sz w:val="32"/>
          <w:szCs w:val="32"/>
          <w:highlight w:val="none"/>
          <w:lang w:val="en-US" w:eastAsia="zh-CN"/>
        </w:rPr>
        <w:t>2025年小型体育公园项目由湖南纵烨工程管理有限责任公司代理，采购方式为公开招标，计划编号为怀财采计202510257，中标单位为湖南舒力健身产业有限公司，中标金额196.7963万元，成交公告日期为2025年11月10日，于2025年12月18日签订合同。该项目于2026年1月开始进行前期地面整理工作，3月份开始安装相关全民健身器材，6月底已完工。</w:t>
      </w:r>
    </w:p>
    <w:p w14:paraId="480787CA">
      <w:pPr>
        <w:keepNext w:val="0"/>
        <w:keepLines w:val="0"/>
        <w:pageBreakBefore w:val="0"/>
        <w:kinsoku/>
        <w:wordWrap/>
        <w:overflowPunct/>
        <w:topLinePunct w:val="0"/>
        <w:autoSpaceDE/>
        <w:autoSpaceDN/>
        <w:bidi w:val="0"/>
        <w:adjustRightInd/>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全民健身设施器材购置由湖南纵烨工程管理有限责任公司代理，采购方式为竞争性谈判，计划编号为怀财采计202510268，中标单位为河北威尔特体育用品有限公司，中标金额138.58万元，成交公告日期为2025年12月25日，于2026年1月16日签订合同。于2026年2月确定标识牌及告示牌样式，3月收集完全市具体安装地点后正式开始安装，预计7月中旬完成安装。</w:t>
      </w:r>
    </w:p>
    <w:p w14:paraId="31CE370D">
      <w:pPr>
        <w:keepNext w:val="0"/>
        <w:keepLines w:val="0"/>
        <w:pageBreakBefore w:val="0"/>
        <w:kinsoku/>
        <w:wordWrap/>
        <w:overflowPunct/>
        <w:topLinePunct w:val="0"/>
        <w:autoSpaceDE/>
        <w:autoSpaceDN/>
        <w:bidi w:val="0"/>
        <w:adjustRightInd/>
        <w:spacing w:line="580" w:lineRule="exact"/>
        <w:ind w:firstLine="632" w:firstLineChars="200"/>
        <w:jc w:val="both"/>
        <w:textAlignment w:val="auto"/>
        <w:rPr>
          <w:rFonts w:ascii="仿宋" w:hAnsi="仿宋" w:eastAsia="仿宋" w:cs="仿宋"/>
          <w:sz w:val="30"/>
          <w:szCs w:val="30"/>
        </w:rPr>
      </w:pPr>
      <w:r>
        <w:rPr>
          <w:rFonts w:hint="eastAsia" w:ascii="仿宋" w:hAnsi="仿宋" w:eastAsia="仿宋" w:cs="Times New Roman"/>
          <w:b w:val="0"/>
          <w:bCs w:val="0"/>
          <w:spacing w:val="-2"/>
          <w:kern w:val="2"/>
          <w:sz w:val="32"/>
          <w:szCs w:val="32"/>
          <w:highlight w:val="none"/>
          <w:lang w:val="en-US" w:eastAsia="zh-CN" w:bidi="ar-SA"/>
        </w:rPr>
        <w:t>怀化市绿色公共服务设施建设工程室内装饰装修工程项目由湖南湉丰咨询管理有限公司代理，招标方式为公开招标，可行性研究报告批复为怀发改社会{2025}7号，计划招标公告日期为2025年5月9日，中标单位为湖南省第三工程有限公司，中标金额5311.72万元，中标日期为2025年8月22日，于2025年 8月23日签订合同。该项目图书馆装修建筑面积12682.90平方米，博物馆装修建筑面积11897.40平方米。图书馆装修范围为地上一层至五层室内部分，主要包括室内装饰装修工程、水电安装工程、弱电工程、二次消防工程、防排烟工程、通风空调工程、建筑智能化等工程；博物馆装修范围为地上一层至五层室内部分，主要包括室内建筑装修工程、安装工程、通风与空调工程、文物库房门、文物储柜、建筑智能化系统等。目前联合验收已办理完成，现正在办理竣工验收备案、变更审查和结算审查。</w:t>
      </w:r>
    </w:p>
    <w:p w14:paraId="4E7AEDC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431C1A8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为确保专项有效实施，提高专项资金的使用效率，根据省市级财政部门、上级文化和旅游部门的专项项目和资金管理办法，我局制定了《专项资金使用管理制度》，在项目资金下达我单位后，合理编制项目预算并按照程序报批，加强项目实施前、实施中、实施后的监督管理，提高项目资金使用效益。</w:t>
      </w:r>
    </w:p>
    <w:p w14:paraId="6681E124">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7BBE34D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为加强资产管理，提高使用效益，保护公有财产安全，促进管理工作和业务活动的开展，我局完善了资产管理制度，明确专人负责资产管理，根据《怀化市市级行政事业单位通用设备和办公家具配置限额标准》进行资产配置，按计划购置办公用品。固定资产购置、报废、调拨处置时严格按照资产管理要求，由财务和办公室共同组织，并按规定程序核准</w:t>
      </w:r>
      <w:r>
        <w:rPr>
          <w:rFonts w:hint="default" w:ascii="仿宋" w:hAnsi="仿宋" w:eastAsia="仿宋" w:cs="Times New Roman"/>
          <w:b w:val="0"/>
          <w:bCs w:val="0"/>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2025年末资产总额10245.61万元，负债总额2077.99万元，净资产8167.62万元。</w:t>
      </w:r>
      <w:r>
        <w:rPr>
          <w:rFonts w:hint="eastAsia" w:ascii="仿宋" w:hAnsi="仿宋" w:eastAsia="仿宋" w:cs="Times New Roman"/>
          <w:b w:val="0"/>
          <w:bCs w:val="0"/>
          <w:color w:val="auto"/>
          <w:spacing w:val="-2"/>
          <w:sz w:val="32"/>
          <w:szCs w:val="32"/>
          <w:highlight w:val="none"/>
          <w:lang w:val="en-US" w:eastAsia="zh-CN"/>
        </w:rPr>
        <w:t>与上年相比，资产增加3549.44万元，</w:t>
      </w:r>
      <w:r>
        <w:rPr>
          <w:rFonts w:hint="eastAsia" w:ascii="仿宋" w:hAnsi="仿宋" w:eastAsia="仿宋" w:cs="Times New Roman"/>
          <w:b w:val="0"/>
          <w:bCs w:val="0"/>
          <w:spacing w:val="-2"/>
          <w:sz w:val="32"/>
          <w:szCs w:val="32"/>
          <w:highlight w:val="none"/>
          <w:lang w:val="en-US" w:eastAsia="zh-CN"/>
        </w:rPr>
        <w:t>负债增加1025.67万元，净资产增加2523.77万元。2025年新增固定资产17.07万元，主要为本年度购置应急广播场地改造配套设施、第五届省旅发大会执委会专班打印机等办公设备；2025年处置固定资产137.85万元，其中：划拨图书设备等固定资产至</w:t>
      </w:r>
      <w:r>
        <w:rPr>
          <w:rFonts w:hint="eastAsia" w:ascii="仿宋" w:hAnsi="仿宋" w:eastAsia="仿宋" w:cs="Times New Roman"/>
          <w:b w:val="0"/>
          <w:bCs w:val="0"/>
          <w:color w:val="auto"/>
          <w:spacing w:val="-2"/>
          <w:sz w:val="32"/>
          <w:szCs w:val="32"/>
          <w:highlight w:val="none"/>
          <w:lang w:val="en-US" w:eastAsia="zh-CN"/>
        </w:rPr>
        <w:t>怀化市非物质文化遗产保护中心（博物馆）</w:t>
      </w:r>
      <w:r>
        <w:rPr>
          <w:rFonts w:hint="eastAsia" w:ascii="仿宋" w:hAnsi="仿宋" w:eastAsia="仿宋" w:cs="Times New Roman"/>
          <w:b w:val="0"/>
          <w:bCs w:val="0"/>
          <w:spacing w:val="-2"/>
          <w:sz w:val="32"/>
          <w:szCs w:val="32"/>
          <w:highlight w:val="none"/>
          <w:lang w:val="en-US" w:eastAsia="zh-CN"/>
        </w:rPr>
        <w:t>137.68万元，处置普惠打印机0.17万元。</w:t>
      </w:r>
    </w:p>
    <w:p w14:paraId="7C2AACF1">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635DE816">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年我局政府性基金预算指标1150.73万元（含年初预算124.1万元），实际支出715.33万元，均为项目支出，其中：中央集中彩票公益金支持地方体育事业专项资金110.86万元；2025市县分成体彩公益金（第一批）154.1万元；2025年第二批市县分成体彩公益金200万元；2025年省级体彩公益金31.24万元（含太极拳一级社会体育指导员培训5万元、青少年体育竞赛举重20万元、青少年体育竞赛街舞6.24万元）；2025年彩票市场调控资金44.74万元；2025年中央旅游发展基金项目资金（旅游宣传推广及促消费活动）84万元；结转2024年度旅游发展基金补助地方项目资金65.33万元；结转怀化市文化旅游广电体育局规划编制及相关经费1.78万元；结转体育设施国土空间规划13.82万元；结转怀化市文化旅游广电体育局群众体育9.46万元。政府性基金预算执行率62.16%。</w:t>
      </w:r>
    </w:p>
    <w:p w14:paraId="3488626E">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6DACF02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2025年本单位无国有资本经营预算支出。</w:t>
      </w:r>
    </w:p>
    <w:p w14:paraId="3844A895">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791077B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2025年本单位无社会保险基金预算支出。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75FD4F8D">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highlight w:val="none"/>
          <w:lang w:val="en-US" w:eastAsia="zh-CN"/>
        </w:rPr>
      </w:pPr>
      <w:r>
        <w:rPr>
          <w:rFonts w:hint="default" w:ascii="方正楷体_GB2312" w:hAnsi="方正楷体_GB2312" w:eastAsia="方正楷体_GB2312" w:cs="方正楷体_GB2312"/>
          <w:b/>
          <w:bCs/>
          <w:spacing w:val="-2"/>
          <w:sz w:val="32"/>
          <w:szCs w:val="32"/>
          <w:highlight w:val="none"/>
          <w:lang w:val="en-US" w:eastAsia="zh-CN"/>
        </w:rPr>
        <w:t>（一）综合评价结论。反映自评得分及评价等级。</w:t>
      </w:r>
    </w:p>
    <w:p w14:paraId="4016D73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按照</w:t>
      </w:r>
      <w:r>
        <w:rPr>
          <w:rFonts w:hint="default" w:ascii="仿宋" w:hAnsi="仿宋" w:eastAsia="仿宋" w:cs="Times New Roman"/>
          <w:b w:val="0"/>
          <w:bCs w:val="0"/>
          <w:spacing w:val="-2"/>
          <w:sz w:val="32"/>
          <w:szCs w:val="32"/>
          <w:highlight w:val="none"/>
          <w:lang w:val="en-US" w:eastAsia="zh-CN"/>
        </w:rPr>
        <w:t>《怀化市财政局关于开展202</w:t>
      </w:r>
      <w:r>
        <w:rPr>
          <w:rFonts w:hint="eastAsia" w:ascii="仿宋" w:hAnsi="仿宋" w:eastAsia="仿宋" w:cs="Times New Roman"/>
          <w:b w:val="0"/>
          <w:bCs w:val="0"/>
          <w:spacing w:val="-2"/>
          <w:sz w:val="32"/>
          <w:szCs w:val="32"/>
          <w:highlight w:val="none"/>
          <w:lang w:val="en-US" w:eastAsia="zh-CN"/>
        </w:rPr>
        <w:t>5</w:t>
      </w:r>
      <w:r>
        <w:rPr>
          <w:rFonts w:hint="default" w:ascii="仿宋" w:hAnsi="仿宋" w:eastAsia="仿宋" w:cs="Times New Roman"/>
          <w:b w:val="0"/>
          <w:bCs w:val="0"/>
          <w:spacing w:val="-2"/>
          <w:sz w:val="32"/>
          <w:szCs w:val="32"/>
          <w:highlight w:val="none"/>
          <w:lang w:val="en-US" w:eastAsia="zh-CN"/>
        </w:rPr>
        <w:t>年度</w:t>
      </w:r>
      <w:r>
        <w:rPr>
          <w:rFonts w:hint="eastAsia" w:ascii="仿宋" w:hAnsi="仿宋" w:eastAsia="仿宋" w:cs="Times New Roman"/>
          <w:b w:val="0"/>
          <w:bCs w:val="0"/>
          <w:spacing w:val="-2"/>
          <w:sz w:val="32"/>
          <w:szCs w:val="32"/>
          <w:highlight w:val="none"/>
          <w:lang w:val="en-US" w:eastAsia="zh-CN"/>
        </w:rPr>
        <w:t>市级预算部门绩效自评和部门评价的通知</w:t>
      </w:r>
      <w:r>
        <w:rPr>
          <w:rFonts w:hint="default" w:ascii="仿宋" w:hAnsi="仿宋" w:eastAsia="仿宋" w:cs="Times New Roman"/>
          <w:b w:val="0"/>
          <w:bCs w:val="0"/>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要求，比对年初设定的年度总体目标、绩效</w:t>
      </w:r>
      <w:r>
        <w:rPr>
          <w:rFonts w:hint="default" w:ascii="仿宋" w:hAnsi="仿宋" w:eastAsia="仿宋" w:cs="Times New Roman"/>
          <w:b w:val="0"/>
          <w:bCs w:val="0"/>
          <w:spacing w:val="-2"/>
          <w:sz w:val="32"/>
          <w:szCs w:val="32"/>
          <w:highlight w:val="none"/>
          <w:lang w:val="en-US" w:eastAsia="zh-CN"/>
        </w:rPr>
        <w:t>考核指标</w:t>
      </w:r>
      <w:r>
        <w:rPr>
          <w:rFonts w:hint="eastAsia" w:ascii="仿宋" w:hAnsi="仿宋" w:eastAsia="仿宋" w:cs="Times New Roman"/>
          <w:b w:val="0"/>
          <w:bCs w:val="0"/>
          <w:spacing w:val="-2"/>
          <w:sz w:val="32"/>
          <w:szCs w:val="32"/>
          <w:highlight w:val="none"/>
          <w:lang w:val="en-US" w:eastAsia="zh-CN"/>
        </w:rPr>
        <w:t>、年初预算，从产出指标、效益指标和满意度指标进行自评</w:t>
      </w:r>
      <w:r>
        <w:rPr>
          <w:rFonts w:hint="default" w:ascii="仿宋" w:hAnsi="仿宋" w:eastAsia="仿宋" w:cs="Times New Roman"/>
          <w:b w:val="0"/>
          <w:bCs w:val="0"/>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我局2025年</w:t>
      </w:r>
      <w:r>
        <w:rPr>
          <w:rFonts w:hint="default" w:ascii="仿宋" w:hAnsi="仿宋" w:eastAsia="仿宋" w:cs="Times New Roman"/>
          <w:b w:val="0"/>
          <w:bCs w:val="0"/>
          <w:spacing w:val="-2"/>
          <w:sz w:val="32"/>
          <w:szCs w:val="32"/>
          <w:highlight w:val="none"/>
          <w:lang w:val="en-US" w:eastAsia="zh-CN"/>
        </w:rPr>
        <w:t>综合</w:t>
      </w:r>
      <w:r>
        <w:rPr>
          <w:rFonts w:hint="eastAsia" w:ascii="仿宋" w:hAnsi="仿宋" w:eastAsia="仿宋" w:cs="Times New Roman"/>
          <w:b w:val="0"/>
          <w:bCs w:val="0"/>
          <w:spacing w:val="-2"/>
          <w:sz w:val="32"/>
          <w:szCs w:val="32"/>
          <w:highlight w:val="none"/>
          <w:lang w:val="en-US" w:eastAsia="zh-CN"/>
        </w:rPr>
        <w:t>评价</w:t>
      </w:r>
      <w:r>
        <w:rPr>
          <w:rFonts w:hint="default" w:ascii="仿宋" w:hAnsi="仿宋" w:eastAsia="仿宋" w:cs="Times New Roman"/>
          <w:b w:val="0"/>
          <w:bCs w:val="0"/>
          <w:spacing w:val="-2"/>
          <w:sz w:val="32"/>
          <w:szCs w:val="32"/>
          <w:highlight w:val="none"/>
          <w:lang w:val="en-US" w:eastAsia="zh-CN"/>
        </w:rPr>
        <w:t>得分为</w:t>
      </w:r>
      <w:r>
        <w:rPr>
          <w:rFonts w:hint="eastAsia" w:ascii="仿宋" w:hAnsi="仿宋" w:eastAsia="仿宋" w:cs="Times New Roman"/>
          <w:b w:val="0"/>
          <w:bCs w:val="0"/>
          <w:spacing w:val="-2"/>
          <w:sz w:val="32"/>
          <w:szCs w:val="32"/>
          <w:highlight w:val="none"/>
          <w:lang w:val="en-US" w:eastAsia="zh-CN"/>
        </w:rPr>
        <w:t>98.45</w:t>
      </w:r>
      <w:r>
        <w:rPr>
          <w:rFonts w:hint="default" w:ascii="仿宋" w:hAnsi="仿宋" w:eastAsia="仿宋" w:cs="Times New Roman"/>
          <w:b w:val="0"/>
          <w:bCs w:val="0"/>
          <w:spacing w:val="-2"/>
          <w:sz w:val="32"/>
          <w:szCs w:val="32"/>
          <w:highlight w:val="none"/>
          <w:lang w:val="en-US" w:eastAsia="zh-CN"/>
        </w:rPr>
        <w:t>分，评定等级“</w:t>
      </w:r>
      <w:r>
        <w:rPr>
          <w:rFonts w:hint="eastAsia" w:ascii="仿宋" w:hAnsi="仿宋" w:eastAsia="仿宋" w:cs="Times New Roman"/>
          <w:b w:val="0"/>
          <w:bCs w:val="0"/>
          <w:spacing w:val="-2"/>
          <w:sz w:val="32"/>
          <w:szCs w:val="32"/>
          <w:highlight w:val="none"/>
          <w:lang w:val="en-US" w:eastAsia="zh-CN"/>
        </w:rPr>
        <w:t>优秀</w:t>
      </w:r>
      <w:r>
        <w:rPr>
          <w:rFonts w:hint="default" w:ascii="仿宋" w:hAnsi="仿宋" w:eastAsia="仿宋" w:cs="Times New Roman"/>
          <w:b w:val="0"/>
          <w:bCs w:val="0"/>
          <w:spacing w:val="-2"/>
          <w:sz w:val="32"/>
          <w:szCs w:val="32"/>
          <w:highlight w:val="none"/>
          <w:lang w:val="en-US" w:eastAsia="zh-CN"/>
        </w:rPr>
        <w:t>”，具体评分见</w:t>
      </w:r>
      <w:r>
        <w:rPr>
          <w:rFonts w:hint="eastAsia" w:ascii="仿宋" w:hAnsi="仿宋" w:eastAsia="仿宋" w:cs="Times New Roman"/>
          <w:b w:val="0"/>
          <w:bCs w:val="0"/>
          <w:spacing w:val="-2"/>
          <w:sz w:val="32"/>
          <w:szCs w:val="32"/>
          <w:highlight w:val="none"/>
          <w:lang w:val="en-US" w:eastAsia="zh-CN"/>
        </w:rPr>
        <w:t>“附件2 部门整体支出绩效自评表”</w:t>
      </w:r>
      <w:r>
        <w:rPr>
          <w:rFonts w:hint="default" w:ascii="仿宋" w:hAnsi="仿宋" w:eastAsia="仿宋" w:cs="Times New Roman"/>
          <w:b w:val="0"/>
          <w:bCs w:val="0"/>
          <w:spacing w:val="-2"/>
          <w:sz w:val="32"/>
          <w:szCs w:val="32"/>
          <w:highlight w:val="none"/>
          <w:lang w:val="en-US" w:eastAsia="zh-CN"/>
        </w:rPr>
        <w:t>。</w:t>
      </w:r>
    </w:p>
    <w:p w14:paraId="1C54E9CF">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highlight w:val="none"/>
          <w:lang w:val="en-US" w:eastAsia="zh-CN"/>
        </w:rPr>
      </w:pPr>
      <w:r>
        <w:rPr>
          <w:rFonts w:hint="default" w:ascii="方正楷体_GB2312" w:hAnsi="方正楷体_GB2312" w:eastAsia="方正楷体_GB2312" w:cs="方正楷体_GB2312"/>
          <w:b/>
          <w:bCs/>
          <w:spacing w:val="-2"/>
          <w:sz w:val="32"/>
          <w:szCs w:val="32"/>
          <w:highlight w:val="none"/>
          <w:lang w:val="en-US" w:eastAsia="zh-CN"/>
        </w:rPr>
        <w:t>（二）评价指标分析（或综合评价情况）。</w:t>
      </w:r>
    </w:p>
    <w:p w14:paraId="516212DA">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1.整体绩效目标设定</w:t>
      </w:r>
    </w:p>
    <w:p w14:paraId="4B6C689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（1）绩效目标合理性。绩效目标符合国家法律法规、社会发展规划；符合部门“三定”方案确定的职责及中长期实施规划。</w:t>
      </w:r>
    </w:p>
    <w:p w14:paraId="5837192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（2）绩效指标明确性。设定的绩效指标与部门年度的任务数或计划数相对应；与本年度部门预算资金相匹配，细化到三级指标。</w:t>
      </w:r>
    </w:p>
    <w:p w14:paraId="77107BBD">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2.预算配置</w:t>
      </w:r>
    </w:p>
    <w:p w14:paraId="770D7E8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（1）在职人员控制率</w:t>
      </w:r>
    </w:p>
    <w:p w14:paraId="1BFF733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2025年我单位编制数36人，实际在职人员数36人，在职人员控制率为100%。严格执行了相关文件精神，无超编人员。</w:t>
      </w:r>
    </w:p>
    <w:p w14:paraId="0C35BD6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（2）“三公经费”预算变动率</w:t>
      </w:r>
    </w:p>
    <w:p w14:paraId="424B386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2025年“三公经费”年初预算数38万元，上年度“三公经费”预算数36.2万元，“三公经费”预算变动率4.97%，主要是本年度因承办湖南省旅游发展大会前期筹备工作需要，追加三公经费预算。</w:t>
      </w:r>
    </w:p>
    <w:p w14:paraId="1DDD1C55">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default"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3.预算执行</w:t>
      </w:r>
    </w:p>
    <w:p w14:paraId="60D427A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（1）预算执行率。2025年全年预算数7356.94万元，执行数6362.85万元，预算执行率86.49%。</w:t>
      </w:r>
    </w:p>
    <w:p w14:paraId="7E9E2A5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（2）公用经费控制率。公用经费实际支出68.02万元，预算安排数79.97万元，公用经费控制率85.06%。</w:t>
      </w:r>
    </w:p>
    <w:p w14:paraId="4C16C98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（3）“三公经费”控制率。“三公经费”实际支出23.9万元，预算安排数38万元，控制在预算范围内。</w:t>
      </w:r>
    </w:p>
    <w:p w14:paraId="6DD73AE7">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4.预算管理</w:t>
      </w:r>
    </w:p>
    <w:p w14:paraId="75BC1AE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（1）管理制度健全性。我局已制定《预算管理制度》，并严格按制度执行。</w:t>
      </w:r>
    </w:p>
    <w:p w14:paraId="6E8199B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（2）资金使用合规性。资金的拨付有完整的审批程序和手续，预算支出的重大开支经集体决策；不存在截留、挤占、挪用、虚列支出等情况。</w:t>
      </w:r>
    </w:p>
    <w:p w14:paraId="5371FC8E">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（3）预决算信息公开。按财政要求及规定时限完成预决算公开信息。</w:t>
      </w:r>
    </w:p>
    <w:p w14:paraId="523DE5B4">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5.资产管理</w:t>
      </w:r>
    </w:p>
    <w:p w14:paraId="68BD2F6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（1）管理制度健全性。严格按照《行政单位国有资产管理暂行办法》(财政部令第35号）及我单位《资产管理制度》相关规定执行。</w:t>
      </w:r>
    </w:p>
    <w:p w14:paraId="3D723241">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（2）资产管理安全性。资产保存完整、使用合规、配置合理、处置规范、收入及时足额上缴。</w:t>
      </w:r>
    </w:p>
    <w:p w14:paraId="77C911FA">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6.职责履行</w:t>
      </w:r>
    </w:p>
    <w:p w14:paraId="3A6F94E8">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（1）实际完成情况</w:t>
      </w:r>
    </w:p>
    <w:p w14:paraId="68EFF79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仿宋"/>
          <w:b w:val="0"/>
          <w:bCs w:val="0"/>
          <w:spacing w:val="-2"/>
          <w:sz w:val="32"/>
          <w:szCs w:val="32"/>
          <w:highlight w:val="none"/>
          <w:lang w:val="en-US" w:eastAsia="zh-CN"/>
        </w:rPr>
        <w:t>①</w:t>
      </w:r>
      <w:r>
        <w:rPr>
          <w:rFonts w:hint="eastAsia" w:ascii="仿宋" w:hAnsi="仿宋" w:eastAsia="仿宋" w:cs="Times New Roman"/>
          <w:b/>
          <w:bCs/>
          <w:spacing w:val="-2"/>
          <w:sz w:val="32"/>
          <w:szCs w:val="32"/>
          <w:highlight w:val="none"/>
          <w:lang w:val="en-US" w:eastAsia="zh-CN"/>
        </w:rPr>
        <w:t>坚持锤炼执行力，完成全年主要考核目标任务</w:t>
      </w:r>
      <w:r>
        <w:rPr>
          <w:rFonts w:hint="default" w:ascii="仿宋" w:hAnsi="仿宋" w:eastAsia="仿宋" w:cs="Times New Roman"/>
          <w:b/>
          <w:bCs/>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2025年，</w:t>
      </w:r>
      <w:r>
        <w:rPr>
          <w:rFonts w:hint="default" w:ascii="仿宋" w:hAnsi="仿宋" w:eastAsia="仿宋" w:cs="Times New Roman"/>
          <w:b w:val="0"/>
          <w:bCs w:val="0"/>
          <w:spacing w:val="-2"/>
          <w:sz w:val="32"/>
          <w:szCs w:val="32"/>
          <w:highlight w:val="none"/>
          <w:lang w:val="en-US" w:eastAsia="zh-CN"/>
        </w:rPr>
        <w:t>全市接待游客7224.07万人次、实现游客总花费685.78亿元，同比分别增长12.1%、12.7%</w:t>
      </w:r>
      <w:r>
        <w:rPr>
          <w:rFonts w:hint="eastAsia" w:ascii="仿宋" w:hAnsi="仿宋" w:eastAsia="仿宋" w:cs="Times New Roman"/>
          <w:b w:val="0"/>
          <w:bCs w:val="0"/>
          <w:spacing w:val="-2"/>
          <w:sz w:val="32"/>
          <w:szCs w:val="32"/>
          <w:highlight w:val="none"/>
          <w:lang w:val="en-US" w:eastAsia="zh-CN"/>
        </w:rPr>
        <w:t>。</w:t>
      </w:r>
    </w:p>
    <w:p w14:paraId="17D957A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仿宋"/>
          <w:b w:val="0"/>
          <w:bCs w:val="0"/>
          <w:spacing w:val="-2"/>
          <w:sz w:val="32"/>
          <w:szCs w:val="32"/>
          <w:highlight w:val="none"/>
          <w:lang w:val="en-US" w:eastAsia="zh-CN"/>
        </w:rPr>
        <w:t>②</w:t>
      </w:r>
      <w:r>
        <w:rPr>
          <w:rFonts w:hint="eastAsia" w:ascii="仿宋" w:hAnsi="仿宋" w:eastAsia="仿宋" w:cs="Times New Roman"/>
          <w:b/>
          <w:bCs/>
          <w:spacing w:val="-2"/>
          <w:sz w:val="32"/>
          <w:szCs w:val="32"/>
          <w:highlight w:val="none"/>
          <w:lang w:val="en-US" w:eastAsia="zh-CN"/>
        </w:rPr>
        <w:t>坚持锤炼风险防控能力，筑牢底线促安全</w:t>
      </w:r>
      <w:r>
        <w:rPr>
          <w:rFonts w:hint="default" w:ascii="仿宋" w:hAnsi="仿宋" w:eastAsia="仿宋" w:cs="Times New Roman"/>
          <w:b/>
          <w:bCs/>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全面落实安全生产治本攻坚行动，抓实重点监管，开展多项专项整治，覆盖人员超4000人次，排查整改重大隐患90个，全年未发生重大安全生产事故。强化市场秩序监管，开展“利剑护蕾”等整治行动，检查经营单位2200余家，立案查处91起。构建文物安全</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五级防护责任体系</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，为文物保护筑牢安全底线。</w:t>
      </w:r>
      <w:r>
        <w:rPr>
          <w:rFonts w:hint="eastAsia" w:ascii="仿宋" w:hAnsi="仿宋" w:eastAsia="仿宋" w:cs="Times New Roman"/>
          <w:b w:val="0"/>
          <w:bCs w:val="0"/>
          <w:spacing w:val="-2"/>
          <w:sz w:val="32"/>
          <w:szCs w:val="32"/>
          <w:highlight w:val="none"/>
          <w:lang w:val="en-US" w:eastAsia="zh-CN"/>
        </w:rPr>
        <w:t>针对文旅市场整治，</w:t>
      </w:r>
      <w:r>
        <w:rPr>
          <w:rFonts w:hint="default" w:ascii="仿宋" w:hAnsi="仿宋" w:eastAsia="仿宋" w:cs="Times New Roman"/>
          <w:b w:val="0"/>
          <w:bCs w:val="0"/>
          <w:spacing w:val="-2"/>
          <w:sz w:val="32"/>
          <w:szCs w:val="32"/>
          <w:highlight w:val="none"/>
          <w:lang w:val="en-US" w:eastAsia="zh-CN"/>
        </w:rPr>
        <w:t>联合</w:t>
      </w:r>
      <w:r>
        <w:rPr>
          <w:rFonts w:hint="eastAsia" w:ascii="仿宋" w:hAnsi="仿宋" w:eastAsia="仿宋" w:cs="Times New Roman"/>
          <w:b w:val="0"/>
          <w:bCs w:val="0"/>
          <w:spacing w:val="-2"/>
          <w:sz w:val="32"/>
          <w:szCs w:val="32"/>
          <w:highlight w:val="none"/>
          <w:lang w:val="en-US" w:eastAsia="zh-CN"/>
        </w:rPr>
        <w:t>公安等</w:t>
      </w:r>
      <w:r>
        <w:rPr>
          <w:rFonts w:hint="default" w:ascii="仿宋" w:hAnsi="仿宋" w:eastAsia="仿宋" w:cs="Times New Roman"/>
          <w:b w:val="0"/>
          <w:bCs w:val="0"/>
          <w:spacing w:val="-2"/>
          <w:sz w:val="32"/>
          <w:szCs w:val="32"/>
          <w:highlight w:val="none"/>
          <w:lang w:val="en-US" w:eastAsia="zh-CN"/>
        </w:rPr>
        <w:t>多部门制定整治方案，开展专项执法培训，推动行业自律与“亮诺、践诺、评诺”行动</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牵头推动文旅领域顽瘴痼疾综合治理并取得阶段性进展</w:t>
      </w:r>
      <w:r>
        <w:rPr>
          <w:rFonts w:hint="eastAsia" w:ascii="仿宋" w:hAnsi="仿宋" w:eastAsia="仿宋" w:cs="Times New Roman"/>
          <w:b w:val="0"/>
          <w:bCs w:val="0"/>
          <w:spacing w:val="-2"/>
          <w:sz w:val="32"/>
          <w:szCs w:val="32"/>
          <w:highlight w:val="none"/>
          <w:lang w:val="en-US" w:eastAsia="zh-CN"/>
        </w:rPr>
        <w:t>，为文旅市场健康发展保驾护航。</w:t>
      </w:r>
    </w:p>
    <w:p w14:paraId="1171D05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仿宋"/>
          <w:b w:val="0"/>
          <w:bCs w:val="0"/>
          <w:spacing w:val="-2"/>
          <w:sz w:val="32"/>
          <w:szCs w:val="32"/>
          <w:highlight w:val="none"/>
          <w:lang w:val="en-US" w:eastAsia="zh-CN"/>
        </w:rPr>
        <w:t>③</w:t>
      </w:r>
      <w:r>
        <w:rPr>
          <w:rFonts w:hint="eastAsia" w:ascii="仿宋" w:hAnsi="仿宋" w:eastAsia="仿宋" w:cs="Times New Roman"/>
          <w:b/>
          <w:bCs/>
          <w:spacing w:val="-2"/>
          <w:sz w:val="32"/>
          <w:szCs w:val="32"/>
          <w:highlight w:val="none"/>
          <w:lang w:val="en-US" w:eastAsia="zh-CN"/>
        </w:rPr>
        <w:t>坚持锤炼谋划能力</w:t>
      </w:r>
      <w:r>
        <w:rPr>
          <w:rFonts w:hint="default" w:ascii="仿宋" w:hAnsi="仿宋" w:eastAsia="仿宋" w:cs="Times New Roman"/>
          <w:b/>
          <w:bCs/>
          <w:spacing w:val="-2"/>
          <w:sz w:val="32"/>
          <w:szCs w:val="32"/>
          <w:highlight w:val="none"/>
          <w:lang w:val="en-US" w:eastAsia="zh-CN"/>
        </w:rPr>
        <w:t>，绘就蓝图</w:t>
      </w:r>
      <w:r>
        <w:rPr>
          <w:rFonts w:hint="eastAsia" w:ascii="仿宋" w:hAnsi="仿宋" w:eastAsia="仿宋" w:cs="Times New Roman"/>
          <w:b/>
          <w:bCs/>
          <w:spacing w:val="-2"/>
          <w:sz w:val="32"/>
          <w:szCs w:val="32"/>
          <w:highlight w:val="none"/>
          <w:lang w:val="en-US" w:eastAsia="zh-CN"/>
        </w:rPr>
        <w:t>促发展</w:t>
      </w:r>
      <w:r>
        <w:rPr>
          <w:rFonts w:hint="default" w:ascii="仿宋" w:hAnsi="仿宋" w:eastAsia="仿宋" w:cs="Times New Roman"/>
          <w:b/>
          <w:bCs/>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怀化市</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十四五</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文旅领域调研成果报送、优秀入选均排全省前列</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立足服务“三高四新”“大张家界国际旅游区”</w:t>
      </w:r>
      <w:r>
        <w:rPr>
          <w:rFonts w:hint="eastAsia" w:ascii="仿宋" w:hAnsi="仿宋" w:eastAsia="仿宋" w:cs="Times New Roman"/>
          <w:b w:val="0"/>
          <w:bCs w:val="0"/>
          <w:spacing w:val="-2"/>
          <w:sz w:val="32"/>
          <w:szCs w:val="32"/>
          <w:highlight w:val="none"/>
          <w:lang w:val="en-US" w:eastAsia="zh-CN"/>
        </w:rPr>
        <w:t>等发展战略</w:t>
      </w:r>
      <w:r>
        <w:rPr>
          <w:rFonts w:hint="default" w:ascii="仿宋" w:hAnsi="仿宋" w:eastAsia="仿宋" w:cs="Times New Roman"/>
          <w:b w:val="0"/>
          <w:bCs w:val="0"/>
          <w:spacing w:val="-2"/>
          <w:sz w:val="32"/>
          <w:szCs w:val="32"/>
          <w:highlight w:val="none"/>
          <w:lang w:val="en-US" w:eastAsia="zh-CN"/>
        </w:rPr>
        <w:t>，高质量推进《怀化市“十五五”文化和旅游发展规划》《雪峰山核心区旅游发展规</w:t>
      </w:r>
      <w:r>
        <w:rPr>
          <w:rFonts w:hint="eastAsia" w:ascii="仿宋" w:hAnsi="仿宋" w:eastAsia="仿宋" w:cs="Times New Roman"/>
          <w:b w:val="0"/>
          <w:bCs w:val="0"/>
          <w:spacing w:val="-2"/>
          <w:sz w:val="32"/>
          <w:szCs w:val="32"/>
          <w:highlight w:val="none"/>
          <w:lang w:val="en-US" w:eastAsia="zh-CN"/>
        </w:rPr>
        <w:t>划</w:t>
      </w:r>
      <w:r>
        <w:rPr>
          <w:rFonts w:hint="default" w:ascii="仿宋" w:hAnsi="仿宋" w:eastAsia="仿宋" w:cs="Times New Roman"/>
          <w:b w:val="0"/>
          <w:bCs w:val="0"/>
          <w:spacing w:val="-2"/>
          <w:sz w:val="32"/>
          <w:szCs w:val="32"/>
          <w:highlight w:val="none"/>
          <w:lang w:val="en-US" w:eastAsia="zh-CN"/>
        </w:rPr>
        <w:t>（2025–2035年）》编制，</w:t>
      </w:r>
      <w:r>
        <w:rPr>
          <w:rFonts w:hint="eastAsia" w:ascii="仿宋" w:hAnsi="仿宋" w:eastAsia="仿宋" w:cs="Times New Roman"/>
          <w:b w:val="0"/>
          <w:bCs w:val="0"/>
          <w:spacing w:val="-2"/>
          <w:sz w:val="32"/>
          <w:szCs w:val="32"/>
          <w:highlight w:val="none"/>
          <w:lang w:val="en-US" w:eastAsia="zh-CN"/>
        </w:rPr>
        <w:t>起草《关于加快文旅产业高质量发展的决定》等文件</w:t>
      </w:r>
      <w:r>
        <w:rPr>
          <w:rFonts w:hint="default" w:ascii="仿宋" w:hAnsi="仿宋" w:eastAsia="仿宋" w:cs="Times New Roman"/>
          <w:b w:val="0"/>
          <w:bCs w:val="0"/>
          <w:spacing w:val="-2"/>
          <w:sz w:val="32"/>
          <w:szCs w:val="32"/>
          <w:highlight w:val="none"/>
          <w:lang w:val="en-US" w:eastAsia="zh-CN"/>
        </w:rPr>
        <w:t>，聚焦“三江一湾、四线</w:t>
      </w:r>
      <w:r>
        <w:rPr>
          <w:rFonts w:hint="eastAsia" w:ascii="仿宋" w:hAnsi="仿宋" w:eastAsia="仿宋" w:cs="Times New Roman"/>
          <w:b w:val="0"/>
          <w:bCs w:val="0"/>
          <w:spacing w:val="-2"/>
          <w:sz w:val="32"/>
          <w:szCs w:val="32"/>
          <w:highlight w:val="none"/>
          <w:lang w:val="en-US" w:eastAsia="zh-CN"/>
        </w:rPr>
        <w:t>多点</w:t>
      </w:r>
      <w:r>
        <w:rPr>
          <w:rFonts w:hint="default" w:ascii="仿宋" w:hAnsi="仿宋" w:eastAsia="仿宋" w:cs="Times New Roman"/>
          <w:b w:val="0"/>
          <w:bCs w:val="0"/>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区域联动</w:t>
      </w:r>
      <w:r>
        <w:rPr>
          <w:rFonts w:hint="default" w:ascii="仿宋" w:hAnsi="仿宋" w:eastAsia="仿宋" w:cs="Times New Roman"/>
          <w:b w:val="0"/>
          <w:bCs w:val="0"/>
          <w:spacing w:val="-2"/>
          <w:sz w:val="32"/>
          <w:szCs w:val="32"/>
          <w:highlight w:val="none"/>
          <w:lang w:val="en-US" w:eastAsia="zh-CN"/>
        </w:rPr>
        <w:t>，明确品牌打造、产业融合、</w:t>
      </w:r>
      <w:r>
        <w:rPr>
          <w:rFonts w:hint="eastAsia" w:ascii="仿宋" w:hAnsi="仿宋" w:eastAsia="仿宋" w:cs="Times New Roman"/>
          <w:b w:val="0"/>
          <w:bCs w:val="0"/>
          <w:spacing w:val="-2"/>
          <w:sz w:val="32"/>
          <w:szCs w:val="32"/>
          <w:highlight w:val="none"/>
          <w:lang w:val="en-US" w:eastAsia="zh-CN"/>
        </w:rPr>
        <w:t>系统布局</w:t>
      </w:r>
      <w:r>
        <w:rPr>
          <w:rFonts w:hint="default" w:ascii="仿宋" w:hAnsi="仿宋" w:eastAsia="仿宋" w:cs="Times New Roman"/>
          <w:b w:val="0"/>
          <w:bCs w:val="0"/>
          <w:spacing w:val="-2"/>
          <w:sz w:val="32"/>
          <w:szCs w:val="32"/>
          <w:highlight w:val="none"/>
          <w:lang w:val="en-US" w:eastAsia="zh-CN"/>
        </w:rPr>
        <w:t>等重点任务，强化重大项目支撑与政策机制保障，构建目标清晰、特色鲜明、可操作性强的规划体系，为文旅业高质量发展</w:t>
      </w:r>
      <w:r>
        <w:rPr>
          <w:rFonts w:hint="eastAsia" w:ascii="仿宋" w:hAnsi="仿宋" w:eastAsia="仿宋" w:cs="Times New Roman"/>
          <w:b w:val="0"/>
          <w:bCs w:val="0"/>
          <w:spacing w:val="-2"/>
          <w:sz w:val="32"/>
          <w:szCs w:val="32"/>
          <w:highlight w:val="none"/>
          <w:lang w:val="en-US" w:eastAsia="zh-CN"/>
        </w:rPr>
        <w:t>打下良好基础</w:t>
      </w:r>
      <w:r>
        <w:rPr>
          <w:rFonts w:hint="default" w:ascii="仿宋" w:hAnsi="仿宋" w:eastAsia="仿宋" w:cs="Times New Roman"/>
          <w:b w:val="0"/>
          <w:bCs w:val="0"/>
          <w:spacing w:val="-2"/>
          <w:sz w:val="32"/>
          <w:szCs w:val="32"/>
          <w:highlight w:val="none"/>
          <w:lang w:val="en-US" w:eastAsia="zh-CN"/>
        </w:rPr>
        <w:t>。</w:t>
      </w:r>
    </w:p>
    <w:p w14:paraId="48A862F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仿宋"/>
          <w:b w:val="0"/>
          <w:bCs w:val="0"/>
          <w:spacing w:val="-2"/>
          <w:sz w:val="32"/>
          <w:szCs w:val="32"/>
          <w:highlight w:val="none"/>
          <w:lang w:val="en-US" w:eastAsia="zh-CN"/>
        </w:rPr>
        <w:t>④</w:t>
      </w:r>
      <w:r>
        <w:rPr>
          <w:rFonts w:hint="eastAsia" w:ascii="仿宋" w:hAnsi="仿宋" w:eastAsia="仿宋" w:cs="仿宋"/>
          <w:b/>
          <w:bCs/>
          <w:spacing w:val="-2"/>
          <w:sz w:val="32"/>
          <w:szCs w:val="32"/>
          <w:highlight w:val="none"/>
          <w:lang w:val="en-US" w:eastAsia="zh-CN"/>
        </w:rPr>
        <w:t>办</w:t>
      </w:r>
      <w:r>
        <w:rPr>
          <w:rFonts w:hint="eastAsia" w:ascii="仿宋" w:hAnsi="仿宋" w:eastAsia="仿宋" w:cs="Times New Roman"/>
          <w:b/>
          <w:bCs/>
          <w:spacing w:val="-2"/>
          <w:sz w:val="32"/>
          <w:szCs w:val="32"/>
          <w:highlight w:val="none"/>
          <w:lang w:val="en-US" w:eastAsia="zh-CN"/>
        </w:rPr>
        <w:t>好旅发大会。</w:t>
      </w:r>
      <w:r>
        <w:rPr>
          <w:rFonts w:hint="eastAsia" w:ascii="仿宋" w:hAnsi="仿宋" w:eastAsia="仿宋" w:cs="Times New Roman"/>
          <w:b w:val="0"/>
          <w:bCs w:val="0"/>
          <w:spacing w:val="-2"/>
          <w:sz w:val="32"/>
          <w:szCs w:val="32"/>
          <w:highlight w:val="none"/>
          <w:lang w:val="en-US" w:eastAsia="zh-CN"/>
        </w:rPr>
        <w:t>成功举办第四届怀化市旅发大会。</w:t>
      </w:r>
      <w:r>
        <w:rPr>
          <w:rFonts w:hint="default" w:ascii="仿宋" w:hAnsi="仿宋" w:eastAsia="仿宋" w:cs="Times New Roman"/>
          <w:b w:val="0"/>
          <w:bCs w:val="0"/>
          <w:spacing w:val="-2"/>
          <w:sz w:val="32"/>
          <w:szCs w:val="32"/>
          <w:highlight w:val="none"/>
          <w:lang w:val="en-US" w:eastAsia="zh-CN"/>
        </w:rPr>
        <w:t>第五届湖南旅发大会于9月16日至18日成功举办，“办会兴城”“办会兴业”“办会惠民”综合效益显现。本届</w:t>
      </w:r>
      <w:r>
        <w:rPr>
          <w:rFonts w:hint="eastAsia" w:ascii="仿宋" w:hAnsi="仿宋" w:eastAsia="仿宋" w:cs="Times New Roman"/>
          <w:b w:val="0"/>
          <w:bCs w:val="0"/>
          <w:spacing w:val="-2"/>
          <w:sz w:val="32"/>
          <w:szCs w:val="32"/>
          <w:highlight w:val="none"/>
          <w:lang w:val="en-US" w:eastAsia="zh-CN"/>
        </w:rPr>
        <w:t>省旅发</w:t>
      </w:r>
      <w:r>
        <w:rPr>
          <w:rFonts w:hint="default" w:ascii="仿宋" w:hAnsi="仿宋" w:eastAsia="仿宋" w:cs="Times New Roman"/>
          <w:b w:val="0"/>
          <w:bCs w:val="0"/>
          <w:spacing w:val="-2"/>
          <w:sz w:val="32"/>
          <w:szCs w:val="32"/>
          <w:highlight w:val="none"/>
          <w:lang w:val="en-US" w:eastAsia="zh-CN"/>
        </w:rPr>
        <w:t>大会以“美美与共合作发展”为主题，成功举办3大主体活动、4项配套活动，邀请570名嘉宾参会，世界旅游联盟领导和270名文旅企业负责人齐聚怀化。坚持节俭办会，压减经费近6000万元，压减率56.69%。招商成果亮眼，签约全省重点文旅招商引资项目22个、总投资71.2亿元，其中怀化项目6个、投资23.7亿元。办会兴城效应突出，荆坪古村、榆树湾、东盟集、天问岛“一轴四点”城市文旅“会客厅”等核心景点惊艳亮相；引进上海风语筑、锦江集团等头部企业，签约文旅项目68个，新培育4A景区9家、规上文旅企业41家；盘活报业大厦、鹤鸣洲等闲置资源10余个。城市品质显著提升，改造老旧小区154个、公厕172座，提质主次干道29条，推动建成粟裕公园、体育公园、陆港公园及10余个精品小游园，新增改造绿地26.7万平方米。</w:t>
      </w:r>
      <w:r>
        <w:rPr>
          <w:rFonts w:hint="eastAsia" w:ascii="仿宋" w:hAnsi="仿宋" w:eastAsia="仿宋" w:cs="Times New Roman"/>
          <w:b w:val="0"/>
          <w:bCs w:val="0"/>
          <w:spacing w:val="-2"/>
          <w:sz w:val="32"/>
          <w:szCs w:val="32"/>
          <w:highlight w:val="none"/>
          <w:lang w:val="en-US" w:eastAsia="zh-CN"/>
        </w:rPr>
        <w:t>开展“福地 怀化懂你”品牌创建活动，推出</w:t>
      </w:r>
      <w:r>
        <w:rPr>
          <w:rFonts w:hint="default" w:ascii="仿宋" w:hAnsi="仿宋" w:eastAsia="仿宋" w:cs="Times New Roman"/>
          <w:b w:val="0"/>
          <w:bCs w:val="0"/>
          <w:spacing w:val="-2"/>
          <w:sz w:val="32"/>
          <w:szCs w:val="32"/>
          <w:highlight w:val="none"/>
          <w:lang w:val="en-US" w:eastAsia="zh-CN"/>
        </w:rPr>
        <w:t>懂你的产品、懂你的设施、懂你的服务，迭代省级智慧旅游服务中心、5G智慧公交站台，成功塑造“福地怀化·懂你如家”城市品牌，有力推动了怀化向旅游城市转型。据统计，2025年国庆、中秋假期，怀化市纳入监测的旅游区接待游客总人次、营业收入同比分别增长143%、94.8%，增速居全省第一。</w:t>
      </w:r>
    </w:p>
    <w:p w14:paraId="6B5188A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⑤</w:t>
      </w:r>
      <w:r>
        <w:rPr>
          <w:rFonts w:hint="eastAsia" w:ascii="仿宋" w:hAnsi="仿宋" w:eastAsia="仿宋" w:cs="Times New Roman"/>
          <w:b/>
          <w:bCs/>
          <w:spacing w:val="-2"/>
          <w:sz w:val="32"/>
          <w:szCs w:val="32"/>
          <w:highlight w:val="none"/>
          <w:lang w:val="en-US" w:eastAsia="zh-CN"/>
        </w:rPr>
        <w:t>优化文化公共服务。</w:t>
      </w:r>
      <w:r>
        <w:rPr>
          <w:rFonts w:hint="default" w:ascii="仿宋" w:hAnsi="仿宋" w:eastAsia="仿宋" w:cs="Times New Roman"/>
          <w:b w:val="0"/>
          <w:bCs w:val="0"/>
          <w:spacing w:val="-2"/>
          <w:sz w:val="32"/>
          <w:szCs w:val="32"/>
          <w:highlight w:val="none"/>
          <w:lang w:val="en-US" w:eastAsia="zh-CN"/>
        </w:rPr>
        <w:t>投入4.9亿元建成</w:t>
      </w:r>
      <w:r>
        <w:rPr>
          <w:rFonts w:hint="eastAsia" w:ascii="仿宋" w:hAnsi="仿宋" w:eastAsia="仿宋" w:cs="Times New Roman"/>
          <w:b w:val="0"/>
          <w:bCs w:val="0"/>
          <w:spacing w:val="-2"/>
          <w:sz w:val="32"/>
          <w:szCs w:val="32"/>
          <w:highlight w:val="none"/>
          <w:lang w:val="en-US" w:eastAsia="zh-CN"/>
        </w:rPr>
        <w:t>新的市</w:t>
      </w:r>
      <w:r>
        <w:rPr>
          <w:rFonts w:hint="default" w:ascii="仿宋" w:hAnsi="仿宋" w:eastAsia="仿宋" w:cs="Times New Roman"/>
          <w:b w:val="0"/>
          <w:bCs w:val="0"/>
          <w:spacing w:val="-2"/>
          <w:sz w:val="32"/>
          <w:szCs w:val="32"/>
          <w:highlight w:val="none"/>
          <w:lang w:val="en-US" w:eastAsia="zh-CN"/>
        </w:rPr>
        <w:t>“两馆一院”</w:t>
      </w:r>
      <w:r>
        <w:rPr>
          <w:rFonts w:hint="eastAsia" w:ascii="仿宋" w:hAnsi="仿宋" w:eastAsia="仿宋" w:cs="Times New Roman"/>
          <w:b w:val="0"/>
          <w:bCs w:val="0"/>
          <w:spacing w:val="-2"/>
          <w:sz w:val="32"/>
          <w:szCs w:val="32"/>
          <w:highlight w:val="none"/>
          <w:lang w:val="en-US" w:eastAsia="zh-CN"/>
        </w:rPr>
        <w:t>（博物馆、图书馆、大剧院），补齐市级公共文化设施短板，成为展示怀化文化形象的核心地标，为群众提供高品质文化活动空间；开展</w:t>
      </w:r>
      <w:r>
        <w:rPr>
          <w:rFonts w:hint="default" w:ascii="仿宋" w:hAnsi="仿宋" w:eastAsia="仿宋" w:cs="Times New Roman"/>
          <w:b w:val="0"/>
          <w:bCs w:val="0"/>
          <w:spacing w:val="-2"/>
          <w:sz w:val="32"/>
          <w:szCs w:val="32"/>
          <w:highlight w:val="none"/>
          <w:lang w:val="en-US" w:eastAsia="zh-CN"/>
        </w:rPr>
        <w:t>“怀化有戏”村歌会、“四季村晚”等全域性群众文化活动</w:t>
      </w:r>
      <w:r>
        <w:rPr>
          <w:rFonts w:hint="eastAsia" w:ascii="仿宋" w:hAnsi="仿宋" w:eastAsia="仿宋" w:cs="Times New Roman"/>
          <w:b w:val="0"/>
          <w:bCs w:val="0"/>
          <w:spacing w:val="-2"/>
          <w:sz w:val="32"/>
          <w:szCs w:val="32"/>
          <w:highlight w:val="none"/>
          <w:lang w:val="en-US" w:eastAsia="zh-CN"/>
        </w:rPr>
        <w:t>近200场</w:t>
      </w:r>
      <w:r>
        <w:rPr>
          <w:rFonts w:hint="default" w:ascii="仿宋" w:hAnsi="仿宋" w:eastAsia="仿宋" w:cs="Times New Roman"/>
          <w:b w:val="0"/>
          <w:bCs w:val="0"/>
          <w:spacing w:val="-2"/>
          <w:sz w:val="32"/>
          <w:szCs w:val="32"/>
          <w:highlight w:val="none"/>
          <w:lang w:val="en-US" w:eastAsia="zh-CN"/>
        </w:rPr>
        <w:t>，创新“线下+线上”模式，吸引群众超140万人次，全网浏览量破3亿，</w:t>
      </w:r>
      <w:r>
        <w:rPr>
          <w:rFonts w:hint="eastAsia" w:ascii="仿宋" w:hAnsi="仿宋" w:eastAsia="仿宋" w:cs="Times New Roman"/>
          <w:b w:val="0"/>
          <w:bCs w:val="0"/>
          <w:spacing w:val="-2"/>
          <w:sz w:val="32"/>
          <w:szCs w:val="32"/>
          <w:highlight w:val="none"/>
          <w:lang w:val="en-US" w:eastAsia="zh-CN"/>
        </w:rPr>
        <w:t>带动文旅消费超</w:t>
      </w:r>
      <w:r>
        <w:rPr>
          <w:rFonts w:hint="default" w:ascii="仿宋" w:hAnsi="仿宋" w:eastAsia="仿宋" w:cs="Times New Roman"/>
          <w:b w:val="0"/>
          <w:bCs w:val="0"/>
          <w:spacing w:val="-2"/>
          <w:sz w:val="32"/>
          <w:szCs w:val="32"/>
          <w:highlight w:val="none"/>
          <w:lang w:val="en-US" w:eastAsia="zh-CN"/>
        </w:rPr>
        <w:t>3000</w:t>
      </w:r>
      <w:r>
        <w:rPr>
          <w:rFonts w:hint="eastAsia" w:ascii="仿宋" w:hAnsi="仿宋" w:eastAsia="仿宋" w:cs="Times New Roman"/>
          <w:b w:val="0"/>
          <w:bCs w:val="0"/>
          <w:spacing w:val="-2"/>
          <w:sz w:val="32"/>
          <w:szCs w:val="32"/>
          <w:highlight w:val="none"/>
          <w:lang w:val="en-US" w:eastAsia="zh-CN"/>
        </w:rPr>
        <w:t>万元；</w:t>
      </w:r>
      <w:r>
        <w:rPr>
          <w:rFonts w:hint="default" w:ascii="仿宋" w:hAnsi="仿宋" w:eastAsia="仿宋" w:cs="Times New Roman"/>
          <w:b w:val="0"/>
          <w:bCs w:val="0"/>
          <w:spacing w:val="-2"/>
          <w:sz w:val="32"/>
          <w:szCs w:val="32"/>
          <w:highlight w:val="none"/>
          <w:lang w:val="en-US" w:eastAsia="zh-CN"/>
        </w:rPr>
        <w:t>成功打造“怀化有歌”文化品牌，</w:t>
      </w:r>
      <w:r>
        <w:rPr>
          <w:rFonts w:hint="eastAsia" w:ascii="仿宋" w:hAnsi="仿宋" w:eastAsia="仿宋" w:cs="Times New Roman"/>
          <w:b w:val="0"/>
          <w:bCs w:val="0"/>
          <w:spacing w:val="-2"/>
          <w:sz w:val="32"/>
          <w:szCs w:val="32"/>
          <w:highlight w:val="none"/>
          <w:lang w:val="en-US" w:eastAsia="zh-CN"/>
        </w:rPr>
        <w:t>《实施“百村网红工程”推动“文艺赋美乡村”》获评</w:t>
      </w:r>
      <w:r>
        <w:rPr>
          <w:rFonts w:hint="default" w:ascii="仿宋" w:hAnsi="仿宋" w:eastAsia="仿宋" w:cs="Times New Roman"/>
          <w:b w:val="0"/>
          <w:bCs w:val="0"/>
          <w:spacing w:val="-2"/>
          <w:sz w:val="32"/>
          <w:szCs w:val="32"/>
          <w:highlight w:val="none"/>
          <w:lang w:val="en-US" w:eastAsia="zh-CN"/>
        </w:rPr>
        <w:t>2025</w:t>
      </w:r>
      <w:r>
        <w:rPr>
          <w:rFonts w:hint="eastAsia" w:ascii="仿宋" w:hAnsi="仿宋" w:eastAsia="仿宋" w:cs="Times New Roman"/>
          <w:b w:val="0"/>
          <w:bCs w:val="0"/>
          <w:spacing w:val="-2"/>
          <w:sz w:val="32"/>
          <w:szCs w:val="32"/>
          <w:highlight w:val="none"/>
          <w:lang w:val="en-US" w:eastAsia="zh-CN"/>
        </w:rPr>
        <w:t>中国群众文化品牌典型案例，为全国乡村文化建设提供可复制、可推广的怀化经验。</w:t>
      </w:r>
    </w:p>
    <w:p w14:paraId="7339AC0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⑥</w:t>
      </w:r>
      <w:r>
        <w:rPr>
          <w:rFonts w:hint="eastAsia" w:ascii="仿宋" w:hAnsi="仿宋" w:eastAsia="仿宋" w:cs="Times New Roman"/>
          <w:b/>
          <w:bCs/>
          <w:spacing w:val="-2"/>
          <w:sz w:val="32"/>
          <w:szCs w:val="32"/>
          <w:highlight w:val="none"/>
          <w:lang w:val="en-US" w:eastAsia="zh-CN"/>
        </w:rPr>
        <w:t>强化文化遗产保护。</w:t>
      </w:r>
      <w:r>
        <w:rPr>
          <w:rFonts w:hint="eastAsia" w:ascii="仿宋" w:hAnsi="仿宋" w:eastAsia="仿宋" w:cs="Times New Roman"/>
          <w:b w:val="0"/>
          <w:bCs w:val="0"/>
          <w:spacing w:val="-2"/>
          <w:sz w:val="32"/>
          <w:szCs w:val="32"/>
          <w:highlight w:val="none"/>
          <w:lang w:val="en-US" w:eastAsia="zh-CN"/>
        </w:rPr>
        <w:t>创新文物安全管理，构建“市、县、乡、村、组”五级安全防护责任体系；推进市县两级博物馆建设，成功申报2家湖南省乡村博物馆；深耕高庙文化，高庙遗址成功纳入国家考古遗址公园立项名单；按照“小、快、灵”立法原则，推动出台《怀化市革命文物保护利用若干规定》，为全省首个地市级革命文物保护利用法规；推进第四次全国文物普查，完成1659处“三普”文物点实地复核，完成新发现文物点数据录入</w:t>
      </w:r>
      <w:r>
        <w:rPr>
          <w:rFonts w:hint="default" w:ascii="仿宋" w:hAnsi="仿宋" w:eastAsia="仿宋" w:cs="Times New Roman"/>
          <w:b w:val="0"/>
          <w:bCs w:val="0"/>
          <w:spacing w:val="-2"/>
          <w:sz w:val="32"/>
          <w:szCs w:val="32"/>
          <w:highlight w:val="none"/>
          <w:lang w:val="en-US" w:eastAsia="zh-CN"/>
        </w:rPr>
        <w:t>6</w:t>
      </w:r>
      <w:r>
        <w:rPr>
          <w:rFonts w:hint="eastAsia" w:ascii="仿宋" w:hAnsi="仿宋" w:eastAsia="仿宋" w:cs="Times New Roman"/>
          <w:b w:val="0"/>
          <w:bCs w:val="0"/>
          <w:spacing w:val="-2"/>
          <w:sz w:val="32"/>
          <w:szCs w:val="32"/>
          <w:highlight w:val="none"/>
          <w:lang w:val="en-US" w:eastAsia="zh-CN"/>
        </w:rPr>
        <w:t>56处，新增数量目前居全省第二；加强非遗传承保护，全省首个“非遗+旅游+科技”文旅体验综合体“怀化国际陆港五溪非遗园”正式建成运营；持续实施“非遗点亮怀化行动”“非遗+旅游+科技”融合成果丰硕，先后获“湖南省文化和旅游系统改革创新优秀案例”“2025年湖南省社会科学普及优秀案例”等两项荣誉。开展多样形式宣传，“怀化侗韵拾家非遗主题民宿”案例入选中国非物质文化遗产保护协会“2025年非遗进景区‘五好’案例”名单；拍摄制作短视频《风从五溪来》、《沅水晒兰情》等获人民日报推荐，《沅水晒兰情》获评全国第三届“人文社科之光”社科普及短视频大赛一等奖和文旅部艺术发展中心主办的2025年“点亮中国美﹒艺旅融合视频作品征集展播”活动优秀作品奖。</w:t>
      </w:r>
    </w:p>
    <w:p w14:paraId="65CBEC1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⑦</w:t>
      </w:r>
      <w:r>
        <w:rPr>
          <w:rFonts w:hint="eastAsia" w:ascii="仿宋" w:hAnsi="仿宋" w:eastAsia="仿宋" w:cs="Times New Roman"/>
          <w:b/>
          <w:bCs/>
          <w:spacing w:val="-2"/>
          <w:sz w:val="32"/>
          <w:szCs w:val="32"/>
          <w:highlight w:val="none"/>
          <w:lang w:val="en-US" w:eastAsia="zh-CN"/>
        </w:rPr>
        <w:t>提质旅游产业。</w:t>
      </w:r>
      <w:r>
        <w:rPr>
          <w:rFonts w:hint="eastAsia" w:ascii="仿宋" w:hAnsi="仿宋" w:eastAsia="仿宋" w:cs="Times New Roman"/>
          <w:b w:val="0"/>
          <w:bCs w:val="0"/>
          <w:spacing w:val="-2"/>
          <w:sz w:val="32"/>
          <w:szCs w:val="32"/>
          <w:highlight w:val="none"/>
          <w:lang w:val="en-US" w:eastAsia="zh-CN"/>
        </w:rPr>
        <w:t>文旅产业势头强劲。过去一年，坚持做好“港产城旅”四篇文章，将文旅产业作为全市五大特色产业之一重点培育，推动文旅产业延链、补链、强链，全力建设全国一流旅游度假目的地。依托旅发大会带动效应，我市现拥有规上文化旅游及相关产业企业358家，2025年前三季度新增规上文化和旅游及相关产业企业44家，营业收入68.94亿元，同比增长6.5%。</w:t>
      </w:r>
    </w:p>
    <w:p w14:paraId="38C28E3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⑧</w:t>
      </w:r>
      <w:r>
        <w:rPr>
          <w:rFonts w:hint="eastAsia" w:ascii="仿宋" w:hAnsi="仿宋" w:eastAsia="仿宋" w:cs="Times New Roman"/>
          <w:b/>
          <w:bCs/>
          <w:spacing w:val="-2"/>
          <w:sz w:val="32"/>
          <w:szCs w:val="32"/>
          <w:highlight w:val="none"/>
          <w:lang w:val="en-US" w:eastAsia="zh-CN"/>
        </w:rPr>
        <w:t>深耕文旅品牌创建</w:t>
      </w:r>
      <w:r>
        <w:rPr>
          <w:rFonts w:hint="default" w:ascii="仿宋" w:hAnsi="仿宋" w:eastAsia="仿宋" w:cs="Times New Roman"/>
          <w:b/>
          <w:bCs/>
          <w:spacing w:val="-2"/>
          <w:sz w:val="32"/>
          <w:szCs w:val="32"/>
          <w:highlight w:val="none"/>
          <w:lang w:val="en-US" w:eastAsia="zh-CN"/>
        </w:rPr>
        <w:t>。</w:t>
      </w:r>
      <w:r>
        <w:rPr>
          <w:rFonts w:hint="eastAsia" w:ascii="仿宋" w:hAnsi="仿宋" w:eastAsia="仿宋" w:cs="Times New Roman"/>
          <w:b w:val="0"/>
          <w:bCs w:val="0"/>
          <w:spacing w:val="-2"/>
          <w:sz w:val="32"/>
          <w:szCs w:val="32"/>
          <w:highlight w:val="none"/>
          <w:lang w:val="en-US" w:eastAsia="zh-CN"/>
        </w:rPr>
        <w:t>在品牌打造上，</w:t>
      </w:r>
      <w:r>
        <w:rPr>
          <w:rFonts w:hint="default" w:ascii="仿宋" w:hAnsi="仿宋" w:eastAsia="仿宋" w:cs="Times New Roman"/>
          <w:b w:val="0"/>
          <w:bCs w:val="0"/>
          <w:spacing w:val="-2"/>
          <w:sz w:val="32"/>
          <w:szCs w:val="32"/>
          <w:highlight w:val="none"/>
          <w:lang w:val="en-US" w:eastAsia="zh-CN"/>
        </w:rPr>
        <w:t>推动荆坪古村</w:t>
      </w:r>
      <w:r>
        <w:rPr>
          <w:rFonts w:hint="eastAsia" w:ascii="仿宋" w:hAnsi="仿宋" w:eastAsia="仿宋" w:cs="Times New Roman"/>
          <w:b w:val="0"/>
          <w:bCs w:val="0"/>
          <w:spacing w:val="-2"/>
          <w:sz w:val="32"/>
          <w:szCs w:val="32"/>
          <w:highlight w:val="none"/>
          <w:lang w:val="en-US" w:eastAsia="zh-CN"/>
        </w:rPr>
        <w:t>、二酉山、</w:t>
      </w:r>
      <w:r>
        <w:rPr>
          <w:rFonts w:hint="default" w:ascii="仿宋" w:hAnsi="仿宋" w:eastAsia="仿宋" w:cs="Times New Roman"/>
          <w:b w:val="0"/>
          <w:bCs w:val="0"/>
          <w:spacing w:val="-2"/>
          <w:sz w:val="32"/>
          <w:szCs w:val="32"/>
          <w:highlight w:val="none"/>
          <w:lang w:val="en-US" w:eastAsia="zh-CN"/>
        </w:rPr>
        <w:t>高椅古村</w:t>
      </w:r>
      <w:r>
        <w:rPr>
          <w:rFonts w:hint="eastAsia" w:ascii="仿宋" w:hAnsi="仿宋" w:eastAsia="仿宋" w:cs="Times New Roman"/>
          <w:b w:val="0"/>
          <w:bCs w:val="0"/>
          <w:spacing w:val="-2"/>
          <w:sz w:val="32"/>
          <w:szCs w:val="32"/>
          <w:highlight w:val="none"/>
          <w:lang w:val="en-US" w:eastAsia="zh-CN"/>
        </w:rPr>
        <w:t>、</w:t>
      </w:r>
      <w:r>
        <w:rPr>
          <w:rFonts w:hint="default" w:ascii="仿宋" w:hAnsi="仿宋" w:eastAsia="仿宋" w:cs="Times New Roman"/>
          <w:b w:val="0"/>
          <w:bCs w:val="0"/>
          <w:spacing w:val="-2"/>
          <w:sz w:val="32"/>
          <w:szCs w:val="32"/>
          <w:highlight w:val="none"/>
          <w:lang w:val="en-US" w:eastAsia="zh-CN"/>
        </w:rPr>
        <w:t>大酉书院等4家景区</w:t>
      </w:r>
      <w:r>
        <w:rPr>
          <w:rFonts w:hint="eastAsia" w:ascii="仿宋" w:hAnsi="仿宋" w:eastAsia="仿宋" w:cs="Times New Roman"/>
          <w:b w:val="0"/>
          <w:bCs w:val="0"/>
          <w:spacing w:val="-2"/>
          <w:sz w:val="32"/>
          <w:szCs w:val="32"/>
          <w:highlight w:val="none"/>
          <w:lang w:val="en-US" w:eastAsia="zh-CN"/>
        </w:rPr>
        <w:t>创成</w:t>
      </w:r>
      <w:r>
        <w:rPr>
          <w:rFonts w:hint="default" w:ascii="仿宋" w:hAnsi="仿宋" w:eastAsia="仿宋" w:cs="Times New Roman"/>
          <w:b w:val="0"/>
          <w:bCs w:val="0"/>
          <w:spacing w:val="-2"/>
          <w:sz w:val="32"/>
          <w:szCs w:val="32"/>
          <w:highlight w:val="none"/>
          <w:lang w:val="en-US" w:eastAsia="zh-CN"/>
        </w:rPr>
        <w:t>国家4A级</w:t>
      </w:r>
      <w:r>
        <w:rPr>
          <w:rFonts w:hint="eastAsia" w:ascii="仿宋" w:hAnsi="仿宋" w:eastAsia="仿宋" w:cs="Times New Roman"/>
          <w:b w:val="0"/>
          <w:bCs w:val="0"/>
          <w:spacing w:val="-2"/>
          <w:sz w:val="32"/>
          <w:szCs w:val="32"/>
          <w:highlight w:val="none"/>
          <w:lang w:val="en-US" w:eastAsia="zh-CN"/>
        </w:rPr>
        <w:t>旅游景区</w:t>
      </w:r>
      <w:r>
        <w:rPr>
          <w:rFonts w:hint="default" w:ascii="仿宋" w:hAnsi="仿宋" w:eastAsia="仿宋" w:cs="Times New Roman"/>
          <w:b w:val="0"/>
          <w:bCs w:val="0"/>
          <w:spacing w:val="-2"/>
          <w:sz w:val="32"/>
          <w:szCs w:val="32"/>
          <w:highlight w:val="none"/>
          <w:lang w:val="en-US" w:eastAsia="zh-CN"/>
        </w:rPr>
        <w:t>，雪峰山成功入选第二批“世界旅游名山”</w:t>
      </w:r>
      <w:r>
        <w:rPr>
          <w:rFonts w:hint="eastAsia" w:ascii="仿宋" w:hAnsi="仿宋" w:eastAsia="仿宋" w:cs="Times New Roman"/>
          <w:b w:val="0"/>
          <w:bCs w:val="0"/>
          <w:spacing w:val="-2"/>
          <w:sz w:val="32"/>
          <w:szCs w:val="32"/>
          <w:highlight w:val="none"/>
          <w:lang w:val="en-US" w:eastAsia="zh-CN"/>
        </w:rPr>
        <w:t>，积极推动洪江古商城创5A；成功创建华泰凤凰、温德姆2家五星级酒店（实现零的突破）、4家四星级酒店、2家省级五星级民宿；</w:t>
      </w:r>
      <w:r>
        <w:rPr>
          <w:rFonts w:hint="default" w:ascii="仿宋" w:hAnsi="仿宋" w:eastAsia="仿宋" w:cs="Times New Roman"/>
          <w:b w:val="0"/>
          <w:bCs w:val="0"/>
          <w:spacing w:val="-2"/>
          <w:sz w:val="32"/>
          <w:szCs w:val="32"/>
          <w:highlight w:val="none"/>
          <w:lang w:val="en-US" w:eastAsia="zh-CN"/>
        </w:rPr>
        <w:t>通过“村BA”</w:t>
      </w:r>
      <w:r>
        <w:rPr>
          <w:rFonts w:hint="eastAsia" w:ascii="仿宋" w:hAnsi="仿宋" w:eastAsia="仿宋" w:cs="Times New Roman"/>
          <w:b w:val="0"/>
          <w:bCs w:val="0"/>
          <w:spacing w:val="-2"/>
          <w:sz w:val="32"/>
          <w:szCs w:val="32"/>
          <w:highlight w:val="none"/>
          <w:lang w:val="en-US" w:eastAsia="zh-CN"/>
        </w:rPr>
        <w:t>“龙舟赛”</w:t>
      </w:r>
      <w:r>
        <w:rPr>
          <w:rFonts w:hint="default" w:ascii="仿宋" w:hAnsi="仿宋" w:eastAsia="仿宋" w:cs="Times New Roman"/>
          <w:b w:val="0"/>
          <w:bCs w:val="0"/>
          <w:spacing w:val="-2"/>
          <w:sz w:val="32"/>
          <w:szCs w:val="32"/>
          <w:highlight w:val="none"/>
          <w:lang w:val="en-US" w:eastAsia="zh-CN"/>
        </w:rPr>
        <w:t>等</w:t>
      </w:r>
      <w:r>
        <w:rPr>
          <w:rFonts w:hint="eastAsia" w:ascii="仿宋" w:hAnsi="仿宋" w:eastAsia="仿宋" w:cs="Times New Roman"/>
          <w:b w:val="0"/>
          <w:bCs w:val="0"/>
          <w:spacing w:val="-2"/>
          <w:sz w:val="32"/>
          <w:szCs w:val="32"/>
          <w:highlight w:val="none"/>
          <w:lang w:val="en-US" w:eastAsia="zh-CN"/>
        </w:rPr>
        <w:t>群众</w:t>
      </w:r>
      <w:r>
        <w:rPr>
          <w:rFonts w:hint="default" w:ascii="仿宋" w:hAnsi="仿宋" w:eastAsia="仿宋" w:cs="Times New Roman"/>
          <w:b w:val="0"/>
          <w:bCs w:val="0"/>
          <w:spacing w:val="-2"/>
          <w:sz w:val="32"/>
          <w:szCs w:val="32"/>
          <w:highlight w:val="none"/>
          <w:lang w:val="en-US" w:eastAsia="zh-CN"/>
        </w:rPr>
        <w:t>赛事IP深化</w:t>
      </w:r>
      <w:r>
        <w:rPr>
          <w:rFonts w:hint="eastAsia" w:ascii="仿宋" w:hAnsi="仿宋" w:eastAsia="仿宋" w:cs="Times New Roman"/>
          <w:b w:val="0"/>
          <w:bCs w:val="0"/>
          <w:spacing w:val="-2"/>
          <w:sz w:val="32"/>
          <w:szCs w:val="32"/>
          <w:highlight w:val="none"/>
          <w:lang w:val="en-US" w:eastAsia="zh-CN"/>
        </w:rPr>
        <w:t>文旅</w:t>
      </w:r>
      <w:r>
        <w:rPr>
          <w:rFonts w:hint="default" w:ascii="仿宋" w:hAnsi="仿宋" w:eastAsia="仿宋" w:cs="Times New Roman"/>
          <w:b w:val="0"/>
          <w:bCs w:val="0"/>
          <w:spacing w:val="-2"/>
          <w:sz w:val="32"/>
          <w:szCs w:val="32"/>
          <w:highlight w:val="none"/>
          <w:lang w:val="en-US" w:eastAsia="zh-CN"/>
        </w:rPr>
        <w:t>商体融合</w:t>
      </w:r>
      <w:r>
        <w:rPr>
          <w:rFonts w:hint="eastAsia" w:ascii="仿宋" w:hAnsi="仿宋" w:eastAsia="仿宋" w:cs="Times New Roman"/>
          <w:b w:val="0"/>
          <w:bCs w:val="0"/>
          <w:spacing w:val="-2"/>
          <w:sz w:val="32"/>
          <w:szCs w:val="32"/>
          <w:highlight w:val="none"/>
          <w:lang w:val="en-US" w:eastAsia="zh-CN"/>
        </w:rPr>
        <w:t>，湘超怀化赛区获“2025湘超创意宣传推广奖”</w:t>
      </w:r>
      <w:r>
        <w:rPr>
          <w:rFonts w:hint="default" w:ascii="仿宋" w:hAnsi="仿宋" w:eastAsia="仿宋" w:cs="Times New Roman"/>
          <w:b w:val="0"/>
          <w:bCs w:val="0"/>
          <w:spacing w:val="-2"/>
          <w:sz w:val="32"/>
          <w:szCs w:val="32"/>
          <w:highlight w:val="none"/>
          <w:lang w:val="en-US" w:eastAsia="zh-CN"/>
        </w:rPr>
        <w:t>。在品牌推广上，依托第五届旅发大会出圈效应，以吉祥物“福满满”系列文创</w:t>
      </w:r>
      <w:r>
        <w:rPr>
          <w:rFonts w:hint="eastAsia" w:ascii="仿宋" w:hAnsi="仿宋" w:eastAsia="仿宋" w:cs="Times New Roman"/>
          <w:b w:val="0"/>
          <w:bCs w:val="0"/>
          <w:spacing w:val="-2"/>
          <w:sz w:val="32"/>
          <w:szCs w:val="32"/>
          <w:highlight w:val="none"/>
          <w:lang w:val="en-US" w:eastAsia="zh-CN"/>
        </w:rPr>
        <w:t>（获评湖南省文旅商品大赛金奖）</w:t>
      </w:r>
      <w:r>
        <w:rPr>
          <w:rFonts w:hint="default" w:ascii="仿宋" w:hAnsi="仿宋" w:eastAsia="仿宋" w:cs="Times New Roman"/>
          <w:b w:val="0"/>
          <w:bCs w:val="0"/>
          <w:spacing w:val="-2"/>
          <w:sz w:val="32"/>
          <w:szCs w:val="32"/>
          <w:highlight w:val="none"/>
          <w:lang w:val="en-US" w:eastAsia="zh-CN"/>
        </w:rPr>
        <w:t>、精品短视频、智慧自驾线路</w:t>
      </w:r>
      <w:r>
        <w:rPr>
          <w:rFonts w:hint="eastAsia" w:ascii="仿宋" w:hAnsi="仿宋" w:eastAsia="仿宋" w:cs="Times New Roman"/>
          <w:b w:val="0"/>
          <w:bCs w:val="0"/>
          <w:spacing w:val="-2"/>
          <w:sz w:val="32"/>
          <w:szCs w:val="32"/>
          <w:highlight w:val="none"/>
          <w:lang w:val="en-US" w:eastAsia="zh-CN"/>
        </w:rPr>
        <w:t>等</w:t>
      </w:r>
      <w:r>
        <w:rPr>
          <w:rFonts w:hint="default" w:ascii="仿宋" w:hAnsi="仿宋" w:eastAsia="仿宋" w:cs="Times New Roman"/>
          <w:b w:val="0"/>
          <w:bCs w:val="0"/>
          <w:spacing w:val="-2"/>
          <w:sz w:val="32"/>
          <w:szCs w:val="32"/>
          <w:highlight w:val="none"/>
          <w:lang w:val="en-US" w:eastAsia="zh-CN"/>
        </w:rPr>
        <w:t>引爆全网，央视《新闻联播》先后</w:t>
      </w:r>
      <w:r>
        <w:rPr>
          <w:rFonts w:hint="eastAsia" w:ascii="仿宋" w:hAnsi="仿宋" w:eastAsia="仿宋" w:cs="Times New Roman"/>
          <w:b w:val="0"/>
          <w:bCs w:val="0"/>
          <w:spacing w:val="-2"/>
          <w:sz w:val="32"/>
          <w:szCs w:val="32"/>
          <w:highlight w:val="none"/>
          <w:lang w:val="en-US" w:eastAsia="zh-CN"/>
        </w:rPr>
        <w:t>多次</w:t>
      </w:r>
      <w:r>
        <w:rPr>
          <w:rFonts w:hint="default" w:ascii="仿宋" w:hAnsi="仿宋" w:eastAsia="仿宋" w:cs="Times New Roman"/>
          <w:b w:val="0"/>
          <w:bCs w:val="0"/>
          <w:spacing w:val="-2"/>
          <w:sz w:val="32"/>
          <w:szCs w:val="32"/>
          <w:highlight w:val="none"/>
          <w:lang w:val="en-US" w:eastAsia="zh-CN"/>
        </w:rPr>
        <w:t>报道，实现总浏览量超380亿、媒体影响力指数创新高；依托“四季主题”</w:t>
      </w:r>
      <w:r>
        <w:rPr>
          <w:rFonts w:hint="eastAsia" w:ascii="仿宋" w:hAnsi="仿宋" w:eastAsia="仿宋" w:cs="Times New Roman"/>
          <w:b w:val="0"/>
          <w:bCs w:val="0"/>
          <w:spacing w:val="-2"/>
          <w:sz w:val="32"/>
          <w:szCs w:val="32"/>
          <w:highlight w:val="none"/>
          <w:lang w:val="en-US" w:eastAsia="zh-CN"/>
        </w:rPr>
        <w:t>营销</w:t>
      </w:r>
      <w:r>
        <w:rPr>
          <w:rFonts w:hint="default" w:ascii="仿宋" w:hAnsi="仿宋" w:eastAsia="仿宋" w:cs="Times New Roman"/>
          <w:b w:val="0"/>
          <w:bCs w:val="0"/>
          <w:spacing w:val="-2"/>
          <w:sz w:val="32"/>
          <w:szCs w:val="32"/>
          <w:highlight w:val="none"/>
          <w:lang w:val="en-US" w:eastAsia="zh-CN"/>
        </w:rPr>
        <w:t>矩阵和携程、</w:t>
      </w:r>
      <w:r>
        <w:rPr>
          <w:rFonts w:hint="eastAsia" w:ascii="仿宋" w:hAnsi="仿宋" w:eastAsia="仿宋" w:cs="Times New Roman"/>
          <w:b w:val="0"/>
          <w:bCs w:val="0"/>
          <w:spacing w:val="-2"/>
          <w:sz w:val="32"/>
          <w:szCs w:val="32"/>
          <w:highlight w:val="none"/>
          <w:lang w:val="en-US" w:eastAsia="zh-CN"/>
        </w:rPr>
        <w:t>同程等</w:t>
      </w:r>
      <w:r>
        <w:rPr>
          <w:rFonts w:hint="default" w:ascii="仿宋" w:hAnsi="仿宋" w:eastAsia="仿宋" w:cs="Times New Roman"/>
          <w:b w:val="0"/>
          <w:bCs w:val="0"/>
          <w:spacing w:val="-2"/>
          <w:sz w:val="32"/>
          <w:szCs w:val="32"/>
          <w:highlight w:val="none"/>
          <w:lang w:val="en-US" w:eastAsia="zh-CN"/>
        </w:rPr>
        <w:t>OTA平台深度合作，持续营造市场热度，推动国庆客流增速全省夺魁</w:t>
      </w:r>
      <w:r>
        <w:rPr>
          <w:rFonts w:hint="eastAsia" w:ascii="仿宋" w:hAnsi="仿宋" w:eastAsia="仿宋" w:cs="Times New Roman"/>
          <w:b w:val="0"/>
          <w:bCs w:val="0"/>
          <w:spacing w:val="-2"/>
          <w:sz w:val="32"/>
          <w:szCs w:val="32"/>
          <w:highlight w:val="none"/>
          <w:lang w:val="en-US" w:eastAsia="zh-CN"/>
        </w:rPr>
        <w:t>；共建大张家界国际旅游区建设，</w:t>
      </w:r>
      <w:r>
        <w:rPr>
          <w:rFonts w:hint="default" w:ascii="仿宋" w:hAnsi="仿宋" w:eastAsia="仿宋" w:cs="Times New Roman"/>
          <w:b w:val="0"/>
          <w:bCs w:val="0"/>
          <w:spacing w:val="-2"/>
          <w:sz w:val="32"/>
          <w:szCs w:val="32"/>
          <w:highlight w:val="none"/>
          <w:lang w:val="en-US" w:eastAsia="zh-CN"/>
        </w:rPr>
        <w:t>通过张吉怀</w:t>
      </w:r>
      <w:r>
        <w:rPr>
          <w:rFonts w:hint="eastAsia" w:ascii="仿宋" w:hAnsi="仿宋" w:eastAsia="仿宋" w:cs="Times New Roman"/>
          <w:b w:val="0"/>
          <w:bCs w:val="0"/>
          <w:spacing w:val="-2"/>
          <w:sz w:val="32"/>
          <w:szCs w:val="32"/>
          <w:highlight w:val="none"/>
          <w:lang w:val="en-US" w:eastAsia="zh-CN"/>
        </w:rPr>
        <w:t>旅游</w:t>
      </w:r>
      <w:r>
        <w:rPr>
          <w:rFonts w:hint="default" w:ascii="仿宋" w:hAnsi="仿宋" w:eastAsia="仿宋" w:cs="Times New Roman"/>
          <w:b w:val="0"/>
          <w:bCs w:val="0"/>
          <w:spacing w:val="-2"/>
          <w:sz w:val="32"/>
          <w:szCs w:val="32"/>
          <w:highlight w:val="none"/>
          <w:lang w:val="en-US" w:eastAsia="zh-CN"/>
        </w:rPr>
        <w:t>共同体、雪峰山联盟等区域协作机制，显著提升“福地怀化”在</w:t>
      </w:r>
      <w:r>
        <w:rPr>
          <w:rFonts w:hint="eastAsia" w:ascii="仿宋" w:hAnsi="仿宋" w:eastAsia="仿宋" w:cs="Times New Roman"/>
          <w:b w:val="0"/>
          <w:bCs w:val="0"/>
          <w:spacing w:val="-2"/>
          <w:sz w:val="32"/>
          <w:szCs w:val="32"/>
          <w:highlight w:val="none"/>
          <w:lang w:val="en-US" w:eastAsia="zh-CN"/>
        </w:rPr>
        <w:t>客源地市场</w:t>
      </w:r>
      <w:r>
        <w:rPr>
          <w:rFonts w:hint="default" w:ascii="仿宋" w:hAnsi="仿宋" w:eastAsia="仿宋" w:cs="Times New Roman"/>
          <w:b w:val="0"/>
          <w:bCs w:val="0"/>
          <w:spacing w:val="-2"/>
          <w:sz w:val="32"/>
          <w:szCs w:val="32"/>
          <w:highlight w:val="none"/>
          <w:lang w:val="en-US" w:eastAsia="zh-CN"/>
        </w:rPr>
        <w:t>的辐射与</w:t>
      </w:r>
      <w:r>
        <w:rPr>
          <w:rFonts w:hint="eastAsia" w:ascii="仿宋" w:hAnsi="仿宋" w:eastAsia="仿宋" w:cs="Times New Roman"/>
          <w:b w:val="0"/>
          <w:bCs w:val="0"/>
          <w:spacing w:val="-2"/>
          <w:sz w:val="32"/>
          <w:szCs w:val="32"/>
          <w:highlight w:val="none"/>
          <w:lang w:val="en-US" w:eastAsia="zh-CN"/>
        </w:rPr>
        <w:t>影响力</w:t>
      </w:r>
      <w:r>
        <w:rPr>
          <w:rFonts w:hint="default" w:ascii="仿宋" w:hAnsi="仿宋" w:eastAsia="仿宋" w:cs="Times New Roman"/>
          <w:b w:val="0"/>
          <w:bCs w:val="0"/>
          <w:spacing w:val="-2"/>
          <w:sz w:val="32"/>
          <w:szCs w:val="32"/>
          <w:highlight w:val="none"/>
          <w:lang w:val="en-US" w:eastAsia="zh-CN"/>
        </w:rPr>
        <w:t>。</w:t>
      </w:r>
    </w:p>
    <w:p w14:paraId="414D625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⑨</w:t>
      </w:r>
      <w:r>
        <w:rPr>
          <w:rFonts w:hint="eastAsia" w:ascii="仿宋" w:hAnsi="仿宋" w:eastAsia="仿宋" w:cs="Times New Roman"/>
          <w:b/>
          <w:bCs/>
          <w:spacing w:val="-2"/>
          <w:sz w:val="32"/>
          <w:szCs w:val="32"/>
          <w:highlight w:val="none"/>
          <w:lang w:val="en-US" w:eastAsia="zh-CN"/>
        </w:rPr>
        <w:t>全面提升</w:t>
      </w:r>
      <w:r>
        <w:rPr>
          <w:rFonts w:hint="default" w:ascii="仿宋" w:hAnsi="仿宋" w:eastAsia="仿宋" w:cs="Times New Roman"/>
          <w:b/>
          <w:bCs/>
          <w:spacing w:val="-2"/>
          <w:sz w:val="32"/>
          <w:szCs w:val="32"/>
          <w:highlight w:val="none"/>
          <w:lang w:val="en-US" w:eastAsia="zh-CN"/>
        </w:rPr>
        <w:t>体育工作。</w:t>
      </w:r>
      <w:r>
        <w:rPr>
          <w:rFonts w:hint="default" w:ascii="仿宋" w:hAnsi="仿宋" w:eastAsia="仿宋" w:cs="Times New Roman"/>
          <w:b w:val="0"/>
          <w:bCs w:val="0"/>
          <w:spacing w:val="-2"/>
          <w:sz w:val="32"/>
          <w:szCs w:val="32"/>
          <w:highlight w:val="none"/>
          <w:lang w:val="en-US" w:eastAsia="zh-CN"/>
        </w:rPr>
        <w:t>2025年，群众体育方面，全年举办群众赛事303场，参与超17万人次，规模与热度位居全省前列。品牌赛事提质显效，潇湘舞龙大赛、登山赛、全国排舞大赛、</w:t>
      </w:r>
      <w:r>
        <w:rPr>
          <w:rFonts w:hint="eastAsia" w:ascii="仿宋" w:hAnsi="仿宋" w:eastAsia="仿宋" w:cs="Times New Roman"/>
          <w:b w:val="0"/>
          <w:bCs w:val="0"/>
          <w:spacing w:val="-2"/>
          <w:sz w:val="32"/>
          <w:szCs w:val="32"/>
          <w:highlight w:val="none"/>
          <w:lang w:val="en-US" w:eastAsia="zh-CN"/>
        </w:rPr>
        <w:t>“怀BA”</w:t>
      </w:r>
      <w:r>
        <w:rPr>
          <w:rFonts w:hint="default" w:ascii="仿宋" w:hAnsi="仿宋" w:eastAsia="仿宋" w:cs="Times New Roman"/>
          <w:b w:val="0"/>
          <w:bCs w:val="0"/>
          <w:spacing w:val="-2"/>
          <w:sz w:val="32"/>
          <w:szCs w:val="32"/>
          <w:highlight w:val="none"/>
          <w:lang w:val="en-US" w:eastAsia="zh-CN"/>
        </w:rPr>
        <w:t>及传统龙舟赛等特色活动影响力持续扩大，实现体育竞技、全民健身与传统文化深度融合。</w:t>
      </w:r>
      <w:r>
        <w:rPr>
          <w:rFonts w:hint="eastAsia" w:ascii="仿宋" w:hAnsi="仿宋" w:eastAsia="仿宋" w:cs="Times New Roman"/>
          <w:b w:val="0"/>
          <w:bCs w:val="0"/>
          <w:spacing w:val="-2"/>
          <w:sz w:val="32"/>
          <w:szCs w:val="32"/>
          <w:highlight w:val="none"/>
          <w:lang w:val="en-US" w:eastAsia="zh-CN"/>
        </w:rPr>
        <w:t>竞技</w:t>
      </w:r>
      <w:r>
        <w:rPr>
          <w:rFonts w:hint="default" w:ascii="仿宋" w:hAnsi="仿宋" w:eastAsia="仿宋" w:cs="Times New Roman"/>
          <w:b w:val="0"/>
          <w:bCs w:val="0"/>
          <w:spacing w:val="-2"/>
          <w:sz w:val="32"/>
          <w:szCs w:val="32"/>
          <w:highlight w:val="none"/>
          <w:lang w:val="en-US" w:eastAsia="zh-CN"/>
        </w:rPr>
        <w:t>体育</w:t>
      </w:r>
      <w:r>
        <w:rPr>
          <w:rFonts w:hint="eastAsia" w:ascii="仿宋" w:hAnsi="仿宋" w:eastAsia="仿宋" w:cs="Times New Roman"/>
          <w:b w:val="0"/>
          <w:bCs w:val="0"/>
          <w:spacing w:val="-2"/>
          <w:sz w:val="32"/>
          <w:szCs w:val="32"/>
          <w:highlight w:val="none"/>
          <w:lang w:val="en-US" w:eastAsia="zh-CN"/>
        </w:rPr>
        <w:t>方面，</w:t>
      </w:r>
      <w:r>
        <w:rPr>
          <w:rFonts w:hint="default" w:ascii="仿宋" w:hAnsi="仿宋" w:eastAsia="仿宋" w:cs="Times New Roman"/>
          <w:b w:val="0"/>
          <w:bCs w:val="0"/>
          <w:spacing w:val="-2"/>
          <w:sz w:val="32"/>
          <w:szCs w:val="32"/>
          <w:highlight w:val="none"/>
          <w:lang w:val="en-US" w:eastAsia="zh-CN"/>
        </w:rPr>
        <w:t>坚守“育人为本、体育为基”，健全科学训练与人才输送机制，在第十五届全运会上，</w:t>
      </w:r>
      <w:r>
        <w:rPr>
          <w:rFonts w:hint="eastAsia" w:ascii="仿宋" w:hAnsi="仿宋" w:eastAsia="仿宋" w:cs="Times New Roman"/>
          <w:b w:val="0"/>
          <w:bCs w:val="0"/>
          <w:spacing w:val="-2"/>
          <w:sz w:val="32"/>
          <w:szCs w:val="32"/>
          <w:highlight w:val="none"/>
          <w:lang w:val="en-US" w:eastAsia="zh-CN"/>
        </w:rPr>
        <w:t>我市10名怀化籍运动员勇创佳绩，其中覃丽蓉斩获女子76公斤级举重银牌；杨定锴、杨程凯、廖家磊携手夺得体操男团银牌；王正行在羽毛球项目中收获男单、男团全国第四名等，充分展示了怀化的体育实力</w:t>
      </w:r>
      <w:r>
        <w:rPr>
          <w:rFonts w:hint="default" w:ascii="仿宋" w:hAnsi="仿宋" w:eastAsia="仿宋" w:cs="Times New Roman"/>
          <w:b w:val="0"/>
          <w:bCs w:val="0"/>
          <w:spacing w:val="-2"/>
          <w:sz w:val="32"/>
          <w:szCs w:val="32"/>
          <w:highlight w:val="none"/>
          <w:lang w:val="en-US" w:eastAsia="zh-CN"/>
        </w:rPr>
        <w:t>；在省级青少年锦标赛中，共参与29项比赛，收获36金35银49铜，皮划艇、射击等重点项目表现突出，彰显了“以赛促训、以赛选才”体系的扎实成效。</w:t>
      </w:r>
      <w:r>
        <w:rPr>
          <w:rFonts w:hint="eastAsia" w:ascii="仿宋" w:hAnsi="仿宋" w:eastAsia="仿宋" w:cs="Times New Roman"/>
          <w:b w:val="0"/>
          <w:bCs w:val="0"/>
          <w:spacing w:val="-2"/>
          <w:sz w:val="32"/>
          <w:szCs w:val="32"/>
          <w:highlight w:val="none"/>
          <w:lang w:val="en-US" w:eastAsia="zh-CN"/>
        </w:rPr>
        <w:t>成功举办第七届市运会，共设21个大项、388个小项，吸引3384名运动员参赛，项目设置、参赛人数均为历届之最。</w:t>
      </w:r>
    </w:p>
    <w:p w14:paraId="5A65101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⑩</w:t>
      </w:r>
      <w:r>
        <w:rPr>
          <w:rFonts w:hint="eastAsia" w:ascii="仿宋" w:hAnsi="仿宋" w:eastAsia="仿宋" w:cs="Times New Roman"/>
          <w:b/>
          <w:bCs/>
          <w:spacing w:val="-2"/>
          <w:sz w:val="32"/>
          <w:szCs w:val="32"/>
          <w:highlight w:val="none"/>
          <w:lang w:val="en-US" w:eastAsia="zh-CN"/>
        </w:rPr>
        <w:t>着力提升广电事业。</w:t>
      </w:r>
      <w:r>
        <w:rPr>
          <w:rFonts w:hint="eastAsia" w:ascii="仿宋" w:hAnsi="仿宋" w:eastAsia="仿宋" w:cs="Times New Roman"/>
          <w:b w:val="0"/>
          <w:bCs w:val="0"/>
          <w:spacing w:val="-2"/>
          <w:sz w:val="32"/>
          <w:szCs w:val="32"/>
          <w:highlight w:val="none"/>
          <w:lang w:val="en-US" w:eastAsia="zh-CN"/>
        </w:rPr>
        <w:t>强化事业支撑保障，保障高山台站运维，购置4K超高清电视转播车，落实应急广播等专项发展资金，筑牢广电发展硬支撑。全年12件广播影视作品荣获“湖南广播电视奖”、5件作品摘得“湖南新闻奖”，其中4件作品斩获一等奖。</w:t>
      </w:r>
    </w:p>
    <w:p w14:paraId="3FC5C6C6">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微软雅黑" w:hAnsi="微软雅黑" w:eastAsia="微软雅黑" w:cs="微软雅黑"/>
          <w:b w:val="0"/>
          <w:bCs w:val="0"/>
          <w:spacing w:val="-2"/>
          <w:sz w:val="32"/>
          <w:szCs w:val="32"/>
          <w:highlight w:val="none"/>
          <w:lang w:val="en-US" w:eastAsia="zh-CN"/>
        </w:rPr>
        <w:t>⑪</w:t>
      </w:r>
      <w:r>
        <w:rPr>
          <w:rFonts w:hint="eastAsia" w:ascii="仿宋" w:hAnsi="仿宋" w:eastAsia="仿宋" w:cs="Times New Roman"/>
          <w:b/>
          <w:bCs/>
          <w:spacing w:val="-2"/>
          <w:sz w:val="32"/>
          <w:szCs w:val="32"/>
          <w:highlight w:val="none"/>
          <w:lang w:val="en-US" w:eastAsia="zh-CN"/>
        </w:rPr>
        <w:t>扎实推进党建工作。</w:t>
      </w:r>
      <w:r>
        <w:rPr>
          <w:rFonts w:hint="eastAsia" w:ascii="仿宋" w:hAnsi="仿宋" w:eastAsia="仿宋" w:cs="Times New Roman"/>
          <w:b w:val="0"/>
          <w:bCs w:val="0"/>
          <w:spacing w:val="-2"/>
          <w:sz w:val="32"/>
          <w:szCs w:val="32"/>
          <w:highlight w:val="none"/>
          <w:lang w:val="en-US" w:eastAsia="zh-CN"/>
        </w:rPr>
        <w:t>班子成员履行“一岗双责”，带头研究解决党建工作重大问题，谋划指导党建重点工作，促进党建工作与业务工作同部署、同推进、同考核，深融合。指导基层党建规范开展，建立班子成员联系党支部制度，带头过好双重组织生活、开好组织生活会，指导各支部按规定开展“三会一课”。结合部门优势开展了党建助力乡村振兴、党建助力旅发等主题党日活动40余次，围绕第五届湖南旅游发展大会项目建设、会务接待、宣传推广等10余个领域设立党员责任区、组建“党员突击队”、“党员先锋岗”，开展“亮身份、当先锋、作表率”活动，深化打造文旅广体系统四强党支部。常态化持续开展“走找想促”，带头谋划研究、带头破解难题，在加快推动文旅广体事业产业高质量发展中彰显基层党建工作成效。扎实开展学习教育，局党组理论学习中心组开展专题读书班、研讨交流5次，带动全系统各级党组织开展学习研讨36次，讲微党课32次。强化警示教育，召开全系统警示教育会，深刻剖析违纪违</w:t>
      </w:r>
      <w:bookmarkStart w:id="0" w:name="_GoBack"/>
      <w:bookmarkEnd w:id="0"/>
      <w:r>
        <w:rPr>
          <w:rFonts w:hint="eastAsia" w:ascii="仿宋" w:hAnsi="仿宋" w:eastAsia="仿宋" w:cs="Times New Roman"/>
          <w:b w:val="0"/>
          <w:bCs w:val="0"/>
          <w:spacing w:val="-2"/>
          <w:sz w:val="32"/>
          <w:szCs w:val="32"/>
          <w:highlight w:val="none"/>
          <w:lang w:val="en-US" w:eastAsia="zh-CN"/>
        </w:rPr>
        <w:t>法典型案例。</w:t>
      </w:r>
    </w:p>
    <w:p w14:paraId="1153A489">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_GB2312" w:hAnsi="仿宋_GB2312" w:eastAsia="仿宋_GB2312" w:cs="仿宋_GB2312"/>
          <w:i w:val="0"/>
          <w:caps w:val="0"/>
          <w:color w:val="0F1115"/>
          <w:spacing w:val="0"/>
          <w:kern w:val="0"/>
          <w:sz w:val="36"/>
          <w:szCs w:val="36"/>
          <w:highlight w:val="none"/>
          <w:shd w:val="clear" w:color="auto" w:fill="FFFFFF"/>
          <w:lang w:val="en-US" w:eastAsia="zh-CN" w:bidi="ar"/>
        </w:rPr>
      </w:pPr>
      <w:r>
        <w:rPr>
          <w:rFonts w:hint="eastAsia" w:ascii="微软雅黑" w:hAnsi="微软雅黑" w:eastAsia="微软雅黑" w:cs="微软雅黑"/>
          <w:b w:val="0"/>
          <w:bCs w:val="0"/>
          <w:spacing w:val="-2"/>
          <w:sz w:val="32"/>
          <w:szCs w:val="32"/>
          <w:highlight w:val="none"/>
          <w:lang w:val="en-US" w:eastAsia="zh-CN"/>
        </w:rPr>
        <w:t>⑫</w:t>
      </w:r>
      <w:r>
        <w:rPr>
          <w:rFonts w:hint="eastAsia" w:ascii="仿宋" w:hAnsi="仿宋" w:eastAsia="仿宋" w:cs="Times New Roman"/>
          <w:b/>
          <w:bCs/>
          <w:spacing w:val="-2"/>
          <w:sz w:val="32"/>
          <w:szCs w:val="32"/>
          <w:highlight w:val="none"/>
          <w:lang w:val="en-US" w:eastAsia="zh-CN"/>
        </w:rPr>
        <w:t>持续推进法治化建设。</w:t>
      </w:r>
      <w:r>
        <w:rPr>
          <w:rFonts w:hint="eastAsia" w:ascii="仿宋" w:hAnsi="仿宋" w:eastAsia="仿宋" w:cs="Times New Roman"/>
          <w:b w:val="0"/>
          <w:bCs w:val="0"/>
          <w:spacing w:val="-2"/>
          <w:sz w:val="32"/>
          <w:szCs w:val="32"/>
          <w:highlight w:val="none"/>
          <w:lang w:val="en-US" w:eastAsia="zh-CN"/>
        </w:rPr>
        <w:t>全面贯彻法治建设顶层设计，制定年度法治、执法及普法工作要点，推动出台旅游营销奖励、产业高质量发展等政策。在执法方面，完善权力清单、检查计划及免罚轻罚清单等制度体系，规范自由裁量权；加强队伍培训，落实“三项制度”；持续开展行业乱象整治行动，今年已检查经营单位2200余家次，立案查处91起，无复议诉讼案件。同时，着力优化营商环境，规范涉企检查，开展专项整治；利用行业阵地开展“法治进文旅场馆”等普法活动，营造良好法治氛围。基本完成计划目标。</w:t>
      </w:r>
    </w:p>
    <w:p w14:paraId="1842273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（2）质量达标情况</w:t>
      </w:r>
    </w:p>
    <w:p w14:paraId="44F259F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达标完成率98%，完成计划目标。</w:t>
      </w:r>
    </w:p>
    <w:p w14:paraId="295D027F">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（3）完成及时情况</w:t>
      </w:r>
    </w:p>
    <w:p w14:paraId="58C08192">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2025年12月底之前完成，完成计划目标。</w:t>
      </w:r>
    </w:p>
    <w:p w14:paraId="0B960186">
      <w:pPr>
        <w:keepNext w:val="0"/>
        <w:keepLines w:val="0"/>
        <w:pageBreakBefore w:val="0"/>
        <w:widowControl w:val="0"/>
        <w:kinsoku/>
        <w:wordWrap/>
        <w:overflowPunct/>
        <w:topLinePunct w:val="0"/>
        <w:autoSpaceDE/>
        <w:autoSpaceDN/>
        <w:bidi w:val="0"/>
        <w:adjustRightInd/>
        <w:snapToGrid w:val="0"/>
        <w:spacing w:line="580" w:lineRule="exact"/>
        <w:ind w:firstLine="635" w:firstLineChars="200"/>
        <w:jc w:val="both"/>
        <w:textAlignment w:val="auto"/>
        <w:rPr>
          <w:rFonts w:hint="eastAsia" w:ascii="方正楷体_GB2312" w:hAnsi="方正楷体_GB2312" w:eastAsia="方正楷体_GB2312" w:cs="方正楷体_GB2312"/>
          <w:b/>
          <w:bCs/>
          <w:spacing w:val="-2"/>
          <w:sz w:val="32"/>
          <w:szCs w:val="32"/>
          <w:highlight w:val="none"/>
          <w:lang w:val="en-US" w:eastAsia="zh-CN"/>
        </w:rPr>
      </w:pPr>
      <w:r>
        <w:rPr>
          <w:rFonts w:hint="eastAsia" w:ascii="方正楷体_GB2312" w:hAnsi="方正楷体_GB2312" w:eastAsia="方正楷体_GB2312" w:cs="方正楷体_GB2312"/>
          <w:b/>
          <w:bCs/>
          <w:spacing w:val="-2"/>
          <w:sz w:val="32"/>
          <w:szCs w:val="32"/>
          <w:highlight w:val="none"/>
          <w:lang w:val="en-US" w:eastAsia="zh-CN"/>
        </w:rPr>
        <w:t>7.履职效益情况</w:t>
      </w:r>
    </w:p>
    <w:p w14:paraId="5516D54D">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（1）经济效益</w:t>
      </w:r>
    </w:p>
    <w:p w14:paraId="726A8C70">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color w:val="auto"/>
          <w:spacing w:val="-2"/>
          <w:sz w:val="32"/>
          <w:szCs w:val="32"/>
          <w:highlight w:val="none"/>
          <w:lang w:val="en-US" w:eastAsia="zh-CN"/>
        </w:rPr>
      </w:pPr>
      <w:r>
        <w:rPr>
          <w:rFonts w:hint="eastAsia" w:ascii="仿宋" w:hAnsi="仿宋" w:eastAsia="仿宋" w:cs="Times New Roman"/>
          <w:b w:val="0"/>
          <w:bCs w:val="0"/>
          <w:color w:val="auto"/>
          <w:spacing w:val="-2"/>
          <w:sz w:val="32"/>
          <w:szCs w:val="32"/>
          <w:highlight w:val="none"/>
          <w:lang w:val="en-US" w:eastAsia="zh-CN"/>
        </w:rPr>
        <w:t>深入推动文旅融合，全力以赴推进“旅游金三角”建设，完成计划目标。</w:t>
      </w:r>
    </w:p>
    <w:p w14:paraId="47E03C93">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（2）社会效益</w:t>
      </w:r>
    </w:p>
    <w:p w14:paraId="5F4ECF96">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推动本市文化、旅游、广电、体育的发展，为市民创造良好的生活环境，完成计划目标。</w:t>
      </w:r>
    </w:p>
    <w:p w14:paraId="30607C5B">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（3）可持续影响效益</w:t>
      </w:r>
    </w:p>
    <w:p w14:paraId="53443DB7">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推动全市文旅工作再上新台阶，完成计划目标。</w:t>
      </w:r>
    </w:p>
    <w:p w14:paraId="2578928C">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eastAsia"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（4）满意度</w:t>
      </w:r>
    </w:p>
    <w:p w14:paraId="68C84855">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仿宋" w:hAnsi="仿宋" w:eastAsia="仿宋" w:cs="Times New Roman"/>
          <w:b w:val="0"/>
          <w:bCs w:val="0"/>
          <w:spacing w:val="-2"/>
          <w:sz w:val="32"/>
          <w:szCs w:val="32"/>
          <w:highlight w:val="none"/>
          <w:lang w:val="en-US" w:eastAsia="zh-CN"/>
        </w:rPr>
      </w:pPr>
      <w:r>
        <w:rPr>
          <w:rFonts w:hint="eastAsia" w:ascii="仿宋" w:hAnsi="仿宋" w:eastAsia="仿宋" w:cs="Times New Roman"/>
          <w:b w:val="0"/>
          <w:bCs w:val="0"/>
          <w:spacing w:val="-2"/>
          <w:sz w:val="32"/>
          <w:szCs w:val="32"/>
          <w:highlight w:val="none"/>
          <w:lang w:val="en-US" w:eastAsia="zh-CN"/>
        </w:rPr>
        <w:t>社会公众满意度95%，完成计划目标。</w:t>
      </w:r>
    </w:p>
    <w:p w14:paraId="7943E2D7">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1CF84634">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政府采购预算管理欠规范。政府采购年初预算0万元，调整预算后实际执行3970.64万元，主要是政府采购项目均为年中追加项目资金，未能在年初预算中申报。</w:t>
      </w:r>
    </w:p>
    <w:p w14:paraId="706B799C">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eastAsia"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r>
        <w:rPr>
          <w:rFonts w:hint="eastAsia" w:ascii="仿宋" w:hAnsi="仿宋" w:eastAsia="仿宋" w:cs="Times New Roman"/>
          <w:b w:val="0"/>
          <w:bCs w:val="0"/>
          <w:spacing w:val="-2"/>
          <w:sz w:val="32"/>
          <w:szCs w:val="32"/>
          <w:highlight w:val="none"/>
          <w:lang w:val="en-US" w:eastAsia="zh-CN"/>
        </w:rPr>
        <w:t>　</w:t>
      </w:r>
    </w:p>
    <w:p w14:paraId="29FE127E">
      <w:pPr>
        <w:pStyle w:val="5"/>
        <w:keepNext w:val="0"/>
        <w:keepLines w:val="0"/>
        <w:pageBreakBefore w:val="0"/>
        <w:kinsoku/>
        <w:wordWrap/>
        <w:overflowPunct/>
        <w:topLinePunct w:val="0"/>
        <w:autoSpaceDE/>
        <w:autoSpaceDN/>
        <w:bidi w:val="0"/>
        <w:adjustRightInd/>
        <w:spacing w:line="580" w:lineRule="exact"/>
        <w:ind w:firstLine="632" w:firstLineChars="200"/>
        <w:jc w:val="both"/>
        <w:textAlignment w:val="auto"/>
        <w:rPr>
          <w:rFonts w:hint="default"/>
          <w:lang w:val="en-US" w:eastAsia="zh-CN"/>
        </w:rPr>
      </w:pPr>
      <w:r>
        <w:rPr>
          <w:rFonts w:hint="eastAsia" w:ascii="仿宋" w:hAnsi="仿宋" w:eastAsia="仿宋" w:cs="Times New Roman"/>
          <w:b w:val="0"/>
          <w:bCs w:val="0"/>
          <w:spacing w:val="-2"/>
          <w:kern w:val="2"/>
          <w:sz w:val="32"/>
          <w:szCs w:val="32"/>
          <w:highlight w:val="none"/>
          <w:lang w:val="en-US" w:eastAsia="zh-CN" w:bidi="ar-SA"/>
        </w:rPr>
        <w:t>着力增强预算</w:t>
      </w:r>
      <w:r>
        <w:rPr>
          <w:rFonts w:hint="eastAsia" w:ascii="仿宋" w:hAnsi="仿宋" w:eastAsia="仿宋" w:cs="Times New Roman"/>
          <w:b w:val="0"/>
          <w:bCs w:val="0"/>
          <w:spacing w:val="-2"/>
          <w:sz w:val="32"/>
          <w:szCs w:val="32"/>
          <w:lang w:val="en-US" w:eastAsia="zh-CN"/>
        </w:rPr>
        <w:t>编制的全面性、准确性，在做预算时，对确定的项目纳入年初预算管理，加强政府采购预算管理。</w:t>
      </w:r>
    </w:p>
    <w:p w14:paraId="6A2EBD79">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2A4EF1D9">
      <w:pPr>
        <w:keepNext w:val="0"/>
        <w:keepLines w:val="0"/>
        <w:pageBreakBefore w:val="0"/>
        <w:widowControl w:val="0"/>
        <w:kinsoku/>
        <w:wordWrap/>
        <w:overflowPunct/>
        <w:topLinePunct w:val="0"/>
        <w:autoSpaceDE/>
        <w:autoSpaceDN/>
        <w:bidi w:val="0"/>
        <w:adjustRightInd/>
        <w:snapToGrid w:val="0"/>
        <w:spacing w:line="580" w:lineRule="exact"/>
        <w:ind w:firstLine="632"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imes New Roman"/>
          <w:b w:val="0"/>
          <w:bCs w:val="0"/>
          <w:spacing w:val="-2"/>
          <w:sz w:val="32"/>
          <w:szCs w:val="32"/>
          <w:lang w:val="en-US" w:eastAsia="zh-CN"/>
        </w:rPr>
        <w:t>根据2025年本单位绩效自评结果进一步优化目标管理、改进履职效能、加强预算绩效管理等。绩效自评结果将按照怀化市财政局的要求，在相关网站予以公示。</w:t>
      </w:r>
    </w:p>
    <w:p w14:paraId="0D944C4B">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jc w:val="both"/>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60C864C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14:paraId="761C2CBE">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A24F62F">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0B257E3F">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095B56B9">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55D4652C">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7B4BD5C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4EB9E8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4004A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5A7F0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5F00CD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FF3F2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1FB74D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DBBB26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BBF6A3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C2262FB">
      <w:pPr>
        <w:rPr>
          <w:rFonts w:hint="eastAsia" w:ascii="Times New Roman" w:hAnsi="Times New Roman" w:eastAsia="仿宋_GB2312" w:cs="Times New Roman"/>
          <w:snapToGrid/>
          <w:color w:val="000000"/>
          <w:kern w:val="0"/>
          <w:sz w:val="24"/>
          <w:szCs w:val="24"/>
          <w:lang w:val="en-US" w:eastAsia="zh-CN" w:bidi="ar-SA"/>
        </w:rPr>
        <w:sectPr>
          <w:pgSz w:w="11906" w:h="16838"/>
          <w:pgMar w:top="2098" w:right="1800" w:bottom="1984" w:left="1587" w:header="851" w:footer="992" w:gutter="0"/>
          <w:cols w:space="425" w:num="1"/>
          <w:docGrid w:type="lines" w:linePitch="312" w:charSpace="0"/>
        </w:sectPr>
      </w:pPr>
    </w:p>
    <w:p w14:paraId="5D22C2AA">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3652B95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28B576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sectPr>
          <w:pgSz w:w="11906" w:h="16838"/>
          <w:pgMar w:top="2098" w:right="1800" w:bottom="1984" w:left="1587" w:header="851" w:footer="992" w:gutter="0"/>
          <w:cols w:space="425" w:num="1"/>
          <w:docGrid w:type="lines" w:linePitch="312" w:charSpace="0"/>
        </w:sectPr>
      </w:pPr>
    </w:p>
    <w:p w14:paraId="3A49F89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p w14:paraId="681E3C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1871F97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6838" w:h="11906" w:orient="landscape"/>
      <w:pgMar w:top="1587" w:right="2098" w:bottom="1800"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方正楷体_GB2312">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237A6E"/>
    <w:rsid w:val="004F73D2"/>
    <w:rsid w:val="00981326"/>
    <w:rsid w:val="00A6244D"/>
    <w:rsid w:val="00AC0C52"/>
    <w:rsid w:val="00C33E5A"/>
    <w:rsid w:val="00CF3752"/>
    <w:rsid w:val="00D03026"/>
    <w:rsid w:val="00DC6D34"/>
    <w:rsid w:val="00F05477"/>
    <w:rsid w:val="010A1120"/>
    <w:rsid w:val="01395BF5"/>
    <w:rsid w:val="013C690E"/>
    <w:rsid w:val="015B3238"/>
    <w:rsid w:val="01A52F74"/>
    <w:rsid w:val="01D24B39"/>
    <w:rsid w:val="02671768"/>
    <w:rsid w:val="027F321C"/>
    <w:rsid w:val="029562D6"/>
    <w:rsid w:val="02ED4364"/>
    <w:rsid w:val="02FC6355"/>
    <w:rsid w:val="03122727"/>
    <w:rsid w:val="0314369E"/>
    <w:rsid w:val="0323443A"/>
    <w:rsid w:val="032E3CF9"/>
    <w:rsid w:val="033755DF"/>
    <w:rsid w:val="03675440"/>
    <w:rsid w:val="03CE1E00"/>
    <w:rsid w:val="03E07A24"/>
    <w:rsid w:val="04074FB1"/>
    <w:rsid w:val="040D4DEB"/>
    <w:rsid w:val="045F303F"/>
    <w:rsid w:val="048246C2"/>
    <w:rsid w:val="04BF3ADE"/>
    <w:rsid w:val="04CD5D55"/>
    <w:rsid w:val="04E83035"/>
    <w:rsid w:val="04F664A4"/>
    <w:rsid w:val="04F75026"/>
    <w:rsid w:val="04FA4B16"/>
    <w:rsid w:val="05094D59"/>
    <w:rsid w:val="052120A3"/>
    <w:rsid w:val="054D733B"/>
    <w:rsid w:val="056A57F8"/>
    <w:rsid w:val="0580501B"/>
    <w:rsid w:val="058D14E6"/>
    <w:rsid w:val="05A10DC6"/>
    <w:rsid w:val="05C84C14"/>
    <w:rsid w:val="05CA273A"/>
    <w:rsid w:val="05E95AA6"/>
    <w:rsid w:val="05FE23E4"/>
    <w:rsid w:val="061816F7"/>
    <w:rsid w:val="06320490"/>
    <w:rsid w:val="064360F1"/>
    <w:rsid w:val="064A73D7"/>
    <w:rsid w:val="065B1F66"/>
    <w:rsid w:val="066A7A79"/>
    <w:rsid w:val="066E1982"/>
    <w:rsid w:val="06AE3E0A"/>
    <w:rsid w:val="06D01FD2"/>
    <w:rsid w:val="06EF7699"/>
    <w:rsid w:val="06FD08ED"/>
    <w:rsid w:val="07034156"/>
    <w:rsid w:val="070C4371"/>
    <w:rsid w:val="07140111"/>
    <w:rsid w:val="072639A0"/>
    <w:rsid w:val="07375BAD"/>
    <w:rsid w:val="07397B77"/>
    <w:rsid w:val="074C22BB"/>
    <w:rsid w:val="07830DF3"/>
    <w:rsid w:val="07A31495"/>
    <w:rsid w:val="07A5520D"/>
    <w:rsid w:val="07D17DB0"/>
    <w:rsid w:val="07D7113E"/>
    <w:rsid w:val="086E1AA3"/>
    <w:rsid w:val="08A54D99"/>
    <w:rsid w:val="08DF6F7A"/>
    <w:rsid w:val="093A7BD7"/>
    <w:rsid w:val="093C394F"/>
    <w:rsid w:val="09412D13"/>
    <w:rsid w:val="09552FEF"/>
    <w:rsid w:val="095A5B83"/>
    <w:rsid w:val="096E162E"/>
    <w:rsid w:val="09863BAB"/>
    <w:rsid w:val="09921B1B"/>
    <w:rsid w:val="09B47989"/>
    <w:rsid w:val="09B53BED"/>
    <w:rsid w:val="09C37BCC"/>
    <w:rsid w:val="0A115B97"/>
    <w:rsid w:val="0A222B45"/>
    <w:rsid w:val="0A646CF8"/>
    <w:rsid w:val="0A825391"/>
    <w:rsid w:val="0ACA0AE6"/>
    <w:rsid w:val="0ACE6829"/>
    <w:rsid w:val="0ADF4703"/>
    <w:rsid w:val="0AEE75C3"/>
    <w:rsid w:val="0B407F54"/>
    <w:rsid w:val="0BD240F7"/>
    <w:rsid w:val="0BD55995"/>
    <w:rsid w:val="0BEE4152"/>
    <w:rsid w:val="0C180A78"/>
    <w:rsid w:val="0C2F32F7"/>
    <w:rsid w:val="0C3B21D0"/>
    <w:rsid w:val="0C5A61DA"/>
    <w:rsid w:val="0C6311F3"/>
    <w:rsid w:val="0C8E39AF"/>
    <w:rsid w:val="0C9A5D4F"/>
    <w:rsid w:val="0CD10852"/>
    <w:rsid w:val="0CED45F7"/>
    <w:rsid w:val="0D020A0B"/>
    <w:rsid w:val="0D234873"/>
    <w:rsid w:val="0D276746"/>
    <w:rsid w:val="0D464D9C"/>
    <w:rsid w:val="0D584ACF"/>
    <w:rsid w:val="0D58687D"/>
    <w:rsid w:val="0D643474"/>
    <w:rsid w:val="0D892919"/>
    <w:rsid w:val="0DB24763"/>
    <w:rsid w:val="0DD52794"/>
    <w:rsid w:val="0DD71E98"/>
    <w:rsid w:val="0DDF2AFB"/>
    <w:rsid w:val="0DF95042"/>
    <w:rsid w:val="0E2B5D40"/>
    <w:rsid w:val="0E956870"/>
    <w:rsid w:val="0EAF5039"/>
    <w:rsid w:val="0EC046DA"/>
    <w:rsid w:val="0EE3661B"/>
    <w:rsid w:val="0EE77EB9"/>
    <w:rsid w:val="0F2F1860"/>
    <w:rsid w:val="0F492922"/>
    <w:rsid w:val="0F8543FD"/>
    <w:rsid w:val="0F8959CB"/>
    <w:rsid w:val="0F8B53FA"/>
    <w:rsid w:val="0F8C6CB2"/>
    <w:rsid w:val="0F9F69E6"/>
    <w:rsid w:val="0FA57681"/>
    <w:rsid w:val="0FBF0E36"/>
    <w:rsid w:val="0FF8479A"/>
    <w:rsid w:val="101757DB"/>
    <w:rsid w:val="10246EEB"/>
    <w:rsid w:val="105F7F23"/>
    <w:rsid w:val="10741C20"/>
    <w:rsid w:val="10795489"/>
    <w:rsid w:val="10C666A5"/>
    <w:rsid w:val="113C0382"/>
    <w:rsid w:val="11567578"/>
    <w:rsid w:val="11FA6155"/>
    <w:rsid w:val="1223366A"/>
    <w:rsid w:val="12266F4A"/>
    <w:rsid w:val="12647A72"/>
    <w:rsid w:val="127E3C6B"/>
    <w:rsid w:val="12990A14"/>
    <w:rsid w:val="12C16C73"/>
    <w:rsid w:val="12D93FBD"/>
    <w:rsid w:val="12EE01CF"/>
    <w:rsid w:val="12F2507E"/>
    <w:rsid w:val="13426006"/>
    <w:rsid w:val="137F4B64"/>
    <w:rsid w:val="13985C26"/>
    <w:rsid w:val="139F6FB4"/>
    <w:rsid w:val="13D80718"/>
    <w:rsid w:val="13E40E6B"/>
    <w:rsid w:val="141554C8"/>
    <w:rsid w:val="14327E28"/>
    <w:rsid w:val="143516C6"/>
    <w:rsid w:val="143877FD"/>
    <w:rsid w:val="144C7353"/>
    <w:rsid w:val="14665D24"/>
    <w:rsid w:val="149017FB"/>
    <w:rsid w:val="14A84956"/>
    <w:rsid w:val="14B80712"/>
    <w:rsid w:val="15187863"/>
    <w:rsid w:val="15202377"/>
    <w:rsid w:val="154775F6"/>
    <w:rsid w:val="1572119D"/>
    <w:rsid w:val="158F12AA"/>
    <w:rsid w:val="15A85EC8"/>
    <w:rsid w:val="15A9236C"/>
    <w:rsid w:val="15D942D4"/>
    <w:rsid w:val="15E909BB"/>
    <w:rsid w:val="16184DFC"/>
    <w:rsid w:val="161D0E57"/>
    <w:rsid w:val="16481B85"/>
    <w:rsid w:val="164E081E"/>
    <w:rsid w:val="166718DF"/>
    <w:rsid w:val="168E1562"/>
    <w:rsid w:val="16930926"/>
    <w:rsid w:val="16BF65B3"/>
    <w:rsid w:val="17017F86"/>
    <w:rsid w:val="1706559C"/>
    <w:rsid w:val="170867EA"/>
    <w:rsid w:val="170A0BE8"/>
    <w:rsid w:val="17123F41"/>
    <w:rsid w:val="172F4AE2"/>
    <w:rsid w:val="17781291"/>
    <w:rsid w:val="17A10E21"/>
    <w:rsid w:val="17A265CE"/>
    <w:rsid w:val="17BD20FF"/>
    <w:rsid w:val="17F35B20"/>
    <w:rsid w:val="17FCFFF6"/>
    <w:rsid w:val="18510A99"/>
    <w:rsid w:val="18647688"/>
    <w:rsid w:val="18697B91"/>
    <w:rsid w:val="187A1D9E"/>
    <w:rsid w:val="18872FBE"/>
    <w:rsid w:val="18E35B95"/>
    <w:rsid w:val="193957B5"/>
    <w:rsid w:val="195425EF"/>
    <w:rsid w:val="195C5947"/>
    <w:rsid w:val="19662322"/>
    <w:rsid w:val="19D61256"/>
    <w:rsid w:val="19E805B2"/>
    <w:rsid w:val="19EF056A"/>
    <w:rsid w:val="19F636A6"/>
    <w:rsid w:val="19FB6D59"/>
    <w:rsid w:val="1A02029D"/>
    <w:rsid w:val="1A444411"/>
    <w:rsid w:val="1A731CAD"/>
    <w:rsid w:val="1A7647E7"/>
    <w:rsid w:val="1A932D34"/>
    <w:rsid w:val="1A951111"/>
    <w:rsid w:val="1AB772D9"/>
    <w:rsid w:val="1ADC1DF2"/>
    <w:rsid w:val="1AE256A7"/>
    <w:rsid w:val="1AF35E37"/>
    <w:rsid w:val="1B080547"/>
    <w:rsid w:val="1B0B13D3"/>
    <w:rsid w:val="1B14193F"/>
    <w:rsid w:val="1B2D30F7"/>
    <w:rsid w:val="1B430B6D"/>
    <w:rsid w:val="1B9F38C9"/>
    <w:rsid w:val="1BC670A8"/>
    <w:rsid w:val="1C0E42E1"/>
    <w:rsid w:val="1C22699F"/>
    <w:rsid w:val="1C295FB5"/>
    <w:rsid w:val="1C422BD3"/>
    <w:rsid w:val="1C5172BA"/>
    <w:rsid w:val="1C67088B"/>
    <w:rsid w:val="1C744D1F"/>
    <w:rsid w:val="1CBF872E"/>
    <w:rsid w:val="1CC96E50"/>
    <w:rsid w:val="1CE343B6"/>
    <w:rsid w:val="1D0460DA"/>
    <w:rsid w:val="1D352737"/>
    <w:rsid w:val="1D7019C1"/>
    <w:rsid w:val="1D70376F"/>
    <w:rsid w:val="1D864D41"/>
    <w:rsid w:val="1D9C6312"/>
    <w:rsid w:val="1DA84CB7"/>
    <w:rsid w:val="1DDE2DCF"/>
    <w:rsid w:val="1E162569"/>
    <w:rsid w:val="1E245501"/>
    <w:rsid w:val="1E340C41"/>
    <w:rsid w:val="1E432C32"/>
    <w:rsid w:val="1E5B441F"/>
    <w:rsid w:val="1EE937D9"/>
    <w:rsid w:val="1F4B7FF0"/>
    <w:rsid w:val="1F525822"/>
    <w:rsid w:val="1F6D23E9"/>
    <w:rsid w:val="1F884DA0"/>
    <w:rsid w:val="1FBE07C2"/>
    <w:rsid w:val="1FED72F9"/>
    <w:rsid w:val="201605FE"/>
    <w:rsid w:val="20254CE5"/>
    <w:rsid w:val="202B4327"/>
    <w:rsid w:val="20866C6D"/>
    <w:rsid w:val="20CB6FEE"/>
    <w:rsid w:val="20D81D57"/>
    <w:rsid w:val="20DE6C42"/>
    <w:rsid w:val="20EC75B1"/>
    <w:rsid w:val="211A6786"/>
    <w:rsid w:val="213571AA"/>
    <w:rsid w:val="21BC51D5"/>
    <w:rsid w:val="21C66054"/>
    <w:rsid w:val="21D267A7"/>
    <w:rsid w:val="21FA73E0"/>
    <w:rsid w:val="2220456F"/>
    <w:rsid w:val="2223038E"/>
    <w:rsid w:val="22437BC1"/>
    <w:rsid w:val="22464B69"/>
    <w:rsid w:val="22644F98"/>
    <w:rsid w:val="22715FC0"/>
    <w:rsid w:val="228F4698"/>
    <w:rsid w:val="22B934C3"/>
    <w:rsid w:val="22C02AA3"/>
    <w:rsid w:val="22F34C27"/>
    <w:rsid w:val="22FE234B"/>
    <w:rsid w:val="23176536"/>
    <w:rsid w:val="23243032"/>
    <w:rsid w:val="234C1366"/>
    <w:rsid w:val="2375388E"/>
    <w:rsid w:val="23825FAA"/>
    <w:rsid w:val="23D36806"/>
    <w:rsid w:val="24412260"/>
    <w:rsid w:val="24786393"/>
    <w:rsid w:val="24861ACA"/>
    <w:rsid w:val="24C24B6D"/>
    <w:rsid w:val="24D07F8B"/>
    <w:rsid w:val="24EE7D9B"/>
    <w:rsid w:val="24FF3D57"/>
    <w:rsid w:val="252823D4"/>
    <w:rsid w:val="2536631F"/>
    <w:rsid w:val="259326F1"/>
    <w:rsid w:val="25BA5ED0"/>
    <w:rsid w:val="25CD1194"/>
    <w:rsid w:val="260B2287"/>
    <w:rsid w:val="26263565"/>
    <w:rsid w:val="264D6D44"/>
    <w:rsid w:val="26976211"/>
    <w:rsid w:val="26BE554B"/>
    <w:rsid w:val="27577AEE"/>
    <w:rsid w:val="276205CD"/>
    <w:rsid w:val="27666557"/>
    <w:rsid w:val="277B168E"/>
    <w:rsid w:val="277E6F02"/>
    <w:rsid w:val="27AB3D22"/>
    <w:rsid w:val="27BA5D13"/>
    <w:rsid w:val="27E64D5A"/>
    <w:rsid w:val="27F12237"/>
    <w:rsid w:val="27FC27CF"/>
    <w:rsid w:val="283261F1"/>
    <w:rsid w:val="28814A83"/>
    <w:rsid w:val="28887BBF"/>
    <w:rsid w:val="289724F8"/>
    <w:rsid w:val="28B5472C"/>
    <w:rsid w:val="28BE5F53"/>
    <w:rsid w:val="28BF3AB9"/>
    <w:rsid w:val="28C11323"/>
    <w:rsid w:val="28CD1A76"/>
    <w:rsid w:val="28D17B5A"/>
    <w:rsid w:val="29761C7A"/>
    <w:rsid w:val="299535FE"/>
    <w:rsid w:val="29990575"/>
    <w:rsid w:val="2A005E7B"/>
    <w:rsid w:val="2A3C2D06"/>
    <w:rsid w:val="2A4346E5"/>
    <w:rsid w:val="2A465F84"/>
    <w:rsid w:val="2A4E1E0C"/>
    <w:rsid w:val="2A5E32CD"/>
    <w:rsid w:val="2AB078A1"/>
    <w:rsid w:val="2AD4461E"/>
    <w:rsid w:val="2AF163C6"/>
    <w:rsid w:val="2AF6742D"/>
    <w:rsid w:val="2B5E2B0A"/>
    <w:rsid w:val="2B876854"/>
    <w:rsid w:val="2B9351F9"/>
    <w:rsid w:val="2BD2786C"/>
    <w:rsid w:val="2BE75544"/>
    <w:rsid w:val="2BEB6DE3"/>
    <w:rsid w:val="2C136339"/>
    <w:rsid w:val="2C1B6F9C"/>
    <w:rsid w:val="2C3D5164"/>
    <w:rsid w:val="2C4209CD"/>
    <w:rsid w:val="2C736DD8"/>
    <w:rsid w:val="2C8A1F91"/>
    <w:rsid w:val="2CC6515A"/>
    <w:rsid w:val="2D0B1B07"/>
    <w:rsid w:val="2D550D9D"/>
    <w:rsid w:val="2D5609A1"/>
    <w:rsid w:val="2D7E3C87"/>
    <w:rsid w:val="2D8F19F0"/>
    <w:rsid w:val="2DB05DB4"/>
    <w:rsid w:val="2DB651CE"/>
    <w:rsid w:val="2DC07DFB"/>
    <w:rsid w:val="2DDB4C35"/>
    <w:rsid w:val="2E4E3659"/>
    <w:rsid w:val="2E7330BF"/>
    <w:rsid w:val="2E7A444E"/>
    <w:rsid w:val="2ED55B28"/>
    <w:rsid w:val="2EE47CE6"/>
    <w:rsid w:val="2F081A5A"/>
    <w:rsid w:val="2F285C58"/>
    <w:rsid w:val="2F2F1519"/>
    <w:rsid w:val="2F3740ED"/>
    <w:rsid w:val="2F4800A8"/>
    <w:rsid w:val="2F9432ED"/>
    <w:rsid w:val="2FAF45CB"/>
    <w:rsid w:val="2FC00586"/>
    <w:rsid w:val="2FCE2CA3"/>
    <w:rsid w:val="2FE7130D"/>
    <w:rsid w:val="2FE73D65"/>
    <w:rsid w:val="30000983"/>
    <w:rsid w:val="300A71FD"/>
    <w:rsid w:val="3029612C"/>
    <w:rsid w:val="305D4027"/>
    <w:rsid w:val="3069477A"/>
    <w:rsid w:val="30872E52"/>
    <w:rsid w:val="308912BB"/>
    <w:rsid w:val="308A649E"/>
    <w:rsid w:val="308B2AF5"/>
    <w:rsid w:val="310E70CF"/>
    <w:rsid w:val="311B7876"/>
    <w:rsid w:val="311C7A3E"/>
    <w:rsid w:val="312A2265"/>
    <w:rsid w:val="31350B00"/>
    <w:rsid w:val="313F372D"/>
    <w:rsid w:val="314B20D2"/>
    <w:rsid w:val="315947EF"/>
    <w:rsid w:val="315B6967"/>
    <w:rsid w:val="31AF08B2"/>
    <w:rsid w:val="31E27428"/>
    <w:rsid w:val="322243BA"/>
    <w:rsid w:val="326E7E26"/>
    <w:rsid w:val="32863051"/>
    <w:rsid w:val="32A323C5"/>
    <w:rsid w:val="32AC6BA0"/>
    <w:rsid w:val="32C043F9"/>
    <w:rsid w:val="32E12CEE"/>
    <w:rsid w:val="32E52C8C"/>
    <w:rsid w:val="32E64191"/>
    <w:rsid w:val="32FF361A"/>
    <w:rsid w:val="333828C9"/>
    <w:rsid w:val="333F3E43"/>
    <w:rsid w:val="33492641"/>
    <w:rsid w:val="33661445"/>
    <w:rsid w:val="33A8380B"/>
    <w:rsid w:val="33D22636"/>
    <w:rsid w:val="340E7297"/>
    <w:rsid w:val="345F7C68"/>
    <w:rsid w:val="348E2A01"/>
    <w:rsid w:val="3498562E"/>
    <w:rsid w:val="349F0B4A"/>
    <w:rsid w:val="34A73AC3"/>
    <w:rsid w:val="34B166F0"/>
    <w:rsid w:val="34B61205"/>
    <w:rsid w:val="34BB30CA"/>
    <w:rsid w:val="34BF705E"/>
    <w:rsid w:val="34DD1293"/>
    <w:rsid w:val="35123632"/>
    <w:rsid w:val="35235196"/>
    <w:rsid w:val="35584DBD"/>
    <w:rsid w:val="356212CA"/>
    <w:rsid w:val="35661288"/>
    <w:rsid w:val="35BD08B1"/>
    <w:rsid w:val="35C866C4"/>
    <w:rsid w:val="35F20D6E"/>
    <w:rsid w:val="35F740D1"/>
    <w:rsid w:val="36050AA1"/>
    <w:rsid w:val="362353CB"/>
    <w:rsid w:val="36401AD9"/>
    <w:rsid w:val="366F6862"/>
    <w:rsid w:val="368E4F3A"/>
    <w:rsid w:val="36A45002"/>
    <w:rsid w:val="36DD557A"/>
    <w:rsid w:val="36FC0F5D"/>
    <w:rsid w:val="373553B6"/>
    <w:rsid w:val="37390631"/>
    <w:rsid w:val="375773F8"/>
    <w:rsid w:val="378254C0"/>
    <w:rsid w:val="37A341A5"/>
    <w:rsid w:val="37E76AA3"/>
    <w:rsid w:val="37EB7A11"/>
    <w:rsid w:val="37F963E3"/>
    <w:rsid w:val="38196A86"/>
    <w:rsid w:val="383340DB"/>
    <w:rsid w:val="385201EA"/>
    <w:rsid w:val="387B642C"/>
    <w:rsid w:val="388A1731"/>
    <w:rsid w:val="38983E4E"/>
    <w:rsid w:val="38BD1B07"/>
    <w:rsid w:val="38DF7CCF"/>
    <w:rsid w:val="38E40B68"/>
    <w:rsid w:val="390C2146"/>
    <w:rsid w:val="391E1E7A"/>
    <w:rsid w:val="393E32BB"/>
    <w:rsid w:val="39641F82"/>
    <w:rsid w:val="397B107A"/>
    <w:rsid w:val="398B39B3"/>
    <w:rsid w:val="39CC2A82"/>
    <w:rsid w:val="39E42618"/>
    <w:rsid w:val="3A217C55"/>
    <w:rsid w:val="3A231E3E"/>
    <w:rsid w:val="3A3F02FA"/>
    <w:rsid w:val="3A5222C0"/>
    <w:rsid w:val="3A543DA5"/>
    <w:rsid w:val="3A742699"/>
    <w:rsid w:val="3A7E7074"/>
    <w:rsid w:val="3AC97FC5"/>
    <w:rsid w:val="3AEF7F72"/>
    <w:rsid w:val="3AF410E4"/>
    <w:rsid w:val="3B0C06CA"/>
    <w:rsid w:val="3B2E2848"/>
    <w:rsid w:val="3B4E2EEA"/>
    <w:rsid w:val="3B54214A"/>
    <w:rsid w:val="3B626996"/>
    <w:rsid w:val="3B627E58"/>
    <w:rsid w:val="3BAB4D14"/>
    <w:rsid w:val="3BAE1BDB"/>
    <w:rsid w:val="3BC96A15"/>
    <w:rsid w:val="3BD258C9"/>
    <w:rsid w:val="3BD50F16"/>
    <w:rsid w:val="3C0C0F72"/>
    <w:rsid w:val="3C17152E"/>
    <w:rsid w:val="3C406CD7"/>
    <w:rsid w:val="3C5738CA"/>
    <w:rsid w:val="3C7626F9"/>
    <w:rsid w:val="3C771A96"/>
    <w:rsid w:val="3CBB45AF"/>
    <w:rsid w:val="3CBF5299"/>
    <w:rsid w:val="3CC64D02"/>
    <w:rsid w:val="3CE50942"/>
    <w:rsid w:val="3CFE26EE"/>
    <w:rsid w:val="3D606F05"/>
    <w:rsid w:val="3D7F13EA"/>
    <w:rsid w:val="3DB66B25"/>
    <w:rsid w:val="3DC254CA"/>
    <w:rsid w:val="3DD35929"/>
    <w:rsid w:val="3DDF607B"/>
    <w:rsid w:val="3DF00289"/>
    <w:rsid w:val="3E1A5306"/>
    <w:rsid w:val="3E3068D7"/>
    <w:rsid w:val="3E4E4FAF"/>
    <w:rsid w:val="3E962575"/>
    <w:rsid w:val="3EB017C6"/>
    <w:rsid w:val="3EB23790"/>
    <w:rsid w:val="3EFDDE87"/>
    <w:rsid w:val="3F051B12"/>
    <w:rsid w:val="3F0A331A"/>
    <w:rsid w:val="3F143D5A"/>
    <w:rsid w:val="3F23643C"/>
    <w:rsid w:val="3F485DF7"/>
    <w:rsid w:val="3F8A0269"/>
    <w:rsid w:val="3FE060DB"/>
    <w:rsid w:val="403D52DB"/>
    <w:rsid w:val="403F2E01"/>
    <w:rsid w:val="404F780F"/>
    <w:rsid w:val="40567DDD"/>
    <w:rsid w:val="406E7B8B"/>
    <w:rsid w:val="40C357E1"/>
    <w:rsid w:val="40CF23D7"/>
    <w:rsid w:val="410A4020"/>
    <w:rsid w:val="41210759"/>
    <w:rsid w:val="416E7E42"/>
    <w:rsid w:val="418331C2"/>
    <w:rsid w:val="419B2857"/>
    <w:rsid w:val="41A213BA"/>
    <w:rsid w:val="41AA4BF2"/>
    <w:rsid w:val="41D71DA8"/>
    <w:rsid w:val="41F36599"/>
    <w:rsid w:val="421D3616"/>
    <w:rsid w:val="42376048"/>
    <w:rsid w:val="42B60ED1"/>
    <w:rsid w:val="42C65A5C"/>
    <w:rsid w:val="42CB4E20"/>
    <w:rsid w:val="43041137"/>
    <w:rsid w:val="430622FC"/>
    <w:rsid w:val="435C1F1C"/>
    <w:rsid w:val="43692CFC"/>
    <w:rsid w:val="43851473"/>
    <w:rsid w:val="438F22F2"/>
    <w:rsid w:val="440700DA"/>
    <w:rsid w:val="441F3676"/>
    <w:rsid w:val="443469F5"/>
    <w:rsid w:val="443D71B3"/>
    <w:rsid w:val="444301AF"/>
    <w:rsid w:val="446E63AB"/>
    <w:rsid w:val="44775260"/>
    <w:rsid w:val="44922645"/>
    <w:rsid w:val="4496320C"/>
    <w:rsid w:val="44BA2BAC"/>
    <w:rsid w:val="44C818B0"/>
    <w:rsid w:val="45142418"/>
    <w:rsid w:val="45510743"/>
    <w:rsid w:val="45CA5863"/>
    <w:rsid w:val="460F14C8"/>
    <w:rsid w:val="4629258A"/>
    <w:rsid w:val="462D06BA"/>
    <w:rsid w:val="466E218B"/>
    <w:rsid w:val="469B0FAE"/>
    <w:rsid w:val="469F0A9E"/>
    <w:rsid w:val="46C202E8"/>
    <w:rsid w:val="46C93D6D"/>
    <w:rsid w:val="46E66846"/>
    <w:rsid w:val="46E86CDC"/>
    <w:rsid w:val="47094169"/>
    <w:rsid w:val="47273729"/>
    <w:rsid w:val="474D22A8"/>
    <w:rsid w:val="474E03E1"/>
    <w:rsid w:val="478E6FE7"/>
    <w:rsid w:val="47A30627"/>
    <w:rsid w:val="47BE4F54"/>
    <w:rsid w:val="47EF1F72"/>
    <w:rsid w:val="47FE1A9F"/>
    <w:rsid w:val="480037BE"/>
    <w:rsid w:val="48066B36"/>
    <w:rsid w:val="481111F8"/>
    <w:rsid w:val="482D3841"/>
    <w:rsid w:val="4850658B"/>
    <w:rsid w:val="489D725F"/>
    <w:rsid w:val="48BB735E"/>
    <w:rsid w:val="48BD16AF"/>
    <w:rsid w:val="48C447EC"/>
    <w:rsid w:val="48DD765B"/>
    <w:rsid w:val="49060960"/>
    <w:rsid w:val="490B241B"/>
    <w:rsid w:val="49341D31"/>
    <w:rsid w:val="49372214"/>
    <w:rsid w:val="49956188"/>
    <w:rsid w:val="49A164A8"/>
    <w:rsid w:val="49D63469"/>
    <w:rsid w:val="49F41101"/>
    <w:rsid w:val="4A1277D9"/>
    <w:rsid w:val="4A3414FD"/>
    <w:rsid w:val="4A525E27"/>
    <w:rsid w:val="4A834233"/>
    <w:rsid w:val="4A9621B8"/>
    <w:rsid w:val="4A965D14"/>
    <w:rsid w:val="4AAE12AF"/>
    <w:rsid w:val="4AAE558F"/>
    <w:rsid w:val="4AE478DC"/>
    <w:rsid w:val="4AEB1295"/>
    <w:rsid w:val="4AF313B8"/>
    <w:rsid w:val="4AF77118"/>
    <w:rsid w:val="4B1672A7"/>
    <w:rsid w:val="4B1732F9"/>
    <w:rsid w:val="4B1A06F3"/>
    <w:rsid w:val="4B4C5CA0"/>
    <w:rsid w:val="4B69167A"/>
    <w:rsid w:val="4B95246F"/>
    <w:rsid w:val="4BBE31C1"/>
    <w:rsid w:val="4C371778"/>
    <w:rsid w:val="4C4A14AC"/>
    <w:rsid w:val="4C6611ED"/>
    <w:rsid w:val="4CA23096"/>
    <w:rsid w:val="4D0D007D"/>
    <w:rsid w:val="4D3677B0"/>
    <w:rsid w:val="4D3D1D62"/>
    <w:rsid w:val="4D5048A0"/>
    <w:rsid w:val="4D5D3BD3"/>
    <w:rsid w:val="4D752558"/>
    <w:rsid w:val="4D77007F"/>
    <w:rsid w:val="4D907392"/>
    <w:rsid w:val="4DA0041D"/>
    <w:rsid w:val="4DB210B7"/>
    <w:rsid w:val="4E1F651F"/>
    <w:rsid w:val="4E3E2D7A"/>
    <w:rsid w:val="4E4A5793"/>
    <w:rsid w:val="4E5A52AA"/>
    <w:rsid w:val="4EA22613"/>
    <w:rsid w:val="4EB7F892"/>
    <w:rsid w:val="4EBD1638"/>
    <w:rsid w:val="4EBF065F"/>
    <w:rsid w:val="4EC217CD"/>
    <w:rsid w:val="4ED84B4D"/>
    <w:rsid w:val="4F560168"/>
    <w:rsid w:val="4F730D1A"/>
    <w:rsid w:val="4FAD422B"/>
    <w:rsid w:val="4FC13833"/>
    <w:rsid w:val="4FD80B7D"/>
    <w:rsid w:val="4FDA66A3"/>
    <w:rsid w:val="4FE02171"/>
    <w:rsid w:val="4FE237A9"/>
    <w:rsid w:val="4FFA0AF3"/>
    <w:rsid w:val="50106568"/>
    <w:rsid w:val="50B45146"/>
    <w:rsid w:val="5106031D"/>
    <w:rsid w:val="510A2FB8"/>
    <w:rsid w:val="512E314A"/>
    <w:rsid w:val="513B7615"/>
    <w:rsid w:val="516C5A20"/>
    <w:rsid w:val="517A638F"/>
    <w:rsid w:val="51D81308"/>
    <w:rsid w:val="51EB11CD"/>
    <w:rsid w:val="5201260D"/>
    <w:rsid w:val="524349D3"/>
    <w:rsid w:val="527C7EE5"/>
    <w:rsid w:val="52A03BD4"/>
    <w:rsid w:val="52D970E6"/>
    <w:rsid w:val="52FB1B42"/>
    <w:rsid w:val="530A3743"/>
    <w:rsid w:val="53373E0C"/>
    <w:rsid w:val="533E31D8"/>
    <w:rsid w:val="53746E0E"/>
    <w:rsid w:val="53C11D5F"/>
    <w:rsid w:val="53DD49B3"/>
    <w:rsid w:val="53E43F94"/>
    <w:rsid w:val="541128AF"/>
    <w:rsid w:val="541F3522"/>
    <w:rsid w:val="54307C7C"/>
    <w:rsid w:val="547370C6"/>
    <w:rsid w:val="548C3CFC"/>
    <w:rsid w:val="54DF6509"/>
    <w:rsid w:val="54EC1809"/>
    <w:rsid w:val="5522237F"/>
    <w:rsid w:val="55284354"/>
    <w:rsid w:val="552A0475"/>
    <w:rsid w:val="554C0043"/>
    <w:rsid w:val="558A2919"/>
    <w:rsid w:val="55AF05D2"/>
    <w:rsid w:val="55C37BD9"/>
    <w:rsid w:val="568364C3"/>
    <w:rsid w:val="56B22127"/>
    <w:rsid w:val="56CB143B"/>
    <w:rsid w:val="56DA55CC"/>
    <w:rsid w:val="56F50266"/>
    <w:rsid w:val="570D3802"/>
    <w:rsid w:val="572C3A40"/>
    <w:rsid w:val="57462870"/>
    <w:rsid w:val="574F3B38"/>
    <w:rsid w:val="57875362"/>
    <w:rsid w:val="578D10CB"/>
    <w:rsid w:val="57A203EE"/>
    <w:rsid w:val="57FD5624"/>
    <w:rsid w:val="580B17EC"/>
    <w:rsid w:val="584B7337"/>
    <w:rsid w:val="58782F40"/>
    <w:rsid w:val="587B479B"/>
    <w:rsid w:val="5889335C"/>
    <w:rsid w:val="58BE3005"/>
    <w:rsid w:val="58DE7204"/>
    <w:rsid w:val="58E10AA2"/>
    <w:rsid w:val="58E16CF4"/>
    <w:rsid w:val="59653481"/>
    <w:rsid w:val="59967ADE"/>
    <w:rsid w:val="59EF7044"/>
    <w:rsid w:val="5A00764E"/>
    <w:rsid w:val="5A1F49E2"/>
    <w:rsid w:val="5A274BDA"/>
    <w:rsid w:val="5A355549"/>
    <w:rsid w:val="5A5915AC"/>
    <w:rsid w:val="5A5B4884"/>
    <w:rsid w:val="5A76346C"/>
    <w:rsid w:val="5AA1673B"/>
    <w:rsid w:val="5AA77AC9"/>
    <w:rsid w:val="5ABBC979"/>
    <w:rsid w:val="5ACD39D4"/>
    <w:rsid w:val="5AD50442"/>
    <w:rsid w:val="5AD52888"/>
    <w:rsid w:val="5AE44879"/>
    <w:rsid w:val="5AFA67D1"/>
    <w:rsid w:val="5B242EC8"/>
    <w:rsid w:val="5B286E5C"/>
    <w:rsid w:val="5BA1276A"/>
    <w:rsid w:val="5BB24978"/>
    <w:rsid w:val="5BE2525D"/>
    <w:rsid w:val="5BFC7B3B"/>
    <w:rsid w:val="5C0A0310"/>
    <w:rsid w:val="5C27560A"/>
    <w:rsid w:val="5C5D48E3"/>
    <w:rsid w:val="5C5F065B"/>
    <w:rsid w:val="5C6519EA"/>
    <w:rsid w:val="5CD60EB2"/>
    <w:rsid w:val="5CE2303B"/>
    <w:rsid w:val="5D253BAB"/>
    <w:rsid w:val="5D4B0BE0"/>
    <w:rsid w:val="5D6D4FFA"/>
    <w:rsid w:val="5D81369C"/>
    <w:rsid w:val="5D9A3915"/>
    <w:rsid w:val="5D9A56C3"/>
    <w:rsid w:val="5DA44B5A"/>
    <w:rsid w:val="5DE36D6C"/>
    <w:rsid w:val="5E541E8E"/>
    <w:rsid w:val="5E77C7C6"/>
    <w:rsid w:val="5E7A2598"/>
    <w:rsid w:val="5E874207"/>
    <w:rsid w:val="5E8E347A"/>
    <w:rsid w:val="5EBD5B0D"/>
    <w:rsid w:val="5EF13A09"/>
    <w:rsid w:val="5F0B0627"/>
    <w:rsid w:val="5F2F3AC7"/>
    <w:rsid w:val="5FC1162D"/>
    <w:rsid w:val="5FD50C35"/>
    <w:rsid w:val="5FFFAAE0"/>
    <w:rsid w:val="6037369D"/>
    <w:rsid w:val="60471B32"/>
    <w:rsid w:val="60634492"/>
    <w:rsid w:val="60EB391A"/>
    <w:rsid w:val="61160B5C"/>
    <w:rsid w:val="61502C69"/>
    <w:rsid w:val="616801DE"/>
    <w:rsid w:val="61BA4586"/>
    <w:rsid w:val="61C8147B"/>
    <w:rsid w:val="61E22DEF"/>
    <w:rsid w:val="621625BE"/>
    <w:rsid w:val="62711AB7"/>
    <w:rsid w:val="62797F9D"/>
    <w:rsid w:val="62A0552A"/>
    <w:rsid w:val="62AC73FB"/>
    <w:rsid w:val="62B334AF"/>
    <w:rsid w:val="62D81168"/>
    <w:rsid w:val="62F51D1A"/>
    <w:rsid w:val="62F615EE"/>
    <w:rsid w:val="63057A83"/>
    <w:rsid w:val="63572933"/>
    <w:rsid w:val="63972996"/>
    <w:rsid w:val="63D01E3F"/>
    <w:rsid w:val="63D47B81"/>
    <w:rsid w:val="641E79ED"/>
    <w:rsid w:val="64292F48"/>
    <w:rsid w:val="642A59F3"/>
    <w:rsid w:val="644A6A0A"/>
    <w:rsid w:val="644A7E43"/>
    <w:rsid w:val="645C36D2"/>
    <w:rsid w:val="64630CF2"/>
    <w:rsid w:val="646D58E0"/>
    <w:rsid w:val="648D7D30"/>
    <w:rsid w:val="64AC7B56"/>
    <w:rsid w:val="64B17048"/>
    <w:rsid w:val="64D63485"/>
    <w:rsid w:val="64EA6F30"/>
    <w:rsid w:val="64F8789F"/>
    <w:rsid w:val="653A1C66"/>
    <w:rsid w:val="6544290D"/>
    <w:rsid w:val="656211BC"/>
    <w:rsid w:val="65764C68"/>
    <w:rsid w:val="65B44FAA"/>
    <w:rsid w:val="65D11E9E"/>
    <w:rsid w:val="65DF6369"/>
    <w:rsid w:val="66014531"/>
    <w:rsid w:val="6626043C"/>
    <w:rsid w:val="66347B2F"/>
    <w:rsid w:val="66540B05"/>
    <w:rsid w:val="667FD72C"/>
    <w:rsid w:val="6681781C"/>
    <w:rsid w:val="66990C0E"/>
    <w:rsid w:val="66C37A39"/>
    <w:rsid w:val="66CA5108"/>
    <w:rsid w:val="66FE4F15"/>
    <w:rsid w:val="67114C48"/>
    <w:rsid w:val="671169F6"/>
    <w:rsid w:val="67226E55"/>
    <w:rsid w:val="674566A0"/>
    <w:rsid w:val="678B49FB"/>
    <w:rsid w:val="67BA708E"/>
    <w:rsid w:val="67BF0BD8"/>
    <w:rsid w:val="67D53EC8"/>
    <w:rsid w:val="67F0485E"/>
    <w:rsid w:val="68112A26"/>
    <w:rsid w:val="68330BEE"/>
    <w:rsid w:val="68482BAD"/>
    <w:rsid w:val="6850354E"/>
    <w:rsid w:val="68792AA5"/>
    <w:rsid w:val="689B59A1"/>
    <w:rsid w:val="68A33FC6"/>
    <w:rsid w:val="68B63CF9"/>
    <w:rsid w:val="68CA3301"/>
    <w:rsid w:val="68F91E38"/>
    <w:rsid w:val="68F95994"/>
    <w:rsid w:val="6913393B"/>
    <w:rsid w:val="695A0B28"/>
    <w:rsid w:val="69C266CE"/>
    <w:rsid w:val="6A12486A"/>
    <w:rsid w:val="6A16109D"/>
    <w:rsid w:val="6A366774"/>
    <w:rsid w:val="6A4C56A7"/>
    <w:rsid w:val="6A5C442C"/>
    <w:rsid w:val="6A682DD1"/>
    <w:rsid w:val="6A6B28C1"/>
    <w:rsid w:val="6A995C7D"/>
    <w:rsid w:val="6A9F256B"/>
    <w:rsid w:val="6AAF6C52"/>
    <w:rsid w:val="6ABE64BE"/>
    <w:rsid w:val="6ACB4032"/>
    <w:rsid w:val="6ACF0827"/>
    <w:rsid w:val="6B0548C4"/>
    <w:rsid w:val="6B295AA1"/>
    <w:rsid w:val="6B5C045C"/>
    <w:rsid w:val="6B5F16C5"/>
    <w:rsid w:val="6B8C6F93"/>
    <w:rsid w:val="6B8F0831"/>
    <w:rsid w:val="6BAF2C82"/>
    <w:rsid w:val="6BBD714D"/>
    <w:rsid w:val="6BCA3F13"/>
    <w:rsid w:val="6BCF6E80"/>
    <w:rsid w:val="6C0410C4"/>
    <w:rsid w:val="6C136D6D"/>
    <w:rsid w:val="6C1A459F"/>
    <w:rsid w:val="6C2216A6"/>
    <w:rsid w:val="6C22683E"/>
    <w:rsid w:val="6C2B2308"/>
    <w:rsid w:val="6C9C1863"/>
    <w:rsid w:val="6CB96BF9"/>
    <w:rsid w:val="6CDD49A9"/>
    <w:rsid w:val="6CEB74F1"/>
    <w:rsid w:val="6CF3EA5A"/>
    <w:rsid w:val="6D231231"/>
    <w:rsid w:val="6D4D62AE"/>
    <w:rsid w:val="6D5C4743"/>
    <w:rsid w:val="6D5E495F"/>
    <w:rsid w:val="6D7E60CE"/>
    <w:rsid w:val="6D806684"/>
    <w:rsid w:val="6DA5433C"/>
    <w:rsid w:val="6DB70DD5"/>
    <w:rsid w:val="6DC20A4A"/>
    <w:rsid w:val="6DD54C21"/>
    <w:rsid w:val="6DEA1D4F"/>
    <w:rsid w:val="6DF66946"/>
    <w:rsid w:val="6E054DDB"/>
    <w:rsid w:val="6E160D96"/>
    <w:rsid w:val="6E1E75B4"/>
    <w:rsid w:val="6E492F1A"/>
    <w:rsid w:val="6E527AB2"/>
    <w:rsid w:val="6E5846EE"/>
    <w:rsid w:val="6E9879FD"/>
    <w:rsid w:val="6EB8009F"/>
    <w:rsid w:val="6F1E43A6"/>
    <w:rsid w:val="6F3E05A4"/>
    <w:rsid w:val="6F4F27B2"/>
    <w:rsid w:val="6F6F075E"/>
    <w:rsid w:val="6FAC7C04"/>
    <w:rsid w:val="70231548"/>
    <w:rsid w:val="704020FA"/>
    <w:rsid w:val="70651B61"/>
    <w:rsid w:val="70763D6E"/>
    <w:rsid w:val="708E10B8"/>
    <w:rsid w:val="709C1A26"/>
    <w:rsid w:val="70B34FC2"/>
    <w:rsid w:val="70C920F0"/>
    <w:rsid w:val="70E1568B"/>
    <w:rsid w:val="70EE7DA8"/>
    <w:rsid w:val="70F33611"/>
    <w:rsid w:val="70F74EAF"/>
    <w:rsid w:val="70FF1A7E"/>
    <w:rsid w:val="71445C1A"/>
    <w:rsid w:val="714D0F73"/>
    <w:rsid w:val="717B788E"/>
    <w:rsid w:val="71E847F7"/>
    <w:rsid w:val="725E4ABA"/>
    <w:rsid w:val="72C963D7"/>
    <w:rsid w:val="7303644A"/>
    <w:rsid w:val="73171838"/>
    <w:rsid w:val="732C42D2"/>
    <w:rsid w:val="734819F2"/>
    <w:rsid w:val="73816CB2"/>
    <w:rsid w:val="73B47087"/>
    <w:rsid w:val="73B726D3"/>
    <w:rsid w:val="744114FF"/>
    <w:rsid w:val="74512B28"/>
    <w:rsid w:val="747B5DF7"/>
    <w:rsid w:val="74936C9D"/>
    <w:rsid w:val="74962C31"/>
    <w:rsid w:val="7501454E"/>
    <w:rsid w:val="75041948"/>
    <w:rsid w:val="750C201F"/>
    <w:rsid w:val="75173321"/>
    <w:rsid w:val="753C4E9B"/>
    <w:rsid w:val="75613CFA"/>
    <w:rsid w:val="756E3266"/>
    <w:rsid w:val="75703482"/>
    <w:rsid w:val="75736ACE"/>
    <w:rsid w:val="758F0CAF"/>
    <w:rsid w:val="759A6D8F"/>
    <w:rsid w:val="75C27D42"/>
    <w:rsid w:val="75C946E7"/>
    <w:rsid w:val="75D4064B"/>
    <w:rsid w:val="75DC28C5"/>
    <w:rsid w:val="760E3ABA"/>
    <w:rsid w:val="7621652A"/>
    <w:rsid w:val="764F3097"/>
    <w:rsid w:val="769B7804"/>
    <w:rsid w:val="76AF7FDA"/>
    <w:rsid w:val="76B15B00"/>
    <w:rsid w:val="76BC122C"/>
    <w:rsid w:val="76FA74A7"/>
    <w:rsid w:val="7731279D"/>
    <w:rsid w:val="77354636"/>
    <w:rsid w:val="77356731"/>
    <w:rsid w:val="773D55E5"/>
    <w:rsid w:val="77416E84"/>
    <w:rsid w:val="77476464"/>
    <w:rsid w:val="774B1AB0"/>
    <w:rsid w:val="775748F9"/>
    <w:rsid w:val="779FCBF0"/>
    <w:rsid w:val="77AF566A"/>
    <w:rsid w:val="77B27D81"/>
    <w:rsid w:val="77C013CA"/>
    <w:rsid w:val="77CD6969"/>
    <w:rsid w:val="77E43CB3"/>
    <w:rsid w:val="77F7E21B"/>
    <w:rsid w:val="781113A7"/>
    <w:rsid w:val="781B5927"/>
    <w:rsid w:val="784C1F84"/>
    <w:rsid w:val="784F3822"/>
    <w:rsid w:val="784F55D0"/>
    <w:rsid w:val="78540E39"/>
    <w:rsid w:val="786C6182"/>
    <w:rsid w:val="786E279C"/>
    <w:rsid w:val="78880AE2"/>
    <w:rsid w:val="78AC47D1"/>
    <w:rsid w:val="78C338C8"/>
    <w:rsid w:val="78E81581"/>
    <w:rsid w:val="78FD502C"/>
    <w:rsid w:val="791E6510"/>
    <w:rsid w:val="792425B9"/>
    <w:rsid w:val="792C5912"/>
    <w:rsid w:val="793A1DDD"/>
    <w:rsid w:val="794B58BC"/>
    <w:rsid w:val="79E2F975"/>
    <w:rsid w:val="79F37CB6"/>
    <w:rsid w:val="7A676AD2"/>
    <w:rsid w:val="7A7632E8"/>
    <w:rsid w:val="7A765096"/>
    <w:rsid w:val="7A9E7A00"/>
    <w:rsid w:val="7AA65250"/>
    <w:rsid w:val="7AAB101F"/>
    <w:rsid w:val="7AAF55FF"/>
    <w:rsid w:val="7ABE07EB"/>
    <w:rsid w:val="7AC83418"/>
    <w:rsid w:val="7ACA1E05"/>
    <w:rsid w:val="7ACC0C95"/>
    <w:rsid w:val="7AD90381"/>
    <w:rsid w:val="7B3BDBF2"/>
    <w:rsid w:val="7B542EFE"/>
    <w:rsid w:val="7BD858DD"/>
    <w:rsid w:val="7BE21049"/>
    <w:rsid w:val="7BF727A4"/>
    <w:rsid w:val="7C501917"/>
    <w:rsid w:val="7C5A34B2"/>
    <w:rsid w:val="7C5D4A80"/>
    <w:rsid w:val="7C8B0BA1"/>
    <w:rsid w:val="7C8D4A41"/>
    <w:rsid w:val="7CD10CAA"/>
    <w:rsid w:val="7CE87DA1"/>
    <w:rsid w:val="7D0E5A5A"/>
    <w:rsid w:val="7D450D50"/>
    <w:rsid w:val="7D847ACA"/>
    <w:rsid w:val="7D91734A"/>
    <w:rsid w:val="7D985911"/>
    <w:rsid w:val="7DAB14FB"/>
    <w:rsid w:val="7E3754E6"/>
    <w:rsid w:val="7E5751DF"/>
    <w:rsid w:val="7E5971A9"/>
    <w:rsid w:val="7E64191F"/>
    <w:rsid w:val="7E68119A"/>
    <w:rsid w:val="7EB268B9"/>
    <w:rsid w:val="7EBA4878"/>
    <w:rsid w:val="7EBDCBBF"/>
    <w:rsid w:val="7EC14D4E"/>
    <w:rsid w:val="7EC74CC1"/>
    <w:rsid w:val="7ED44A81"/>
    <w:rsid w:val="7EE6408F"/>
    <w:rsid w:val="7EF02F3D"/>
    <w:rsid w:val="7EF649F8"/>
    <w:rsid w:val="7EF96296"/>
    <w:rsid w:val="7F1430D0"/>
    <w:rsid w:val="7F2841B1"/>
    <w:rsid w:val="7F3EB32E"/>
    <w:rsid w:val="7F4734A5"/>
    <w:rsid w:val="7F5F3F3B"/>
    <w:rsid w:val="7F5FE5E8"/>
    <w:rsid w:val="7F7FC8C5"/>
    <w:rsid w:val="7F9517B6"/>
    <w:rsid w:val="7FFDE9AB"/>
    <w:rsid w:val="7FFEB77D"/>
    <w:rsid w:val="7FFFADA2"/>
    <w:rsid w:val="9ED5792A"/>
    <w:rsid w:val="AEFFB886"/>
    <w:rsid w:val="BEDBC323"/>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pPr>
      <w:spacing w:after="120"/>
    </w:pPr>
  </w:style>
  <w:style w:type="paragraph" w:styleId="4">
    <w:name w:val="Body Text Indent"/>
    <w:basedOn w:val="1"/>
    <w:next w:val="5"/>
    <w:autoRedefine/>
    <w:unhideWhenUsed/>
    <w:qFormat/>
    <w:uiPriority w:val="0"/>
    <w:pPr>
      <w:spacing w:beforeLines="0" w:afterLines="0"/>
      <w:ind w:firstLine="640" w:firstLineChars="200"/>
    </w:pPr>
    <w:rPr>
      <w:rFonts w:hint="default"/>
      <w:sz w:val="32"/>
    </w:rPr>
  </w:style>
  <w:style w:type="paragraph" w:styleId="5">
    <w:name w:val="Body Text First Indent 2"/>
    <w:basedOn w:val="4"/>
    <w:next w:val="1"/>
    <w:autoRedefine/>
    <w:unhideWhenUsed/>
    <w:qFormat/>
    <w:uiPriority w:val="99"/>
    <w:pPr>
      <w:spacing w:beforeLines="0" w:afterLines="0"/>
      <w:ind w:firstLine="420"/>
    </w:pPr>
    <w:rPr>
      <w:rFonts w:hint="default"/>
      <w:sz w:val="32"/>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标题1"/>
    <w:basedOn w:val="2"/>
    <w:autoRedefine/>
    <w:qFormat/>
    <w:uiPriority w:val="0"/>
    <w:rPr>
      <w:rFonts w:eastAsia="黑体"/>
    </w:rPr>
  </w:style>
  <w:style w:type="paragraph" w:customStyle="1" w:styleId="14">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13742</Words>
  <Characters>15125</Characters>
  <Lines>0</Lines>
  <Paragraphs>0</Paragraphs>
  <TotalTime>0</TotalTime>
  <ScaleCrop>false</ScaleCrop>
  <LinksUpToDate>false</LinksUpToDate>
  <CharactersWithSpaces>15277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2026-07-21T15:58:00Z</cp:lastPrinted>
  <dcterms:modified xsi:type="dcterms:W3CDTF">2026-10-15T16:46:26Z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2E59967559EAD85B47E0F5671AAD0169_43</vt:lpwstr>
  </property>
  <property fmtid="{D5CDD505-2E9C-101B-9397-08002B2CF9AE}" pid="4" name="KSOTemplateDocerSaveRecord">
    <vt:lpwstr>eyJoZGlkIjoiNzBhNzFmNjRiNmQyNzA3ODI2ZTY5ZGExZWQ2MmQzNDEiLCJ1c2VySWQiOiIzNDQwMDQzNTQifQ==</vt:lpwstr>
  </property>
</Properties>
</file>