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09F26">
      <w:pPr>
        <w:pStyle w:val="14"/>
        <w:jc w:val="both"/>
        <w:rPr>
          <w:rFonts w:hAnsi="黑体"/>
          <w:sz w:val="36"/>
          <w:szCs w:val="36"/>
        </w:rPr>
      </w:pPr>
      <w:r>
        <w:rPr>
          <w:rFonts w:hint="eastAsia" w:hAnsi="黑体"/>
          <w:sz w:val="36"/>
          <w:szCs w:val="36"/>
        </w:rPr>
        <w:t>附件1</w:t>
      </w:r>
    </w:p>
    <w:p w14:paraId="15921297">
      <w:pPr>
        <w:pStyle w:val="14"/>
        <w:jc w:val="center"/>
        <w:rPr>
          <w:rFonts w:ascii="Times New Roman" w:hAnsi="Times New Roman" w:cs="Times New Roman"/>
          <w:sz w:val="56"/>
          <w:szCs w:val="56"/>
        </w:rPr>
      </w:pPr>
    </w:p>
    <w:p w14:paraId="3F09C006">
      <w:pPr>
        <w:pStyle w:val="14"/>
        <w:jc w:val="center"/>
        <w:rPr>
          <w:rFonts w:ascii="Times New Roman" w:hAnsi="Times New Roman" w:cs="Times New Roman"/>
          <w:sz w:val="84"/>
          <w:szCs w:val="84"/>
        </w:rPr>
      </w:pPr>
    </w:p>
    <w:p w14:paraId="338CAAFF">
      <w:pPr>
        <w:pStyle w:val="14"/>
        <w:jc w:val="center"/>
        <w:rPr>
          <w:rFonts w:ascii="Times New Roman" w:hAnsi="Times New Roman" w:cs="Times New Roman"/>
          <w:sz w:val="84"/>
          <w:szCs w:val="84"/>
        </w:rPr>
      </w:pPr>
    </w:p>
    <w:p w14:paraId="73164177">
      <w:pPr>
        <w:pStyle w:val="14"/>
        <w:jc w:val="center"/>
        <w:rPr>
          <w:rFonts w:ascii="Times New Roman" w:hAnsi="Times New Roman" w:eastAsia="方正小标宋简体" w:cs="Times New Roman"/>
          <w:sz w:val="72"/>
          <w:szCs w:val="72"/>
        </w:rPr>
      </w:pPr>
      <w:r>
        <w:rPr>
          <w:rFonts w:ascii="Times New Roman" w:hAnsi="Times New Roman" w:eastAsia="方正小标宋简体" w:cs="Times New Roman"/>
          <w:sz w:val="72"/>
          <w:szCs w:val="72"/>
        </w:rPr>
        <w:t>2024年度</w:t>
      </w:r>
    </w:p>
    <w:p w14:paraId="137893C6">
      <w:pPr>
        <w:pStyle w:val="14"/>
        <w:jc w:val="center"/>
        <w:rPr>
          <w:rFonts w:ascii="Times New Roman" w:hAnsi="Times New Roman" w:eastAsia="方正小标宋简体" w:cs="Times New Roman"/>
          <w:sz w:val="72"/>
          <w:szCs w:val="72"/>
        </w:rPr>
      </w:pPr>
      <w:r>
        <w:rPr>
          <w:rFonts w:hint="eastAsia" w:ascii="Times New Roman" w:hAnsi="Times New Roman" w:eastAsia="方正小标宋简体" w:cs="Times New Roman"/>
          <w:sz w:val="72"/>
          <w:szCs w:val="72"/>
          <w:lang w:val="en-US" w:eastAsia="zh-CN"/>
        </w:rPr>
        <w:t>怀化市文化馆</w:t>
      </w:r>
      <w:r>
        <w:rPr>
          <w:rFonts w:ascii="Times New Roman" w:hAnsi="Times New Roman" w:eastAsia="方正小标宋简体" w:cs="Times New Roman"/>
          <w:sz w:val="72"/>
          <w:szCs w:val="72"/>
        </w:rPr>
        <w:t>部门决算</w:t>
      </w:r>
    </w:p>
    <w:p w14:paraId="609AE725">
      <w:pPr>
        <w:pStyle w:val="14"/>
        <w:jc w:val="center"/>
        <w:rPr>
          <w:rFonts w:ascii="Times New Roman" w:hAnsi="Times New Roman" w:eastAsia="方正小标宋_GBK" w:cs="Times New Roman"/>
          <w:sz w:val="56"/>
          <w:szCs w:val="56"/>
        </w:rPr>
      </w:pPr>
    </w:p>
    <w:p w14:paraId="137700C0">
      <w:pPr>
        <w:pStyle w:val="14"/>
        <w:spacing w:line="600" w:lineRule="exact"/>
        <w:jc w:val="both"/>
        <w:rPr>
          <w:rFonts w:ascii="Times New Roman" w:hAnsi="Times New Roman" w:cs="Times New Roman"/>
          <w:b/>
          <w:sz w:val="36"/>
          <w:szCs w:val="28"/>
        </w:rPr>
        <w:sectPr>
          <w:footerReference r:id="rId3" w:type="default"/>
          <w:pgSz w:w="11906" w:h="16838"/>
          <w:pgMar w:top="1417" w:right="1588" w:bottom="1417" w:left="1588" w:header="851" w:footer="992" w:gutter="0"/>
          <w:pgNumType w:start="1"/>
          <w:cols w:space="425" w:num="1"/>
          <w:docGrid w:type="lines" w:linePitch="312" w:charSpace="0"/>
        </w:sectPr>
      </w:pPr>
    </w:p>
    <w:p w14:paraId="4346C49D">
      <w:pPr>
        <w:pStyle w:val="14"/>
        <w:spacing w:line="600" w:lineRule="exact"/>
        <w:jc w:val="both"/>
        <w:rPr>
          <w:rFonts w:ascii="Times New Roman" w:hAnsi="Times New Roman" w:cs="Times New Roman"/>
          <w:b/>
          <w:sz w:val="36"/>
          <w:szCs w:val="28"/>
        </w:rPr>
      </w:pPr>
    </w:p>
    <w:p w14:paraId="3F0860C7">
      <w:pPr>
        <w:pStyle w:val="14"/>
        <w:spacing w:line="600" w:lineRule="exact"/>
        <w:jc w:val="center"/>
        <w:rPr>
          <w:rFonts w:ascii="Times New Roman" w:hAnsi="Times New Roman" w:cs="Times New Roman"/>
          <w:bCs/>
          <w:sz w:val="36"/>
          <w:szCs w:val="28"/>
        </w:rPr>
      </w:pPr>
      <w:r>
        <w:rPr>
          <w:rFonts w:ascii="Times New Roman" w:hAnsi="Times New Roman" w:cs="Times New Roman"/>
          <w:bCs/>
          <w:sz w:val="36"/>
          <w:szCs w:val="28"/>
        </w:rPr>
        <w:t>目  录</w:t>
      </w:r>
    </w:p>
    <w:p w14:paraId="13B26A05">
      <w:pPr>
        <w:pStyle w:val="14"/>
        <w:spacing w:line="600" w:lineRule="exact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72347C16">
      <w:pPr>
        <w:pStyle w:val="14"/>
        <w:spacing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第一部分 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怀化市文化馆</w:t>
      </w:r>
      <w:r>
        <w:rPr>
          <w:rFonts w:ascii="Times New Roman" w:hAnsi="Times New Roman" w:cs="Times New Roman"/>
          <w:bCs/>
          <w:sz w:val="32"/>
          <w:szCs w:val="32"/>
        </w:rPr>
        <w:t>概况</w:t>
      </w:r>
    </w:p>
    <w:p w14:paraId="20B9F701">
      <w:pPr>
        <w:pStyle w:val="14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一、部门职责</w:t>
      </w:r>
    </w:p>
    <w:p w14:paraId="6819C35E">
      <w:pPr>
        <w:pStyle w:val="14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二、机构设置及决算单位构成</w:t>
      </w:r>
    </w:p>
    <w:p w14:paraId="1A85068B">
      <w:pPr>
        <w:pStyle w:val="14"/>
        <w:spacing w:beforeLines="50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第二部分 部门决算表</w:t>
      </w:r>
    </w:p>
    <w:p w14:paraId="1CA384C6">
      <w:pPr>
        <w:pStyle w:val="14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一、收入支出决算总表</w:t>
      </w:r>
    </w:p>
    <w:p w14:paraId="19CD23E2">
      <w:pPr>
        <w:pStyle w:val="14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二、收入决算表</w:t>
      </w:r>
    </w:p>
    <w:p w14:paraId="2FED50FD">
      <w:pPr>
        <w:pStyle w:val="14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三、支出决算表</w:t>
      </w:r>
    </w:p>
    <w:p w14:paraId="6B655338">
      <w:pPr>
        <w:pStyle w:val="14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四、财政拨款收入支出决算总表</w:t>
      </w:r>
    </w:p>
    <w:p w14:paraId="2F5AEBF1">
      <w:pPr>
        <w:pStyle w:val="14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五、一般公共预算财政拨款支出决算表</w:t>
      </w:r>
    </w:p>
    <w:p w14:paraId="56218B13">
      <w:pPr>
        <w:pStyle w:val="14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六、一般公共预算财政拨款基本支出决算明细表</w:t>
      </w:r>
    </w:p>
    <w:p w14:paraId="27B97811">
      <w:pPr>
        <w:pStyle w:val="14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七、政府性基金预算财政拨款收入支出决算表</w:t>
      </w:r>
    </w:p>
    <w:p w14:paraId="78F25067">
      <w:pPr>
        <w:pStyle w:val="14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八、国有资本经营预算财政拨款支出决算表</w:t>
      </w:r>
    </w:p>
    <w:p w14:paraId="179883FF">
      <w:pPr>
        <w:pStyle w:val="14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九、财政拨款“三公”经费支出决算表</w:t>
      </w:r>
    </w:p>
    <w:p w14:paraId="65653EA6">
      <w:pPr>
        <w:pStyle w:val="14"/>
        <w:spacing w:beforeLines="50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第三部分 部门决算情况说明</w:t>
      </w:r>
    </w:p>
    <w:p w14:paraId="79B14457">
      <w:pPr>
        <w:pStyle w:val="14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一、收入支出决算总体情况说明</w:t>
      </w:r>
    </w:p>
    <w:p w14:paraId="5493A4EF"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二、收入决算情况说明</w:t>
      </w:r>
    </w:p>
    <w:p w14:paraId="1E782D3B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三、支出决算情况说明</w:t>
      </w:r>
    </w:p>
    <w:p w14:paraId="75E8A250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四、财政拨款收入支出决算总体情况说明</w:t>
      </w:r>
    </w:p>
    <w:p w14:paraId="41586883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五、一般公共预算财政拨款支出决算情况说明</w:t>
      </w:r>
    </w:p>
    <w:p w14:paraId="7AE664B1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sectPr>
          <w:footerReference r:id="rId4" w:type="default"/>
          <w:pgSz w:w="11906" w:h="16838"/>
          <w:pgMar w:top="1417" w:right="1588" w:bottom="1417" w:left="1588" w:header="851" w:footer="992" w:gutter="0"/>
          <w:pgNumType w:start="1"/>
          <w:cols w:space="425" w:num="1"/>
          <w:docGrid w:type="lines" w:linePitch="312" w:charSpace="0"/>
        </w:sectPr>
      </w:pPr>
    </w:p>
    <w:p w14:paraId="799F54E8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六、一般公共预算财政拨款基本支出决算情况说明</w:t>
      </w:r>
    </w:p>
    <w:p w14:paraId="3EC9EFD3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七、财政拨款“三公”经费支出决算情况说明</w:t>
      </w:r>
    </w:p>
    <w:p w14:paraId="6AD7EC92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八、政府性基金预算收入支出决算情况</w:t>
      </w:r>
    </w:p>
    <w:p w14:paraId="479B83C0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九、关于机关运行经费支出说明</w:t>
      </w:r>
    </w:p>
    <w:p w14:paraId="12FB0557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十、一般性支出情况说明</w:t>
      </w:r>
    </w:p>
    <w:p w14:paraId="63AF7373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十一、关于政府采购支出说明</w:t>
      </w:r>
    </w:p>
    <w:p w14:paraId="2685CBDE">
      <w:pPr>
        <w:pStyle w:val="14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十二、关于国有资产占用情况说明</w:t>
      </w:r>
    </w:p>
    <w:p w14:paraId="0E53C430">
      <w:pPr>
        <w:pStyle w:val="14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十三、关于2024年度预算绩效管理情况的说明</w:t>
      </w:r>
    </w:p>
    <w:p w14:paraId="7FB86D71">
      <w:pPr>
        <w:pStyle w:val="14"/>
        <w:spacing w:beforeLines="50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第四部分 名词解释</w:t>
      </w:r>
    </w:p>
    <w:p w14:paraId="59813B7C">
      <w:pPr>
        <w:pStyle w:val="14"/>
        <w:spacing w:beforeLines="50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第五部分 附件</w:t>
      </w:r>
    </w:p>
    <w:p w14:paraId="5AFF28C3">
      <w:pPr>
        <w:pStyle w:val="14"/>
        <w:spacing w:line="600" w:lineRule="exact"/>
        <w:rPr>
          <w:rFonts w:ascii="Times New Roman" w:hAnsi="Times New Roman" w:cs="Times New Roman"/>
          <w:bCs/>
          <w:sz w:val="28"/>
          <w:szCs w:val="28"/>
        </w:rPr>
      </w:pPr>
    </w:p>
    <w:p w14:paraId="11FBCD86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285CD0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DC35C1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948D15E">
      <w:pPr>
        <w:pStyle w:val="8"/>
        <w:rPr>
          <w:rFonts w:ascii="Times New Roman" w:hAnsi="Times New Roman" w:cs="Times New Roman"/>
        </w:rPr>
        <w:sectPr>
          <w:footerReference r:id="rId5" w:type="default"/>
          <w:pgSz w:w="11906" w:h="16838"/>
          <w:pgMar w:top="1417" w:right="1588" w:bottom="1417" w:left="1588" w:header="851" w:footer="992" w:gutter="0"/>
          <w:pgNumType w:start="1"/>
          <w:cols w:space="425" w:num="1"/>
          <w:docGrid w:type="lines" w:linePitch="312" w:charSpace="0"/>
        </w:sectPr>
      </w:pPr>
    </w:p>
    <w:p w14:paraId="5ADC8BB2">
      <w:pPr>
        <w:rPr>
          <w:rFonts w:ascii="Times New Roman" w:hAnsi="Times New Roman" w:eastAsia="方正小标宋_GBK" w:cs="Times New Roman"/>
          <w:sz w:val="72"/>
          <w:szCs w:val="72"/>
        </w:rPr>
      </w:pPr>
    </w:p>
    <w:p w14:paraId="3E1FCD6D">
      <w:pPr>
        <w:pStyle w:val="14"/>
        <w:spacing w:line="360" w:lineRule="auto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第一部分</w:t>
      </w:r>
    </w:p>
    <w:p w14:paraId="5CF44BA9">
      <w:pPr>
        <w:pStyle w:val="14"/>
        <w:spacing w:line="360" w:lineRule="auto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hint="eastAsia" w:ascii="Times New Roman" w:hAnsi="Times New Roman" w:eastAsia="方正小标宋_GBK" w:cs="Times New Roman"/>
          <w:sz w:val="52"/>
          <w:szCs w:val="52"/>
          <w:lang w:val="en-US" w:eastAsia="zh-CN"/>
        </w:rPr>
        <w:t>怀化市文化馆</w:t>
      </w:r>
      <w:r>
        <w:rPr>
          <w:rFonts w:ascii="Times New Roman" w:hAnsi="Times New Roman" w:eastAsia="方正小标宋_GBK" w:cs="Times New Roman"/>
          <w:sz w:val="52"/>
          <w:szCs w:val="52"/>
        </w:rPr>
        <w:t>概况</w:t>
      </w:r>
    </w:p>
    <w:p w14:paraId="4254B27C">
      <w:pPr>
        <w:pStyle w:val="4"/>
        <w:ind w:left="0" w:leftChars="0" w:firstLine="0" w:firstLineChars="0"/>
        <w:rPr>
          <w:rFonts w:ascii="Times New Roman" w:hAnsi="Times New Roman" w:cs="Times New Roman"/>
        </w:rPr>
      </w:pPr>
    </w:p>
    <w:p w14:paraId="1D6553B1">
      <w:pPr>
        <w:pStyle w:val="15"/>
        <w:spacing w:line="600" w:lineRule="exact"/>
        <w:ind w:firstLine="0" w:firstLineChars="0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46B4921D">
      <w:pPr>
        <w:pStyle w:val="15"/>
        <w:spacing w:line="600" w:lineRule="exact"/>
        <w:ind w:firstLine="0" w:firstLineChars="0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69E0B737">
      <w:pPr>
        <w:pStyle w:val="15"/>
        <w:spacing w:line="600" w:lineRule="exact"/>
        <w:ind w:firstLine="0" w:firstLineChars="0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64C84162">
      <w:pPr>
        <w:pStyle w:val="15"/>
        <w:spacing w:line="600" w:lineRule="exact"/>
        <w:ind w:firstLine="0" w:firstLineChars="0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4BC45E92">
      <w:pPr>
        <w:pStyle w:val="15"/>
        <w:spacing w:line="600" w:lineRule="exact"/>
        <w:ind w:firstLine="0" w:firstLineChars="0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53DE6A5F">
      <w:pPr>
        <w:pStyle w:val="15"/>
        <w:spacing w:line="600" w:lineRule="exact"/>
        <w:ind w:firstLine="0" w:firstLineChars="0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7ED91A61">
      <w:pPr>
        <w:pStyle w:val="15"/>
        <w:spacing w:line="600" w:lineRule="exact"/>
        <w:ind w:firstLine="0" w:firstLineChars="0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25637AA7">
      <w:pPr>
        <w:pStyle w:val="15"/>
        <w:spacing w:line="600" w:lineRule="exact"/>
        <w:ind w:firstLine="0" w:firstLineChars="0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3BF89825">
      <w:pPr>
        <w:pStyle w:val="15"/>
        <w:spacing w:line="600" w:lineRule="exact"/>
        <w:ind w:firstLine="0" w:firstLineChars="0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6A0C03C5">
      <w:pPr>
        <w:pStyle w:val="15"/>
        <w:spacing w:line="600" w:lineRule="exact"/>
        <w:ind w:firstLine="0" w:firstLineChars="0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7B0C2BD5">
      <w:pPr>
        <w:pStyle w:val="15"/>
        <w:spacing w:line="600" w:lineRule="exact"/>
        <w:ind w:firstLine="0" w:firstLineChars="0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08E25C8A">
      <w:pPr>
        <w:pStyle w:val="15"/>
        <w:spacing w:line="600" w:lineRule="exact"/>
        <w:ind w:firstLine="0" w:firstLineChars="0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09B295EB">
      <w:pPr>
        <w:pStyle w:val="15"/>
        <w:spacing w:line="600" w:lineRule="exact"/>
        <w:ind w:firstLine="0" w:firstLineChars="0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69A80F16">
      <w:pPr>
        <w:pStyle w:val="15"/>
        <w:spacing w:line="600" w:lineRule="exact"/>
        <w:ind w:firstLine="0" w:firstLineChars="0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147495EF">
      <w:pPr>
        <w:pStyle w:val="15"/>
        <w:spacing w:line="600" w:lineRule="exact"/>
        <w:ind w:firstLine="0" w:firstLineChars="0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7ED3D9E5">
      <w:pPr>
        <w:pStyle w:val="15"/>
        <w:spacing w:line="600" w:lineRule="exact"/>
        <w:ind w:firstLine="0" w:firstLineChars="0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3EB27D7D">
      <w:pPr>
        <w:pStyle w:val="15"/>
        <w:spacing w:line="600" w:lineRule="exact"/>
        <w:ind w:firstLine="0" w:firstLineChars="0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31E7135A">
      <w:pPr>
        <w:pStyle w:val="15"/>
        <w:spacing w:line="600" w:lineRule="exact"/>
        <w:ind w:firstLine="0" w:firstLineChars="0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474816AE">
      <w:pPr>
        <w:pStyle w:val="15"/>
        <w:spacing w:line="600" w:lineRule="exact"/>
        <w:ind w:firstLine="0" w:firstLineChars="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</w:t>
      </w:r>
      <w:r>
        <w:rPr>
          <w:rFonts w:ascii="Times New Roman" w:hAnsi="Times New Roman" w:eastAsia="黑体" w:cs="Times New Roman"/>
          <w:sz w:val="32"/>
          <w:szCs w:val="32"/>
        </w:rPr>
        <w:t>部门职责</w:t>
      </w:r>
    </w:p>
    <w:p w14:paraId="7012A2AC">
      <w:pPr>
        <w:widowControl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1、负责承办市委、市政府、市委宣传部和市文体广新局交办的文化艺术活动等工作；负责策划、组织、开展各类群众性文化艺术活动。</w:t>
      </w:r>
    </w:p>
    <w:p w14:paraId="36100F13">
      <w:pPr>
        <w:widowControl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2、负责指导全市各县（市、区）文化馆、专业剧团、文化站业务工作及对其业务干部进行培训；负责辅导、培训基层群众文化艺术业务骨干，开展相关社会文化服务工作。</w:t>
      </w:r>
    </w:p>
    <w:p w14:paraId="632C92E5">
      <w:pPr>
        <w:widowControl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3、负责指导、开展各类群众文化艺术创作工作。</w:t>
      </w:r>
    </w:p>
    <w:p w14:paraId="15CAA6F7">
      <w:pPr>
        <w:widowControl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4、负责开展各艺术门类的培训工作和艺术教育工作。</w:t>
      </w:r>
    </w:p>
    <w:p w14:paraId="026D2922">
      <w:pPr>
        <w:widowControl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5、负责组织、开展艺术理论研究和学术探讨活动。</w:t>
      </w:r>
    </w:p>
    <w:p w14:paraId="79D31593">
      <w:pPr>
        <w:widowControl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6、完成主管部门交办的其他工作。</w:t>
      </w:r>
    </w:p>
    <w:p w14:paraId="1EC17090">
      <w:pPr>
        <w:widowControl/>
        <w:spacing w:line="600" w:lineRule="exac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二、机构设置及决算单位构成</w:t>
      </w:r>
    </w:p>
    <w:p w14:paraId="565A0B13">
      <w:pPr>
        <w:widowControl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（一）内设机构设置。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怀化市文化馆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内设机构包括：</w:t>
      </w:r>
      <w:r>
        <w:rPr>
          <w:rFonts w:hint="default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艺术活动部、艺术创作部、文化艺术研究部、文化艺术拓展部、党群办（艺术培训部）、办公室（数字化部）六个部室。</w:t>
      </w:r>
    </w:p>
    <w:p w14:paraId="5C6EC6D9">
      <w:pPr>
        <w:widowControl/>
        <w:spacing w:line="600" w:lineRule="exact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（二）决算单位构成。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怀化市文化馆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2024年部门决算汇总公开单位构成包括：</w:t>
      </w:r>
      <w:r>
        <w:rPr>
          <w:rFonts w:hint="default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怀化市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文化</w:t>
      </w:r>
      <w:r>
        <w:rPr>
          <w:rFonts w:hint="default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馆本级。</w:t>
      </w:r>
    </w:p>
    <w:p w14:paraId="72864103">
      <w:pPr>
        <w:jc w:val="left"/>
        <w:rPr>
          <w:rFonts w:ascii="Times New Roman" w:hAnsi="Times New Roman" w:eastAsia="仿宋_GB2312" w:cs="Times New Roman"/>
          <w:sz w:val="28"/>
          <w:szCs w:val="32"/>
        </w:rPr>
      </w:pPr>
    </w:p>
    <w:p w14:paraId="73D954B2">
      <w:pPr>
        <w:pStyle w:val="14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68629F56">
      <w:pPr>
        <w:pStyle w:val="14"/>
        <w:spacing w:line="360" w:lineRule="auto"/>
        <w:jc w:val="center"/>
        <w:rPr>
          <w:rFonts w:hint="eastAsia" w:ascii="Times New Roman" w:hAnsi="Times New Roman" w:eastAsia="方正小标宋_GBK" w:cs="Times New Roman"/>
          <w:sz w:val="52"/>
          <w:szCs w:val="52"/>
          <w:lang w:val="en-US" w:eastAsia="zh-CN"/>
        </w:rPr>
      </w:pPr>
    </w:p>
    <w:p w14:paraId="573223D7">
      <w:pPr>
        <w:pStyle w:val="14"/>
        <w:spacing w:line="360" w:lineRule="auto"/>
        <w:jc w:val="center"/>
        <w:rPr>
          <w:rFonts w:hint="eastAsia" w:ascii="Times New Roman" w:hAnsi="Times New Roman" w:eastAsia="方正小标宋_GBK" w:cs="Times New Roman"/>
          <w:sz w:val="52"/>
          <w:szCs w:val="52"/>
          <w:lang w:val="en-US" w:eastAsia="zh-CN"/>
        </w:rPr>
      </w:pPr>
    </w:p>
    <w:p w14:paraId="281EC047">
      <w:pPr>
        <w:pStyle w:val="14"/>
        <w:spacing w:line="360" w:lineRule="auto"/>
        <w:jc w:val="center"/>
        <w:rPr>
          <w:rFonts w:hint="eastAsia" w:ascii="Times New Roman" w:hAnsi="Times New Roman" w:eastAsia="方正小标宋_GBK" w:cs="Times New Roman"/>
          <w:sz w:val="52"/>
          <w:szCs w:val="52"/>
          <w:lang w:val="en-US" w:eastAsia="zh-CN"/>
        </w:rPr>
      </w:pPr>
    </w:p>
    <w:p w14:paraId="2A5F8CA7">
      <w:pPr>
        <w:pStyle w:val="14"/>
        <w:spacing w:line="360" w:lineRule="auto"/>
        <w:jc w:val="center"/>
        <w:rPr>
          <w:rFonts w:hint="eastAsia" w:ascii="Times New Roman" w:hAnsi="Times New Roman" w:eastAsia="方正小标宋_GBK" w:cs="Times New Roman"/>
          <w:sz w:val="52"/>
          <w:szCs w:val="52"/>
          <w:lang w:val="en-US" w:eastAsia="zh-CN"/>
        </w:rPr>
      </w:pPr>
    </w:p>
    <w:p w14:paraId="4E78D0C7">
      <w:pPr>
        <w:pStyle w:val="14"/>
        <w:spacing w:line="360" w:lineRule="auto"/>
        <w:jc w:val="center"/>
        <w:rPr>
          <w:rFonts w:hint="eastAsia" w:ascii="Times New Roman" w:hAnsi="Times New Roman" w:eastAsia="方正小标宋_GBK" w:cs="Times New Roman"/>
          <w:sz w:val="52"/>
          <w:szCs w:val="52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52"/>
          <w:szCs w:val="52"/>
          <w:lang w:val="en-US" w:eastAsia="zh-CN"/>
        </w:rPr>
        <w:t>第二部分</w:t>
      </w:r>
    </w:p>
    <w:p w14:paraId="619992F8">
      <w:pPr>
        <w:pStyle w:val="14"/>
        <w:spacing w:line="360" w:lineRule="auto"/>
        <w:jc w:val="center"/>
        <w:rPr>
          <w:rFonts w:hint="eastAsia" w:ascii="Times New Roman" w:hAnsi="Times New Roman" w:eastAsia="方正小标宋_GBK" w:cs="Times New Roman"/>
          <w:sz w:val="52"/>
          <w:szCs w:val="52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52"/>
          <w:szCs w:val="52"/>
          <w:lang w:val="en-US" w:eastAsia="zh-CN"/>
        </w:rPr>
        <w:t>部门决算表</w:t>
      </w:r>
    </w:p>
    <w:p w14:paraId="010417E0">
      <w:pPr>
        <w:pStyle w:val="14"/>
        <w:spacing w:line="360" w:lineRule="auto"/>
        <w:jc w:val="center"/>
        <w:rPr>
          <w:rFonts w:hint="eastAsia" w:ascii="Times New Roman" w:hAnsi="Times New Roman" w:eastAsia="方正小标宋_GBK" w:cs="Times New Roman"/>
          <w:sz w:val="52"/>
          <w:szCs w:val="52"/>
          <w:lang w:val="en-US" w:eastAsia="zh-CN"/>
        </w:rPr>
      </w:pPr>
    </w:p>
    <w:p w14:paraId="65FD3451">
      <w:pPr>
        <w:pStyle w:val="14"/>
        <w:spacing w:line="360" w:lineRule="auto"/>
        <w:jc w:val="center"/>
        <w:rPr>
          <w:rFonts w:ascii="Times New Roman" w:hAnsi="Times New Roman" w:cs="Times New Roman"/>
        </w:rPr>
        <w:sectPr>
          <w:footerReference r:id="rId6" w:type="default"/>
          <w:pgSz w:w="11906" w:h="16838"/>
          <w:pgMar w:top="1417" w:right="1588" w:bottom="1417" w:left="1588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小标宋_GBK" w:cs="Times New Roman"/>
          <w:sz w:val="52"/>
          <w:szCs w:val="52"/>
          <w:lang w:val="en-US" w:eastAsia="zh-CN"/>
        </w:rPr>
        <w:t>见附件</w:t>
      </w:r>
    </w:p>
    <w:p w14:paraId="6D1E8A50">
      <w:pPr>
        <w:pStyle w:val="14"/>
        <w:rPr>
          <w:rFonts w:ascii="Times New Roman" w:hAnsi="Times New Roman" w:cs="Times New Roman"/>
          <w:sz w:val="72"/>
          <w:szCs w:val="72"/>
        </w:rPr>
      </w:pPr>
    </w:p>
    <w:p w14:paraId="059C5BB7">
      <w:pPr>
        <w:pStyle w:val="14"/>
        <w:rPr>
          <w:rFonts w:ascii="Times New Roman" w:hAnsi="Times New Roman" w:cs="Times New Roman"/>
          <w:sz w:val="72"/>
          <w:szCs w:val="72"/>
        </w:rPr>
      </w:pPr>
    </w:p>
    <w:p w14:paraId="3E2CF40F">
      <w:pPr>
        <w:pStyle w:val="14"/>
        <w:rPr>
          <w:rFonts w:ascii="Times New Roman" w:hAnsi="Times New Roman" w:cs="Times New Roman"/>
          <w:sz w:val="72"/>
          <w:szCs w:val="72"/>
        </w:rPr>
      </w:pPr>
    </w:p>
    <w:p w14:paraId="4A5B5506">
      <w:pPr>
        <w:pStyle w:val="14"/>
        <w:jc w:val="center"/>
        <w:rPr>
          <w:rFonts w:ascii="Times New Roman" w:hAnsi="Times New Roman" w:cs="Times New Roman"/>
          <w:sz w:val="72"/>
          <w:szCs w:val="72"/>
        </w:rPr>
      </w:pPr>
    </w:p>
    <w:p w14:paraId="5F0D8BE2">
      <w:pPr>
        <w:pStyle w:val="14"/>
        <w:jc w:val="center"/>
        <w:rPr>
          <w:rFonts w:ascii="Times New Roman" w:hAnsi="Times New Roman" w:eastAsia="方正小标宋_GBK" w:cs="Times New Roman"/>
          <w:sz w:val="72"/>
          <w:szCs w:val="72"/>
        </w:rPr>
      </w:pPr>
    </w:p>
    <w:p w14:paraId="77928F31">
      <w:pPr>
        <w:pStyle w:val="14"/>
        <w:spacing w:line="360" w:lineRule="auto"/>
        <w:ind w:firstLine="2600" w:firstLineChars="500"/>
        <w:jc w:val="both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第三部分</w:t>
      </w:r>
    </w:p>
    <w:p w14:paraId="2769FA12">
      <w:pPr>
        <w:pStyle w:val="14"/>
        <w:spacing w:line="360" w:lineRule="auto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2024年度部门决算情况说明</w:t>
      </w:r>
    </w:p>
    <w:p w14:paraId="36AB387D">
      <w:pPr>
        <w:widowControl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70"/>
          <w:szCs w:val="70"/>
        </w:rPr>
        <w:br w:type="page"/>
      </w:r>
    </w:p>
    <w:p w14:paraId="33EB0A8E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一、收入支出决算总体情况说明</w:t>
      </w:r>
    </w:p>
    <w:p w14:paraId="03C5860A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2024年度收、支总计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780.77</w:t>
      </w:r>
      <w:r>
        <w:rPr>
          <w:rFonts w:ascii="Times New Roman" w:hAnsi="Times New Roman" w:eastAsia="仿宋_GB2312" w:cs="Times New Roman"/>
          <w:sz w:val="32"/>
          <w:szCs w:val="32"/>
        </w:rPr>
        <w:t>万元。与上年相比，增加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45.97</w:t>
      </w:r>
      <w:r>
        <w:rPr>
          <w:rFonts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6.26</w:t>
      </w:r>
      <w:r>
        <w:rPr>
          <w:rFonts w:ascii="Times New Roman" w:hAnsi="Times New Roman" w:eastAsia="仿宋_GB2312" w:cs="Times New Roman"/>
          <w:sz w:val="32"/>
          <w:szCs w:val="32"/>
        </w:rPr>
        <w:t>%，主要是因为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商品和服务支出较上年增加。</w:t>
      </w:r>
    </w:p>
    <w:p w14:paraId="64931541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二、收入决算情况说明</w:t>
      </w:r>
    </w:p>
    <w:p w14:paraId="23317CC2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2024年度收入合计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780.77</w:t>
      </w:r>
      <w:r>
        <w:rPr>
          <w:rFonts w:ascii="Times New Roman" w:hAnsi="Times New Roman" w:eastAsia="仿宋_GB2312" w:cs="Times New Roman"/>
          <w:sz w:val="32"/>
          <w:szCs w:val="32"/>
        </w:rPr>
        <w:t>万元，其中：财政拨款收入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780.77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994B68B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三、支出决算情况说明</w:t>
      </w:r>
    </w:p>
    <w:p w14:paraId="040D2B80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2024年度支出合计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780.77</w:t>
      </w:r>
      <w:r>
        <w:rPr>
          <w:rFonts w:ascii="Times New Roman" w:hAnsi="Times New Roman" w:eastAsia="仿宋_GB2312" w:cs="Times New Roman"/>
          <w:sz w:val="32"/>
          <w:szCs w:val="32"/>
        </w:rPr>
        <w:t>万元，其中：基本支出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576.27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73.81</w:t>
      </w:r>
      <w:r>
        <w:rPr>
          <w:rFonts w:ascii="Times New Roman" w:hAnsi="Times New Roman" w:eastAsia="仿宋_GB2312" w:cs="Times New Roman"/>
          <w:sz w:val="32"/>
          <w:szCs w:val="32"/>
        </w:rPr>
        <w:t>%；项目支出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204.5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26.19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4367303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四、财政拨款收入支出决算总体情况说明</w:t>
      </w:r>
    </w:p>
    <w:p w14:paraId="05C1DB37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2024年度财政拨款收、支总计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780.77</w:t>
      </w:r>
      <w:r>
        <w:rPr>
          <w:rFonts w:ascii="Times New Roman" w:hAnsi="Times New Roman" w:eastAsia="仿宋_GB2312" w:cs="Times New Roman"/>
          <w:sz w:val="32"/>
          <w:szCs w:val="32"/>
        </w:rPr>
        <w:t>万元，与上年相比，增加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45.97</w:t>
      </w:r>
      <w:r>
        <w:rPr>
          <w:rFonts w:ascii="Times New Roman" w:hAnsi="Times New Roman" w:eastAsia="仿宋_GB2312" w:cs="Times New Roman"/>
          <w:sz w:val="32"/>
          <w:szCs w:val="32"/>
        </w:rPr>
        <w:t>万元,增长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6.26</w:t>
      </w:r>
      <w:r>
        <w:rPr>
          <w:rFonts w:ascii="Times New Roman" w:hAnsi="Times New Roman" w:eastAsia="仿宋_GB2312" w:cs="Times New Roman"/>
          <w:sz w:val="32"/>
          <w:szCs w:val="32"/>
        </w:rPr>
        <w:t>%，主要是因为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基本支出较上年增加。</w:t>
      </w:r>
    </w:p>
    <w:p w14:paraId="2A087136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五、一般公共预算财政拨款支出决算情况说明</w:t>
      </w:r>
    </w:p>
    <w:p w14:paraId="23B68C89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（一）一般公共预算财政拨款支出决算总体情况</w:t>
      </w:r>
    </w:p>
    <w:p w14:paraId="1A05611C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color w:val="0000FF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2024年度财政拨款支出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780.77</w:t>
      </w:r>
      <w:r>
        <w:rPr>
          <w:rFonts w:ascii="Times New Roman" w:hAnsi="Times New Roman" w:eastAsia="仿宋_GB2312" w:cs="Times New Roman"/>
          <w:sz w:val="32"/>
          <w:szCs w:val="32"/>
        </w:rPr>
        <w:t>万元，占本年支出合计的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%，与上年相比，财政拨款支出增加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45.97</w:t>
      </w:r>
      <w:r>
        <w:rPr>
          <w:rFonts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26.19</w:t>
      </w:r>
      <w:r>
        <w:rPr>
          <w:rFonts w:ascii="Times New Roman" w:hAnsi="Times New Roman" w:eastAsia="仿宋_GB2312" w:cs="Times New Roman"/>
          <w:sz w:val="32"/>
          <w:szCs w:val="32"/>
        </w:rPr>
        <w:t>%，主要是因为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文化旅游体育与传媒支出</w:t>
      </w:r>
      <w:r>
        <w:rPr>
          <w:rFonts w:ascii="Times New Roman" w:hAnsi="Times New Roman" w:eastAsia="仿宋_GB2312" w:cs="Times New Roman"/>
          <w:sz w:val="32"/>
          <w:szCs w:val="32"/>
        </w:rPr>
        <w:t>（类）支出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较上年增加。</w:t>
      </w:r>
      <w:bookmarkStart w:id="0" w:name="_GoBack"/>
      <w:bookmarkEnd w:id="0"/>
    </w:p>
    <w:p w14:paraId="6B7DFEE3">
      <w:pPr>
        <w:pStyle w:val="14"/>
        <w:overflowPunct w:val="0"/>
        <w:autoSpaceDE/>
        <w:autoSpaceDN/>
        <w:spacing w:line="600" w:lineRule="exact"/>
        <w:ind w:firstLine="320" w:firstLineChars="1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（二）一般公共预算财政拨款支出决算结构情况</w:t>
      </w:r>
    </w:p>
    <w:p w14:paraId="1EDBE191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2024年度财政拨款支出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780.77</w:t>
      </w:r>
      <w:r>
        <w:rPr>
          <w:rFonts w:ascii="Times New Roman" w:hAnsi="Times New Roman" w:eastAsia="仿宋_GB2312" w:cs="Times New Roman"/>
          <w:sz w:val="32"/>
          <w:szCs w:val="32"/>
        </w:rPr>
        <w:t>万元，主要用于以下方面：一般公共服务（类）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1.54</w:t>
      </w:r>
      <w:r>
        <w:rPr>
          <w:rFonts w:ascii="Times New Roman" w:hAnsi="Times New Roman" w:eastAsia="仿宋_GB2312" w:cs="Times New Roman"/>
          <w:sz w:val="32"/>
          <w:szCs w:val="32"/>
        </w:rPr>
        <w:t>%；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文化旅游体育与传媒支出</w:t>
      </w:r>
      <w:r>
        <w:rPr>
          <w:rFonts w:ascii="Times New Roman" w:hAnsi="Times New Roman" w:eastAsia="仿宋_GB2312" w:cs="Times New Roman"/>
          <w:sz w:val="32"/>
          <w:szCs w:val="32"/>
        </w:rPr>
        <w:t>（类）支出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768.77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98.46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1D5287F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（三）一般公共预算财政拨款支出决算具体情况</w:t>
      </w:r>
    </w:p>
    <w:p w14:paraId="73E648F4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2024年度财政拨款支出年初预算数为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684.37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万元，支出决算数为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780.77</w:t>
      </w:r>
      <w:r>
        <w:rPr>
          <w:rFonts w:ascii="Times New Roman" w:hAnsi="Times New Roman" w:eastAsia="仿宋_GB2312" w:cs="Times New Roman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114.09</w:t>
      </w:r>
      <w:r>
        <w:rPr>
          <w:rFonts w:ascii="Times New Roman" w:hAnsi="Times New Roman" w:eastAsia="仿宋_GB2312" w:cs="Times New Roman"/>
          <w:sz w:val="32"/>
          <w:szCs w:val="32"/>
        </w:rPr>
        <w:t>%，其中：</w:t>
      </w:r>
    </w:p>
    <w:p w14:paraId="38B5C078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1、一般公共服务（类）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政协事务</w:t>
      </w:r>
      <w:r>
        <w:rPr>
          <w:rFonts w:ascii="Times New Roman" w:hAnsi="Times New Roman" w:eastAsia="仿宋_GB2312" w:cs="Times New Roman"/>
          <w:sz w:val="32"/>
          <w:szCs w:val="32"/>
        </w:rPr>
        <w:t>（款）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其他政协事务支出</w:t>
      </w:r>
      <w:r>
        <w:rPr>
          <w:rFonts w:ascii="Times New Roman" w:hAnsi="Times New Roman" w:eastAsia="仿宋_GB2312" w:cs="Times New Roman"/>
          <w:sz w:val="32"/>
          <w:szCs w:val="32"/>
        </w:rPr>
        <w:t>（项）。</w:t>
      </w:r>
    </w:p>
    <w:p w14:paraId="3B84D029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年初预算为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万元，决算数大于年初预算数的主要原因是：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年初追加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市政协委员工作室建设和运行经费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支出2万元。</w:t>
      </w:r>
    </w:p>
    <w:p w14:paraId="06F1BA0A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2、一般公共服务（类）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民族事务</w:t>
      </w:r>
      <w:r>
        <w:rPr>
          <w:rFonts w:ascii="Times New Roman" w:hAnsi="Times New Roman" w:eastAsia="仿宋_GB2312" w:cs="Times New Roman"/>
          <w:sz w:val="32"/>
          <w:szCs w:val="32"/>
        </w:rPr>
        <w:t>（款）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民族工作专项</w:t>
      </w:r>
      <w:r>
        <w:rPr>
          <w:rFonts w:ascii="Times New Roman" w:hAnsi="Times New Roman" w:eastAsia="仿宋_GB2312" w:cs="Times New Roman"/>
          <w:sz w:val="32"/>
          <w:szCs w:val="32"/>
        </w:rPr>
        <w:t>（项）。</w:t>
      </w:r>
    </w:p>
    <w:p w14:paraId="61643E1D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年初预算为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万元，决算数大于年初预算数的主要原因是：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年中追加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2024春雨工程边疆行活动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支出10万元。</w:t>
      </w:r>
    </w:p>
    <w:p w14:paraId="44251490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文化旅游体育与传媒支出</w:t>
      </w:r>
      <w:r>
        <w:rPr>
          <w:rFonts w:ascii="Times New Roman" w:hAnsi="Times New Roman" w:eastAsia="仿宋_GB2312" w:cs="Times New Roman"/>
          <w:sz w:val="32"/>
          <w:szCs w:val="32"/>
        </w:rPr>
        <w:t>（类）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文化和旅游</w:t>
      </w:r>
      <w:r>
        <w:rPr>
          <w:rFonts w:ascii="Times New Roman" w:hAnsi="Times New Roman" w:eastAsia="仿宋_GB2312" w:cs="Times New Roman"/>
          <w:sz w:val="32"/>
          <w:szCs w:val="32"/>
        </w:rPr>
        <w:t>（款）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行政运行</w:t>
      </w:r>
      <w:r>
        <w:rPr>
          <w:rFonts w:ascii="Times New Roman" w:hAnsi="Times New Roman" w:eastAsia="仿宋_GB2312" w:cs="Times New Roman"/>
          <w:sz w:val="32"/>
          <w:szCs w:val="32"/>
        </w:rPr>
        <w:t>（项）。</w:t>
      </w:r>
    </w:p>
    <w:p w14:paraId="0A33510D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年初预算为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601.87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576.27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ascii="Times New Roman" w:hAnsi="Times New Roman" w:eastAsia="仿宋_GB2312" w:cs="Times New Roman"/>
          <w:sz w:val="32"/>
          <w:szCs w:val="32"/>
        </w:rPr>
        <w:t>完成年初预算的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%，</w:t>
      </w:r>
      <w:r>
        <w:rPr>
          <w:rFonts w:ascii="Times New Roman" w:hAnsi="Times New Roman" w:eastAsia="仿宋_GB2312" w:cs="Times New Roman"/>
          <w:sz w:val="32"/>
          <w:szCs w:val="32"/>
        </w:rPr>
        <w:t>决算数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小于</w:t>
      </w:r>
      <w:r>
        <w:rPr>
          <w:rFonts w:ascii="Times New Roman" w:hAnsi="Times New Roman" w:eastAsia="仿宋_GB2312" w:cs="Times New Roman"/>
          <w:sz w:val="32"/>
          <w:szCs w:val="32"/>
        </w:rPr>
        <w:t>年初预算数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的主要原因是：公用经费支出减少。</w:t>
      </w:r>
    </w:p>
    <w:p w14:paraId="7A6CAD8B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文化旅游体育与传媒支出</w:t>
      </w:r>
      <w:r>
        <w:rPr>
          <w:rFonts w:ascii="Times New Roman" w:hAnsi="Times New Roman" w:eastAsia="仿宋_GB2312" w:cs="Times New Roman"/>
          <w:sz w:val="32"/>
          <w:szCs w:val="32"/>
        </w:rPr>
        <w:t>（类）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文化和旅游</w:t>
      </w:r>
      <w:r>
        <w:rPr>
          <w:rFonts w:ascii="Times New Roman" w:hAnsi="Times New Roman" w:eastAsia="仿宋_GB2312" w:cs="Times New Roman"/>
          <w:sz w:val="32"/>
          <w:szCs w:val="32"/>
        </w:rPr>
        <w:t>（款）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群众文化</w:t>
      </w:r>
      <w:r>
        <w:rPr>
          <w:rFonts w:ascii="Times New Roman" w:hAnsi="Times New Roman" w:eastAsia="仿宋_GB2312" w:cs="Times New Roman"/>
          <w:sz w:val="32"/>
          <w:szCs w:val="32"/>
        </w:rPr>
        <w:t>（项）。</w:t>
      </w:r>
    </w:p>
    <w:p w14:paraId="757142CD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年初预算为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27.5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27.5</w:t>
      </w:r>
      <w:r>
        <w:rPr>
          <w:rFonts w:ascii="Times New Roman" w:hAnsi="Times New Roman" w:eastAsia="仿宋_GB2312" w:cs="Times New Roman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%，决算数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与</w:t>
      </w:r>
      <w:r>
        <w:rPr>
          <w:rFonts w:ascii="Times New Roman" w:hAnsi="Times New Roman" w:eastAsia="仿宋_GB2312" w:cs="Times New Roman"/>
          <w:sz w:val="32"/>
          <w:szCs w:val="32"/>
        </w:rPr>
        <w:t>年初预算数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一致，</w:t>
      </w:r>
      <w:r>
        <w:rPr>
          <w:rFonts w:ascii="Times New Roman" w:hAnsi="Times New Roman" w:eastAsia="仿宋_GB2312" w:cs="Times New Roman"/>
          <w:sz w:val="32"/>
          <w:szCs w:val="32"/>
        </w:rPr>
        <w:t>主要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用于群众文化工作经费支出15万元、免费开放市级配套资金支出12.5万元。</w:t>
      </w:r>
    </w:p>
    <w:p w14:paraId="0E2C99F7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文化旅游体育与传媒支出</w:t>
      </w:r>
      <w:r>
        <w:rPr>
          <w:rFonts w:ascii="Times New Roman" w:hAnsi="Times New Roman" w:eastAsia="仿宋_GB2312" w:cs="Times New Roman"/>
          <w:sz w:val="32"/>
          <w:szCs w:val="32"/>
        </w:rPr>
        <w:t>（类）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文化和旅游</w:t>
      </w:r>
      <w:r>
        <w:rPr>
          <w:rFonts w:ascii="Times New Roman" w:hAnsi="Times New Roman" w:eastAsia="仿宋_GB2312" w:cs="Times New Roman"/>
          <w:sz w:val="32"/>
          <w:szCs w:val="32"/>
        </w:rPr>
        <w:t>（款）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文化创作与保护</w:t>
      </w:r>
      <w:r>
        <w:rPr>
          <w:rFonts w:ascii="Times New Roman" w:hAnsi="Times New Roman" w:eastAsia="仿宋_GB2312" w:cs="Times New Roman"/>
          <w:sz w:val="32"/>
          <w:szCs w:val="32"/>
        </w:rPr>
        <w:t>（项）。</w:t>
      </w:r>
    </w:p>
    <w:p w14:paraId="45E993E6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年初预算为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%，决算数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与</w:t>
      </w:r>
      <w:r>
        <w:rPr>
          <w:rFonts w:ascii="Times New Roman" w:hAnsi="Times New Roman" w:eastAsia="仿宋_GB2312" w:cs="Times New Roman"/>
          <w:sz w:val="32"/>
          <w:szCs w:val="32"/>
        </w:rPr>
        <w:t>年初预算数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一致，</w:t>
      </w:r>
      <w:r>
        <w:rPr>
          <w:rFonts w:ascii="Times New Roman" w:hAnsi="Times New Roman" w:eastAsia="仿宋_GB2312" w:cs="Times New Roman"/>
          <w:sz w:val="32"/>
          <w:szCs w:val="32"/>
        </w:rPr>
        <w:t>主要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用于《怀化公共文化》内刊撰写、发行支出5万元。</w:t>
      </w:r>
    </w:p>
    <w:p w14:paraId="5380A2EA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文化旅游体育与传媒支出</w:t>
      </w:r>
      <w:r>
        <w:rPr>
          <w:rFonts w:ascii="Times New Roman" w:hAnsi="Times New Roman" w:eastAsia="仿宋_GB2312" w:cs="Times New Roman"/>
          <w:sz w:val="32"/>
          <w:szCs w:val="32"/>
        </w:rPr>
        <w:t>（类）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文化和旅游</w:t>
      </w:r>
      <w:r>
        <w:rPr>
          <w:rFonts w:ascii="Times New Roman" w:hAnsi="Times New Roman" w:eastAsia="仿宋_GB2312" w:cs="Times New Roman"/>
          <w:sz w:val="32"/>
          <w:szCs w:val="32"/>
        </w:rPr>
        <w:t>（款）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其他文化和旅游支出</w:t>
      </w:r>
      <w:r>
        <w:rPr>
          <w:rFonts w:ascii="Times New Roman" w:hAnsi="Times New Roman" w:eastAsia="仿宋_GB2312" w:cs="Times New Roman"/>
          <w:sz w:val="32"/>
          <w:szCs w:val="32"/>
        </w:rPr>
        <w:t>（项）。</w:t>
      </w:r>
    </w:p>
    <w:p w14:paraId="7E15EC00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年初预算为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92</w:t>
      </w:r>
      <w:r>
        <w:rPr>
          <w:rFonts w:ascii="Times New Roman" w:hAnsi="Times New Roman" w:eastAsia="仿宋_GB2312" w:cs="Times New Roman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184</w:t>
      </w:r>
      <w:r>
        <w:rPr>
          <w:rFonts w:ascii="Times New Roman" w:hAnsi="Times New Roman" w:eastAsia="仿宋_GB2312" w:cs="Times New Roman"/>
          <w:sz w:val="32"/>
          <w:szCs w:val="32"/>
        </w:rPr>
        <w:t>%，决算数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大于</w:t>
      </w:r>
      <w:r>
        <w:rPr>
          <w:rFonts w:ascii="Times New Roman" w:hAnsi="Times New Roman" w:eastAsia="仿宋_GB2312" w:cs="Times New Roman"/>
          <w:sz w:val="32"/>
          <w:szCs w:val="32"/>
        </w:rPr>
        <w:t>年初预算数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的主要原因是：增拨2024年免费开放中央配套资金30万元、舞蹈《幸福小院》项目经费12万元，</w:t>
      </w:r>
      <w:r>
        <w:rPr>
          <w:rFonts w:ascii="Times New Roman" w:hAnsi="Times New Roman" w:eastAsia="仿宋_GB2312" w:cs="Times New Roman"/>
          <w:sz w:val="32"/>
          <w:szCs w:val="32"/>
        </w:rPr>
        <w:t>主要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用于免费开放及舞蹈《幸福小院》制作。</w:t>
      </w:r>
    </w:p>
    <w:p w14:paraId="77472C6C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文化旅游体育与传媒支出</w:t>
      </w:r>
      <w:r>
        <w:rPr>
          <w:rFonts w:ascii="Times New Roman" w:hAnsi="Times New Roman" w:eastAsia="仿宋_GB2312" w:cs="Times New Roman"/>
          <w:sz w:val="32"/>
          <w:szCs w:val="32"/>
        </w:rPr>
        <w:t>（类）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其他文化旅游体育与传媒支出</w:t>
      </w:r>
      <w:r>
        <w:rPr>
          <w:rFonts w:ascii="Times New Roman" w:hAnsi="Times New Roman" w:eastAsia="仿宋_GB2312" w:cs="Times New Roman"/>
          <w:sz w:val="32"/>
          <w:szCs w:val="32"/>
        </w:rPr>
        <w:t>（款）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其他文化旅游体育与传媒支出</w:t>
      </w:r>
      <w:r>
        <w:rPr>
          <w:rFonts w:ascii="Times New Roman" w:hAnsi="Times New Roman" w:eastAsia="仿宋_GB2312" w:cs="Times New Roman"/>
          <w:sz w:val="32"/>
          <w:szCs w:val="32"/>
        </w:rPr>
        <w:t>（项）。</w:t>
      </w:r>
    </w:p>
    <w:p w14:paraId="3A38BBF6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年初预算为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68</w:t>
      </w:r>
      <w:r>
        <w:rPr>
          <w:rFonts w:ascii="Times New Roman" w:hAnsi="Times New Roman" w:eastAsia="仿宋_GB2312" w:cs="Times New Roman"/>
          <w:sz w:val="32"/>
          <w:szCs w:val="32"/>
        </w:rPr>
        <w:t>万元，决算数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大于</w:t>
      </w:r>
      <w:r>
        <w:rPr>
          <w:rFonts w:ascii="Times New Roman" w:hAnsi="Times New Roman" w:eastAsia="仿宋_GB2312" w:cs="Times New Roman"/>
          <w:sz w:val="32"/>
          <w:szCs w:val="32"/>
        </w:rPr>
        <w:t>年初预算数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的主要原因是：年初追加春节送戏下乡活动经费4万元、怀化市铿锵号子沉浸式体验空间50万元、怀化市特色资源库建设项目（7小时）14万元。</w:t>
      </w:r>
    </w:p>
    <w:p w14:paraId="02DD27AC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六、一般公共预算财政拨款基本支出决算情况说明</w:t>
      </w:r>
    </w:p>
    <w:p w14:paraId="477E1409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2024年度一般公共预算财政拨款基本支出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576.27</w:t>
      </w:r>
      <w:r>
        <w:rPr>
          <w:rFonts w:ascii="Times New Roman" w:hAnsi="Times New Roman" w:eastAsia="仿宋_GB2312" w:cs="Times New Roman"/>
          <w:sz w:val="32"/>
          <w:szCs w:val="32"/>
        </w:rPr>
        <w:t>万元，其中：</w:t>
      </w:r>
    </w:p>
    <w:p w14:paraId="527DC41C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人员经费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537.64</w:t>
      </w:r>
      <w:r>
        <w:rPr>
          <w:rFonts w:ascii="Times New Roman" w:hAnsi="Times New Roman" w:eastAsia="仿宋_GB2312" w:cs="Times New Roman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93.3</w:t>
      </w:r>
      <w:r>
        <w:rPr>
          <w:rFonts w:ascii="Times New Roman" w:hAnsi="Times New Roman" w:eastAsia="仿宋_GB2312" w:cs="Times New Roman"/>
          <w:sz w:val="32"/>
          <w:szCs w:val="32"/>
        </w:rPr>
        <w:t>%,主要包括基本工资、津贴补贴、奖金、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绩效工资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 机关事业单位基本养老保险缴费、职工基本医疗保险缴费、其他社会保障缴费、住房公积金、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对个人和家庭的补助等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264EA51D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公用经费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38.63</w:t>
      </w:r>
      <w:r>
        <w:rPr>
          <w:rFonts w:ascii="Times New Roman" w:hAnsi="Times New Roman" w:eastAsia="仿宋_GB2312" w:cs="Times New Roman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6.7</w:t>
      </w:r>
      <w:r>
        <w:rPr>
          <w:rFonts w:ascii="Times New Roman" w:hAnsi="Times New Roman" w:eastAsia="仿宋_GB2312" w:cs="Times New Roman"/>
          <w:sz w:val="32"/>
          <w:szCs w:val="32"/>
        </w:rPr>
        <w:t>%，主要包括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差旅费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、劳务费、委托业务费、工会经费、其他商品和服务支出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20157F8E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七、财政拨款“三公”经费支出决算情况说明</w:t>
      </w:r>
      <w:r>
        <w:rPr>
          <w:rFonts w:ascii="Times New Roman" w:hAnsi="Times New Roman" w:eastAsia="楷体_GB2312" w:cs="Times New Roman"/>
          <w:b/>
          <w:bCs/>
          <w:i/>
          <w:color w:val="auto"/>
          <w:sz w:val="32"/>
          <w:szCs w:val="32"/>
        </w:rPr>
        <w:t>（注意：“三公”经费不再是一般公共预算财政拨款口径，而是财政拨款口径）</w:t>
      </w:r>
    </w:p>
    <w:p w14:paraId="482FEA08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（一）“三公”经费财政拨款支出决算总体情况说明</w:t>
      </w:r>
    </w:p>
    <w:p w14:paraId="341AC092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2024年度“三公”经费财政拨款支出预算为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2.5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2.51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与上年相比增加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0.94</w:t>
      </w:r>
      <w:r>
        <w:rPr>
          <w:rFonts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59.87</w:t>
      </w:r>
      <w:r>
        <w:rPr>
          <w:rFonts w:ascii="Times New Roman" w:hAnsi="Times New Roman" w:eastAsia="仿宋_GB2312" w:cs="Times New Roman"/>
          <w:sz w:val="32"/>
          <w:szCs w:val="32"/>
        </w:rPr>
        <w:t>%。决算数大于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与</w:t>
      </w:r>
      <w:r>
        <w:rPr>
          <w:rFonts w:ascii="Times New Roman" w:hAnsi="Times New Roman" w:eastAsia="仿宋_GB2312" w:cs="Times New Roman"/>
          <w:sz w:val="32"/>
          <w:szCs w:val="32"/>
        </w:rPr>
        <w:t>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基本持平。</w:t>
      </w:r>
      <w:r>
        <w:rPr>
          <w:rFonts w:ascii="Times New Roman" w:hAnsi="Times New Roman" w:eastAsia="仿宋_GB2312" w:cs="Times New Roman"/>
          <w:sz w:val="32"/>
          <w:szCs w:val="32"/>
        </w:rPr>
        <w:t>决算数大于上年数的主要原因是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车辆老化，车辆维修费较上年增加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5404C231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（二）“三公”经费财政拨款支出决算具体情况说明</w:t>
      </w:r>
    </w:p>
    <w:p w14:paraId="4576FFB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1.因公出国（境）费支出预算为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本年无</w:t>
      </w:r>
      <w:r>
        <w:rPr>
          <w:rFonts w:hint="eastAsia" w:ascii="Times New Roman" w:hAnsi="Times New Roman" w:eastAsia="仿宋_GB2312"/>
          <w:sz w:val="32"/>
          <w:szCs w:val="32"/>
        </w:rPr>
        <w:t>因公出国（境）费支出。</w:t>
      </w:r>
    </w:p>
    <w:p w14:paraId="128017C2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2.公务用车购置费及运行维护费支出预算为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2.50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2.51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%；与上年相比增加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0.94</w:t>
      </w:r>
      <w:r>
        <w:rPr>
          <w:rFonts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59.87</w:t>
      </w:r>
      <w:r>
        <w:rPr>
          <w:rFonts w:ascii="Times New Roman" w:hAnsi="Times New Roman" w:eastAsia="仿宋_GB2312" w:cs="Times New Roman"/>
          <w:sz w:val="32"/>
          <w:szCs w:val="32"/>
        </w:rPr>
        <w:t>%。其中：</w:t>
      </w:r>
    </w:p>
    <w:p w14:paraId="6E03D26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公务用车购置费支出预算为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本年无</w:t>
      </w:r>
      <w:r>
        <w:rPr>
          <w:rFonts w:hint="eastAsia" w:ascii="Times New Roman" w:hAnsi="Times New Roman" w:eastAsia="仿宋_GB2312"/>
          <w:sz w:val="32"/>
          <w:szCs w:val="32"/>
        </w:rPr>
        <w:t>公务用车购置费支出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5DA497E8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公务用车运行维护费支出预算为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2.5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2.51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</w:p>
    <w:p w14:paraId="56848DFE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主要是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用于车辆保险、车辆维修费、购汽油及高速过路费等，</w:t>
      </w:r>
      <w:r>
        <w:rPr>
          <w:rFonts w:ascii="Times New Roman" w:hAnsi="Times New Roman" w:eastAsia="仿宋_GB2312" w:cs="Times New Roman"/>
          <w:sz w:val="32"/>
          <w:szCs w:val="32"/>
        </w:rPr>
        <w:t>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%；与上年相比增加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0.94</w:t>
      </w:r>
      <w:r>
        <w:rPr>
          <w:rFonts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59.87</w:t>
      </w:r>
      <w:r>
        <w:rPr>
          <w:rFonts w:ascii="Times New Roman" w:hAnsi="Times New Roman" w:eastAsia="仿宋_GB2312" w:cs="Times New Roman"/>
          <w:sz w:val="32"/>
          <w:szCs w:val="32"/>
        </w:rPr>
        <w:t>%。决算数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与</w:t>
      </w:r>
      <w:r>
        <w:rPr>
          <w:rFonts w:ascii="Times New Roman" w:hAnsi="Times New Roman" w:eastAsia="仿宋_GB2312" w:cs="Times New Roman"/>
          <w:sz w:val="32"/>
          <w:szCs w:val="32"/>
        </w:rPr>
        <w:t>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基本持平。</w:t>
      </w:r>
      <w:r>
        <w:rPr>
          <w:rFonts w:ascii="Times New Roman" w:hAnsi="Times New Roman" w:eastAsia="仿宋_GB2312" w:cs="Times New Roman"/>
          <w:sz w:val="32"/>
          <w:szCs w:val="32"/>
        </w:rPr>
        <w:t>截止2024年12月31日，我单位开支财政拨款的公务用车保有量为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辆。</w:t>
      </w:r>
    </w:p>
    <w:p w14:paraId="78E361DB">
      <w:pPr>
        <w:pStyle w:val="14"/>
        <w:numPr>
          <w:ilvl w:val="0"/>
          <w:numId w:val="1"/>
        </w:numPr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公务接待费支出预算为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本年无</w:t>
      </w:r>
      <w:r>
        <w:rPr>
          <w:rFonts w:ascii="Times New Roman" w:hAnsi="Times New Roman" w:eastAsia="仿宋_GB2312" w:cs="Times New Roman"/>
          <w:sz w:val="32"/>
          <w:szCs w:val="32"/>
        </w:rPr>
        <w:t>公务接待费支出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59A557A">
      <w:pPr>
        <w:pStyle w:val="14"/>
        <w:numPr>
          <w:numId w:val="0"/>
        </w:numPr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八、政府性基金预算收入支出决算情况</w:t>
      </w:r>
    </w:p>
    <w:p w14:paraId="17B80F57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本单位无</w:t>
      </w:r>
      <w:r>
        <w:rPr>
          <w:rFonts w:hint="eastAsia" w:ascii="Times New Roman" w:hAnsi="Times New Roman" w:eastAsia="仿宋_GB2312"/>
          <w:sz w:val="32"/>
          <w:szCs w:val="32"/>
        </w:rPr>
        <w:t>政府性基金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收支。</w:t>
      </w:r>
    </w:p>
    <w:p w14:paraId="74D0A39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九、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国有资本经营预算财政拨款收入支出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决算情况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说明</w:t>
      </w:r>
    </w:p>
    <w:p w14:paraId="7E9C5B2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2023年度本单位无国有资本经营预算财政拨款收支。</w:t>
      </w:r>
    </w:p>
    <w:p w14:paraId="0EC0E90F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十</w:t>
      </w:r>
      <w:r>
        <w:rPr>
          <w:rFonts w:ascii="Times New Roman" w:hAnsi="Times New Roman" w:cs="Times New Roman"/>
          <w:bCs/>
          <w:sz w:val="32"/>
          <w:szCs w:val="32"/>
        </w:rPr>
        <w:t>、关于机关运行经费支出说明</w:t>
      </w:r>
    </w:p>
    <w:p w14:paraId="1662CA7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本单位是财政补助事业单位无</w:t>
      </w:r>
      <w:r>
        <w:rPr>
          <w:rFonts w:hint="eastAsia" w:asciiTheme="minorEastAsia" w:hAnsiTheme="minorEastAsia" w:eastAsiaTheme="minorEastAsia"/>
          <w:sz w:val="32"/>
          <w:szCs w:val="32"/>
        </w:rPr>
        <w:t>机关运行经费支出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 w14:paraId="2BD4348B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十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一</w:t>
      </w:r>
      <w:r>
        <w:rPr>
          <w:rFonts w:ascii="Times New Roman" w:hAnsi="Times New Roman" w:cs="Times New Roman"/>
          <w:bCs/>
          <w:sz w:val="32"/>
          <w:szCs w:val="32"/>
        </w:rPr>
        <w:t>、一般性支出情况说明</w:t>
      </w:r>
    </w:p>
    <w:p w14:paraId="3B599D3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度</w:t>
      </w:r>
      <w:r>
        <w:rPr>
          <w:rFonts w:hint="eastAsia" w:ascii="Times New Roman" w:hAnsi="Times New Roman" w:eastAsia="仿宋_GB2312"/>
          <w:sz w:val="32"/>
          <w:szCs w:val="32"/>
        </w:rPr>
        <w:t>本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单位无</w:t>
      </w:r>
      <w:r>
        <w:rPr>
          <w:rFonts w:hint="eastAsia" w:ascii="Times New Roman" w:hAnsi="Times New Roman" w:eastAsia="仿宋_GB2312"/>
          <w:sz w:val="32"/>
          <w:szCs w:val="32"/>
        </w:rPr>
        <w:t>会议费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培训费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支出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仿宋_GB2312"/>
          <w:sz w:val="32"/>
          <w:szCs w:val="32"/>
        </w:rPr>
        <w:t>节庆、晚会、论坛、赛事活动开支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48470E5E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十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二</w:t>
      </w:r>
      <w:r>
        <w:rPr>
          <w:rFonts w:ascii="Times New Roman" w:hAnsi="Times New Roman" w:cs="Times New Roman"/>
          <w:bCs/>
          <w:sz w:val="32"/>
          <w:szCs w:val="32"/>
        </w:rPr>
        <w:t>、关于政府采购支出说明</w:t>
      </w:r>
    </w:p>
    <w:p w14:paraId="5FD90FE5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本部门2024年度政府采购支出总额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121.14</w:t>
      </w:r>
      <w:r>
        <w:rPr>
          <w:rFonts w:ascii="Times New Roman" w:hAnsi="Times New Roman" w:eastAsia="仿宋_GB2312" w:cs="Times New Roman"/>
          <w:sz w:val="32"/>
          <w:szCs w:val="32"/>
        </w:rPr>
        <w:t>万元，其中：政府采购货物支出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4.2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万元、政府采购工程支出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万元、政府采购服务支出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116.94</w:t>
      </w:r>
      <w:r>
        <w:rPr>
          <w:rFonts w:ascii="Times New Roman" w:hAnsi="Times New Roman" w:eastAsia="仿宋_GB2312" w:cs="Times New Roman"/>
          <w:sz w:val="32"/>
          <w:szCs w:val="32"/>
        </w:rPr>
        <w:t>万元。授予中小企业合同金额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121.14</w:t>
      </w:r>
      <w:r>
        <w:rPr>
          <w:rFonts w:ascii="Times New Roman" w:hAnsi="Times New Roman" w:eastAsia="仿宋_GB2312" w:cs="Times New Roman"/>
          <w:sz w:val="32"/>
          <w:szCs w:val="32"/>
        </w:rPr>
        <w:t>万元，占政府采购支出总额的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%，其中：授予小微企业合同金额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121.14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占授予中小企业合同金额的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%。货物采购授予中小企业合同金额占货物支出金额的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%，工程采购授予中小企业合同金额占工程支出金额的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%，服务采购授予中小企业合同金额占服务支出金额的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%。</w:t>
      </w:r>
    </w:p>
    <w:p w14:paraId="1DFCD634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Cs/>
          <w:color w:val="auto"/>
          <w:sz w:val="32"/>
          <w:szCs w:val="32"/>
        </w:rPr>
        <w:t>十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lang w:val="en-US" w:eastAsia="zh-CN"/>
        </w:rPr>
        <w:t>三</w:t>
      </w:r>
      <w:r>
        <w:rPr>
          <w:rFonts w:ascii="Times New Roman" w:hAnsi="Times New Roman" w:cs="Times New Roman"/>
          <w:bCs/>
          <w:color w:val="auto"/>
          <w:sz w:val="32"/>
          <w:szCs w:val="32"/>
        </w:rPr>
        <w:t>、关于国有资产占用情况说明</w:t>
      </w:r>
    </w:p>
    <w:p w14:paraId="55301189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截至2024年12月31日，单位共有车辆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辆，其中，副部（省）级及以上领导用车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辆、主要负责人用车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辆、机要通信用车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辆、应急保障用车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辆、执法执勤用车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辆、特种专业技术用车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辆、离退休干部服务用车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辆、其他用车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辆，其他用车主要是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业务用车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；单位价值100万元以上设备（不含车辆）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台（套）。</w:t>
      </w:r>
    </w:p>
    <w:p w14:paraId="5741654E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Cs/>
          <w:color w:val="auto"/>
          <w:sz w:val="32"/>
          <w:szCs w:val="32"/>
        </w:rPr>
        <w:t>十三、关于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2024</w:t>
      </w:r>
      <w:r>
        <w:rPr>
          <w:rFonts w:ascii="Times New Roman" w:hAnsi="Times New Roman" w:cs="Times New Roman"/>
          <w:bCs/>
          <w:color w:val="auto"/>
          <w:sz w:val="32"/>
          <w:szCs w:val="32"/>
        </w:rPr>
        <w:t>年度预算绩效情况的说明</w:t>
      </w:r>
    </w:p>
    <w:p w14:paraId="032AF117">
      <w:pPr>
        <w:overflowPunct w:val="0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（一）绩效评价工作开展情况。</w:t>
      </w:r>
    </w:p>
    <w:p w14:paraId="6959A789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组织对2024年度本单位整体支出开展绩效自评，涉及项目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个，共涉及资金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204.5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万元。其中，一般公共预算项目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204.5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万元，占一般公共预算支出总额的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.</w:t>
      </w:r>
    </w:p>
    <w:p w14:paraId="55F2FD2B">
      <w:pPr>
        <w:numPr>
          <w:ilvl w:val="0"/>
          <w:numId w:val="2"/>
        </w:num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绩效评价结果。</w:t>
      </w:r>
    </w:p>
    <w:p w14:paraId="6460E8D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2024年度本单位整体支出</w:t>
      </w:r>
      <w:r>
        <w:rPr>
          <w:rFonts w:ascii="Times New Roman" w:hAnsi="Times New Roman" w:eastAsia="仿宋_GB2312" w:cs="Times New Roman"/>
          <w:sz w:val="32"/>
          <w:szCs w:val="32"/>
        </w:rPr>
        <w:t>全年预算数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684.37</w:t>
      </w:r>
      <w:r>
        <w:rPr>
          <w:rFonts w:ascii="Times New Roman" w:hAnsi="Times New Roman" w:eastAsia="仿宋_GB2312" w:cs="Times New Roman"/>
          <w:sz w:val="32"/>
          <w:szCs w:val="32"/>
        </w:rPr>
        <w:t>万元，执行数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780.77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114.09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，绩效自评得分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98</w:t>
      </w:r>
      <w:r>
        <w:rPr>
          <w:rFonts w:ascii="Times New Roman" w:hAnsi="Times New Roman" w:eastAsia="仿宋_GB2312" w:cs="Times New Roman"/>
          <w:sz w:val="32"/>
          <w:szCs w:val="32"/>
        </w:rPr>
        <w:t>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，评价等级为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优</w:t>
      </w:r>
      <w:r>
        <w:rPr>
          <w:rFonts w:ascii="Times New Roman" w:hAnsi="Times New Roman" w:eastAsia="仿宋_GB2312" w:cs="Times New Roman"/>
          <w:sz w:val="32"/>
          <w:szCs w:val="32"/>
        </w:rPr>
        <w:t>”。</w:t>
      </w:r>
    </w:p>
    <w:p w14:paraId="282D1411">
      <w:pPr>
        <w:pStyle w:val="14"/>
        <w:numPr>
          <w:ilvl w:val="0"/>
          <w:numId w:val="2"/>
        </w:numPr>
        <w:overflowPunct w:val="0"/>
        <w:autoSpaceDE/>
        <w:autoSpaceDN/>
        <w:spacing w:line="600" w:lineRule="exact"/>
        <w:ind w:left="0" w:leftChars="0" w:firstLine="640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评价结果应用情况。</w:t>
      </w:r>
    </w:p>
    <w:p w14:paraId="7BDAD00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将绩效自评结果作为本单位完善制度和改进管理的重要依据，根据绩效自评结果，对比设定目标和实际完成情况，及时调整工作重点，提高工作效率，根据绩效自评结果，制定发展计划，提高财政资金支出决策水平和管理水平。</w:t>
      </w:r>
    </w:p>
    <w:p w14:paraId="1E26115A">
      <w:pPr>
        <w:pStyle w:val="14"/>
        <w:jc w:val="center"/>
        <w:rPr>
          <w:rFonts w:ascii="Times New Roman" w:hAnsi="Times New Roman" w:cs="Times New Roman"/>
          <w:sz w:val="72"/>
          <w:szCs w:val="72"/>
        </w:rPr>
      </w:pPr>
    </w:p>
    <w:p w14:paraId="7686C572">
      <w:pPr>
        <w:pStyle w:val="14"/>
        <w:jc w:val="center"/>
        <w:rPr>
          <w:rFonts w:ascii="Times New Roman" w:hAnsi="Times New Roman" w:cs="Times New Roman"/>
          <w:sz w:val="72"/>
          <w:szCs w:val="72"/>
        </w:rPr>
      </w:pPr>
    </w:p>
    <w:p w14:paraId="3461BB16">
      <w:pPr>
        <w:pStyle w:val="14"/>
        <w:jc w:val="center"/>
        <w:rPr>
          <w:rFonts w:ascii="Times New Roman" w:hAnsi="Times New Roman" w:cs="Times New Roman"/>
          <w:sz w:val="72"/>
          <w:szCs w:val="72"/>
        </w:rPr>
      </w:pPr>
    </w:p>
    <w:p w14:paraId="4605238F">
      <w:pPr>
        <w:pStyle w:val="14"/>
        <w:jc w:val="center"/>
        <w:rPr>
          <w:rFonts w:ascii="Times New Roman" w:hAnsi="Times New Roman" w:cs="Times New Roman"/>
          <w:sz w:val="72"/>
          <w:szCs w:val="72"/>
        </w:rPr>
      </w:pPr>
    </w:p>
    <w:p w14:paraId="6F07C2B2">
      <w:pPr>
        <w:pStyle w:val="14"/>
        <w:jc w:val="center"/>
        <w:rPr>
          <w:rFonts w:ascii="Times New Roman" w:hAnsi="Times New Roman" w:cs="Times New Roman"/>
          <w:sz w:val="72"/>
          <w:szCs w:val="72"/>
        </w:rPr>
      </w:pPr>
    </w:p>
    <w:p w14:paraId="4D918C83">
      <w:pPr>
        <w:pStyle w:val="14"/>
        <w:jc w:val="center"/>
        <w:rPr>
          <w:rFonts w:ascii="Times New Roman" w:hAnsi="Times New Roman" w:cs="Times New Roman"/>
          <w:sz w:val="72"/>
          <w:szCs w:val="72"/>
        </w:rPr>
      </w:pPr>
    </w:p>
    <w:p w14:paraId="42F4B452">
      <w:pPr>
        <w:pStyle w:val="14"/>
        <w:jc w:val="center"/>
        <w:rPr>
          <w:rFonts w:ascii="Times New Roman" w:hAnsi="Times New Roman" w:cs="Times New Roman"/>
          <w:sz w:val="72"/>
          <w:szCs w:val="72"/>
        </w:rPr>
      </w:pPr>
    </w:p>
    <w:p w14:paraId="038CCCE1">
      <w:pPr>
        <w:pStyle w:val="14"/>
        <w:jc w:val="center"/>
        <w:rPr>
          <w:rFonts w:ascii="Times New Roman" w:hAnsi="Times New Roman" w:cs="Times New Roman"/>
          <w:sz w:val="72"/>
          <w:szCs w:val="72"/>
        </w:rPr>
      </w:pPr>
    </w:p>
    <w:p w14:paraId="21BB8580">
      <w:pPr>
        <w:pStyle w:val="14"/>
        <w:jc w:val="center"/>
        <w:rPr>
          <w:rFonts w:ascii="Times New Roman" w:hAnsi="Times New Roman" w:cs="Times New Roman"/>
          <w:sz w:val="72"/>
          <w:szCs w:val="72"/>
        </w:rPr>
      </w:pPr>
    </w:p>
    <w:p w14:paraId="0F547BB6">
      <w:pPr>
        <w:pStyle w:val="14"/>
        <w:jc w:val="center"/>
        <w:rPr>
          <w:rFonts w:ascii="Times New Roman" w:hAnsi="Times New Roman" w:cs="Times New Roman"/>
          <w:sz w:val="72"/>
          <w:szCs w:val="72"/>
        </w:rPr>
      </w:pPr>
    </w:p>
    <w:p w14:paraId="13EBCDEF">
      <w:pPr>
        <w:pStyle w:val="14"/>
        <w:jc w:val="both"/>
        <w:rPr>
          <w:rFonts w:ascii="Times New Roman" w:hAnsi="Times New Roman" w:cs="Times New Roman"/>
          <w:sz w:val="72"/>
          <w:szCs w:val="72"/>
        </w:rPr>
      </w:pPr>
    </w:p>
    <w:p w14:paraId="1A5B0F35">
      <w:pPr>
        <w:pStyle w:val="14"/>
        <w:numPr>
          <w:ilvl w:val="0"/>
          <w:numId w:val="3"/>
        </w:numPr>
        <w:spacing w:line="360" w:lineRule="auto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 xml:space="preserve">   </w:t>
      </w:r>
    </w:p>
    <w:p w14:paraId="51F76BEA">
      <w:pPr>
        <w:pStyle w:val="14"/>
        <w:numPr>
          <w:numId w:val="0"/>
        </w:numPr>
        <w:spacing w:line="360" w:lineRule="auto"/>
        <w:ind w:firstLine="3120" w:firstLineChars="600"/>
        <w:jc w:val="both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名词解释</w:t>
      </w:r>
    </w:p>
    <w:p w14:paraId="06A08018">
      <w:pPr>
        <w:widowControl/>
        <w:jc w:val="left"/>
        <w:rPr>
          <w:rFonts w:ascii="Times New Roman" w:hAnsi="Times New Roman" w:cs="Times New Roman"/>
          <w:color w:val="000000"/>
          <w:kern w:val="0"/>
          <w:sz w:val="32"/>
          <w:szCs w:val="32"/>
        </w:rPr>
      </w:pPr>
    </w:p>
    <w:p w14:paraId="1258C794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053AA966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55D90A72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3AA78DAB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74F50E6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4439563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2C69A17E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05B392AD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2D6A7A2A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36121A3F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0DFD33B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55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一、机关运行经费：为保障行政单位（包括参照公务员法管理的事业单位）运行，用一般公共预算拨款安排用于购买货物和服务的各项资金，包括办公及印刷费、邮电费、差旅费、会议费、福利费、日常维修费、办公用房水电费、办公用房取暖费、办公用房物业管理费、公务用车运行维护费以及其他费用。</w:t>
      </w:r>
    </w:p>
    <w:p w14:paraId="19D135B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8" w:afterAutospacing="0" w:line="255" w:lineRule="atLeast"/>
        <w:ind w:right="0" w:firstLine="640" w:firstLineChars="200"/>
        <w:jc w:val="both"/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二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14:paraId="38B6FBEF">
      <w:pPr>
        <w:pStyle w:val="14"/>
        <w:jc w:val="center"/>
        <w:rPr>
          <w:rFonts w:ascii="Times New Roman" w:hAnsi="Times New Roman" w:cs="Times New Roman"/>
          <w:sz w:val="72"/>
          <w:szCs w:val="72"/>
        </w:rPr>
      </w:pPr>
    </w:p>
    <w:p w14:paraId="00B502F3">
      <w:pPr>
        <w:pStyle w:val="14"/>
        <w:jc w:val="center"/>
        <w:rPr>
          <w:rFonts w:ascii="Times New Roman" w:hAnsi="Times New Roman" w:cs="Times New Roman"/>
          <w:sz w:val="72"/>
          <w:szCs w:val="72"/>
        </w:rPr>
      </w:pPr>
    </w:p>
    <w:p w14:paraId="297FF040">
      <w:pPr>
        <w:pStyle w:val="14"/>
        <w:jc w:val="center"/>
        <w:rPr>
          <w:rFonts w:ascii="Times New Roman" w:hAnsi="Times New Roman" w:cs="Times New Roman"/>
          <w:sz w:val="72"/>
          <w:szCs w:val="72"/>
        </w:rPr>
      </w:pPr>
    </w:p>
    <w:p w14:paraId="40F03150">
      <w:pPr>
        <w:pStyle w:val="14"/>
        <w:jc w:val="center"/>
        <w:rPr>
          <w:rFonts w:ascii="Times New Roman" w:hAnsi="Times New Roman" w:cs="Times New Roman"/>
          <w:sz w:val="72"/>
          <w:szCs w:val="72"/>
        </w:rPr>
      </w:pPr>
    </w:p>
    <w:p w14:paraId="5F5C6B3F">
      <w:pPr>
        <w:pStyle w:val="14"/>
        <w:jc w:val="center"/>
        <w:rPr>
          <w:rFonts w:ascii="Times New Roman" w:hAnsi="Times New Roman" w:cs="Times New Roman"/>
          <w:sz w:val="72"/>
          <w:szCs w:val="72"/>
        </w:rPr>
      </w:pPr>
    </w:p>
    <w:p w14:paraId="0AA1502C">
      <w:pPr>
        <w:pStyle w:val="14"/>
        <w:jc w:val="center"/>
        <w:rPr>
          <w:rFonts w:ascii="Times New Roman" w:hAnsi="Times New Roman" w:cs="Times New Roman"/>
          <w:sz w:val="72"/>
          <w:szCs w:val="72"/>
        </w:rPr>
      </w:pPr>
    </w:p>
    <w:p w14:paraId="4558E7DE">
      <w:pPr>
        <w:pStyle w:val="14"/>
        <w:jc w:val="both"/>
        <w:rPr>
          <w:rFonts w:ascii="Times New Roman" w:hAnsi="Times New Roman" w:cs="Times New Roman"/>
          <w:sz w:val="72"/>
          <w:szCs w:val="72"/>
        </w:rPr>
      </w:pPr>
    </w:p>
    <w:p w14:paraId="0414FCAF">
      <w:pPr>
        <w:pStyle w:val="14"/>
        <w:numPr>
          <w:ilvl w:val="0"/>
          <w:numId w:val="4"/>
        </w:numPr>
        <w:spacing w:line="360" w:lineRule="auto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 xml:space="preserve"> </w:t>
      </w:r>
    </w:p>
    <w:p w14:paraId="1E35B2E7">
      <w:pPr>
        <w:pStyle w:val="14"/>
        <w:numPr>
          <w:numId w:val="0"/>
        </w:numPr>
        <w:spacing w:line="360" w:lineRule="auto"/>
        <w:ind w:firstLine="3120" w:firstLineChars="600"/>
        <w:jc w:val="both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 xml:space="preserve"> 附 件</w:t>
      </w:r>
    </w:p>
    <w:p w14:paraId="2E5579AA">
      <w:pPr>
        <w:rPr>
          <w:rFonts w:ascii="Times New Roman" w:hAnsi="Times New Roman" w:cs="Times New Roman"/>
          <w:sz w:val="72"/>
          <w:szCs w:val="72"/>
        </w:rPr>
      </w:pPr>
    </w:p>
    <w:p w14:paraId="6BCAAA3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</w:p>
    <w:p w14:paraId="731A7A8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</w:p>
    <w:p w14:paraId="0EDE32A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</w:p>
    <w:p w14:paraId="7A3679E4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</w:p>
    <w:p w14:paraId="2191DF9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</w:p>
    <w:p w14:paraId="331B6C9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</w:p>
    <w:p w14:paraId="034099C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</w:p>
    <w:p w14:paraId="1B9AFFC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</w:p>
    <w:p w14:paraId="4CB8EBB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</w:p>
    <w:p w14:paraId="009EC83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</w:p>
    <w:p w14:paraId="5E2E6AC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</w:p>
    <w:p w14:paraId="67912FC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</w:p>
    <w:p w14:paraId="0BB3FC4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</w:p>
    <w:p w14:paraId="5282A0D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</w:p>
    <w:p w14:paraId="57805B6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</w:p>
    <w:p w14:paraId="7F3D5AC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</w:p>
    <w:p w14:paraId="3E5B6E1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</w:p>
    <w:p w14:paraId="37D56F4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</w:p>
    <w:p w14:paraId="0E58439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2024年度部门整体支出绩效自评报告。</w:t>
      </w:r>
    </w:p>
    <w:p w14:paraId="283E59F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2024年部门决算公开表</w:t>
      </w:r>
    </w:p>
    <w:p w14:paraId="4059E1E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743C92B5">
      <w:pPr>
        <w:pStyle w:val="14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F269C46">
      <w:pPr>
        <w:pStyle w:val="14"/>
        <w:jc w:val="center"/>
        <w:rPr>
          <w:rFonts w:ascii="Times New Roman" w:hAnsi="Times New Roman" w:cs="Times New Roman"/>
          <w:sz w:val="72"/>
          <w:szCs w:val="72"/>
        </w:rPr>
      </w:pPr>
    </w:p>
    <w:p w14:paraId="6E2B00A9">
      <w:pPr>
        <w:pStyle w:val="14"/>
        <w:jc w:val="center"/>
        <w:rPr>
          <w:rFonts w:ascii="Times New Roman" w:hAnsi="Times New Roman" w:cs="Times New Roman"/>
          <w:sz w:val="72"/>
          <w:szCs w:val="72"/>
        </w:rPr>
      </w:pPr>
    </w:p>
    <w:p w14:paraId="110ABAAB">
      <w:pPr>
        <w:jc w:val="left"/>
        <w:rPr>
          <w:rFonts w:ascii="Times New Roman" w:hAnsi="Times New Roman" w:cs="Times New Roman"/>
          <w:color w:val="000000"/>
          <w:kern w:val="0"/>
          <w:sz w:val="32"/>
          <w:szCs w:val="32"/>
        </w:rPr>
      </w:pPr>
    </w:p>
    <w:sectPr>
      <w:pgSz w:w="11906" w:h="16838"/>
      <w:pgMar w:top="1417" w:right="1588" w:bottom="1417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SimSun-ExtB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DC410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F8F02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2446D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348FA">
    <w:pPr>
      <w:pStyle w:val="6"/>
    </w:pPr>
    <w:r>
      <w:pict>
        <v:shape id="文本框 5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A28A020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A67A62"/>
    <w:multiLevelType w:val="singleLevel"/>
    <w:tmpl w:val="CEA67A6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76A9D5C"/>
    <w:multiLevelType w:val="singleLevel"/>
    <w:tmpl w:val="F76A9D5C"/>
    <w:lvl w:ilvl="0" w:tentative="0">
      <w:start w:val="5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08426B70"/>
    <w:multiLevelType w:val="singleLevel"/>
    <w:tmpl w:val="08426B70"/>
    <w:lvl w:ilvl="0" w:tentative="0">
      <w:start w:val="4"/>
      <w:numFmt w:val="chineseCounting"/>
      <w:suff w:val="space"/>
      <w:lvlText w:val="第%1部分"/>
      <w:lvlJc w:val="left"/>
      <w:rPr>
        <w:rFonts w:hint="eastAsia"/>
      </w:rPr>
    </w:lvl>
  </w:abstractNum>
  <w:abstractNum w:abstractNumId="3">
    <w:nsid w:val="10091ED3"/>
    <w:multiLevelType w:val="singleLevel"/>
    <w:tmpl w:val="10091ED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506F9"/>
    <w:rsid w:val="0000001A"/>
    <w:rsid w:val="0002229B"/>
    <w:rsid w:val="000273BD"/>
    <w:rsid w:val="0003620C"/>
    <w:rsid w:val="00040CBC"/>
    <w:rsid w:val="000415B7"/>
    <w:rsid w:val="00041E3F"/>
    <w:rsid w:val="00055DAA"/>
    <w:rsid w:val="00061F7B"/>
    <w:rsid w:val="000658A3"/>
    <w:rsid w:val="00074155"/>
    <w:rsid w:val="00080785"/>
    <w:rsid w:val="000A3F69"/>
    <w:rsid w:val="000B20F1"/>
    <w:rsid w:val="000C5742"/>
    <w:rsid w:val="00103957"/>
    <w:rsid w:val="00152C6D"/>
    <w:rsid w:val="00162D39"/>
    <w:rsid w:val="001678BD"/>
    <w:rsid w:val="00182373"/>
    <w:rsid w:val="001A67DB"/>
    <w:rsid w:val="001B67D1"/>
    <w:rsid w:val="001C3C29"/>
    <w:rsid w:val="001D2B79"/>
    <w:rsid w:val="001D51E5"/>
    <w:rsid w:val="001E080D"/>
    <w:rsid w:val="001E53D0"/>
    <w:rsid w:val="001F0C3B"/>
    <w:rsid w:val="00202C82"/>
    <w:rsid w:val="00214427"/>
    <w:rsid w:val="00220689"/>
    <w:rsid w:val="00221AFD"/>
    <w:rsid w:val="00226CB7"/>
    <w:rsid w:val="00252450"/>
    <w:rsid w:val="00264552"/>
    <w:rsid w:val="00264EF9"/>
    <w:rsid w:val="00265724"/>
    <w:rsid w:val="0027426B"/>
    <w:rsid w:val="00296D60"/>
    <w:rsid w:val="002E0A30"/>
    <w:rsid w:val="0030077D"/>
    <w:rsid w:val="003130C4"/>
    <w:rsid w:val="00316C4B"/>
    <w:rsid w:val="0032192B"/>
    <w:rsid w:val="0033283E"/>
    <w:rsid w:val="003479BD"/>
    <w:rsid w:val="0037197D"/>
    <w:rsid w:val="003768D5"/>
    <w:rsid w:val="003926B9"/>
    <w:rsid w:val="003C2E17"/>
    <w:rsid w:val="003C47E6"/>
    <w:rsid w:val="003C4FC2"/>
    <w:rsid w:val="00401F9A"/>
    <w:rsid w:val="00416E61"/>
    <w:rsid w:val="0042790C"/>
    <w:rsid w:val="004506F9"/>
    <w:rsid w:val="00462315"/>
    <w:rsid w:val="004717A2"/>
    <w:rsid w:val="00473DF3"/>
    <w:rsid w:val="00487911"/>
    <w:rsid w:val="00490F48"/>
    <w:rsid w:val="00491741"/>
    <w:rsid w:val="004B0CEE"/>
    <w:rsid w:val="004C2A0A"/>
    <w:rsid w:val="004F5EFB"/>
    <w:rsid w:val="00500E5F"/>
    <w:rsid w:val="005122EF"/>
    <w:rsid w:val="0051441A"/>
    <w:rsid w:val="00517C33"/>
    <w:rsid w:val="00517D5F"/>
    <w:rsid w:val="00523644"/>
    <w:rsid w:val="0054069E"/>
    <w:rsid w:val="00544866"/>
    <w:rsid w:val="00552A3D"/>
    <w:rsid w:val="00574CC8"/>
    <w:rsid w:val="005767CC"/>
    <w:rsid w:val="00590D9F"/>
    <w:rsid w:val="00595D26"/>
    <w:rsid w:val="005A74E6"/>
    <w:rsid w:val="005B404E"/>
    <w:rsid w:val="005D4D55"/>
    <w:rsid w:val="005E0E6C"/>
    <w:rsid w:val="005E2CFB"/>
    <w:rsid w:val="005F2103"/>
    <w:rsid w:val="005F3D1C"/>
    <w:rsid w:val="005F4189"/>
    <w:rsid w:val="006171EE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6F56C8"/>
    <w:rsid w:val="00702E34"/>
    <w:rsid w:val="00704395"/>
    <w:rsid w:val="00710FE7"/>
    <w:rsid w:val="00717621"/>
    <w:rsid w:val="00720FF1"/>
    <w:rsid w:val="00727A53"/>
    <w:rsid w:val="007502DE"/>
    <w:rsid w:val="00787B42"/>
    <w:rsid w:val="007C4539"/>
    <w:rsid w:val="007F3657"/>
    <w:rsid w:val="00810F0C"/>
    <w:rsid w:val="00811AA2"/>
    <w:rsid w:val="00812ED5"/>
    <w:rsid w:val="008277D9"/>
    <w:rsid w:val="0084478C"/>
    <w:rsid w:val="0086638C"/>
    <w:rsid w:val="008764FA"/>
    <w:rsid w:val="008A1079"/>
    <w:rsid w:val="008A3E8D"/>
    <w:rsid w:val="008A5055"/>
    <w:rsid w:val="008D17F4"/>
    <w:rsid w:val="009237C4"/>
    <w:rsid w:val="00944C48"/>
    <w:rsid w:val="00950252"/>
    <w:rsid w:val="00953129"/>
    <w:rsid w:val="00967F5D"/>
    <w:rsid w:val="009A0F95"/>
    <w:rsid w:val="009B3ADF"/>
    <w:rsid w:val="009C31C5"/>
    <w:rsid w:val="009C3B52"/>
    <w:rsid w:val="009E6817"/>
    <w:rsid w:val="009E6E9A"/>
    <w:rsid w:val="00A01D2B"/>
    <w:rsid w:val="00A1392A"/>
    <w:rsid w:val="00A42218"/>
    <w:rsid w:val="00A70249"/>
    <w:rsid w:val="00A70B02"/>
    <w:rsid w:val="00A71D9F"/>
    <w:rsid w:val="00A92E9F"/>
    <w:rsid w:val="00AB18FF"/>
    <w:rsid w:val="00B26269"/>
    <w:rsid w:val="00B33BEA"/>
    <w:rsid w:val="00B57C9F"/>
    <w:rsid w:val="00B63572"/>
    <w:rsid w:val="00B845B3"/>
    <w:rsid w:val="00B85D8B"/>
    <w:rsid w:val="00BB4A40"/>
    <w:rsid w:val="00BD6022"/>
    <w:rsid w:val="00BD6C3E"/>
    <w:rsid w:val="00BE3674"/>
    <w:rsid w:val="00C10681"/>
    <w:rsid w:val="00C10822"/>
    <w:rsid w:val="00C15C89"/>
    <w:rsid w:val="00C27C0D"/>
    <w:rsid w:val="00C3049A"/>
    <w:rsid w:val="00C31B1E"/>
    <w:rsid w:val="00C32F2E"/>
    <w:rsid w:val="00C73888"/>
    <w:rsid w:val="00C77645"/>
    <w:rsid w:val="00CE04C3"/>
    <w:rsid w:val="00CE34BE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0C00"/>
    <w:rsid w:val="00E67BE6"/>
    <w:rsid w:val="00E8683C"/>
    <w:rsid w:val="00EA2B72"/>
    <w:rsid w:val="00F74360"/>
    <w:rsid w:val="00FB462F"/>
    <w:rsid w:val="00FD7D3B"/>
    <w:rsid w:val="00FE16FA"/>
    <w:rsid w:val="00FE328A"/>
    <w:rsid w:val="00FE6269"/>
    <w:rsid w:val="00FF5CD6"/>
    <w:rsid w:val="1D97DEFF"/>
    <w:rsid w:val="1DFF72E5"/>
    <w:rsid w:val="1EFC6F07"/>
    <w:rsid w:val="2FDF85B8"/>
    <w:rsid w:val="2FFFEE04"/>
    <w:rsid w:val="34DF85B0"/>
    <w:rsid w:val="3B8F36BC"/>
    <w:rsid w:val="48314CDE"/>
    <w:rsid w:val="491FF225"/>
    <w:rsid w:val="4FFD214C"/>
    <w:rsid w:val="5169081C"/>
    <w:rsid w:val="5777D4F5"/>
    <w:rsid w:val="59DD8326"/>
    <w:rsid w:val="5DEF592A"/>
    <w:rsid w:val="5FC6BB1E"/>
    <w:rsid w:val="5FF720F1"/>
    <w:rsid w:val="646F4152"/>
    <w:rsid w:val="67FF5C0B"/>
    <w:rsid w:val="6EFC0924"/>
    <w:rsid w:val="6FB74722"/>
    <w:rsid w:val="6FEF8B7E"/>
    <w:rsid w:val="71A6591B"/>
    <w:rsid w:val="737D59BA"/>
    <w:rsid w:val="77C37683"/>
    <w:rsid w:val="79D19834"/>
    <w:rsid w:val="79FF515B"/>
    <w:rsid w:val="7E9E1962"/>
    <w:rsid w:val="7E9F11B4"/>
    <w:rsid w:val="7F37EC1E"/>
    <w:rsid w:val="7F7DCD9D"/>
    <w:rsid w:val="7F970A6F"/>
    <w:rsid w:val="7FC1FFF3"/>
    <w:rsid w:val="7FC69637"/>
    <w:rsid w:val="7FDF8620"/>
    <w:rsid w:val="7FE8C8F7"/>
    <w:rsid w:val="7FFB242F"/>
    <w:rsid w:val="7FFDB408"/>
    <w:rsid w:val="7FFE4EEB"/>
    <w:rsid w:val="95FB2B98"/>
    <w:rsid w:val="9A639BC2"/>
    <w:rsid w:val="9FF7D786"/>
    <w:rsid w:val="ABBFB23D"/>
    <w:rsid w:val="C3B4DA5A"/>
    <w:rsid w:val="CBFF70E0"/>
    <w:rsid w:val="CFF50B82"/>
    <w:rsid w:val="CFFFAD89"/>
    <w:rsid w:val="DFFE359E"/>
    <w:rsid w:val="DFFE4FFD"/>
    <w:rsid w:val="EEABED75"/>
    <w:rsid w:val="F56FDF51"/>
    <w:rsid w:val="F6B69F17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4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next w:val="4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2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17</Pages>
  <Words>4429</Words>
  <Characters>4967</Characters>
  <Lines>69</Lines>
  <Paragraphs>19</Paragraphs>
  <TotalTime>2</TotalTime>
  <ScaleCrop>false</ScaleCrop>
  <LinksUpToDate>false</LinksUpToDate>
  <CharactersWithSpaces>4993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2025-09-10T10:15:00Z</dcterms:created>
  <dc:creator>李航 null</dc:creator>
  <cp:lastModifiedBy>linlin</cp:lastModifiedBy>
  <cp:lastPrinted>2024-08-08T18:20:00Z</cp:lastPrinted>
  <dcterms:modified xsi:type="dcterms:W3CDTF">2025-09-15T10:27:30Z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BB7B6AA21D207914D6FDA268992A22D6</vt:lpwstr>
  </property>
  <property fmtid="{D5CDD505-2E9C-101B-9397-08002B2CF9AE}" pid="4" name="KSOTemplateDocerSaveRecord">
    <vt:lpwstr>eyJoZGlkIjoiZDY1MTJlNWZmODEzMjA1NWExMzQzMjQ5ZjUyZDJmODQiLCJ1c2VySWQiOiI5OTk0NjQwODEifQ==</vt:lpwstr>
  </property>
</Properties>
</file>