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8FD99">
      <w:pPr>
        <w:widowControl/>
        <w:shd w:val="clear" w:color="auto" w:fill="FFFFFF"/>
        <w:spacing w:line="600" w:lineRule="atLeast"/>
        <w:rPr>
          <w:rFonts w:hint="default" w:eastAsia="仿宋_GB2312"/>
          <w:spacing w:val="-2"/>
          <w:sz w:val="28"/>
          <w:szCs w:val="28"/>
          <w:lang w:val="en-US" w:eastAsia="zh-CN"/>
        </w:rPr>
      </w:pPr>
      <w:r>
        <w:rPr>
          <w:rFonts w:hint="eastAsia" w:eastAsia="仿宋_GB2312"/>
          <w:spacing w:val="-2"/>
          <w:sz w:val="28"/>
          <w:szCs w:val="28"/>
          <w:lang w:val="en-US" w:eastAsia="zh-CN"/>
        </w:rPr>
        <w:t>附件5</w:t>
      </w:r>
    </w:p>
    <w:p w14:paraId="6E6D199C">
      <w:pPr>
        <w:rPr>
          <w:rFonts w:ascii="Times New Roman" w:hAnsi="Times New Roman" w:eastAsia="黑体" w:cs="Times New Roman"/>
          <w:sz w:val="32"/>
          <w:szCs w:val="32"/>
        </w:rPr>
      </w:pPr>
      <w:r>
        <w:rPr>
          <w:rFonts w:hint="eastAsia" w:eastAsia="仿宋_GB2312"/>
          <w:b/>
          <w:spacing w:val="-2"/>
          <w:sz w:val="32"/>
          <w:szCs w:val="44"/>
        </w:rPr>
        <w:t xml:space="preserve">  </w:t>
      </w:r>
    </w:p>
    <w:p w14:paraId="51A0FC65">
      <w:pPr>
        <w:jc w:val="both"/>
        <w:rPr>
          <w:rFonts w:hint="eastAsia" w:ascii="Times New Roman" w:hAnsi="Times New Roman" w:eastAsia="方正小标宋_GBK" w:cs="Times New Roman"/>
          <w:sz w:val="52"/>
          <w:szCs w:val="52"/>
          <w:lang w:val="en-US" w:eastAsia="zh-CN"/>
        </w:rPr>
      </w:pPr>
      <w:r>
        <w:rPr>
          <w:rFonts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lang w:val="en-US" w:eastAsia="zh-CN"/>
        </w:rPr>
        <w:t>怀化市广播电视监测中心</w:t>
      </w:r>
    </w:p>
    <w:p w14:paraId="27BE229F">
      <w:pPr>
        <w:ind w:firstLine="1040" w:firstLineChars="2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整体支出绩效自评报告</w:t>
      </w:r>
    </w:p>
    <w:p w14:paraId="4F332F03">
      <w:pPr>
        <w:jc w:val="both"/>
        <w:rPr>
          <w:rFonts w:ascii="Times New Roman" w:hAnsi="Times New Roman" w:eastAsia="楷体_GB2312" w:cs="Times New Roman"/>
          <w:b/>
          <w:sz w:val="32"/>
          <w:szCs w:val="32"/>
        </w:rPr>
      </w:pPr>
    </w:p>
    <w:p w14:paraId="02E1F311">
      <w:pPr>
        <w:jc w:val="center"/>
        <w:rPr>
          <w:rFonts w:ascii="Times New Roman" w:hAnsi="Times New Roman" w:eastAsia="黑体" w:cs="Times New Roman"/>
          <w:sz w:val="32"/>
          <w:szCs w:val="32"/>
        </w:rPr>
      </w:pPr>
    </w:p>
    <w:p w14:paraId="362D986C">
      <w:pPr>
        <w:jc w:val="center"/>
        <w:rPr>
          <w:rFonts w:ascii="Times New Roman" w:hAnsi="Times New Roman" w:eastAsia="黑体" w:cs="Times New Roman"/>
          <w:sz w:val="32"/>
          <w:szCs w:val="32"/>
        </w:rPr>
      </w:pPr>
    </w:p>
    <w:p w14:paraId="20186D40">
      <w:pPr>
        <w:jc w:val="center"/>
        <w:rPr>
          <w:rFonts w:ascii="Times New Roman" w:hAnsi="Times New Roman" w:eastAsia="黑体" w:cs="Times New Roman"/>
          <w:sz w:val="32"/>
          <w:szCs w:val="32"/>
        </w:rPr>
      </w:pPr>
    </w:p>
    <w:p w14:paraId="13E67533">
      <w:pPr>
        <w:jc w:val="center"/>
        <w:rPr>
          <w:rFonts w:ascii="Times New Roman" w:hAnsi="Times New Roman" w:eastAsia="黑体" w:cs="Times New Roman"/>
          <w:sz w:val="32"/>
          <w:szCs w:val="32"/>
        </w:rPr>
      </w:pPr>
    </w:p>
    <w:p w14:paraId="1904EE9C">
      <w:pPr>
        <w:jc w:val="center"/>
        <w:rPr>
          <w:rFonts w:ascii="Times New Roman" w:hAnsi="Times New Roman" w:eastAsia="黑体" w:cs="Times New Roman"/>
          <w:sz w:val="32"/>
          <w:szCs w:val="32"/>
        </w:rPr>
      </w:pPr>
    </w:p>
    <w:p w14:paraId="417C7FA5">
      <w:pPr>
        <w:jc w:val="center"/>
        <w:rPr>
          <w:rFonts w:ascii="Times New Roman" w:hAnsi="Times New Roman" w:eastAsia="黑体" w:cs="Times New Roman"/>
          <w:sz w:val="32"/>
          <w:szCs w:val="32"/>
        </w:rPr>
      </w:pPr>
    </w:p>
    <w:p w14:paraId="539A2733">
      <w:pPr>
        <w:jc w:val="both"/>
        <w:rPr>
          <w:rFonts w:ascii="Times New Roman" w:hAnsi="Times New Roman" w:eastAsia="黑体" w:cs="Times New Roman"/>
          <w:sz w:val="32"/>
          <w:szCs w:val="32"/>
        </w:rPr>
      </w:pPr>
    </w:p>
    <w:p w14:paraId="0735C4BF">
      <w:pPr>
        <w:jc w:val="center"/>
        <w:rPr>
          <w:rFonts w:ascii="Times New Roman" w:hAnsi="Times New Roman" w:eastAsia="黑体" w:cs="Times New Roman"/>
          <w:sz w:val="32"/>
          <w:szCs w:val="32"/>
        </w:rPr>
      </w:pPr>
    </w:p>
    <w:p w14:paraId="7FE027AF">
      <w:pPr>
        <w:spacing w:line="600" w:lineRule="exact"/>
        <w:ind w:firstLine="1920" w:firstLineChars="6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ascii="Times New Roman" w:hAnsi="Times New Roman" w:eastAsia="仿宋_GB2312" w:cs="Times New Roman"/>
          <w:sz w:val="32"/>
          <w:szCs w:val="32"/>
          <w:u w:val="single"/>
        </w:rPr>
        <w:t xml:space="preserve">（盖章）       </w:t>
      </w:r>
    </w:p>
    <w:p w14:paraId="66B1F0F7">
      <w:pPr>
        <w:spacing w:line="600" w:lineRule="exact"/>
        <w:ind w:firstLine="3200" w:firstLineChars="10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6</w:t>
      </w:r>
      <w:r>
        <w:rPr>
          <w:rFonts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6</w:t>
      </w:r>
      <w:r>
        <w:rPr>
          <w:rFonts w:ascii="Times New Roman" w:hAnsi="Times New Roman" w:eastAsia="楷体_GB2312" w:cs="Times New Roman"/>
          <w:sz w:val="32"/>
          <w:szCs w:val="32"/>
        </w:rPr>
        <w:t xml:space="preserve"> 日</w:t>
      </w:r>
    </w:p>
    <w:p w14:paraId="5F4F015A">
      <w:pPr>
        <w:jc w:val="center"/>
        <w:rPr>
          <w:rFonts w:ascii="Times New Roman" w:hAnsi="Times New Roman" w:eastAsia="黑体" w:cs="Times New Roman"/>
          <w:sz w:val="32"/>
          <w:szCs w:val="32"/>
        </w:rPr>
      </w:pPr>
    </w:p>
    <w:p w14:paraId="1899A85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（此页为封面）</w:t>
      </w:r>
    </w:p>
    <w:p w14:paraId="56FAC6BE">
      <w:pPr>
        <w:widowControl/>
        <w:shd w:val="clear" w:color="auto" w:fill="FFFFFF"/>
        <w:spacing w:line="600" w:lineRule="atLeast"/>
        <w:rPr>
          <w:rFonts w:hint="eastAsia" w:eastAsia="仿宋_GB2312"/>
          <w:b/>
          <w:spacing w:val="-2"/>
          <w:sz w:val="32"/>
          <w:szCs w:val="44"/>
        </w:rPr>
      </w:pPr>
      <w:r>
        <w:rPr>
          <w:rFonts w:ascii="Times New Roman" w:hAnsi="Times New Roman" w:eastAsia="仿宋_GB2312" w:cs="Times New Roman"/>
          <w:sz w:val="32"/>
          <w:szCs w:val="32"/>
        </w:rPr>
        <w:br w:type="page"/>
      </w:r>
    </w:p>
    <w:p w14:paraId="272C5104">
      <w:pPr>
        <w:widowControl/>
        <w:shd w:val="clear" w:color="auto" w:fill="FFFFFF"/>
        <w:spacing w:line="600" w:lineRule="atLeast"/>
        <w:ind w:firstLine="1428" w:firstLineChars="450"/>
        <w:rPr>
          <w:rFonts w:hint="eastAsia" w:eastAsia="仿宋_GB2312"/>
          <w:b/>
          <w:spacing w:val="-2"/>
          <w:sz w:val="32"/>
          <w:szCs w:val="44"/>
        </w:rPr>
      </w:pPr>
      <w:r>
        <w:rPr>
          <w:rFonts w:eastAsia="仿宋_GB2312"/>
          <w:b/>
          <w:spacing w:val="-2"/>
          <w:sz w:val="32"/>
          <w:szCs w:val="44"/>
        </w:rPr>
        <w:t>部门整体支出绩效</w:t>
      </w:r>
      <w:r>
        <w:rPr>
          <w:rFonts w:hint="eastAsia" w:eastAsia="仿宋_GB2312"/>
          <w:b/>
          <w:spacing w:val="-2"/>
          <w:sz w:val="32"/>
          <w:szCs w:val="44"/>
        </w:rPr>
        <w:t>评价</w:t>
      </w:r>
      <w:r>
        <w:rPr>
          <w:rFonts w:eastAsia="仿宋_GB2312"/>
          <w:b/>
          <w:spacing w:val="-2"/>
          <w:sz w:val="32"/>
          <w:szCs w:val="44"/>
        </w:rPr>
        <w:t>报告参考提纲</w:t>
      </w:r>
    </w:p>
    <w:p w14:paraId="3DAD0D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rPr>
        <w:t>一、部门、单位基本情况</w:t>
      </w:r>
    </w:p>
    <w:p w14:paraId="573E1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（一）机构设置情况</w:t>
      </w:r>
    </w:p>
    <w:p w14:paraId="79236605">
      <w:pPr>
        <w:ind w:left="0" w:leftChars="0" w:firstLine="879" w:firstLineChars="293"/>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怀化市广播电视监测中心为二级预算单位，内设科室为：办公室、财务室、技术部、综合部。</w:t>
      </w:r>
    </w:p>
    <w:p w14:paraId="2B77852B">
      <w:pPr>
        <w:ind w:left="0" w:leftChars="0" w:firstLine="879" w:firstLineChars="293"/>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人员编制情况</w:t>
      </w:r>
    </w:p>
    <w:p w14:paraId="3FCEB2F6">
      <w:pPr>
        <w:ind w:left="0" w:leftChars="0" w:firstLine="879" w:firstLineChars="293"/>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2024年年末实有在职人数17人，其中财政编制17人。退休13人。</w:t>
      </w:r>
    </w:p>
    <w:p w14:paraId="57A5489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主要职能职责</w:t>
      </w:r>
    </w:p>
    <w:p w14:paraId="4B8D779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怀化市广播电视监测中心是怀化市文化旅游广电体育局下属正科级公益一类事业单位，加挂怀化市应急广播中心牌子，主要职责包括：</w:t>
      </w:r>
    </w:p>
    <w:p w14:paraId="12CBB2E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负责全市广播电视频道节目信号实时监测，涵盖市本级及所辖县市区15个电视频道、1个广播频率及主要网络视听平台，实时捕捉信号中断、画面卡顿、内容违规等问题，建立30分钟内预警响应机制。</w:t>
      </w:r>
    </w:p>
    <w:p w14:paraId="7D528A8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承担广播电视节目内容监听监看监评工作，编制《怀化媒体》简报，分析节目质量与舆论导向，提出整改建议，保障广播电视内容合规性与导向正确性。</w:t>
      </w:r>
    </w:p>
    <w:p w14:paraId="05A3189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负责市级应急广播体系建设与平台运维，推动省、市、县、乡四级应急广播系统贯通，对接应急、气象等部门预警系统，在突发事件中及时发布应急信息，服务民生保障与社会稳定。</w:t>
      </w:r>
    </w:p>
    <w:p w14:paraId="438F1152">
      <w:pPr>
        <w:ind w:left="0" w:leftChars="0" w:firstLine="879" w:firstLineChars="293"/>
        <w:rPr>
          <w:rFonts w:hint="eastAsia" w:ascii="楷体_GB2312" w:eastAsia="楷体_GB2312" w:cs="楷体_GB2312"/>
          <w:b/>
          <w:bCs/>
          <w:i w:val="0"/>
          <w:iCs w:val="0"/>
          <w:caps w:val="0"/>
          <w:color w:val="000000"/>
          <w:spacing w:val="0"/>
          <w:sz w:val="32"/>
          <w:szCs w:val="32"/>
          <w:lang w:eastAsia="zh-CN"/>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配合上级主管部门开展广播电视安全播出保障工作，在全国两会、重大节日等重要保障期实行24小时值守，排查设备与网络风险，确保广播电视安全播出。</w:t>
      </w:r>
    </w:p>
    <w:p w14:paraId="55CCBFA3">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二、一般公共预算支出情况</w:t>
      </w:r>
    </w:p>
    <w:p w14:paraId="2AF071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（一）预算执行、使用、管理总体情况。</w:t>
      </w:r>
    </w:p>
    <w:p w14:paraId="56D3F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年总</w:t>
      </w:r>
      <w:r>
        <w:rPr>
          <w:rFonts w:hint="eastAsia" w:ascii="仿宋" w:hAnsi="仿宋" w:eastAsia="仿宋" w:cs="仿宋"/>
          <w:i w:val="0"/>
          <w:iCs w:val="0"/>
          <w:caps w:val="0"/>
          <w:color w:val="auto"/>
          <w:spacing w:val="0"/>
          <w:sz w:val="32"/>
          <w:szCs w:val="32"/>
          <w:shd w:val="clear" w:fill="FFFFFF"/>
          <w:lang w:val="en-US" w:eastAsia="zh-CN"/>
        </w:rPr>
        <w:t>预算413.08万元，实际执行414.38万元，</w:t>
      </w:r>
      <w:r>
        <w:rPr>
          <w:rFonts w:hint="eastAsia" w:ascii="仿宋" w:hAnsi="仿宋" w:eastAsia="仿宋" w:cs="仿宋"/>
          <w:i w:val="0"/>
          <w:iCs w:val="0"/>
          <w:caps w:val="0"/>
          <w:color w:val="auto"/>
          <w:spacing w:val="0"/>
          <w:sz w:val="32"/>
          <w:szCs w:val="32"/>
          <w:shd w:val="clear" w:fill="FFFFFF"/>
        </w:rPr>
        <w:t>预算执行率100</w:t>
      </w:r>
      <w:r>
        <w:rPr>
          <w:rFonts w:hint="eastAsia" w:ascii="仿宋" w:hAnsi="仿宋" w:eastAsia="仿宋" w:cs="仿宋"/>
          <w:i w:val="0"/>
          <w:iCs w:val="0"/>
          <w:caps w:val="0"/>
          <w:color w:val="auto"/>
          <w:spacing w:val="0"/>
          <w:sz w:val="32"/>
          <w:szCs w:val="32"/>
          <w:shd w:val="clear" w:fill="FFFFFF"/>
          <w:lang w:val="en-US" w:eastAsia="zh-CN"/>
        </w:rPr>
        <w:t>.32</w:t>
      </w:r>
      <w:r>
        <w:rPr>
          <w:rFonts w:hint="eastAsia" w:ascii="仿宋" w:hAnsi="仿宋" w:eastAsia="仿宋" w:cs="仿宋"/>
          <w:i w:val="0"/>
          <w:iCs w:val="0"/>
          <w:caps w:val="0"/>
          <w:color w:val="auto"/>
          <w:spacing w:val="0"/>
          <w:sz w:val="32"/>
          <w:szCs w:val="32"/>
          <w:shd w:val="clear" w:fill="FFFFFF"/>
        </w:rPr>
        <w:t>%，基本符合预期的各项要求。各项经费的使用严格遵循预算编制的规定，未出现重大的超支或违规使用现象。在重点项目的投入上，资金的到充分保障，有力地推动了相关工作的开展。建立了完善的预算管理制度和流程，明确了各部门在预算管理中的职责和权限。定期开展预算执行情况的监控和分析，及时发现并解决潜在问题。</w:t>
      </w:r>
    </w:p>
    <w:p w14:paraId="6F020A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仿宋_GB2312" w:eastAsia="仿宋_GB2312" w:cs="仿宋_GB2312"/>
          <w:b/>
          <w:bCs/>
          <w:i w:val="0"/>
          <w:iCs w:val="0"/>
          <w:caps w:val="0"/>
          <w:color w:val="000000"/>
          <w:spacing w:val="0"/>
          <w:sz w:val="32"/>
          <w:szCs w:val="32"/>
          <w:shd w:val="clear" w:color="auto" w:fill="FFFFFF"/>
          <w:lang w:eastAsia="zh-CN"/>
        </w:rPr>
      </w:pPr>
    </w:p>
    <w:p w14:paraId="7187F1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仿宋_GB2312" w:eastAsia="仿宋_GB2312" w:cs="仿宋_GB2312"/>
          <w:b/>
          <w:bCs/>
          <w:i w:val="0"/>
          <w:iCs w:val="0"/>
          <w:caps w:val="0"/>
          <w:color w:val="000000"/>
          <w:spacing w:val="0"/>
          <w:sz w:val="32"/>
          <w:szCs w:val="32"/>
          <w:shd w:val="clear" w:color="auto" w:fill="FFFFFF"/>
        </w:rPr>
      </w:pPr>
      <w:r>
        <w:rPr>
          <w:rFonts w:hint="eastAsia" w:ascii="仿宋_GB2312" w:eastAsia="仿宋_GB2312" w:cs="仿宋_GB2312"/>
          <w:b/>
          <w:bCs/>
          <w:i w:val="0"/>
          <w:iCs w:val="0"/>
          <w:caps w:val="0"/>
          <w:color w:val="000000"/>
          <w:spacing w:val="0"/>
          <w:sz w:val="32"/>
          <w:szCs w:val="32"/>
          <w:shd w:val="clear" w:color="auto" w:fill="FFFFFF"/>
          <w:lang w:eastAsia="zh-CN"/>
        </w:rPr>
        <w:t>（二）</w:t>
      </w:r>
      <w:r>
        <w:rPr>
          <w:rFonts w:hint="default" w:ascii="仿宋_GB2312" w:eastAsia="仿宋_GB2312" w:cs="仿宋_GB2312"/>
          <w:b/>
          <w:bCs/>
          <w:i w:val="0"/>
          <w:iCs w:val="0"/>
          <w:caps w:val="0"/>
          <w:color w:val="000000"/>
          <w:spacing w:val="0"/>
          <w:sz w:val="32"/>
          <w:szCs w:val="32"/>
          <w:shd w:val="clear" w:color="auto" w:fill="FFFFFF"/>
        </w:rPr>
        <w:t>基本支出情况</w:t>
      </w:r>
    </w:p>
    <w:p w14:paraId="459A9786">
      <w:pPr>
        <w:widowControl/>
        <w:shd w:val="clear" w:color="auto" w:fill="FFFFFF"/>
        <w:spacing w:line="600" w:lineRule="atLeast"/>
        <w:ind w:firstLine="640"/>
        <w:rPr>
          <w:rFonts w:hint="default" w:ascii="仿宋_GB2312" w:eastAsia="仿宋_GB2312" w:cs="仿宋_GB2312"/>
          <w:i w:val="0"/>
          <w:iCs w:val="0"/>
          <w:caps w:val="0"/>
          <w:color w:val="000000"/>
          <w:spacing w:val="0"/>
          <w:sz w:val="32"/>
          <w:szCs w:val="32"/>
          <w:shd w:val="clear" w:color="auto"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年基本支出</w:t>
      </w:r>
      <w:r>
        <w:rPr>
          <w:rFonts w:hint="eastAsia" w:ascii="仿宋" w:hAnsi="仿宋" w:eastAsia="仿宋" w:cs="仿宋"/>
          <w:i w:val="0"/>
          <w:iCs w:val="0"/>
          <w:caps w:val="0"/>
          <w:color w:val="auto"/>
          <w:spacing w:val="0"/>
          <w:sz w:val="32"/>
          <w:szCs w:val="32"/>
          <w:shd w:val="clear" w:fill="FFFFFF"/>
          <w:lang w:val="en-US" w:eastAsia="zh-CN"/>
        </w:rPr>
        <w:t>预算413.08万元，实际执行414.38万元</w:t>
      </w:r>
      <w:r>
        <w:rPr>
          <w:rFonts w:hint="eastAsia" w:ascii="仿宋" w:hAnsi="仿宋" w:eastAsia="仿宋" w:cs="仿宋"/>
          <w:i w:val="0"/>
          <w:iCs w:val="0"/>
          <w:caps w:val="0"/>
          <w:color w:val="FF0000"/>
          <w:spacing w:val="0"/>
          <w:sz w:val="32"/>
          <w:szCs w:val="32"/>
          <w:shd w:val="clear" w:fill="FFFFFF"/>
        </w:rPr>
        <w:t>，</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基本支出是指为保障单位机构正常运转、完成日常工作任务而发生的各项支出，</w:t>
      </w:r>
      <w:r>
        <w:rPr>
          <w:rFonts w:hint="eastAsia" w:ascii="仿宋" w:hAnsi="仿宋" w:eastAsia="仿宋" w:cs="仿宋"/>
          <w:b w:val="0"/>
          <w:bCs w:val="0"/>
          <w:color w:val="000000" w:themeColor="text1"/>
          <w:spacing w:val="6"/>
          <w:sz w:val="32"/>
          <w:szCs w:val="32"/>
          <w:highlight w:val="none"/>
          <w:lang w:eastAsia="zh-CN"/>
          <w14:textFill>
            <w14:solidFill>
              <w14:schemeClr w14:val="tx1"/>
            </w14:solidFill>
          </w14:textFill>
        </w:rPr>
        <w:t>全年共计</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414.38</w:t>
      </w:r>
      <w:r>
        <w:rPr>
          <w:rFonts w:hint="eastAsia" w:ascii="仿宋" w:hAnsi="仿宋" w:eastAsia="仿宋" w:cs="仿宋"/>
          <w:b w:val="0"/>
          <w:bCs w:val="0"/>
          <w:color w:val="000000" w:themeColor="text1"/>
          <w:spacing w:val="6"/>
          <w:sz w:val="32"/>
          <w:szCs w:val="32"/>
          <w:highlight w:val="none"/>
          <w:lang w:eastAsia="zh-CN"/>
          <w14:textFill>
            <w14:solidFill>
              <w14:schemeClr w14:val="tx1"/>
            </w14:solidFill>
          </w14:textFill>
        </w:rPr>
        <w:t>万元，</w:t>
      </w:r>
      <w:r>
        <w:rPr>
          <w:rFonts w:hint="eastAsia" w:ascii="仿宋" w:hAnsi="仿宋" w:eastAsia="仿宋"/>
          <w:spacing w:val="-2"/>
          <w:sz w:val="32"/>
          <w:szCs w:val="32"/>
          <w:lang w:eastAsia="zh-CN"/>
        </w:rPr>
        <w:t>包括用于基本工资</w:t>
      </w:r>
      <w:r>
        <w:rPr>
          <w:rFonts w:hint="eastAsia" w:ascii="仿宋" w:hAnsi="仿宋" w:eastAsia="仿宋"/>
          <w:spacing w:val="-2"/>
          <w:sz w:val="32"/>
          <w:szCs w:val="32"/>
          <w:lang w:val="en-US" w:eastAsia="zh-CN"/>
        </w:rPr>
        <w:t>89.65万元、绩效工资54.75万元、伙食补助6.42万元、办公费1.54万元、</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机关事业单位基本养老</w:t>
      </w:r>
      <w:r>
        <w:rPr>
          <w:rFonts w:hint="eastAsia" w:ascii="仿宋" w:hAnsi="仿宋" w:eastAsia="仿宋"/>
          <w:spacing w:val="-2"/>
          <w:sz w:val="32"/>
          <w:szCs w:val="32"/>
          <w:lang w:val="en-US" w:eastAsia="zh-CN"/>
        </w:rPr>
        <w:t>社保缴费55.13万元、</w:t>
      </w:r>
      <w:r>
        <w:rPr>
          <w:rFonts w:hint="eastAsia" w:ascii="仿宋" w:hAnsi="仿宋" w:eastAsia="仿宋" w:cs="仿宋"/>
          <w:b w:val="0"/>
          <w:bCs w:val="0"/>
          <w:color w:val="000000" w:themeColor="text1"/>
          <w:spacing w:val="6"/>
          <w:sz w:val="32"/>
          <w:szCs w:val="32"/>
          <w:highlight w:val="none"/>
          <w:lang w:val="en-US" w:eastAsia="zh-CN"/>
          <w14:textFill>
            <w14:solidFill>
              <w14:schemeClr w14:val="tx1"/>
            </w14:solidFill>
          </w14:textFill>
        </w:rPr>
        <w:t>职工基</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本医疗保险缴费12.18万元、住房公积金23.27万元</w:t>
      </w:r>
      <w:r>
        <w:rPr>
          <w:rFonts w:hint="eastAsia" w:ascii="仿宋" w:hAnsi="仿宋" w:eastAsia="仿宋"/>
          <w:spacing w:val="-2"/>
          <w:sz w:val="32"/>
          <w:szCs w:val="32"/>
          <w:lang w:val="en-US" w:eastAsia="zh-CN"/>
        </w:rPr>
        <w:t>。</w:t>
      </w:r>
    </w:p>
    <w:p w14:paraId="196D799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（二）</w:t>
      </w:r>
      <w:r>
        <w:rPr>
          <w:rFonts w:hint="default" w:ascii="仿宋" w:hAnsi="仿宋" w:eastAsia="仿宋" w:cstheme="minorBidi"/>
          <w:spacing w:val="-2"/>
          <w:kern w:val="2"/>
          <w:sz w:val="32"/>
          <w:szCs w:val="32"/>
          <w:lang w:val="en-US" w:eastAsia="zh-CN" w:bidi="ar-SA"/>
        </w:rPr>
        <w:t>项目支出</w:t>
      </w:r>
    </w:p>
    <w:p w14:paraId="05391D4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我单位2024年无项目支出。</w:t>
      </w:r>
    </w:p>
    <w:p w14:paraId="5800AD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b/>
          <w:bCs/>
          <w:i w:val="0"/>
          <w:iCs w:val="0"/>
          <w:caps w:val="0"/>
          <w:color w:val="000000"/>
          <w:spacing w:val="0"/>
          <w:sz w:val="32"/>
          <w:szCs w:val="32"/>
        </w:rPr>
      </w:pPr>
      <w:r>
        <w:rPr>
          <w:rFonts w:hint="default" w:ascii="楷体_GB2312" w:eastAsia="楷体_GB2312" w:cs="楷体_GB2312"/>
          <w:b/>
          <w:bCs/>
          <w:i w:val="0"/>
          <w:iCs w:val="0"/>
          <w:caps w:val="0"/>
          <w:color w:val="000000"/>
          <w:spacing w:val="0"/>
          <w:sz w:val="32"/>
          <w:szCs w:val="32"/>
          <w:shd w:val="clear" w:color="auto" w:fill="FFFFFF"/>
        </w:rPr>
        <w:t>（三）</w:t>
      </w:r>
      <w:r>
        <w:rPr>
          <w:rFonts w:hint="default" w:ascii="楷体" w:hAnsi="楷体" w:eastAsia="楷体" w:cs="楷体"/>
          <w:b/>
          <w:bCs/>
          <w:i w:val="0"/>
          <w:iCs w:val="0"/>
          <w:caps w:val="0"/>
          <w:color w:val="000000"/>
          <w:spacing w:val="0"/>
          <w:sz w:val="32"/>
          <w:szCs w:val="32"/>
          <w:shd w:val="clear" w:fill="FFFFFF"/>
        </w:rPr>
        <w:t>"三公"经费使用和管理情况</w:t>
      </w:r>
    </w:p>
    <w:p w14:paraId="0265C50E">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使用情况：</w:t>
      </w:r>
    </w:p>
    <w:p w14:paraId="1F7CDEB7">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年“三公”经费支出</w:t>
      </w:r>
      <w:r>
        <w:rPr>
          <w:rFonts w:hint="eastAsia" w:ascii="仿宋" w:hAnsi="仿宋" w:eastAsia="仿宋" w:cs="仿宋"/>
          <w:i w:val="0"/>
          <w:iCs w:val="0"/>
          <w:caps w:val="0"/>
          <w:color w:val="auto"/>
          <w:spacing w:val="0"/>
          <w:sz w:val="32"/>
          <w:szCs w:val="32"/>
          <w:shd w:val="clear" w:fill="FFFFFF"/>
          <w:lang w:val="en-US" w:eastAsia="zh-CN"/>
        </w:rPr>
        <w:t>预算5.0</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val="en-US" w:eastAsia="zh-CN"/>
        </w:rPr>
        <w:t>实际支出0.01万元。</w:t>
      </w:r>
      <w:r>
        <w:rPr>
          <w:rFonts w:hint="eastAsia" w:ascii="仿宋" w:hAnsi="仿宋" w:eastAsia="仿宋" w:cs="仿宋"/>
          <w:b w:val="0"/>
          <w:bCs w:val="0"/>
          <w:color w:val="auto"/>
          <w:spacing w:val="11"/>
          <w:sz w:val="32"/>
          <w:szCs w:val="32"/>
          <w:highlight w:val="none"/>
          <w:lang w:val="en-US" w:eastAsia="zh-CN"/>
        </w:rPr>
        <w:t>其中:因公出国(境)费预算0万元，实际因公出国(境)费0万元，</w:t>
      </w:r>
      <w:r>
        <w:rPr>
          <w:rFonts w:hint="eastAsia" w:ascii="仿宋" w:hAnsi="仿宋" w:eastAsia="仿宋" w:cs="仿宋"/>
          <w:i w:val="0"/>
          <w:iCs w:val="0"/>
          <w:caps w:val="0"/>
          <w:color w:val="auto"/>
          <w:spacing w:val="0"/>
          <w:sz w:val="32"/>
          <w:szCs w:val="32"/>
          <w:shd w:val="clear" w:fill="FFFFFF"/>
        </w:rPr>
        <w:t>车辆运行维护费</w:t>
      </w:r>
      <w:r>
        <w:rPr>
          <w:rFonts w:hint="eastAsia" w:ascii="仿宋" w:hAnsi="仿宋" w:eastAsia="仿宋" w:cs="仿宋"/>
          <w:i w:val="0"/>
          <w:iCs w:val="0"/>
          <w:caps w:val="0"/>
          <w:color w:val="auto"/>
          <w:spacing w:val="0"/>
          <w:sz w:val="32"/>
          <w:szCs w:val="32"/>
          <w:shd w:val="clear" w:fill="FFFFFF"/>
          <w:lang w:val="en-US" w:eastAsia="zh-CN"/>
        </w:rPr>
        <w:t>预算3.5</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val="en-US" w:eastAsia="zh-CN"/>
        </w:rPr>
        <w:t>实际支出0.01万元</w:t>
      </w:r>
      <w:r>
        <w:rPr>
          <w:rFonts w:hint="eastAsia" w:ascii="仿宋" w:hAnsi="仿宋" w:eastAsia="仿宋" w:cs="仿宋"/>
          <w:b w:val="0"/>
          <w:bCs w:val="0"/>
          <w:color w:val="auto"/>
          <w:spacing w:val="11"/>
          <w:sz w:val="32"/>
          <w:szCs w:val="32"/>
          <w:highlight w:val="none"/>
          <w:lang w:val="en-US" w:eastAsia="zh-CN"/>
        </w:rPr>
        <w:t>公务用车运行维护费比去年增加了2.01万元，主要是因2024年我单位处于建设期，基本无公车使用</w:t>
      </w:r>
      <w:r>
        <w:rPr>
          <w:rFonts w:hint="eastAsia"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rPr>
        <w:t>公务接待费</w:t>
      </w:r>
      <w:r>
        <w:rPr>
          <w:rFonts w:hint="eastAsia" w:ascii="仿宋" w:hAnsi="仿宋" w:eastAsia="仿宋" w:cs="仿宋"/>
          <w:i w:val="0"/>
          <w:iCs w:val="0"/>
          <w:caps w:val="0"/>
          <w:color w:val="auto"/>
          <w:spacing w:val="0"/>
          <w:sz w:val="32"/>
          <w:szCs w:val="32"/>
          <w:shd w:val="clear" w:fill="FFFFFF"/>
          <w:lang w:val="en-US" w:eastAsia="zh-CN"/>
        </w:rPr>
        <w:t>预算1.5</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实际支出0万元</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b w:val="0"/>
          <w:bCs w:val="0"/>
          <w:color w:val="auto"/>
          <w:spacing w:val="11"/>
          <w:sz w:val="32"/>
          <w:szCs w:val="32"/>
          <w:highlight w:val="none"/>
          <w:lang w:val="en-US" w:eastAsia="zh-CN"/>
        </w:rPr>
        <w:t>比去年节约</w:t>
      </w:r>
      <w:r>
        <w:rPr>
          <w:rFonts w:hint="eastAsia" w:ascii="仿宋" w:hAnsi="仿宋" w:eastAsia="仿宋" w:cs="仿宋"/>
          <w:b w:val="0"/>
          <w:bCs w:val="0"/>
          <w:color w:val="auto"/>
          <w:spacing w:val="11"/>
          <w:sz w:val="32"/>
          <w:szCs w:val="32"/>
          <w:highlight w:val="none"/>
          <w:lang w:eastAsia="zh-CN"/>
        </w:rPr>
        <w:t>0</w:t>
      </w:r>
      <w:r>
        <w:rPr>
          <w:rFonts w:hint="eastAsia" w:ascii="仿宋" w:hAnsi="仿宋" w:eastAsia="仿宋" w:cs="仿宋"/>
          <w:b w:val="0"/>
          <w:bCs w:val="0"/>
          <w:color w:val="auto"/>
          <w:spacing w:val="11"/>
          <w:sz w:val="32"/>
          <w:szCs w:val="32"/>
          <w:highlight w:val="none"/>
          <w:lang w:val="en-US" w:eastAsia="zh-CN"/>
        </w:rPr>
        <w:t>.41万元，主要是厉行节约，严控三公经费，为持续严格执行中央八项规定及相关文件精神。</w:t>
      </w:r>
    </w:p>
    <w:p w14:paraId="5D4659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2、管理情况</w:t>
      </w:r>
      <w:r>
        <w:rPr>
          <w:rFonts w:hint="eastAsia" w:ascii="仿宋" w:hAnsi="仿宋" w:eastAsia="仿宋" w:cs="仿宋"/>
          <w:i w:val="0"/>
          <w:iCs w:val="0"/>
          <w:caps w:val="0"/>
          <w:color w:val="auto"/>
          <w:spacing w:val="0"/>
          <w:sz w:val="32"/>
          <w:szCs w:val="32"/>
          <w:shd w:val="clear" w:fill="FFFFFF"/>
        </w:rPr>
        <w:t>:</w:t>
      </w:r>
    </w:p>
    <w:p w14:paraId="6444853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0" w:firstLineChars="1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严格预算编制，强化预算节约:将“三公”经费预算编制细化到具体项目，从严控制预算支出，杜绝无预算和超预算开支，增强预算约束力。</w:t>
      </w:r>
    </w:p>
    <w:p w14:paraId="5FC4312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0" w:firstLineChars="1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控制</w:t>
      </w:r>
      <w:r>
        <w:rPr>
          <w:rFonts w:hint="eastAsia" w:ascii="仿宋" w:hAnsi="仿宋" w:eastAsia="仿宋" w:cs="仿宋"/>
          <w:i w:val="0"/>
          <w:iCs w:val="0"/>
          <w:caps w:val="0"/>
          <w:color w:val="auto"/>
          <w:spacing w:val="0"/>
          <w:sz w:val="32"/>
          <w:szCs w:val="32"/>
          <w:shd w:val="clear" w:fill="FFFFFF"/>
        </w:rPr>
        <w:t>支出标准，严格执行制度:对公务用车、公务接待等支出</w:t>
      </w:r>
      <w:r>
        <w:rPr>
          <w:rFonts w:hint="eastAsia" w:ascii="仿宋" w:hAnsi="仿宋" w:eastAsia="仿宋" w:cs="仿宋"/>
          <w:i w:val="0"/>
          <w:iCs w:val="0"/>
          <w:caps w:val="0"/>
          <w:color w:val="auto"/>
          <w:spacing w:val="0"/>
          <w:sz w:val="32"/>
          <w:szCs w:val="32"/>
          <w:shd w:val="clear" w:fill="FFFFFF"/>
          <w:lang w:val="en-US" w:eastAsia="zh-CN"/>
        </w:rPr>
        <w:t>严格控制</w:t>
      </w:r>
      <w:r>
        <w:rPr>
          <w:rFonts w:hint="eastAsia" w:ascii="仿宋" w:hAnsi="仿宋" w:eastAsia="仿宋" w:cs="仿宋"/>
          <w:i w:val="0"/>
          <w:iCs w:val="0"/>
          <w:caps w:val="0"/>
          <w:color w:val="auto"/>
          <w:spacing w:val="0"/>
          <w:sz w:val="32"/>
          <w:szCs w:val="32"/>
          <w:shd w:val="clear" w:fill="FFFFFF"/>
        </w:rPr>
        <w:t>，按规定</w:t>
      </w:r>
      <w:r>
        <w:rPr>
          <w:rFonts w:hint="eastAsia" w:ascii="仿宋" w:hAnsi="仿宋" w:eastAsia="仿宋" w:cs="仿宋"/>
          <w:i w:val="0"/>
          <w:iCs w:val="0"/>
          <w:caps w:val="0"/>
          <w:color w:val="auto"/>
          <w:spacing w:val="0"/>
          <w:sz w:val="32"/>
          <w:szCs w:val="32"/>
          <w:shd w:val="clear" w:fill="FFFFFF"/>
          <w:lang w:val="en-US" w:eastAsia="zh-CN"/>
        </w:rPr>
        <w:t>标准</w:t>
      </w:r>
      <w:r>
        <w:rPr>
          <w:rFonts w:hint="eastAsia" w:ascii="仿宋" w:hAnsi="仿宋" w:eastAsia="仿宋" w:cs="仿宋"/>
          <w:i w:val="0"/>
          <w:iCs w:val="0"/>
          <w:caps w:val="0"/>
          <w:color w:val="auto"/>
          <w:spacing w:val="0"/>
          <w:sz w:val="32"/>
          <w:szCs w:val="32"/>
          <w:shd w:val="clear" w:fill="FFFFFF"/>
        </w:rPr>
        <w:t>额度报销，</w:t>
      </w:r>
      <w:r>
        <w:rPr>
          <w:rFonts w:hint="eastAsia" w:ascii="仿宋" w:hAnsi="仿宋" w:eastAsia="仿宋" w:cs="仿宋"/>
          <w:i w:val="0"/>
          <w:iCs w:val="0"/>
          <w:caps w:val="0"/>
          <w:color w:val="auto"/>
          <w:spacing w:val="0"/>
          <w:sz w:val="32"/>
          <w:szCs w:val="32"/>
          <w:shd w:val="clear" w:fill="FFFFFF"/>
          <w:lang w:val="en-US" w:eastAsia="zh-CN"/>
        </w:rPr>
        <w:t>杜绝超支</w:t>
      </w:r>
      <w:r>
        <w:rPr>
          <w:rFonts w:hint="eastAsia" w:ascii="仿宋" w:hAnsi="仿宋" w:eastAsia="仿宋" w:cs="仿宋"/>
          <w:i w:val="0"/>
          <w:iCs w:val="0"/>
          <w:caps w:val="0"/>
          <w:color w:val="auto"/>
          <w:spacing w:val="0"/>
          <w:sz w:val="32"/>
          <w:szCs w:val="32"/>
          <w:shd w:val="clear" w:fill="FFFFFF"/>
        </w:rPr>
        <w:t>。</w:t>
      </w:r>
    </w:p>
    <w:p w14:paraId="094C231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0" w:firstLineChars="100"/>
        <w:textAlignment w:val="auto"/>
        <w:rPr>
          <w:rFonts w:hint="eastAsia" w:ascii="宋体" w:hAnsi="宋体" w:eastAsia="宋体" w:cs="宋体"/>
          <w:i w:val="0"/>
          <w:iCs w:val="0"/>
          <w:caps w:val="0"/>
          <w:color w:val="auto"/>
          <w:spacing w:val="0"/>
          <w:sz w:val="28"/>
          <w:szCs w:val="28"/>
          <w:shd w:val="clear" w:fill="FFFFFF"/>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规范财务制度，加强日常管理:公务费用支出一律履行报批手续。对接待支出，填写公务接单审批单并控制接待标准及参陪人数。</w:t>
      </w:r>
    </w:p>
    <w:p w14:paraId="22B026C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320" w:firstLineChars="100"/>
        <w:textAlignment w:val="auto"/>
        <w:rPr>
          <w:rFonts w:hint="eastAsia" w:ascii="黑体" w:hAnsi="黑体" w:eastAsia="黑体" w:cs="黑体"/>
          <w:b/>
          <w:bCs/>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color="auto" w:fill="FFFFFF"/>
          <w:lang w:eastAsia="zh-CN"/>
        </w:rPr>
        <w:t>四、资产管理情况</w:t>
      </w:r>
      <w:r>
        <w:rPr>
          <w:rFonts w:hint="eastAsia" w:ascii="黑体" w:hAnsi="黑体" w:eastAsia="黑体" w:cs="黑体"/>
          <w:i w:val="0"/>
          <w:iCs w:val="0"/>
          <w:caps w:val="0"/>
          <w:color w:val="000000"/>
          <w:spacing w:val="0"/>
          <w:sz w:val="32"/>
          <w:szCs w:val="32"/>
          <w:shd w:val="clear" w:color="auto" w:fill="FFFFFF"/>
          <w:lang w:val="en-US" w:eastAsia="zh-CN"/>
        </w:rPr>
        <w:t xml:space="preserve">                                   </w:t>
      </w:r>
    </w:p>
    <w:p w14:paraId="7D54D6A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1"/>
        <w:textAlignment w:val="auto"/>
        <w:rPr>
          <w:rFonts w:hint="eastAsia" w:ascii="黑体" w:hAnsi="黑体" w:eastAsia="黑体" w:cs="黑体"/>
          <w:b/>
          <w:bCs/>
          <w:i w:val="0"/>
          <w:iCs w:val="0"/>
          <w:caps w:val="0"/>
          <w:color w:val="000000"/>
          <w:spacing w:val="0"/>
          <w:sz w:val="32"/>
          <w:szCs w:val="32"/>
          <w:shd w:val="clear" w:fill="FFFFFF"/>
          <w:lang w:eastAsia="zh-CN"/>
        </w:rPr>
      </w:pPr>
      <w:r>
        <w:rPr>
          <w:rFonts w:hint="eastAsia" w:ascii="仿宋" w:hAnsi="仿宋" w:eastAsia="仿宋" w:cs="仿宋"/>
          <w:color w:val="000000"/>
          <w:kern w:val="0"/>
          <w:sz w:val="32"/>
          <w:szCs w:val="32"/>
          <w:lang w:eastAsia="zh-CN"/>
        </w:rPr>
        <w:t>为了搞好单位资产的配置、管理、处置等特制定了《资产管理制度》，我单位固定资产由办公室统一登记和管理。购置办公用品和设备，需经上级资产相关管理部门审批后，经由单位领导同意后方可采购。办公室定期清点公物，按年度列出清单。做到账账相符、账证相符、账实相符。</w:t>
      </w:r>
    </w:p>
    <w:p w14:paraId="4546C3E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1" w:firstLineChars="1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eastAsia="zh-CN"/>
        </w:rPr>
        <w:t>五、</w:t>
      </w:r>
      <w:r>
        <w:rPr>
          <w:rFonts w:hint="eastAsia" w:ascii="黑体" w:hAnsi="黑体" w:eastAsia="黑体" w:cs="黑体"/>
          <w:b/>
          <w:bCs/>
          <w:i w:val="0"/>
          <w:iCs w:val="0"/>
          <w:caps w:val="0"/>
          <w:color w:val="000000"/>
          <w:spacing w:val="0"/>
          <w:sz w:val="32"/>
          <w:szCs w:val="32"/>
          <w:shd w:val="clear" w:fill="FFFFFF"/>
        </w:rPr>
        <w:t>政府性基金预算支出情况</w:t>
      </w:r>
    </w:p>
    <w:p w14:paraId="1E70DB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 xml:space="preserve">  </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我单位202</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年无政府性基金预算支出。</w:t>
      </w:r>
    </w:p>
    <w:p w14:paraId="7F94A57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321" w:firstLineChars="100"/>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eastAsia="zh-CN"/>
        </w:rPr>
        <w:t>六、</w:t>
      </w:r>
      <w:r>
        <w:rPr>
          <w:rFonts w:hint="eastAsia" w:ascii="黑体" w:hAnsi="黑体" w:eastAsia="黑体" w:cs="黑体"/>
          <w:b/>
          <w:bCs/>
          <w:i w:val="0"/>
          <w:iCs w:val="0"/>
          <w:caps w:val="0"/>
          <w:color w:val="000000"/>
          <w:spacing w:val="0"/>
          <w:sz w:val="32"/>
          <w:szCs w:val="32"/>
          <w:shd w:val="clear" w:fill="FFFFFF"/>
        </w:rPr>
        <w:t>国有资本经营预算支出情况</w:t>
      </w:r>
    </w:p>
    <w:p w14:paraId="302B91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42" w:firstLineChars="1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我单位202</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年无国有资本经营预算支出。</w:t>
      </w:r>
    </w:p>
    <w:p w14:paraId="6B3B138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321" w:firstLineChars="100"/>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lang w:eastAsia="zh-CN"/>
        </w:rPr>
        <w:t>七、</w:t>
      </w:r>
      <w:r>
        <w:rPr>
          <w:rFonts w:hint="eastAsia" w:ascii="黑体" w:hAnsi="黑体" w:eastAsia="黑体" w:cs="黑体"/>
          <w:b/>
          <w:bCs/>
          <w:i w:val="0"/>
          <w:iCs w:val="0"/>
          <w:caps w:val="0"/>
          <w:color w:val="000000"/>
          <w:spacing w:val="0"/>
          <w:sz w:val="32"/>
          <w:szCs w:val="32"/>
          <w:shd w:val="clear" w:fill="FFFFFF"/>
        </w:rPr>
        <w:t>社会保险基金预算支出情况</w:t>
      </w:r>
    </w:p>
    <w:p w14:paraId="431F72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42" w:firstLineChars="1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我单位202</w:t>
      </w:r>
      <w:r>
        <w:rPr>
          <w:rFonts w:hint="eastAsia" w:ascii="仿宋" w:hAnsi="仿宋" w:eastAsia="仿宋" w:cs="仿宋"/>
          <w:b w:val="0"/>
          <w:bCs w:val="0"/>
          <w:color w:val="000000" w:themeColor="text1"/>
          <w:spacing w:val="1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pacing w:val="11"/>
          <w:sz w:val="32"/>
          <w:szCs w:val="32"/>
          <w:highlight w:val="none"/>
          <w:lang w:eastAsia="zh-CN"/>
          <w14:textFill>
            <w14:solidFill>
              <w14:schemeClr w14:val="tx1"/>
            </w14:solidFill>
          </w14:textFill>
        </w:rPr>
        <w:t>年无社会保险基金预算支出。</w:t>
      </w:r>
    </w:p>
    <w:p w14:paraId="468E9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321" w:firstLineChars="100"/>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fill="FFFFFF"/>
          <w:lang w:eastAsia="zh-CN"/>
        </w:rPr>
        <w:t>八</w:t>
      </w:r>
      <w:r>
        <w:rPr>
          <w:rFonts w:hint="eastAsia" w:ascii="黑体" w:hAnsi="黑体" w:eastAsia="黑体" w:cs="黑体"/>
          <w:b/>
          <w:bCs/>
          <w:i w:val="0"/>
          <w:iCs w:val="0"/>
          <w:caps w:val="0"/>
          <w:color w:val="000000"/>
          <w:spacing w:val="0"/>
          <w:sz w:val="32"/>
          <w:szCs w:val="32"/>
          <w:shd w:val="clear" w:fill="FFFFFF"/>
        </w:rPr>
        <w:t>、部门整体支出绩效情况</w:t>
      </w:r>
    </w:p>
    <w:p w14:paraId="538FAA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lang w:eastAsia="zh-CN"/>
        </w:rPr>
        <w:t>八</w:t>
      </w:r>
      <w:r>
        <w:rPr>
          <w:rFonts w:hint="eastAsia" w:ascii="黑体" w:hAnsi="黑体" w:eastAsia="黑体" w:cs="黑体"/>
          <w:i w:val="0"/>
          <w:iCs w:val="0"/>
          <w:caps w:val="0"/>
          <w:color w:val="000000"/>
          <w:spacing w:val="0"/>
          <w:sz w:val="32"/>
          <w:szCs w:val="32"/>
          <w:shd w:val="clear" w:color="auto" w:fill="FFFFFF"/>
        </w:rPr>
        <w:t>、部门整体支出绩效情况</w:t>
      </w:r>
    </w:p>
    <w:p w14:paraId="282FB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（一）综合评价结论。</w:t>
      </w:r>
      <w:r>
        <w:rPr>
          <w:rFonts w:hint="default" w:ascii="仿宋_GB2312" w:eastAsia="仿宋_GB2312" w:cs="仿宋_GB2312"/>
          <w:i w:val="0"/>
          <w:iCs w:val="0"/>
          <w:caps w:val="0"/>
          <w:color w:val="000000"/>
          <w:spacing w:val="0"/>
          <w:sz w:val="32"/>
          <w:szCs w:val="32"/>
          <w:shd w:val="clear" w:color="auto" w:fill="FFFFFF"/>
        </w:rPr>
        <w:t>反映自评得分及评价等级。</w:t>
      </w:r>
    </w:p>
    <w:p w14:paraId="7858AA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 xml:space="preserve">    自评得分100分，等级优。</w:t>
      </w:r>
    </w:p>
    <w:p w14:paraId="25B8BA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color="auto" w:fill="FFFFFF"/>
        </w:rPr>
        <w:t>（二）评价指标分析（或综合评价情况）</w:t>
      </w:r>
    </w:p>
    <w:p w14:paraId="64F72953">
      <w:pPr>
        <w:widowControl/>
        <w:shd w:val="clear" w:color="auto" w:fill="FFFFFF"/>
        <w:spacing w:line="600" w:lineRule="atLeast"/>
        <w:ind w:firstLine="640"/>
      </w:pPr>
      <w:r>
        <w:rPr>
          <w:rFonts w:hint="eastAsia" w:ascii="仿宋" w:hAnsi="仿宋" w:eastAsia="仿宋" w:cs="仿宋"/>
          <w:b w:val="0"/>
          <w:bCs/>
          <w:spacing w:val="-2"/>
          <w:sz w:val="32"/>
          <w:szCs w:val="32"/>
          <w:lang w:eastAsia="zh-CN"/>
        </w:rPr>
        <w:t>我</w:t>
      </w:r>
      <w:r>
        <w:rPr>
          <w:rFonts w:hint="eastAsia" w:ascii="仿宋" w:hAnsi="仿宋" w:eastAsia="仿宋" w:cs="仿宋"/>
          <w:b w:val="0"/>
          <w:bCs/>
          <w:spacing w:val="-2"/>
          <w:sz w:val="32"/>
          <w:szCs w:val="32"/>
          <w:lang w:val="en-US" w:eastAsia="zh-CN"/>
        </w:rPr>
        <w:t>单位是公益一类事业单位，主要负责保障城郊及农村有线电视传输同时还对全市广播电视及自媒体账号进行监听监看。在电视行业部景气，监听监看平台不完整的情况下，我们通过积极收取有线电视费用，合理安排全年预算开支，严格按照预算执行开支，圆满的完成了2024年整体绩效目标任务，做到了</w:t>
      </w:r>
      <w:r>
        <w:rPr>
          <w:rFonts w:hint="eastAsia" w:ascii="仿宋" w:hAnsi="仿宋" w:eastAsia="仿宋" w:cs="仿宋"/>
          <w:b w:val="0"/>
          <w:bCs/>
          <w:spacing w:val="-2"/>
          <w:sz w:val="32"/>
          <w:szCs w:val="32"/>
          <w:lang w:eastAsia="zh-CN"/>
        </w:rPr>
        <w:t>全年无重大安全播出事故，确保</w:t>
      </w:r>
      <w:r>
        <w:rPr>
          <w:rFonts w:hint="eastAsia" w:ascii="仿宋" w:hAnsi="仿宋" w:eastAsia="仿宋" w:cs="仿宋"/>
          <w:b w:val="0"/>
          <w:bCs/>
          <w:spacing w:val="-2"/>
          <w:sz w:val="32"/>
          <w:szCs w:val="32"/>
          <w:lang w:val="en-US" w:eastAsia="zh-CN"/>
        </w:rPr>
        <w:t>有线</w:t>
      </w:r>
      <w:r>
        <w:rPr>
          <w:rFonts w:hint="eastAsia" w:ascii="仿宋" w:hAnsi="仿宋" w:eastAsia="仿宋" w:cs="仿宋"/>
          <w:b w:val="0"/>
          <w:bCs/>
          <w:spacing w:val="-2"/>
          <w:sz w:val="32"/>
          <w:szCs w:val="32"/>
          <w:lang w:eastAsia="zh-CN"/>
        </w:rPr>
        <w:t>电视信号平稳运行，</w:t>
      </w:r>
      <w:r>
        <w:rPr>
          <w:rFonts w:hint="eastAsia" w:ascii="仿宋" w:hAnsi="仿宋" w:eastAsia="仿宋" w:cs="仿宋"/>
          <w:b w:val="0"/>
          <w:bCs/>
          <w:spacing w:val="-2"/>
          <w:sz w:val="32"/>
          <w:szCs w:val="32"/>
          <w:lang w:val="en-US" w:eastAsia="zh-CN"/>
        </w:rPr>
        <w:t>保证了村村响应急广播系统完整。完成了重大安保期间的监听监看工作任务，及时对监听监看中出现的问题进行了反馈</w:t>
      </w:r>
      <w:r>
        <w:rPr>
          <w:rFonts w:hint="eastAsia" w:ascii="仿宋" w:hAnsi="仿宋" w:eastAsia="仿宋" w:cs="仿宋"/>
          <w:b w:val="0"/>
          <w:bCs/>
          <w:spacing w:val="-2"/>
          <w:sz w:val="32"/>
          <w:szCs w:val="32"/>
          <w:lang w:eastAsia="zh-CN"/>
        </w:rPr>
        <w:t>。</w:t>
      </w:r>
      <w:r>
        <w:rPr>
          <w:rFonts w:hint="eastAsia" w:ascii="仿宋" w:hAnsi="仿宋" w:eastAsia="仿宋" w:cs="仿宋"/>
          <w:b w:val="0"/>
          <w:bCs/>
          <w:spacing w:val="-2"/>
          <w:sz w:val="32"/>
          <w:szCs w:val="32"/>
          <w:lang w:val="en-US" w:eastAsia="zh-CN"/>
        </w:rPr>
        <w:t>2024年各项重点工作任务全部按照时间结点准时完成。丰富了人民群众的精神文化生活，弘扬了主旋律，增加了正能量。</w:t>
      </w:r>
    </w:p>
    <w:p w14:paraId="28FA49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lang w:eastAsia="zh-CN"/>
        </w:rPr>
        <w:t>九</w:t>
      </w:r>
      <w:r>
        <w:rPr>
          <w:rFonts w:hint="eastAsia" w:ascii="黑体" w:hAnsi="黑体" w:eastAsia="黑体" w:cs="黑体"/>
          <w:i w:val="0"/>
          <w:iCs w:val="0"/>
          <w:caps w:val="0"/>
          <w:color w:val="000000"/>
          <w:spacing w:val="0"/>
          <w:sz w:val="32"/>
          <w:szCs w:val="32"/>
          <w:shd w:val="clear" w:color="auto" w:fill="FFFFFF"/>
        </w:rPr>
        <w:t>、存在的问题及原因分析</w:t>
      </w:r>
    </w:p>
    <w:p w14:paraId="4726D8A2">
      <w:pPr>
        <w:widowControl/>
        <w:shd w:val="clear" w:color="auto" w:fill="FFFFFF"/>
        <w:spacing w:line="600" w:lineRule="atLeast"/>
        <w:ind w:firstLine="640"/>
        <w:rPr>
          <w:rFonts w:hint="default" w:ascii="仿宋_GB2312" w:eastAsia="仿宋_GB2312" w:cs="仿宋_GB2312"/>
          <w:i w:val="0"/>
          <w:iCs w:val="0"/>
          <w:caps w:val="0"/>
          <w:color w:val="000000"/>
          <w:spacing w:val="0"/>
          <w:sz w:val="32"/>
          <w:szCs w:val="32"/>
          <w:shd w:val="clear" w:color="auto" w:fill="FFFFFF"/>
        </w:rPr>
      </w:pPr>
      <w:r>
        <w:rPr>
          <w:rFonts w:hint="eastAsia" w:ascii="Times New Roman" w:hAnsi="Times New Roman" w:eastAsia="仿宋_GB2312" w:cs="Times New Roman"/>
          <w:sz w:val="32"/>
          <w:szCs w:val="32"/>
          <w:lang w:val="en-US" w:eastAsia="zh-CN"/>
        </w:rPr>
        <w:t>因单位岗位编制问题，缺少具体专职人员进行绩效管理，导致效率较低。</w:t>
      </w:r>
    </w:p>
    <w:p w14:paraId="43450E16">
      <w:pPr>
        <w:widowControl/>
        <w:numPr>
          <w:ilvl w:val="0"/>
          <w:numId w:val="0"/>
        </w:numPr>
        <w:shd w:val="clear" w:color="auto" w:fill="FFFFFF"/>
        <w:spacing w:line="600" w:lineRule="atLeast"/>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十、</w:t>
      </w:r>
      <w:r>
        <w:rPr>
          <w:rFonts w:hint="eastAsia" w:ascii="黑体" w:hAnsi="黑体" w:eastAsia="黑体" w:cs="黑体"/>
          <w:i w:val="0"/>
          <w:iCs w:val="0"/>
          <w:caps w:val="0"/>
          <w:color w:val="000000"/>
          <w:spacing w:val="0"/>
          <w:sz w:val="32"/>
          <w:szCs w:val="32"/>
          <w:shd w:val="clear" w:color="auto" w:fill="FFFFFF"/>
        </w:rPr>
        <w:t>下一步改进措施</w:t>
      </w:r>
    </w:p>
    <w:p w14:paraId="41E3F144">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基础设施维修维护资金缺口较大的问题，改进措施是在合理利用现有资金的基础上，积极争取项目资金，强化资金管理，进一步完善设备的维修维护工作，提升应急广播平台及广播电视监听监看服务能力，保障安全播出任务。</w:t>
      </w:r>
    </w:p>
    <w:p w14:paraId="1D12776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b/>
          <w:bCs/>
          <w:i w:val="0"/>
          <w:iCs w:val="0"/>
          <w:caps w:val="0"/>
          <w:color w:val="000000"/>
          <w:spacing w:val="0"/>
          <w:sz w:val="32"/>
          <w:szCs w:val="32"/>
          <w:shd w:val="clear" w:fill="FFFFFF"/>
          <w:lang w:eastAsia="zh-CN"/>
        </w:rPr>
      </w:pPr>
      <w:r>
        <w:rPr>
          <w:rFonts w:hint="eastAsia" w:ascii="黑体" w:hAnsi="黑体" w:eastAsia="黑体" w:cs="黑体"/>
          <w:b/>
          <w:bCs/>
          <w:i w:val="0"/>
          <w:iCs w:val="0"/>
          <w:caps w:val="0"/>
          <w:color w:val="000000"/>
          <w:spacing w:val="0"/>
          <w:sz w:val="32"/>
          <w:szCs w:val="32"/>
          <w:shd w:val="clear" w:fill="FFFFFF"/>
          <w:lang w:eastAsia="zh-CN"/>
        </w:rPr>
        <w:t>十一、绩效自评结果拟应用和公开情况</w:t>
      </w:r>
    </w:p>
    <w:p w14:paraId="71F71F58">
      <w:pPr>
        <w:widowControl w:val="0"/>
        <w:kinsoku/>
        <w:autoSpaceDE/>
        <w:autoSpaceDN/>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2024年度我单位整体支出</w:t>
      </w:r>
      <w:r>
        <w:rPr>
          <w:rFonts w:hint="eastAsia" w:ascii="仿宋" w:hAnsi="仿宋" w:eastAsia="仿宋" w:cs="仿宋"/>
          <w:sz w:val="32"/>
          <w:szCs w:val="32"/>
          <w:lang w:eastAsia="zh-CN"/>
        </w:rPr>
        <w:t>达到预期绩效目标。</w:t>
      </w:r>
    </w:p>
    <w:p w14:paraId="259F0723">
      <w:pPr>
        <w:widowControl w:val="0"/>
        <w:kinsoku/>
        <w:autoSpaceDE/>
        <w:autoSpaceDN/>
        <w:adjustRightInd/>
        <w:snapToGrid/>
        <w:spacing w:line="560" w:lineRule="exact"/>
        <w:ind w:firstLine="643" w:firstLineChars="200"/>
        <w:textAlignment w:val="auto"/>
        <w:rPr>
          <w:rFonts w:hint="eastAsia" w:ascii="黑体" w:hAnsi="黑体" w:eastAsia="黑体" w:cs="黑体"/>
          <w:i w:val="0"/>
          <w:iCs w:val="0"/>
          <w:caps w:val="0"/>
          <w:color w:val="000000"/>
          <w:spacing w:val="0"/>
          <w:sz w:val="32"/>
          <w:szCs w:val="32"/>
        </w:rPr>
      </w:pPr>
      <w:r>
        <w:rPr>
          <w:rFonts w:hint="eastAsia" w:ascii="仿宋" w:hAnsi="仿宋" w:eastAsia="仿宋" w:cs="仿宋"/>
          <w:b/>
          <w:sz w:val="32"/>
          <w:szCs w:val="32"/>
          <w:lang w:eastAsia="zh-CN"/>
        </w:rPr>
        <w:t>建议：</w:t>
      </w:r>
      <w:r>
        <w:rPr>
          <w:rFonts w:hint="eastAsia" w:ascii="仿宋" w:hAnsi="仿宋" w:eastAsia="仿宋" w:cs="仿宋"/>
          <w:bCs/>
          <w:sz w:val="32"/>
          <w:szCs w:val="32"/>
          <w:lang w:eastAsia="zh-CN"/>
        </w:rPr>
        <w:t>绩效自评结果作为我单位改进管理，安排以后年度预算的重要参考依据，把绩效自评结果依法予以公开。</w:t>
      </w:r>
      <w:bookmarkStart w:id="0" w:name="_GoBack"/>
      <w:bookmarkEnd w:id="0"/>
    </w:p>
    <w:p w14:paraId="2F459B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lang w:eastAsia="zh-CN"/>
        </w:rPr>
        <w:t>十二、</w:t>
      </w:r>
      <w:r>
        <w:rPr>
          <w:rFonts w:hint="eastAsia" w:ascii="黑体" w:hAnsi="黑体" w:eastAsia="黑体" w:cs="黑体"/>
          <w:i w:val="0"/>
          <w:iCs w:val="0"/>
          <w:caps w:val="0"/>
          <w:color w:val="000000"/>
          <w:spacing w:val="0"/>
          <w:sz w:val="32"/>
          <w:szCs w:val="32"/>
          <w:shd w:val="clear" w:color="auto" w:fill="FFFFFF"/>
        </w:rPr>
        <w:t>其他需要说明的情况</w:t>
      </w:r>
    </w:p>
    <w:p w14:paraId="749C38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1680" w:firstLineChars="700"/>
        <w:jc w:val="both"/>
        <w:textAlignment w:val="auto"/>
        <w:rPr>
          <w:rFonts w:hint="eastAsia" w:ascii="方正小标宋_GBK" w:hAnsi="方正小标宋_GBK" w:eastAsia="方正小标宋_GBK" w:cs="方正小标宋_GBK"/>
          <w:i w:val="0"/>
          <w:iCs w:val="0"/>
          <w:caps w:val="0"/>
          <w:color w:val="000000"/>
          <w:spacing w:val="0"/>
          <w:sz w:val="24"/>
          <w:szCs w:val="24"/>
          <w:shd w:val="clear" w:color="auto"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color="auto" w:fill="FFFFFF"/>
          <w:lang w:val="en-US" w:eastAsia="zh-CN"/>
        </w:rPr>
        <w:t>无</w:t>
      </w:r>
    </w:p>
    <w:p w14:paraId="32476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color="auto" w:fill="FFFFFF"/>
          <w:lang w:val="en-US" w:eastAsia="zh-CN"/>
        </w:rPr>
      </w:pPr>
    </w:p>
    <w:p w14:paraId="246F6D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color="auto" w:fill="FFFFFF"/>
          <w:lang w:val="en-US" w:eastAsia="zh-CN"/>
        </w:rPr>
      </w:pPr>
    </w:p>
    <w:p w14:paraId="3B83C2D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E0BA16-17EF-4CB0-B2F8-E33678F239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2" w:fontKey="{382998CA-6F78-4BEE-B032-DEDC63E3073B}"/>
  </w:font>
  <w:font w:name="楷体">
    <w:panose1 w:val="02010609060101010101"/>
    <w:charset w:val="86"/>
    <w:family w:val="auto"/>
    <w:pitch w:val="default"/>
    <w:sig w:usb0="800002BF" w:usb1="38CF7CFA" w:usb2="00000016" w:usb3="00000000" w:csb0="00040001" w:csb1="00000000"/>
    <w:embedRegular r:id="rId3" w:fontKey="{FE2B6C68-098C-4CAB-921E-9EE58BF32FB6}"/>
  </w:font>
  <w:font w:name="方正小标宋_GBK">
    <w:altName w:val="微软雅黑"/>
    <w:panose1 w:val="02000000000000000000"/>
    <w:charset w:val="86"/>
    <w:family w:val="auto"/>
    <w:pitch w:val="default"/>
    <w:sig w:usb0="00000000" w:usb1="00000000" w:usb2="00000000" w:usb3="00000000" w:csb0="00040000" w:csb1="00000000"/>
    <w:embedRegular r:id="rId4" w:fontKey="{278F6658-21B5-4142-A4AF-B7BDB44377A0}"/>
  </w:font>
  <w:font w:name="微软雅黑">
    <w:panose1 w:val="020B0503020204020204"/>
    <w:charset w:val="86"/>
    <w:family w:val="auto"/>
    <w:pitch w:val="default"/>
    <w:sig w:usb0="80000287" w:usb1="280F3C52"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965B9FC7-D5D2-48B2-89A2-103C021D9BD8}"/>
  </w:font>
  <w:font w:name="仿宋">
    <w:panose1 w:val="02010609060101010101"/>
    <w:charset w:val="86"/>
    <w:family w:val="auto"/>
    <w:pitch w:val="default"/>
    <w:sig w:usb0="800002BF" w:usb1="38CF7CFA" w:usb2="00000016" w:usb3="00000000" w:csb0="00040001" w:csb1="00000000"/>
    <w:embedRegular r:id="rId6" w:fontKey="{057B899C-6F40-4BA0-A461-C323C1C70643}"/>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7" w:fontKey="{F7BBE83E-967A-490C-86E1-4351B0E2091C}"/>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8" w:fontKey="{AF05D128-DA68-41CC-A687-AE137C3B05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DB84B"/>
    <w:multiLevelType w:val="singleLevel"/>
    <w:tmpl w:val="041DB84B"/>
    <w:lvl w:ilvl="0" w:tentative="0">
      <w:start w:val="2"/>
      <w:numFmt w:val="chineseCounting"/>
      <w:suff w:val="nothing"/>
      <w:lvlText w:val="（%1）"/>
      <w:lvlJc w:val="left"/>
      <w:rPr>
        <w:rFonts w:hint="eastAsia"/>
      </w:rPr>
    </w:lvl>
  </w:abstractNum>
  <w:abstractNum w:abstractNumId="1">
    <w:nsid w:val="30CBB8EA"/>
    <w:multiLevelType w:val="singleLevel"/>
    <w:tmpl w:val="30CBB8E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5E95AA6"/>
    <w:rsid w:val="0C180A78"/>
    <w:rsid w:val="0D276746"/>
    <w:rsid w:val="0D464D9C"/>
    <w:rsid w:val="0DD52794"/>
    <w:rsid w:val="0E956870"/>
    <w:rsid w:val="10C666A5"/>
    <w:rsid w:val="1223366A"/>
    <w:rsid w:val="143877FD"/>
    <w:rsid w:val="177233A1"/>
    <w:rsid w:val="17FCFFF6"/>
    <w:rsid w:val="19E805B2"/>
    <w:rsid w:val="1CBF872E"/>
    <w:rsid w:val="21511620"/>
    <w:rsid w:val="218111EF"/>
    <w:rsid w:val="226A1EF6"/>
    <w:rsid w:val="22FE234B"/>
    <w:rsid w:val="277E6F02"/>
    <w:rsid w:val="27C677C3"/>
    <w:rsid w:val="29990575"/>
    <w:rsid w:val="2AF6742D"/>
    <w:rsid w:val="312A2265"/>
    <w:rsid w:val="31B24FBE"/>
    <w:rsid w:val="333F3E43"/>
    <w:rsid w:val="36FC0F5D"/>
    <w:rsid w:val="375773F8"/>
    <w:rsid w:val="393E32BB"/>
    <w:rsid w:val="3E50787A"/>
    <w:rsid w:val="3EFDDE87"/>
    <w:rsid w:val="419B2857"/>
    <w:rsid w:val="41D71DA8"/>
    <w:rsid w:val="4C6611ED"/>
    <w:rsid w:val="4D5D3BD3"/>
    <w:rsid w:val="4EB7F892"/>
    <w:rsid w:val="552A0475"/>
    <w:rsid w:val="578D10CB"/>
    <w:rsid w:val="5A5915AC"/>
    <w:rsid w:val="5ABBC979"/>
    <w:rsid w:val="5BFC7B3B"/>
    <w:rsid w:val="5E77C7C6"/>
    <w:rsid w:val="5E9E0840"/>
    <w:rsid w:val="5FFFAAE0"/>
    <w:rsid w:val="640B28A2"/>
    <w:rsid w:val="66347B2F"/>
    <w:rsid w:val="667FD72C"/>
    <w:rsid w:val="6A12486A"/>
    <w:rsid w:val="6ABE64BE"/>
    <w:rsid w:val="6B5F16C5"/>
    <w:rsid w:val="6CF3EA5A"/>
    <w:rsid w:val="753C4E9B"/>
    <w:rsid w:val="769B7804"/>
    <w:rsid w:val="779FCBF0"/>
    <w:rsid w:val="77F7E21B"/>
    <w:rsid w:val="781113A7"/>
    <w:rsid w:val="791E6510"/>
    <w:rsid w:val="79E2F975"/>
    <w:rsid w:val="7B3BDBF2"/>
    <w:rsid w:val="7C8D4A41"/>
    <w:rsid w:val="7DBB585C"/>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953</Words>
  <Characters>1245</Characters>
  <Lines>0</Lines>
  <Paragraphs>0</Paragraphs>
  <TotalTime>1</TotalTime>
  <ScaleCrop>false</ScaleCrop>
  <LinksUpToDate>false</LinksUpToDate>
  <CharactersWithSpaces>1493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湘na土豆</cp:lastModifiedBy>
  <cp:lastPrinted>2025-04-10T10:25:00Z</cp:lastPrinted>
  <dcterms:modified xsi:type="dcterms:W3CDTF">2025-09-23T09:18:32Z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571763BE2AB2486F880F1BB31C62CB04_13</vt:lpwstr>
  </property>
  <property fmtid="{D5CDD505-2E9C-101B-9397-08002B2CF9AE}" pid="4" name="KSOTemplateDocerSaveRecord">
    <vt:lpwstr>eyJoZGlkIjoiMzYyOGU3YTVlNjhiZjNiMTlhYjUzZTY1MTZhZDYxMjkiLCJ1c2VySWQiOiI3NTg1NzgyNDcifQ==</vt:lpwstr>
  </property>
</Properties>
</file>