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98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36</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102.86%</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shd w:val="clear" w:color="auto" w:fill="auto"/>
            <w:noWrap w:val="0"/>
            <w:vAlign w:val="center"/>
          </w:tcPr>
          <w:p w14:paraId="4FA2DAF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2240" w:type="dxa"/>
            <w:gridSpan w:val="2"/>
            <w:shd w:val="clear" w:color="auto" w:fill="auto"/>
            <w:noWrap w:val="0"/>
            <w:vAlign w:val="center"/>
          </w:tcPr>
          <w:p w14:paraId="2A721DD3">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7A276703">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shd w:val="clear" w:color="auto" w:fill="auto"/>
            <w:noWrap w:val="0"/>
            <w:vAlign w:val="center"/>
          </w:tcPr>
          <w:p w14:paraId="391B8F9D">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2240" w:type="dxa"/>
            <w:gridSpan w:val="2"/>
            <w:shd w:val="clear" w:color="auto" w:fill="auto"/>
            <w:noWrap w:val="0"/>
            <w:vAlign w:val="center"/>
          </w:tcPr>
          <w:p w14:paraId="79507252">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p>
        </w:tc>
        <w:tc>
          <w:tcPr>
            <w:tcW w:w="1832" w:type="dxa"/>
            <w:gridSpan w:val="2"/>
            <w:shd w:val="clear" w:color="auto" w:fill="auto"/>
            <w:noWrap w:val="0"/>
            <w:vAlign w:val="center"/>
          </w:tcPr>
          <w:p w14:paraId="43FBB47F">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shd w:val="clear" w:color="auto" w:fill="auto"/>
            <w:noWrap w:val="0"/>
            <w:vAlign w:val="center"/>
          </w:tcPr>
          <w:p w14:paraId="746C39F4">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2240" w:type="dxa"/>
            <w:gridSpan w:val="2"/>
            <w:shd w:val="clear" w:color="auto" w:fill="auto"/>
            <w:noWrap w:val="0"/>
            <w:vAlign w:val="center"/>
          </w:tcPr>
          <w:p w14:paraId="79D5E606">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p>
        </w:tc>
        <w:tc>
          <w:tcPr>
            <w:tcW w:w="1832" w:type="dxa"/>
            <w:gridSpan w:val="2"/>
            <w:shd w:val="clear" w:color="auto" w:fill="auto"/>
            <w:noWrap w:val="0"/>
            <w:vAlign w:val="center"/>
          </w:tcPr>
          <w:p w14:paraId="0AA6D6E7">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shd w:val="clear" w:color="auto" w:fill="auto"/>
            <w:noWrap w:val="0"/>
            <w:vAlign w:val="center"/>
          </w:tcPr>
          <w:p w14:paraId="462921EA">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 xml:space="preserve">  0</w:t>
            </w:r>
            <w:r>
              <w:rPr>
                <w:rFonts w:hint="eastAsia" w:ascii="仿宋" w:hAnsi="仿宋" w:eastAsia="仿宋" w:cs="仿宋"/>
                <w:b w:val="0"/>
                <w:bCs w:val="0"/>
                <w:kern w:val="0"/>
                <w:sz w:val="20"/>
                <w:szCs w:val="20"/>
              </w:rPr>
              <w:t>　</w:t>
            </w:r>
          </w:p>
        </w:tc>
        <w:tc>
          <w:tcPr>
            <w:tcW w:w="2240" w:type="dxa"/>
            <w:gridSpan w:val="2"/>
            <w:shd w:val="clear" w:color="auto" w:fill="auto"/>
            <w:noWrap w:val="0"/>
            <w:vAlign w:val="center"/>
          </w:tcPr>
          <w:p w14:paraId="616B888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59BEE79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shd w:val="clear" w:color="auto" w:fill="auto"/>
            <w:noWrap w:val="0"/>
            <w:vAlign w:val="center"/>
          </w:tcPr>
          <w:p w14:paraId="43E95A57">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 xml:space="preserve">  0</w:t>
            </w:r>
            <w:r>
              <w:rPr>
                <w:rFonts w:hint="eastAsia" w:ascii="仿宋" w:hAnsi="仿宋" w:eastAsia="仿宋" w:cs="仿宋"/>
                <w:b w:val="0"/>
                <w:bCs w:val="0"/>
                <w:kern w:val="0"/>
                <w:sz w:val="20"/>
                <w:szCs w:val="20"/>
              </w:rPr>
              <w:t>　</w:t>
            </w:r>
          </w:p>
        </w:tc>
        <w:tc>
          <w:tcPr>
            <w:tcW w:w="2240" w:type="dxa"/>
            <w:gridSpan w:val="2"/>
            <w:shd w:val="clear" w:color="auto" w:fill="auto"/>
            <w:noWrap w:val="0"/>
            <w:vAlign w:val="center"/>
          </w:tcPr>
          <w:p w14:paraId="3317BD60">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6080AEFD">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shd w:val="clear" w:color="auto" w:fill="auto"/>
            <w:noWrap w:val="0"/>
            <w:vAlign w:val="center"/>
          </w:tcPr>
          <w:p w14:paraId="5FDCEB4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 xml:space="preserve">  0</w:t>
            </w:r>
            <w:r>
              <w:rPr>
                <w:rFonts w:hint="eastAsia" w:ascii="仿宋" w:hAnsi="仿宋" w:eastAsia="仿宋" w:cs="仿宋"/>
                <w:b w:val="0"/>
                <w:bCs w:val="0"/>
                <w:kern w:val="0"/>
                <w:sz w:val="20"/>
                <w:szCs w:val="20"/>
              </w:rPr>
              <w:t>　</w:t>
            </w:r>
          </w:p>
        </w:tc>
        <w:tc>
          <w:tcPr>
            <w:tcW w:w="2240" w:type="dxa"/>
            <w:gridSpan w:val="2"/>
            <w:shd w:val="clear" w:color="auto" w:fill="auto"/>
            <w:noWrap w:val="0"/>
            <w:vAlign w:val="center"/>
          </w:tcPr>
          <w:p w14:paraId="47E07CB7">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73AEDD45">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12</w:t>
            </w: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8.28</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8.28</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ind w:firstLine="400" w:firstLineChars="200"/>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w:t>
            </w:r>
            <w:r>
              <w:rPr>
                <w:rFonts w:hint="eastAsia" w:ascii="仿宋" w:hAnsi="仿宋" w:eastAsia="仿宋" w:cs="仿宋"/>
                <w:b w:val="0"/>
                <w:bCs w:val="0"/>
                <w:kern w:val="0"/>
                <w:sz w:val="20"/>
                <w:szCs w:val="20"/>
              </w:rPr>
              <w:t>、</w:t>
            </w:r>
            <w:r>
              <w:rPr>
                <w:rFonts w:hint="eastAsia" w:ascii="仿宋" w:hAnsi="仿宋" w:eastAsia="仿宋" w:cs="仿宋"/>
                <w:b w:val="0"/>
                <w:bCs w:val="0"/>
                <w:kern w:val="0"/>
                <w:sz w:val="20"/>
                <w:szCs w:val="20"/>
                <w:lang w:val="en-US" w:eastAsia="zh-CN"/>
              </w:rPr>
              <w:t>中央食品监管补助</w:t>
            </w:r>
          </w:p>
        </w:tc>
        <w:tc>
          <w:tcPr>
            <w:tcW w:w="2038" w:type="dxa"/>
            <w:gridSpan w:val="2"/>
            <w:noWrap w:val="0"/>
            <w:vAlign w:val="center"/>
          </w:tcPr>
          <w:p w14:paraId="251C297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r>
      <w:tr w14:paraId="7317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610FCEEA">
            <w:pPr>
              <w:widowControl/>
              <w:ind w:firstLine="400" w:firstLineChars="200"/>
              <w:jc w:val="both"/>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6、省级制服采购</w:t>
            </w:r>
          </w:p>
        </w:tc>
        <w:tc>
          <w:tcPr>
            <w:tcW w:w="2038" w:type="dxa"/>
            <w:gridSpan w:val="2"/>
            <w:noWrap w:val="0"/>
            <w:vAlign w:val="center"/>
          </w:tcPr>
          <w:p w14:paraId="19C118C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68FB09A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3.28</w:t>
            </w:r>
          </w:p>
        </w:tc>
        <w:tc>
          <w:tcPr>
            <w:tcW w:w="1832" w:type="dxa"/>
            <w:gridSpan w:val="2"/>
            <w:noWrap w:val="0"/>
            <w:vAlign w:val="center"/>
          </w:tcPr>
          <w:p w14:paraId="6BC1492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3.28</w:t>
            </w: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20C7922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27.59</w:t>
            </w:r>
            <w:r>
              <w:rPr>
                <w:rFonts w:hint="eastAsia" w:ascii="仿宋" w:hAnsi="仿宋" w:eastAsia="仿宋" w:cs="仿宋"/>
                <w:b w:val="0"/>
                <w:bCs w:val="0"/>
                <w:kern w:val="0"/>
                <w:sz w:val="20"/>
                <w:szCs w:val="20"/>
              </w:rPr>
              <w:t>　</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43.92</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40.75</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0B620EDC">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0.31</w:t>
            </w:r>
            <w:r>
              <w:rPr>
                <w:rFonts w:hint="eastAsia" w:ascii="仿宋" w:hAnsi="仿宋" w:eastAsia="仿宋" w:cs="仿宋"/>
                <w:b w:val="0"/>
                <w:bCs w:val="0"/>
                <w:color w:val="auto"/>
                <w:kern w:val="0"/>
                <w:sz w:val="20"/>
                <w:szCs w:val="20"/>
              </w:rPr>
              <w:t>　</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0.088</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0.088</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25F28B2E">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rPr>
              <w:t>　</w:t>
            </w: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0.19</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0.19</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317307B9">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rPr>
              <w:t>　</w:t>
            </w: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7F8628F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0EBDDCA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090CB1A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67F15F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bl>
    <w:p w14:paraId="00F6D30B">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向津宇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2025.06.11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18897481138 </w:t>
      </w:r>
    </w:p>
    <w:p w14:paraId="3DD985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D0A20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08"/>
        <w:gridCol w:w="1064"/>
        <w:gridCol w:w="982"/>
        <w:gridCol w:w="90"/>
        <w:gridCol w:w="1162"/>
        <w:gridCol w:w="1106"/>
        <w:gridCol w:w="692"/>
        <w:gridCol w:w="816"/>
        <w:gridCol w:w="1123"/>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9"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3"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_GB2312" w:hAnsi="仿宋_GB2312" w:eastAsia="仿宋_GB2312" w:cs="仿宋_GB2312"/>
                <w:color w:val="000000"/>
                <w:kern w:val="0"/>
                <w:sz w:val="20"/>
                <w:szCs w:val="20"/>
                <w:lang w:eastAsia="zh-CN"/>
              </w:rPr>
              <w:t>怀化市市场监督管理局直属二局</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9"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72"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2"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2"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6"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2"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3"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72"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2"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570.80</w:t>
            </w:r>
          </w:p>
        </w:tc>
        <w:tc>
          <w:tcPr>
            <w:tcW w:w="1252"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578.17</w:t>
            </w:r>
          </w:p>
        </w:tc>
        <w:tc>
          <w:tcPr>
            <w:tcW w:w="1106"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563.39</w:t>
            </w:r>
          </w:p>
        </w:tc>
        <w:tc>
          <w:tcPr>
            <w:tcW w:w="692"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98.70%</w:t>
            </w:r>
          </w:p>
        </w:tc>
        <w:tc>
          <w:tcPr>
            <w:tcW w:w="1123"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37"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563.39</w:t>
            </w:r>
          </w:p>
        </w:tc>
        <w:tc>
          <w:tcPr>
            <w:tcW w:w="3737"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555.11</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37"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8.28</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37"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9"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37"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6"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7"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9"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6" w:type="dxa"/>
            <w:gridSpan w:val="5"/>
            <w:noWrap w:val="0"/>
            <w:vAlign w:val="center"/>
          </w:tcPr>
          <w:p w14:paraId="53F2925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1.持续强化食品、药品、医疗器械、化妆品、特种设备和产品质量安全监管，加强市场监管安全风险防控和隐患排查整治，坚决把事故风险隐患消除在萌芽状态；</w:t>
            </w:r>
          </w:p>
          <w:p w14:paraId="21C41E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2.进一步强化消费维权工作，坚决杜绝市场监管安全事故和重大舆情事件；</w:t>
            </w:r>
          </w:p>
          <w:p w14:paraId="63A433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3.持续深化商事制度改革，依法维护公平有序的市场环境，深化“互联网+监管”改革，认真落实“双随机、一公开”监管；</w:t>
            </w:r>
          </w:p>
          <w:p w14:paraId="5ECC20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4.进一步加强知识产权、商标广告、反不正当竞争、价格计量等监管力度，健全公平竞争审查制度，加大反垄断和反不正当竞争执法力度，维护市场公平正义。　　</w:t>
            </w:r>
          </w:p>
        </w:tc>
        <w:tc>
          <w:tcPr>
            <w:tcW w:w="3737" w:type="dxa"/>
            <w:gridSpan w:val="4"/>
            <w:noWrap w:val="0"/>
            <w:vAlign w:val="center"/>
          </w:tcPr>
          <w:p w14:paraId="21A430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1.贯彻落实食品安全“两个责任”，聚焦药械化重点产品、重点环节、重点业态和重点区域，扎实开展特种设备安全风险隐患和产品质量监管；</w:t>
            </w:r>
          </w:p>
          <w:p w14:paraId="43FFA8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2.始终坚持人民至上，用心用情维护消费者合法权益；</w:t>
            </w:r>
          </w:p>
          <w:p w14:paraId="33CA3F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3.加强推进信用监管，落实主体强身，优化营商环境；</w:t>
            </w:r>
          </w:p>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4.加强辖区广告导向监管工作，净化广告市场环境，开展违法违规整治活动。</w:t>
            </w:r>
            <w:r>
              <w:rPr>
                <w:rFonts w:hint="eastAsia" w:ascii="仿宋" w:hAnsi="仿宋" w:eastAsia="仿宋" w:cs="仿宋"/>
                <w:color w:val="000000"/>
                <w:kern w:val="0"/>
                <w:sz w:val="20"/>
                <w:szCs w:val="20"/>
              </w:rPr>
              <w:t>　</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9"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8"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4"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2"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2"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6"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2"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23"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9"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4"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72"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部门整体支出成本</w:t>
            </w:r>
          </w:p>
        </w:tc>
        <w:tc>
          <w:tcPr>
            <w:tcW w:w="1162"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≤570.80</w:t>
            </w:r>
          </w:p>
        </w:tc>
        <w:tc>
          <w:tcPr>
            <w:tcW w:w="1106"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563.39</w:t>
            </w:r>
          </w:p>
        </w:tc>
        <w:tc>
          <w:tcPr>
            <w:tcW w:w="692"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72"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社会成本节约率</w:t>
            </w:r>
          </w:p>
        </w:tc>
        <w:tc>
          <w:tcPr>
            <w:tcW w:w="1162"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0%</w:t>
            </w:r>
          </w:p>
        </w:tc>
        <w:tc>
          <w:tcPr>
            <w:tcW w:w="1106"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1.30%</w:t>
            </w:r>
          </w:p>
        </w:tc>
        <w:tc>
          <w:tcPr>
            <w:tcW w:w="692"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23"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72"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生态环境成本节约率</w:t>
            </w:r>
          </w:p>
        </w:tc>
        <w:tc>
          <w:tcPr>
            <w:tcW w:w="1162"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0%</w:t>
            </w:r>
          </w:p>
        </w:tc>
        <w:tc>
          <w:tcPr>
            <w:tcW w:w="1106"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92"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23"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9"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2"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部门职责内工作完成率</w:t>
            </w:r>
          </w:p>
        </w:tc>
        <w:tc>
          <w:tcPr>
            <w:tcW w:w="1162"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06"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692"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7.5</w:t>
            </w:r>
            <w:r>
              <w:rPr>
                <w:rFonts w:hint="eastAsia" w:ascii="仿宋" w:hAnsi="仿宋" w:eastAsia="仿宋" w:cs="仿宋"/>
                <w:color w:val="000000"/>
                <w:kern w:val="0"/>
                <w:sz w:val="20"/>
                <w:szCs w:val="20"/>
              </w:rPr>
              <w:t>　</w:t>
            </w:r>
          </w:p>
        </w:tc>
        <w:tc>
          <w:tcPr>
            <w:tcW w:w="816"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w:t>
            </w:r>
          </w:p>
        </w:tc>
        <w:tc>
          <w:tcPr>
            <w:tcW w:w="1123"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9"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vMerge w:val="restart"/>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2"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经费使用合规率</w:t>
            </w:r>
          </w:p>
        </w:tc>
        <w:tc>
          <w:tcPr>
            <w:tcW w:w="1162"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1106"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692" w:type="dxa"/>
            <w:shd w:val="clear" w:color="auto" w:fill="auto"/>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r>
              <w:rPr>
                <w:rFonts w:hint="eastAsia" w:ascii="仿宋" w:hAnsi="仿宋" w:eastAsia="仿宋" w:cs="仿宋"/>
                <w:color w:val="000000"/>
                <w:kern w:val="0"/>
                <w:sz w:val="20"/>
                <w:szCs w:val="20"/>
              </w:rPr>
              <w:t>　</w:t>
            </w:r>
          </w:p>
        </w:tc>
        <w:tc>
          <w:tcPr>
            <w:tcW w:w="816" w:type="dxa"/>
            <w:shd w:val="clear" w:color="auto" w:fill="auto"/>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1123"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DF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19" w:type="dxa"/>
            <w:vMerge w:val="continue"/>
            <w:noWrap w:val="0"/>
            <w:vAlign w:val="center"/>
          </w:tcPr>
          <w:p w14:paraId="654AC4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502254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vMerge w:val="continue"/>
            <w:noWrap w:val="0"/>
            <w:vAlign w:val="center"/>
          </w:tcPr>
          <w:p w14:paraId="6A7730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2" w:type="dxa"/>
            <w:gridSpan w:val="2"/>
            <w:noWrap w:val="0"/>
            <w:vAlign w:val="center"/>
          </w:tcPr>
          <w:p w14:paraId="4C3920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监督检查程序合规率</w:t>
            </w:r>
          </w:p>
        </w:tc>
        <w:tc>
          <w:tcPr>
            <w:tcW w:w="1162" w:type="dxa"/>
            <w:noWrap w:val="0"/>
            <w:vAlign w:val="center"/>
          </w:tcPr>
          <w:p w14:paraId="3DC7E2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1106" w:type="dxa"/>
            <w:noWrap w:val="0"/>
            <w:vAlign w:val="center"/>
          </w:tcPr>
          <w:p w14:paraId="27F00E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692" w:type="dxa"/>
            <w:shd w:val="clear" w:color="auto" w:fill="auto"/>
            <w:noWrap w:val="0"/>
            <w:vAlign w:val="center"/>
          </w:tcPr>
          <w:p w14:paraId="39ED12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r>
              <w:rPr>
                <w:rFonts w:hint="eastAsia" w:ascii="仿宋" w:hAnsi="仿宋" w:eastAsia="仿宋" w:cs="仿宋"/>
                <w:color w:val="000000"/>
                <w:kern w:val="0"/>
                <w:sz w:val="20"/>
                <w:szCs w:val="20"/>
              </w:rPr>
              <w:t>　</w:t>
            </w:r>
          </w:p>
        </w:tc>
        <w:tc>
          <w:tcPr>
            <w:tcW w:w="816" w:type="dxa"/>
            <w:shd w:val="clear" w:color="auto" w:fill="auto"/>
            <w:noWrap w:val="0"/>
            <w:vAlign w:val="center"/>
          </w:tcPr>
          <w:p w14:paraId="1855AA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1123" w:type="dxa"/>
            <w:noWrap w:val="0"/>
            <w:vAlign w:val="center"/>
          </w:tcPr>
          <w:p w14:paraId="79BD58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9"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2"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工作完成时间</w:t>
            </w:r>
          </w:p>
        </w:tc>
        <w:tc>
          <w:tcPr>
            <w:tcW w:w="1162"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2024年12月31日前</w:t>
            </w:r>
            <w:r>
              <w:rPr>
                <w:rFonts w:hint="eastAsia" w:ascii="仿宋" w:hAnsi="仿宋" w:eastAsia="仿宋" w:cs="仿宋"/>
                <w:color w:val="000000"/>
                <w:kern w:val="0"/>
                <w:sz w:val="20"/>
                <w:szCs w:val="20"/>
              </w:rPr>
              <w:t>　</w:t>
            </w:r>
          </w:p>
        </w:tc>
        <w:tc>
          <w:tcPr>
            <w:tcW w:w="1106"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2024年12月31日前</w:t>
            </w:r>
            <w:r>
              <w:rPr>
                <w:rFonts w:hint="eastAsia" w:ascii="仿宋" w:hAnsi="仿宋" w:eastAsia="仿宋" w:cs="仿宋"/>
                <w:color w:val="000000"/>
                <w:kern w:val="0"/>
                <w:sz w:val="20"/>
                <w:szCs w:val="20"/>
              </w:rPr>
              <w:t>　</w:t>
            </w:r>
          </w:p>
        </w:tc>
        <w:tc>
          <w:tcPr>
            <w:tcW w:w="692" w:type="dxa"/>
            <w:shd w:val="clear" w:color="auto" w:fill="auto"/>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r>
              <w:rPr>
                <w:rFonts w:hint="eastAsia" w:ascii="仿宋" w:hAnsi="仿宋" w:eastAsia="仿宋" w:cs="仿宋"/>
                <w:color w:val="000000"/>
                <w:kern w:val="0"/>
                <w:sz w:val="20"/>
                <w:szCs w:val="20"/>
              </w:rPr>
              <w:t>　</w:t>
            </w:r>
          </w:p>
        </w:tc>
        <w:tc>
          <w:tcPr>
            <w:tcW w:w="816" w:type="dxa"/>
            <w:shd w:val="clear" w:color="auto" w:fill="auto"/>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1123"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9"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2"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优化监管流程，提高监管效率，减少企业因应对监管而产生的额外成本</w:t>
            </w:r>
          </w:p>
        </w:tc>
        <w:tc>
          <w:tcPr>
            <w:tcW w:w="1162"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06"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692"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23"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9"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2"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加</w:t>
            </w:r>
            <w:r>
              <w:rPr>
                <w:rFonts w:hint="eastAsia" w:ascii="仿宋" w:hAnsi="仿宋" w:eastAsia="仿宋" w:cs="仿宋"/>
                <w:color w:val="000000"/>
                <w:kern w:val="0"/>
                <w:sz w:val="20"/>
                <w:szCs w:val="20"/>
              </w:rPr>
              <w:t>强消费者权益保护工作，及时处理消费者投诉举报，严厉打击侵害消费者权益的行为</w:t>
            </w:r>
          </w:p>
        </w:tc>
        <w:tc>
          <w:tcPr>
            <w:tcW w:w="1162" w:type="dxa"/>
            <w:shd w:val="clear" w:color="auto" w:fill="auto"/>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106" w:type="dxa"/>
            <w:shd w:val="clear" w:color="auto" w:fill="auto"/>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692" w:type="dxa"/>
            <w:shd w:val="clear" w:color="auto" w:fill="auto"/>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16" w:type="dxa"/>
            <w:shd w:val="clear" w:color="auto" w:fill="auto"/>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9"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2"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鼓励企业采用环保技术和生产方式，推动绿色产业发展，助力实现碳达峰、碳中和目标</w:t>
            </w:r>
          </w:p>
        </w:tc>
        <w:tc>
          <w:tcPr>
            <w:tcW w:w="1162" w:type="dxa"/>
            <w:shd w:val="clear" w:color="auto" w:fill="auto"/>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106" w:type="dxa"/>
            <w:shd w:val="clear" w:color="auto" w:fill="auto"/>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效果一般</w:t>
            </w:r>
          </w:p>
        </w:tc>
        <w:tc>
          <w:tcPr>
            <w:tcW w:w="692" w:type="dxa"/>
            <w:shd w:val="clear" w:color="auto" w:fill="auto"/>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16" w:type="dxa"/>
            <w:shd w:val="clear" w:color="auto" w:fill="auto"/>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3</w:t>
            </w:r>
          </w:p>
        </w:tc>
        <w:tc>
          <w:tcPr>
            <w:tcW w:w="1123"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9"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8"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4"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2"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建立长效监管机制，确保市场监管工作的持续性和稳定性</w:t>
            </w:r>
          </w:p>
        </w:tc>
        <w:tc>
          <w:tcPr>
            <w:tcW w:w="1162" w:type="dxa"/>
            <w:shd w:val="clear" w:color="auto" w:fill="auto"/>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106" w:type="dxa"/>
            <w:shd w:val="clear" w:color="auto" w:fill="auto"/>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692"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816"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3"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9"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8"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4"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2"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消费者满意度</w:t>
            </w:r>
          </w:p>
        </w:tc>
        <w:tc>
          <w:tcPr>
            <w:tcW w:w="1162"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95%</w:t>
            </w:r>
            <w:r>
              <w:rPr>
                <w:rFonts w:hint="eastAsia" w:ascii="仿宋" w:hAnsi="仿宋" w:eastAsia="仿宋" w:cs="仿宋"/>
                <w:color w:val="000000"/>
                <w:kern w:val="0"/>
                <w:sz w:val="20"/>
                <w:szCs w:val="20"/>
              </w:rPr>
              <w:t>　</w:t>
            </w:r>
          </w:p>
        </w:tc>
        <w:tc>
          <w:tcPr>
            <w:tcW w:w="1106"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95%</w:t>
            </w:r>
            <w:r>
              <w:rPr>
                <w:rFonts w:hint="eastAsia" w:ascii="仿宋" w:hAnsi="仿宋" w:eastAsia="仿宋" w:cs="仿宋"/>
                <w:color w:val="000000"/>
                <w:kern w:val="0"/>
                <w:sz w:val="20"/>
                <w:szCs w:val="20"/>
              </w:rPr>
              <w:t>　</w:t>
            </w:r>
          </w:p>
        </w:tc>
        <w:tc>
          <w:tcPr>
            <w:tcW w:w="692"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8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123"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1"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2"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98</w:t>
            </w:r>
            <w:r>
              <w:rPr>
                <w:rFonts w:hint="eastAsia" w:ascii="仿宋" w:hAnsi="仿宋" w:eastAsia="仿宋" w:cs="仿宋"/>
                <w:color w:val="000000"/>
                <w:kern w:val="0"/>
                <w:sz w:val="20"/>
                <w:szCs w:val="20"/>
              </w:rPr>
              <w:t>　</w:t>
            </w:r>
          </w:p>
        </w:tc>
        <w:tc>
          <w:tcPr>
            <w:tcW w:w="1123"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向津宇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2025.06.11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18897481138 </w:t>
      </w:r>
    </w:p>
    <w:p w14:paraId="7FF7D1BE">
      <w:pPr>
        <w:rPr>
          <w:rFonts w:hint="default"/>
          <w:lang w:val="en-US" w:eastAsia="zh-CN"/>
        </w:rPr>
      </w:pPr>
      <w:r>
        <w:rPr>
          <w:rFonts w:hint="default"/>
          <w:lang w:val="en-US" w:eastAsia="zh-CN"/>
        </w:rPr>
        <w:br w:type="page"/>
      </w:r>
    </w:p>
    <w:p w14:paraId="35995302">
      <w:pPr>
        <w:pStyle w:val="7"/>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t>附件3</w:t>
      </w:r>
    </w:p>
    <w:p w14:paraId="56124193">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b w:val="0"/>
          <w:bCs w:val="0"/>
          <w:color w:val="000000"/>
          <w:kern w:val="0"/>
          <w:sz w:val="28"/>
          <w:szCs w:val="28"/>
          <w:shd w:val="clear" w:color="auto" w:fill="FFFFFF"/>
          <w:lang w:bidi="ar"/>
        </w:rPr>
      </w:pPr>
      <w:r>
        <w:rPr>
          <w:rFonts w:hint="eastAsia" w:ascii="方正小标宋_GBK" w:hAnsi="方正小标宋_GBK" w:eastAsia="方正小标宋_GBK" w:cs="方正小标宋_GBK"/>
          <w:b w:val="0"/>
          <w:bCs w:val="0"/>
          <w:color w:val="000000"/>
          <w:kern w:val="0"/>
          <w:sz w:val="28"/>
          <w:szCs w:val="28"/>
          <w:shd w:val="clear" w:color="auto" w:fill="FFFFFF"/>
          <w:lang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094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vAlign w:val="center"/>
          </w:tcPr>
          <w:p w14:paraId="156A9A0B">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5A45237">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14:paraId="7BF2E6FC">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58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14:paraId="46E86F4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14:paraId="5E02329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155A9F7F">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14:paraId="50A5952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3B2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072C603D">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14:paraId="4C74A9D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14:paraId="32A4D1AF">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80CF6F8">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14:paraId="246B847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BC603E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14:paraId="068F9420">
            <w:pPr>
              <w:widowControl/>
              <w:spacing w:line="280" w:lineRule="exact"/>
              <w:jc w:val="center"/>
              <w:rPr>
                <w:rFonts w:hint="eastAsia" w:ascii="仿宋" w:hAnsi="仿宋" w:eastAsia="仿宋" w:cs="仿宋"/>
                <w:sz w:val="20"/>
                <w:szCs w:val="20"/>
              </w:rPr>
            </w:pPr>
            <w:r>
              <w:rPr>
                <w:rFonts w:hint="eastAsia" w:ascii="仿宋" w:hAnsi="仿宋" w:eastAsia="仿宋" w:cs="仿宋"/>
                <w:sz w:val="20"/>
                <w:szCs w:val="20"/>
              </w:rPr>
              <w:t>全年</w:t>
            </w:r>
          </w:p>
          <w:p w14:paraId="4D324ABE">
            <w:pPr>
              <w:widowControl/>
              <w:spacing w:line="28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14:paraId="1D6A40EE">
            <w:pPr>
              <w:widowControl/>
              <w:spacing w:line="28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14:paraId="10499F24">
            <w:pPr>
              <w:widowControl/>
              <w:spacing w:line="28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14:paraId="736ACFCA">
            <w:pPr>
              <w:widowControl/>
              <w:spacing w:line="28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14:paraId="0E0E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C95D49B">
            <w:pPr>
              <w:widowControl/>
              <w:spacing w:line="280" w:lineRule="exact"/>
              <w:jc w:val="left"/>
              <w:rPr>
                <w:rFonts w:hint="eastAsia" w:ascii="仿宋" w:hAnsi="仿宋" w:eastAsia="仿宋" w:cs="仿宋"/>
                <w:color w:val="000000"/>
                <w:kern w:val="0"/>
                <w:sz w:val="20"/>
                <w:szCs w:val="20"/>
              </w:rPr>
            </w:pPr>
          </w:p>
        </w:tc>
        <w:tc>
          <w:tcPr>
            <w:tcW w:w="2160" w:type="dxa"/>
            <w:gridSpan w:val="2"/>
            <w:vAlign w:val="center"/>
          </w:tcPr>
          <w:p w14:paraId="2B0A256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14:paraId="3F4A049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159EC75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0752D83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103E380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vAlign w:val="center"/>
          </w:tcPr>
          <w:p w14:paraId="3DF87AA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00851F4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087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B34E68A">
            <w:pPr>
              <w:widowControl/>
              <w:spacing w:line="280" w:lineRule="exact"/>
              <w:jc w:val="left"/>
              <w:rPr>
                <w:rFonts w:hint="eastAsia" w:ascii="仿宋" w:hAnsi="仿宋" w:eastAsia="仿宋" w:cs="仿宋"/>
                <w:color w:val="000000"/>
                <w:kern w:val="0"/>
                <w:sz w:val="20"/>
                <w:szCs w:val="20"/>
              </w:rPr>
            </w:pPr>
          </w:p>
        </w:tc>
        <w:tc>
          <w:tcPr>
            <w:tcW w:w="2160" w:type="dxa"/>
            <w:gridSpan w:val="2"/>
            <w:vAlign w:val="center"/>
          </w:tcPr>
          <w:p w14:paraId="177D1AE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14:paraId="357D0AB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19102A27">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1C2DEBB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28B7B0C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2A04B29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143C92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10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A1D503E">
            <w:pPr>
              <w:widowControl/>
              <w:spacing w:line="280" w:lineRule="exact"/>
              <w:jc w:val="left"/>
              <w:rPr>
                <w:rFonts w:hint="eastAsia" w:ascii="仿宋" w:hAnsi="仿宋" w:eastAsia="仿宋" w:cs="仿宋"/>
                <w:color w:val="000000"/>
                <w:kern w:val="0"/>
                <w:sz w:val="20"/>
                <w:szCs w:val="20"/>
              </w:rPr>
            </w:pPr>
          </w:p>
        </w:tc>
        <w:tc>
          <w:tcPr>
            <w:tcW w:w="2160" w:type="dxa"/>
            <w:gridSpan w:val="2"/>
            <w:vAlign w:val="center"/>
          </w:tcPr>
          <w:p w14:paraId="419C2B5F">
            <w:pPr>
              <w:widowControl/>
              <w:spacing w:line="28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14:paraId="1F38B4F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5D83B00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2004511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60A7855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5B35E5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D36A2C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13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14:paraId="093F732D">
            <w:pPr>
              <w:widowControl/>
              <w:spacing w:line="280" w:lineRule="exact"/>
              <w:jc w:val="left"/>
              <w:rPr>
                <w:rFonts w:hint="eastAsia" w:ascii="仿宋" w:hAnsi="仿宋" w:eastAsia="仿宋" w:cs="仿宋"/>
                <w:color w:val="000000"/>
                <w:kern w:val="0"/>
                <w:sz w:val="20"/>
                <w:szCs w:val="20"/>
              </w:rPr>
            </w:pPr>
          </w:p>
        </w:tc>
        <w:tc>
          <w:tcPr>
            <w:tcW w:w="2160" w:type="dxa"/>
            <w:gridSpan w:val="2"/>
            <w:vAlign w:val="center"/>
          </w:tcPr>
          <w:p w14:paraId="62324509">
            <w:pPr>
              <w:widowControl/>
              <w:spacing w:line="28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14:paraId="3D8F533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14:paraId="3E795DB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510D40C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047AB91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731C1E17">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8BB5E0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31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14:paraId="6113DA2B">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14:paraId="51A58D3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14:paraId="57268E61">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4CC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14:paraId="5D48A97C">
            <w:pPr>
              <w:widowControl/>
              <w:spacing w:line="280" w:lineRule="exact"/>
              <w:jc w:val="left"/>
              <w:rPr>
                <w:rFonts w:hint="eastAsia" w:ascii="仿宋" w:hAnsi="仿宋" w:eastAsia="仿宋" w:cs="仿宋"/>
                <w:color w:val="000000"/>
                <w:kern w:val="0"/>
                <w:sz w:val="20"/>
                <w:szCs w:val="20"/>
              </w:rPr>
            </w:pPr>
          </w:p>
        </w:tc>
        <w:tc>
          <w:tcPr>
            <w:tcW w:w="4518" w:type="dxa"/>
            <w:gridSpan w:val="4"/>
            <w:vAlign w:val="center"/>
          </w:tcPr>
          <w:p w14:paraId="479AE1AC">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253" w:type="dxa"/>
            <w:gridSpan w:val="4"/>
            <w:vAlign w:val="center"/>
          </w:tcPr>
          <w:p w14:paraId="1BD0655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C9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58AF5C57">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A766BE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C16E8F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5F345D5">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14:paraId="40CAE5E1">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14:paraId="42E1B8FD">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14:paraId="688289FD">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14:paraId="72F4A51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E6D8E8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14:paraId="3C02064C">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4B853FF">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14:paraId="1E7B34EE">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14:paraId="77AA5963">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14:paraId="5D341D61">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357FA2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124F4A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09F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14:paraId="77DB5E1C">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35B64066">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Merge w:val="restart"/>
            <w:vAlign w:val="center"/>
          </w:tcPr>
          <w:p w14:paraId="2BD1560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14:paraId="18DD531C">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7DCA1E7A">
            <w:pPr>
              <w:widowControl/>
              <w:spacing w:line="280" w:lineRule="exact"/>
              <w:jc w:val="left"/>
              <w:rPr>
                <w:rFonts w:hint="eastAsia" w:ascii="仿宋" w:hAnsi="仿宋" w:eastAsia="仿宋" w:cs="仿宋"/>
                <w:color w:val="000000"/>
                <w:kern w:val="0"/>
                <w:sz w:val="20"/>
                <w:szCs w:val="20"/>
              </w:rPr>
            </w:pPr>
          </w:p>
        </w:tc>
        <w:tc>
          <w:tcPr>
            <w:tcW w:w="1134" w:type="dxa"/>
            <w:vAlign w:val="center"/>
          </w:tcPr>
          <w:p w14:paraId="4E002F32">
            <w:pPr>
              <w:widowControl/>
              <w:spacing w:line="280" w:lineRule="exact"/>
              <w:jc w:val="left"/>
              <w:rPr>
                <w:rFonts w:hint="eastAsia" w:ascii="仿宋" w:hAnsi="仿宋" w:eastAsia="仿宋" w:cs="仿宋"/>
                <w:color w:val="000000"/>
                <w:kern w:val="0"/>
                <w:sz w:val="20"/>
                <w:szCs w:val="20"/>
              </w:rPr>
            </w:pPr>
          </w:p>
        </w:tc>
        <w:tc>
          <w:tcPr>
            <w:tcW w:w="828" w:type="dxa"/>
            <w:vAlign w:val="center"/>
          </w:tcPr>
          <w:p w14:paraId="781F7B2F">
            <w:pPr>
              <w:widowControl/>
              <w:spacing w:line="280" w:lineRule="exact"/>
              <w:jc w:val="left"/>
              <w:rPr>
                <w:rFonts w:hint="eastAsia" w:ascii="仿宋" w:hAnsi="仿宋" w:eastAsia="仿宋" w:cs="仿宋"/>
                <w:color w:val="000000"/>
                <w:kern w:val="0"/>
                <w:sz w:val="20"/>
                <w:szCs w:val="20"/>
              </w:rPr>
            </w:pPr>
          </w:p>
        </w:tc>
        <w:tc>
          <w:tcPr>
            <w:tcW w:w="873" w:type="dxa"/>
            <w:vAlign w:val="center"/>
          </w:tcPr>
          <w:p w14:paraId="6AC5BB19">
            <w:pPr>
              <w:widowControl/>
              <w:spacing w:line="280" w:lineRule="exact"/>
              <w:jc w:val="left"/>
              <w:rPr>
                <w:rFonts w:hint="eastAsia" w:ascii="仿宋" w:hAnsi="仿宋" w:eastAsia="仿宋" w:cs="仿宋"/>
                <w:color w:val="000000"/>
                <w:kern w:val="0"/>
                <w:sz w:val="20"/>
                <w:szCs w:val="20"/>
              </w:rPr>
            </w:pPr>
          </w:p>
        </w:tc>
        <w:tc>
          <w:tcPr>
            <w:tcW w:w="1418" w:type="dxa"/>
            <w:vAlign w:val="center"/>
          </w:tcPr>
          <w:p w14:paraId="3EA7A631">
            <w:pPr>
              <w:widowControl/>
              <w:spacing w:line="280" w:lineRule="exact"/>
              <w:jc w:val="left"/>
              <w:rPr>
                <w:rFonts w:hint="eastAsia" w:ascii="仿宋" w:hAnsi="仿宋" w:eastAsia="仿宋" w:cs="仿宋"/>
                <w:color w:val="000000"/>
                <w:kern w:val="0"/>
                <w:sz w:val="20"/>
                <w:szCs w:val="20"/>
              </w:rPr>
            </w:pPr>
          </w:p>
        </w:tc>
      </w:tr>
      <w:tr w14:paraId="507F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14:paraId="42ED7CDF">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2BDC3F05">
            <w:pPr>
              <w:widowControl/>
              <w:spacing w:line="280" w:lineRule="exact"/>
              <w:jc w:val="center"/>
              <w:rPr>
                <w:rFonts w:hint="eastAsia" w:ascii="仿宋" w:hAnsi="仿宋" w:eastAsia="仿宋" w:cs="仿宋"/>
                <w:color w:val="000000"/>
                <w:kern w:val="0"/>
                <w:sz w:val="20"/>
                <w:szCs w:val="20"/>
              </w:rPr>
            </w:pPr>
          </w:p>
        </w:tc>
        <w:tc>
          <w:tcPr>
            <w:tcW w:w="1080" w:type="dxa"/>
            <w:vMerge w:val="continue"/>
            <w:vAlign w:val="center"/>
          </w:tcPr>
          <w:p w14:paraId="3B6A6BA6">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7CB0880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1B608F9A">
            <w:pPr>
              <w:widowControl/>
              <w:spacing w:line="280" w:lineRule="exact"/>
              <w:jc w:val="left"/>
              <w:rPr>
                <w:rFonts w:hint="eastAsia" w:ascii="仿宋" w:hAnsi="仿宋" w:eastAsia="仿宋" w:cs="仿宋"/>
                <w:color w:val="000000"/>
                <w:kern w:val="0"/>
                <w:sz w:val="20"/>
                <w:szCs w:val="20"/>
              </w:rPr>
            </w:pPr>
          </w:p>
        </w:tc>
        <w:tc>
          <w:tcPr>
            <w:tcW w:w="1134" w:type="dxa"/>
            <w:vAlign w:val="center"/>
          </w:tcPr>
          <w:p w14:paraId="6271CD00">
            <w:pPr>
              <w:widowControl/>
              <w:spacing w:line="280" w:lineRule="exact"/>
              <w:jc w:val="left"/>
              <w:rPr>
                <w:rFonts w:hint="eastAsia" w:ascii="仿宋" w:hAnsi="仿宋" w:eastAsia="仿宋" w:cs="仿宋"/>
                <w:color w:val="000000"/>
                <w:kern w:val="0"/>
                <w:sz w:val="20"/>
                <w:szCs w:val="20"/>
              </w:rPr>
            </w:pPr>
          </w:p>
        </w:tc>
        <w:tc>
          <w:tcPr>
            <w:tcW w:w="828" w:type="dxa"/>
            <w:vAlign w:val="center"/>
          </w:tcPr>
          <w:p w14:paraId="42D272D5">
            <w:pPr>
              <w:widowControl/>
              <w:spacing w:line="280" w:lineRule="exact"/>
              <w:jc w:val="left"/>
              <w:rPr>
                <w:rFonts w:hint="eastAsia" w:ascii="仿宋" w:hAnsi="仿宋" w:eastAsia="仿宋" w:cs="仿宋"/>
                <w:color w:val="000000"/>
                <w:kern w:val="0"/>
                <w:sz w:val="20"/>
                <w:szCs w:val="20"/>
              </w:rPr>
            </w:pPr>
          </w:p>
        </w:tc>
        <w:tc>
          <w:tcPr>
            <w:tcW w:w="873" w:type="dxa"/>
            <w:vAlign w:val="center"/>
          </w:tcPr>
          <w:p w14:paraId="1E8C3C8F">
            <w:pPr>
              <w:widowControl/>
              <w:spacing w:line="280" w:lineRule="exact"/>
              <w:jc w:val="left"/>
              <w:rPr>
                <w:rFonts w:hint="eastAsia" w:ascii="仿宋" w:hAnsi="仿宋" w:eastAsia="仿宋" w:cs="仿宋"/>
                <w:color w:val="000000"/>
                <w:kern w:val="0"/>
                <w:sz w:val="20"/>
                <w:szCs w:val="20"/>
              </w:rPr>
            </w:pPr>
          </w:p>
        </w:tc>
        <w:tc>
          <w:tcPr>
            <w:tcW w:w="1418" w:type="dxa"/>
            <w:vAlign w:val="center"/>
          </w:tcPr>
          <w:p w14:paraId="04FBF200">
            <w:pPr>
              <w:widowControl/>
              <w:spacing w:line="280" w:lineRule="exact"/>
              <w:jc w:val="left"/>
              <w:rPr>
                <w:rFonts w:hint="eastAsia" w:ascii="仿宋" w:hAnsi="仿宋" w:eastAsia="仿宋" w:cs="仿宋"/>
                <w:color w:val="000000"/>
                <w:kern w:val="0"/>
                <w:sz w:val="20"/>
                <w:szCs w:val="20"/>
              </w:rPr>
            </w:pPr>
          </w:p>
        </w:tc>
      </w:tr>
      <w:tr w14:paraId="5042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14:paraId="4A05ABC9">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569C2319">
            <w:pPr>
              <w:widowControl/>
              <w:spacing w:line="280" w:lineRule="exact"/>
              <w:jc w:val="center"/>
              <w:rPr>
                <w:rFonts w:hint="eastAsia" w:ascii="仿宋" w:hAnsi="仿宋" w:eastAsia="仿宋" w:cs="仿宋"/>
                <w:color w:val="000000"/>
                <w:kern w:val="0"/>
                <w:sz w:val="20"/>
                <w:szCs w:val="20"/>
              </w:rPr>
            </w:pPr>
          </w:p>
        </w:tc>
        <w:tc>
          <w:tcPr>
            <w:tcW w:w="1080" w:type="dxa"/>
            <w:vMerge w:val="restart"/>
            <w:vAlign w:val="center"/>
          </w:tcPr>
          <w:p w14:paraId="3EFB513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14:paraId="4A66C035">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62E8914F">
            <w:pPr>
              <w:widowControl/>
              <w:spacing w:line="280" w:lineRule="exact"/>
              <w:jc w:val="left"/>
              <w:rPr>
                <w:rFonts w:hint="eastAsia" w:ascii="仿宋" w:hAnsi="仿宋" w:eastAsia="仿宋" w:cs="仿宋"/>
                <w:color w:val="000000"/>
                <w:kern w:val="0"/>
                <w:sz w:val="20"/>
                <w:szCs w:val="20"/>
              </w:rPr>
            </w:pPr>
          </w:p>
        </w:tc>
        <w:tc>
          <w:tcPr>
            <w:tcW w:w="1134" w:type="dxa"/>
            <w:vAlign w:val="center"/>
          </w:tcPr>
          <w:p w14:paraId="0F1B7EA9">
            <w:pPr>
              <w:widowControl/>
              <w:spacing w:line="280" w:lineRule="exact"/>
              <w:jc w:val="left"/>
              <w:rPr>
                <w:rFonts w:hint="eastAsia" w:ascii="仿宋" w:hAnsi="仿宋" w:eastAsia="仿宋" w:cs="仿宋"/>
                <w:color w:val="000000"/>
                <w:kern w:val="0"/>
                <w:sz w:val="20"/>
                <w:szCs w:val="20"/>
              </w:rPr>
            </w:pPr>
          </w:p>
        </w:tc>
        <w:tc>
          <w:tcPr>
            <w:tcW w:w="828" w:type="dxa"/>
            <w:vAlign w:val="center"/>
          </w:tcPr>
          <w:p w14:paraId="2CD6CFA5">
            <w:pPr>
              <w:widowControl/>
              <w:spacing w:line="280" w:lineRule="exact"/>
              <w:jc w:val="left"/>
              <w:rPr>
                <w:rFonts w:hint="eastAsia" w:ascii="仿宋" w:hAnsi="仿宋" w:eastAsia="仿宋" w:cs="仿宋"/>
                <w:color w:val="000000"/>
                <w:kern w:val="0"/>
                <w:sz w:val="20"/>
                <w:szCs w:val="20"/>
              </w:rPr>
            </w:pPr>
          </w:p>
        </w:tc>
        <w:tc>
          <w:tcPr>
            <w:tcW w:w="873" w:type="dxa"/>
            <w:vAlign w:val="center"/>
          </w:tcPr>
          <w:p w14:paraId="47E8B3E6">
            <w:pPr>
              <w:widowControl/>
              <w:spacing w:line="280" w:lineRule="exact"/>
              <w:jc w:val="left"/>
              <w:rPr>
                <w:rFonts w:hint="eastAsia" w:ascii="仿宋" w:hAnsi="仿宋" w:eastAsia="仿宋" w:cs="仿宋"/>
                <w:color w:val="000000"/>
                <w:kern w:val="0"/>
                <w:sz w:val="20"/>
                <w:szCs w:val="20"/>
              </w:rPr>
            </w:pPr>
          </w:p>
        </w:tc>
        <w:tc>
          <w:tcPr>
            <w:tcW w:w="1418" w:type="dxa"/>
            <w:vAlign w:val="center"/>
          </w:tcPr>
          <w:p w14:paraId="454A58EB">
            <w:pPr>
              <w:widowControl/>
              <w:spacing w:line="280" w:lineRule="exact"/>
              <w:jc w:val="left"/>
              <w:rPr>
                <w:rFonts w:hint="eastAsia" w:ascii="仿宋" w:hAnsi="仿宋" w:eastAsia="仿宋" w:cs="仿宋"/>
                <w:color w:val="000000"/>
                <w:kern w:val="0"/>
                <w:sz w:val="20"/>
                <w:szCs w:val="20"/>
              </w:rPr>
            </w:pPr>
          </w:p>
        </w:tc>
      </w:tr>
      <w:tr w14:paraId="0CD5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vAlign w:val="center"/>
          </w:tcPr>
          <w:p w14:paraId="10BE6A6A">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74050EFD">
            <w:pPr>
              <w:widowControl/>
              <w:spacing w:line="280" w:lineRule="exact"/>
              <w:jc w:val="center"/>
              <w:rPr>
                <w:rFonts w:hint="eastAsia" w:ascii="仿宋" w:hAnsi="仿宋" w:eastAsia="仿宋" w:cs="仿宋"/>
                <w:color w:val="000000"/>
                <w:kern w:val="0"/>
                <w:sz w:val="20"/>
                <w:szCs w:val="20"/>
              </w:rPr>
            </w:pPr>
          </w:p>
        </w:tc>
        <w:tc>
          <w:tcPr>
            <w:tcW w:w="1080" w:type="dxa"/>
            <w:vMerge w:val="continue"/>
            <w:vAlign w:val="center"/>
          </w:tcPr>
          <w:p w14:paraId="011CFFBE">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508BCB0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1DF7BAEF">
            <w:pPr>
              <w:widowControl/>
              <w:spacing w:line="280" w:lineRule="exact"/>
              <w:jc w:val="left"/>
              <w:rPr>
                <w:rFonts w:hint="eastAsia" w:ascii="仿宋" w:hAnsi="仿宋" w:eastAsia="仿宋" w:cs="仿宋"/>
                <w:color w:val="000000"/>
                <w:kern w:val="0"/>
                <w:sz w:val="20"/>
                <w:szCs w:val="20"/>
              </w:rPr>
            </w:pPr>
          </w:p>
        </w:tc>
        <w:tc>
          <w:tcPr>
            <w:tcW w:w="1134" w:type="dxa"/>
            <w:vAlign w:val="center"/>
          </w:tcPr>
          <w:p w14:paraId="43CB3266">
            <w:pPr>
              <w:widowControl/>
              <w:spacing w:line="280" w:lineRule="exact"/>
              <w:jc w:val="left"/>
              <w:rPr>
                <w:rFonts w:hint="eastAsia" w:ascii="仿宋" w:hAnsi="仿宋" w:eastAsia="仿宋" w:cs="仿宋"/>
                <w:color w:val="000000"/>
                <w:kern w:val="0"/>
                <w:sz w:val="20"/>
                <w:szCs w:val="20"/>
              </w:rPr>
            </w:pPr>
          </w:p>
        </w:tc>
        <w:tc>
          <w:tcPr>
            <w:tcW w:w="828" w:type="dxa"/>
            <w:vAlign w:val="center"/>
          </w:tcPr>
          <w:p w14:paraId="65594925">
            <w:pPr>
              <w:widowControl/>
              <w:spacing w:line="280" w:lineRule="exact"/>
              <w:jc w:val="left"/>
              <w:rPr>
                <w:rFonts w:hint="eastAsia" w:ascii="仿宋" w:hAnsi="仿宋" w:eastAsia="仿宋" w:cs="仿宋"/>
                <w:color w:val="000000"/>
                <w:kern w:val="0"/>
                <w:sz w:val="20"/>
                <w:szCs w:val="20"/>
              </w:rPr>
            </w:pPr>
          </w:p>
        </w:tc>
        <w:tc>
          <w:tcPr>
            <w:tcW w:w="873" w:type="dxa"/>
            <w:vAlign w:val="center"/>
          </w:tcPr>
          <w:p w14:paraId="2D580555">
            <w:pPr>
              <w:widowControl/>
              <w:spacing w:line="280" w:lineRule="exact"/>
              <w:jc w:val="left"/>
              <w:rPr>
                <w:rFonts w:hint="eastAsia" w:ascii="仿宋" w:hAnsi="仿宋" w:eastAsia="仿宋" w:cs="仿宋"/>
                <w:color w:val="000000"/>
                <w:kern w:val="0"/>
                <w:sz w:val="20"/>
                <w:szCs w:val="20"/>
              </w:rPr>
            </w:pPr>
          </w:p>
        </w:tc>
        <w:tc>
          <w:tcPr>
            <w:tcW w:w="1418" w:type="dxa"/>
            <w:vAlign w:val="center"/>
          </w:tcPr>
          <w:p w14:paraId="24D14F25">
            <w:pPr>
              <w:widowControl/>
              <w:spacing w:line="280" w:lineRule="exact"/>
              <w:jc w:val="left"/>
              <w:rPr>
                <w:rFonts w:hint="eastAsia" w:ascii="仿宋" w:hAnsi="仿宋" w:eastAsia="仿宋" w:cs="仿宋"/>
                <w:color w:val="000000"/>
                <w:kern w:val="0"/>
                <w:sz w:val="20"/>
                <w:szCs w:val="20"/>
              </w:rPr>
            </w:pPr>
          </w:p>
        </w:tc>
      </w:tr>
      <w:tr w14:paraId="3803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14:paraId="07E22835">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0A2D3FB1">
            <w:pPr>
              <w:widowControl/>
              <w:spacing w:line="280" w:lineRule="exact"/>
              <w:jc w:val="center"/>
              <w:rPr>
                <w:rFonts w:hint="eastAsia" w:ascii="仿宋" w:hAnsi="仿宋" w:eastAsia="仿宋" w:cs="仿宋"/>
                <w:color w:val="000000"/>
                <w:kern w:val="0"/>
                <w:sz w:val="20"/>
                <w:szCs w:val="20"/>
              </w:rPr>
            </w:pPr>
          </w:p>
        </w:tc>
        <w:tc>
          <w:tcPr>
            <w:tcW w:w="1080" w:type="dxa"/>
            <w:vMerge w:val="restart"/>
            <w:vAlign w:val="center"/>
          </w:tcPr>
          <w:p w14:paraId="04F112E4">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14:paraId="2F6E610A">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388D768E">
            <w:pPr>
              <w:widowControl/>
              <w:spacing w:line="280" w:lineRule="exact"/>
              <w:jc w:val="left"/>
              <w:rPr>
                <w:rFonts w:hint="eastAsia" w:ascii="仿宋" w:hAnsi="仿宋" w:eastAsia="仿宋" w:cs="仿宋"/>
                <w:color w:val="000000"/>
                <w:kern w:val="0"/>
                <w:sz w:val="20"/>
                <w:szCs w:val="20"/>
              </w:rPr>
            </w:pPr>
          </w:p>
        </w:tc>
        <w:tc>
          <w:tcPr>
            <w:tcW w:w="1134" w:type="dxa"/>
            <w:vAlign w:val="center"/>
          </w:tcPr>
          <w:p w14:paraId="2609E8B9">
            <w:pPr>
              <w:widowControl/>
              <w:spacing w:line="280" w:lineRule="exact"/>
              <w:jc w:val="left"/>
              <w:rPr>
                <w:rFonts w:hint="eastAsia" w:ascii="仿宋" w:hAnsi="仿宋" w:eastAsia="仿宋" w:cs="仿宋"/>
                <w:color w:val="000000"/>
                <w:kern w:val="0"/>
                <w:sz w:val="20"/>
                <w:szCs w:val="20"/>
              </w:rPr>
            </w:pPr>
          </w:p>
        </w:tc>
        <w:tc>
          <w:tcPr>
            <w:tcW w:w="828" w:type="dxa"/>
            <w:vAlign w:val="center"/>
          </w:tcPr>
          <w:p w14:paraId="6531D174">
            <w:pPr>
              <w:widowControl/>
              <w:spacing w:line="280" w:lineRule="exact"/>
              <w:jc w:val="left"/>
              <w:rPr>
                <w:rFonts w:hint="eastAsia" w:ascii="仿宋" w:hAnsi="仿宋" w:eastAsia="仿宋" w:cs="仿宋"/>
                <w:color w:val="000000"/>
                <w:kern w:val="0"/>
                <w:sz w:val="20"/>
                <w:szCs w:val="20"/>
              </w:rPr>
            </w:pPr>
          </w:p>
        </w:tc>
        <w:tc>
          <w:tcPr>
            <w:tcW w:w="873" w:type="dxa"/>
            <w:vAlign w:val="center"/>
          </w:tcPr>
          <w:p w14:paraId="433D3D96">
            <w:pPr>
              <w:widowControl/>
              <w:spacing w:line="280" w:lineRule="exact"/>
              <w:jc w:val="left"/>
              <w:rPr>
                <w:rFonts w:hint="eastAsia" w:ascii="仿宋" w:hAnsi="仿宋" w:eastAsia="仿宋" w:cs="仿宋"/>
                <w:color w:val="000000"/>
                <w:kern w:val="0"/>
                <w:sz w:val="20"/>
                <w:szCs w:val="20"/>
              </w:rPr>
            </w:pPr>
          </w:p>
        </w:tc>
        <w:tc>
          <w:tcPr>
            <w:tcW w:w="1418" w:type="dxa"/>
            <w:vAlign w:val="center"/>
          </w:tcPr>
          <w:p w14:paraId="1F70734B">
            <w:pPr>
              <w:widowControl/>
              <w:spacing w:line="280" w:lineRule="exact"/>
              <w:jc w:val="left"/>
              <w:rPr>
                <w:rFonts w:hint="eastAsia" w:ascii="仿宋" w:hAnsi="仿宋" w:eastAsia="仿宋" w:cs="仿宋"/>
                <w:color w:val="000000"/>
                <w:kern w:val="0"/>
                <w:sz w:val="20"/>
                <w:szCs w:val="20"/>
              </w:rPr>
            </w:pPr>
          </w:p>
        </w:tc>
      </w:tr>
      <w:tr w14:paraId="49F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080" w:type="dxa"/>
            <w:vMerge w:val="continue"/>
            <w:vAlign w:val="center"/>
          </w:tcPr>
          <w:p w14:paraId="043E4844">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64671B16">
            <w:pPr>
              <w:widowControl/>
              <w:spacing w:line="280" w:lineRule="exact"/>
              <w:jc w:val="center"/>
              <w:rPr>
                <w:rFonts w:hint="eastAsia" w:ascii="仿宋" w:hAnsi="仿宋" w:eastAsia="仿宋" w:cs="仿宋"/>
                <w:color w:val="000000"/>
                <w:kern w:val="0"/>
                <w:sz w:val="20"/>
                <w:szCs w:val="20"/>
              </w:rPr>
            </w:pPr>
          </w:p>
        </w:tc>
        <w:tc>
          <w:tcPr>
            <w:tcW w:w="1080" w:type="dxa"/>
            <w:vMerge w:val="continue"/>
            <w:vAlign w:val="center"/>
          </w:tcPr>
          <w:p w14:paraId="628718A5">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73C9633B">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0FF0C0DA">
            <w:pPr>
              <w:widowControl/>
              <w:spacing w:line="280" w:lineRule="exact"/>
              <w:jc w:val="left"/>
              <w:rPr>
                <w:rFonts w:hint="eastAsia" w:ascii="仿宋" w:hAnsi="仿宋" w:eastAsia="仿宋" w:cs="仿宋"/>
                <w:color w:val="000000"/>
                <w:kern w:val="0"/>
                <w:sz w:val="20"/>
                <w:szCs w:val="20"/>
              </w:rPr>
            </w:pPr>
          </w:p>
        </w:tc>
        <w:tc>
          <w:tcPr>
            <w:tcW w:w="1134" w:type="dxa"/>
            <w:vAlign w:val="center"/>
          </w:tcPr>
          <w:p w14:paraId="22232CC2">
            <w:pPr>
              <w:widowControl/>
              <w:spacing w:line="280" w:lineRule="exact"/>
              <w:jc w:val="left"/>
              <w:rPr>
                <w:rFonts w:hint="eastAsia" w:ascii="仿宋" w:hAnsi="仿宋" w:eastAsia="仿宋" w:cs="仿宋"/>
                <w:color w:val="000000"/>
                <w:kern w:val="0"/>
                <w:sz w:val="20"/>
                <w:szCs w:val="20"/>
              </w:rPr>
            </w:pPr>
          </w:p>
        </w:tc>
        <w:tc>
          <w:tcPr>
            <w:tcW w:w="828" w:type="dxa"/>
            <w:vAlign w:val="center"/>
          </w:tcPr>
          <w:p w14:paraId="3A78E5D8">
            <w:pPr>
              <w:widowControl/>
              <w:spacing w:line="280" w:lineRule="exact"/>
              <w:jc w:val="left"/>
              <w:rPr>
                <w:rFonts w:hint="eastAsia" w:ascii="仿宋" w:hAnsi="仿宋" w:eastAsia="仿宋" w:cs="仿宋"/>
                <w:color w:val="000000"/>
                <w:kern w:val="0"/>
                <w:sz w:val="20"/>
                <w:szCs w:val="20"/>
              </w:rPr>
            </w:pPr>
          </w:p>
        </w:tc>
        <w:tc>
          <w:tcPr>
            <w:tcW w:w="873" w:type="dxa"/>
            <w:vAlign w:val="center"/>
          </w:tcPr>
          <w:p w14:paraId="4B16615D">
            <w:pPr>
              <w:widowControl/>
              <w:spacing w:line="280" w:lineRule="exact"/>
              <w:jc w:val="left"/>
              <w:rPr>
                <w:rFonts w:hint="eastAsia" w:ascii="仿宋" w:hAnsi="仿宋" w:eastAsia="仿宋" w:cs="仿宋"/>
                <w:color w:val="000000"/>
                <w:kern w:val="0"/>
                <w:sz w:val="20"/>
                <w:szCs w:val="20"/>
              </w:rPr>
            </w:pPr>
          </w:p>
        </w:tc>
        <w:tc>
          <w:tcPr>
            <w:tcW w:w="1418" w:type="dxa"/>
            <w:vAlign w:val="center"/>
          </w:tcPr>
          <w:p w14:paraId="34A21B15">
            <w:pPr>
              <w:widowControl/>
              <w:spacing w:line="280" w:lineRule="exact"/>
              <w:jc w:val="left"/>
              <w:rPr>
                <w:rFonts w:hint="eastAsia" w:ascii="仿宋" w:hAnsi="仿宋" w:eastAsia="仿宋" w:cs="仿宋"/>
                <w:color w:val="000000"/>
                <w:kern w:val="0"/>
                <w:sz w:val="20"/>
                <w:szCs w:val="20"/>
              </w:rPr>
            </w:pPr>
          </w:p>
        </w:tc>
      </w:tr>
      <w:tr w14:paraId="3A68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14:paraId="7266CCA6">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6CC5E414">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ECBC321">
            <w:pPr>
              <w:widowControl/>
              <w:spacing w:line="280" w:lineRule="exact"/>
              <w:jc w:val="center"/>
              <w:rPr>
                <w:rFonts w:hint="eastAsia" w:ascii="仿宋" w:hAnsi="仿宋" w:eastAsia="仿宋" w:cs="仿宋"/>
                <w:color w:val="000000"/>
                <w:kern w:val="0"/>
                <w:sz w:val="20"/>
                <w:szCs w:val="20"/>
              </w:rPr>
            </w:pPr>
          </w:p>
        </w:tc>
        <w:tc>
          <w:tcPr>
            <w:tcW w:w="1080" w:type="dxa"/>
            <w:vMerge w:val="restart"/>
            <w:vAlign w:val="center"/>
          </w:tcPr>
          <w:p w14:paraId="6A09D088">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14:paraId="1591E1E0">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18931A8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5E6C8F5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05C3091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263FA79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730C501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E8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vAlign w:val="center"/>
          </w:tcPr>
          <w:p w14:paraId="5F9C496D">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09B9B5DD">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34829BE7">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11A3C4B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52BF35A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0C79AA2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328137E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224AEA1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2F04602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BEC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vAlign w:val="center"/>
          </w:tcPr>
          <w:p w14:paraId="5F0E1C65">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3B6437E4">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0EC1009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14:paraId="1D3F933E">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2B007FD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4D34945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752CEEB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57CF5D3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936F1F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13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257E7053">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7EA7E947">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0AAD53CA">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36741DC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1FA6903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53F767AB">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5550F53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DDC46F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269BB24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E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14:paraId="1B94C49C">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35474B72">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0B2625C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14:paraId="518473E6">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615F1D4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18F283F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2ABD281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35B6FAC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7BE8B2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30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5AAC4426">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1DBF40D8">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4D276C8B">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7C7BF4A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3A66651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05401D5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07B13B4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353B51D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3FBF1FB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15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34DE27DA">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49AB949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6710A46">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49A404F5">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45F099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3CFEBBFE">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137EE19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05A0D09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056F2B4B">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4DC881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6B5D4B1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00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80" w:type="dxa"/>
            <w:vMerge w:val="continue"/>
            <w:vAlign w:val="center"/>
          </w:tcPr>
          <w:p w14:paraId="5FD79D9B">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6DC6240A">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65618094">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688E8BC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3F960FB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7AE69E7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7C5984FB">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14F7DE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319DF65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8D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14:paraId="63AE5FB4">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339A69C9">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45D9255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67AC5A9">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1EFDC7AD">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08E2052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61ED543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68C44C5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4DB0C22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111610C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AD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80" w:type="dxa"/>
            <w:vMerge w:val="continue"/>
            <w:vAlign w:val="center"/>
          </w:tcPr>
          <w:p w14:paraId="5E2C68A3">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68B722AF">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54BA7BE0">
            <w:pPr>
              <w:widowControl/>
              <w:spacing w:line="280" w:lineRule="exact"/>
              <w:jc w:val="center"/>
              <w:rPr>
                <w:rFonts w:hint="eastAsia" w:ascii="仿宋" w:hAnsi="仿宋" w:eastAsia="仿宋" w:cs="仿宋"/>
                <w:color w:val="000000"/>
                <w:kern w:val="0"/>
                <w:sz w:val="20"/>
                <w:szCs w:val="20"/>
              </w:rPr>
            </w:pPr>
          </w:p>
        </w:tc>
        <w:tc>
          <w:tcPr>
            <w:tcW w:w="1149" w:type="dxa"/>
            <w:vAlign w:val="center"/>
          </w:tcPr>
          <w:p w14:paraId="112F143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56278BF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4632A5CE">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200FA67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1371891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05A4B56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98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14:paraId="417E4312">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23DFD931">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5D9BE37F">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0736FE7">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14:paraId="2798D8EC">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2DC68DB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3537268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1FCDF7B7">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3BA4E5D2">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01187E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942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14:paraId="1D9D57CA">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383DA04C">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2F3B5B21">
            <w:pPr>
              <w:widowControl/>
              <w:spacing w:line="280" w:lineRule="exact"/>
              <w:jc w:val="left"/>
              <w:rPr>
                <w:rFonts w:hint="eastAsia" w:ascii="仿宋" w:hAnsi="仿宋" w:eastAsia="仿宋" w:cs="仿宋"/>
                <w:color w:val="000000"/>
                <w:kern w:val="0"/>
                <w:sz w:val="20"/>
                <w:szCs w:val="20"/>
              </w:rPr>
            </w:pPr>
          </w:p>
        </w:tc>
        <w:tc>
          <w:tcPr>
            <w:tcW w:w="1149" w:type="dxa"/>
            <w:vAlign w:val="center"/>
          </w:tcPr>
          <w:p w14:paraId="1323BA7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5CB5008E">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26E3309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74CACA2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22B9D25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DC853C3">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BE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14:paraId="1E3B27E9">
            <w:pPr>
              <w:widowControl/>
              <w:spacing w:line="280" w:lineRule="exact"/>
              <w:jc w:val="center"/>
              <w:rPr>
                <w:rFonts w:hint="eastAsia" w:ascii="仿宋" w:hAnsi="仿宋" w:eastAsia="仿宋" w:cs="仿宋"/>
                <w:color w:val="000000"/>
                <w:kern w:val="0"/>
                <w:sz w:val="20"/>
                <w:szCs w:val="20"/>
              </w:rPr>
            </w:pPr>
          </w:p>
        </w:tc>
        <w:tc>
          <w:tcPr>
            <w:tcW w:w="1080" w:type="dxa"/>
            <w:vMerge w:val="continue"/>
            <w:vAlign w:val="center"/>
          </w:tcPr>
          <w:p w14:paraId="5E76CB4B">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0E61D83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14:paraId="5AAF580B">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13D17717">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65D25FB5">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52AE7EF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0B4AA0C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905D4B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47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080" w:type="dxa"/>
            <w:vMerge w:val="continue"/>
            <w:vAlign w:val="center"/>
          </w:tcPr>
          <w:p w14:paraId="48041A99">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607D4ACE">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41AB97E7">
            <w:pPr>
              <w:widowControl/>
              <w:spacing w:line="280" w:lineRule="exact"/>
              <w:jc w:val="left"/>
              <w:rPr>
                <w:rFonts w:hint="eastAsia" w:ascii="仿宋" w:hAnsi="仿宋" w:eastAsia="仿宋" w:cs="仿宋"/>
                <w:color w:val="000000"/>
                <w:kern w:val="0"/>
                <w:sz w:val="20"/>
                <w:szCs w:val="20"/>
              </w:rPr>
            </w:pPr>
          </w:p>
        </w:tc>
        <w:tc>
          <w:tcPr>
            <w:tcW w:w="1149" w:type="dxa"/>
            <w:vAlign w:val="center"/>
          </w:tcPr>
          <w:p w14:paraId="6EEF554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6EA869C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4DEDD17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378A105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46A2677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5F695750">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898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14:paraId="3FD1A413">
            <w:pPr>
              <w:widowControl/>
              <w:spacing w:line="280" w:lineRule="exact"/>
              <w:jc w:val="left"/>
              <w:rPr>
                <w:rFonts w:hint="eastAsia" w:ascii="仿宋" w:hAnsi="仿宋" w:eastAsia="仿宋" w:cs="仿宋"/>
                <w:color w:val="000000"/>
                <w:kern w:val="0"/>
                <w:sz w:val="20"/>
                <w:szCs w:val="20"/>
              </w:rPr>
            </w:pPr>
          </w:p>
        </w:tc>
        <w:tc>
          <w:tcPr>
            <w:tcW w:w="1080" w:type="dxa"/>
            <w:vMerge w:val="restart"/>
            <w:vAlign w:val="center"/>
          </w:tcPr>
          <w:p w14:paraId="68904876">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238D5BA">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96BE18A">
            <w:pPr>
              <w:widowControl/>
              <w:spacing w:line="280" w:lineRule="exact"/>
              <w:jc w:val="center"/>
              <w:rPr>
                <w:rFonts w:hint="eastAsia" w:ascii="仿宋" w:hAnsi="仿宋" w:eastAsia="仿宋" w:cs="仿宋"/>
                <w:color w:val="000000"/>
                <w:kern w:val="0"/>
                <w:sz w:val="20"/>
                <w:szCs w:val="20"/>
              </w:rPr>
            </w:pPr>
          </w:p>
        </w:tc>
        <w:tc>
          <w:tcPr>
            <w:tcW w:w="1080" w:type="dxa"/>
            <w:vMerge w:val="restart"/>
            <w:vAlign w:val="center"/>
          </w:tcPr>
          <w:p w14:paraId="1AB841FB">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14:paraId="29C7F24E">
            <w:pPr>
              <w:widowControl/>
              <w:spacing w:line="280" w:lineRule="exact"/>
              <w:jc w:val="left"/>
              <w:rPr>
                <w:rFonts w:hint="eastAsia" w:ascii="仿宋" w:hAnsi="仿宋" w:eastAsia="仿宋" w:cs="仿宋"/>
                <w:color w:val="000000"/>
                <w:kern w:val="0"/>
                <w:sz w:val="20"/>
                <w:szCs w:val="20"/>
              </w:rPr>
            </w:pPr>
          </w:p>
        </w:tc>
        <w:tc>
          <w:tcPr>
            <w:tcW w:w="1209" w:type="dxa"/>
            <w:vAlign w:val="center"/>
          </w:tcPr>
          <w:p w14:paraId="76A7760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116890CA">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7387548B">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29C35D6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46E3B4B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3E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vAlign w:val="center"/>
          </w:tcPr>
          <w:p w14:paraId="70275FA6">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318D5E7D">
            <w:pPr>
              <w:widowControl/>
              <w:spacing w:line="280" w:lineRule="exact"/>
              <w:jc w:val="left"/>
              <w:rPr>
                <w:rFonts w:hint="eastAsia" w:ascii="仿宋" w:hAnsi="仿宋" w:eastAsia="仿宋" w:cs="仿宋"/>
                <w:color w:val="000000"/>
                <w:kern w:val="0"/>
                <w:sz w:val="20"/>
                <w:szCs w:val="20"/>
              </w:rPr>
            </w:pPr>
          </w:p>
        </w:tc>
        <w:tc>
          <w:tcPr>
            <w:tcW w:w="1080" w:type="dxa"/>
            <w:vMerge w:val="continue"/>
            <w:vAlign w:val="center"/>
          </w:tcPr>
          <w:p w14:paraId="176EAC91">
            <w:pPr>
              <w:widowControl/>
              <w:spacing w:line="280" w:lineRule="exact"/>
              <w:jc w:val="left"/>
              <w:rPr>
                <w:rFonts w:hint="eastAsia" w:ascii="仿宋" w:hAnsi="仿宋" w:eastAsia="仿宋" w:cs="仿宋"/>
                <w:color w:val="000000"/>
                <w:kern w:val="0"/>
                <w:sz w:val="20"/>
                <w:szCs w:val="20"/>
              </w:rPr>
            </w:pPr>
          </w:p>
        </w:tc>
        <w:tc>
          <w:tcPr>
            <w:tcW w:w="1149" w:type="dxa"/>
            <w:vAlign w:val="center"/>
          </w:tcPr>
          <w:p w14:paraId="0BDEF146">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vAlign w:val="center"/>
          </w:tcPr>
          <w:p w14:paraId="02DABF8F">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14:paraId="1CF37C1C">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14:paraId="43ED09A1">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14:paraId="77972C98">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7D96AB84">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35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3F50C5A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14:paraId="18BA5BE7">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14:paraId="4064590D">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14:paraId="64B92109">
            <w:pPr>
              <w:widowControl/>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9BFDC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 xml:space="preserve">  填报日期：</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 xml:space="preserve">  联系电话</w:t>
      </w:r>
      <w:r>
        <w:rPr>
          <w:rFonts w:hint="eastAsia" w:ascii="Times New Roman" w:hAnsi="Times New Roman" w:eastAsia="仿宋_GB2312" w:cs="Times New Roman"/>
          <w:color w:val="000000"/>
          <w:kern w:val="0"/>
          <w:sz w:val="24"/>
        </w:rPr>
        <w:t>：</w:t>
      </w:r>
    </w:p>
    <w:p w14:paraId="2489B9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rPr>
      </w:pPr>
    </w:p>
    <w:p w14:paraId="63A46C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Times New Roman"/>
          <w:color w:val="000000"/>
          <w:kern w:val="0"/>
          <w:sz w:val="24"/>
        </w:rPr>
      </w:pPr>
    </w:p>
    <w:p w14:paraId="429D31FE">
      <w:pPr>
        <w:spacing w:line="600" w:lineRule="exact"/>
        <w:rPr>
          <w:rFonts w:ascii="Times New Roman" w:hAnsi="Times New Roman" w:eastAsia="仿宋_GB2312" w:cs="Times New Roman"/>
          <w:color w:val="000000"/>
          <w:kern w:val="0"/>
          <w:sz w:val="24"/>
        </w:rPr>
      </w:pPr>
      <w:r>
        <w:rPr>
          <w:rFonts w:hint="eastAsia" w:ascii="方正小标宋_GBK" w:hAnsi="方正小标宋_GBK" w:eastAsia="方正小标宋_GBK" w:cs="方正小标宋_GBK"/>
          <w:color w:val="000000"/>
          <w:kern w:val="0"/>
          <w:sz w:val="24"/>
          <w:shd w:val="clear" w:color="auto" w:fill="FFFFFF"/>
          <w:lang w:bidi="ar"/>
        </w:rPr>
        <w:t>附件</w:t>
      </w:r>
      <w:r>
        <w:rPr>
          <w:rFonts w:hint="eastAsia" w:ascii="Times New Roman" w:hAnsi="Times New Roman" w:eastAsia="仿宋_GB2312" w:cs="Times New Roman"/>
          <w:color w:val="000000"/>
          <w:kern w:val="0"/>
          <w:sz w:val="24"/>
        </w:rPr>
        <w:t>4</w:t>
      </w:r>
    </w:p>
    <w:p w14:paraId="2393C1C1">
      <w:pPr>
        <w:spacing w:line="6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                 </w:t>
      </w:r>
    </w:p>
    <w:p w14:paraId="767CD2D7">
      <w:pPr>
        <w:jc w:val="center"/>
        <w:rPr>
          <w:rFonts w:ascii="方正小标宋简体" w:hAnsi="Arial" w:eastAsia="方正小标宋简体" w:cs="Arial"/>
          <w:sz w:val="40"/>
          <w:szCs w:val="40"/>
        </w:rPr>
      </w:pPr>
      <w:r>
        <w:rPr>
          <w:rFonts w:hint="eastAsia" w:ascii="方正小标宋简体" w:hAnsi="Arial" w:eastAsia="方正小标宋简体" w:cs="Arial"/>
          <w:sz w:val="40"/>
          <w:szCs w:val="40"/>
        </w:rPr>
        <w:t>项目支出自评结果汇总分析报告</w:t>
      </w:r>
    </w:p>
    <w:p w14:paraId="0C59F40A">
      <w:pPr>
        <w:jc w:val="both"/>
        <w:rPr>
          <w:rFonts w:ascii="仿宋_GB2312"/>
          <w:sz w:val="32"/>
          <w:szCs w:val="32"/>
        </w:rPr>
      </w:pPr>
    </w:p>
    <w:p w14:paraId="71F3CEA4">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一、项目支出基本情况</w:t>
      </w:r>
    </w:p>
    <w:p w14:paraId="0F90CBC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本单位2024年项目支出全年预算数</w:t>
      </w:r>
      <w:r>
        <w:rPr>
          <w:rFonts w:hint="eastAsia" w:ascii="仿宋_GB2312" w:hAnsi="仿宋_GB2312" w:eastAsia="仿宋_GB2312" w:cs="仿宋_GB2312"/>
          <w:i w:val="0"/>
          <w:iCs w:val="0"/>
          <w:caps w:val="0"/>
          <w:color w:val="000000"/>
          <w:spacing w:val="0"/>
          <w:sz w:val="32"/>
          <w:szCs w:val="32"/>
          <w:shd w:val="clear" w:fill="FFFFFF"/>
          <w:lang w:val="en-US" w:eastAsia="zh-CN"/>
        </w:rPr>
        <w:t>8.28万元</w:t>
      </w:r>
      <w:r>
        <w:rPr>
          <w:rFonts w:hint="eastAsia" w:ascii="仿宋_GB2312" w:hAnsi="仿宋_GB2312" w:eastAsia="仿宋_GB2312" w:cs="仿宋_GB2312"/>
          <w:i w:val="0"/>
          <w:iCs w:val="0"/>
          <w:caps w:val="0"/>
          <w:color w:val="000000"/>
          <w:spacing w:val="0"/>
          <w:sz w:val="32"/>
          <w:szCs w:val="32"/>
          <w:shd w:val="clear" w:fill="FFFFFF"/>
          <w:lang w:eastAsia="zh-CN"/>
        </w:rPr>
        <w:t>，决算书</w:t>
      </w:r>
      <w:r>
        <w:rPr>
          <w:rFonts w:hint="eastAsia" w:ascii="仿宋_GB2312" w:hAnsi="仿宋_GB2312" w:eastAsia="仿宋_GB2312" w:cs="仿宋_GB2312"/>
          <w:i w:val="0"/>
          <w:iCs w:val="0"/>
          <w:caps w:val="0"/>
          <w:color w:val="000000"/>
          <w:spacing w:val="0"/>
          <w:sz w:val="32"/>
          <w:szCs w:val="32"/>
          <w:shd w:val="clear" w:fill="FFFFFF"/>
          <w:lang w:val="en-US" w:eastAsia="zh-CN"/>
        </w:rPr>
        <w:t>8.28万元，</w:t>
      </w:r>
      <w:r>
        <w:rPr>
          <w:rFonts w:hint="eastAsia" w:ascii="仿宋_GB2312" w:hAnsi="仿宋_GB2312" w:eastAsia="仿宋_GB2312" w:cs="仿宋_GB2312"/>
          <w:i w:val="0"/>
          <w:iCs w:val="0"/>
          <w:caps w:val="0"/>
          <w:color w:val="000000"/>
          <w:spacing w:val="0"/>
          <w:sz w:val="32"/>
          <w:szCs w:val="32"/>
          <w:shd w:val="clear" w:fill="FFFFFF"/>
          <w:lang w:eastAsia="zh-CN"/>
        </w:rPr>
        <w:t>主要为中央食品监管补助资金5万元和省级制服采购资金3.28万元，2024年12月31日前均已执行完毕。</w:t>
      </w:r>
    </w:p>
    <w:p w14:paraId="30E7604A">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二、项目自评工作开展情况</w:t>
      </w:r>
    </w:p>
    <w:p w14:paraId="3765C8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本单位2024年项目支出均为市级用于中央、省专项转移支付配套的资金，按照中央、省对地方转移支付预算执行情况绩效自评工作要求，</w:t>
      </w:r>
      <w:r>
        <w:rPr>
          <w:rFonts w:hint="eastAsia" w:ascii="仿宋_GB2312" w:hAnsi="仿宋_GB2312" w:eastAsia="仿宋_GB2312" w:cs="仿宋_GB2312"/>
          <w:i w:val="0"/>
          <w:iCs w:val="0"/>
          <w:caps w:val="0"/>
          <w:color w:val="000000"/>
          <w:spacing w:val="0"/>
          <w:sz w:val="32"/>
          <w:szCs w:val="32"/>
          <w:highlight w:val="yellow"/>
          <w:shd w:val="clear" w:fill="FFFFFF"/>
          <w:lang w:eastAsia="zh-CN"/>
        </w:rPr>
        <w:t>随中央、省资金已完成绩效自评</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56BA89C0">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三、项目自评结果及分析</w:t>
      </w:r>
    </w:p>
    <w:p w14:paraId="2C6273AA">
      <w:pPr>
        <w:snapToGrid w:val="0"/>
        <w:spacing w:line="520" w:lineRule="exact"/>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项目支出单位自评</w:t>
      </w:r>
      <w:r>
        <w:rPr>
          <w:rFonts w:hint="eastAsia" w:ascii="Times New Roman Regular" w:hAnsi="Times New Roman Regular" w:eastAsia="仿宋_GB2312" w:cs="Times New Roman Regular"/>
          <w:sz w:val="32"/>
          <w:szCs w:val="32"/>
          <w:lang w:eastAsia="zh-CN"/>
        </w:rPr>
        <w:t>得分</w:t>
      </w:r>
      <w:r>
        <w:rPr>
          <w:rFonts w:hint="eastAsia" w:ascii="Times New Roman Regular" w:hAnsi="Times New Roman Regular" w:eastAsia="仿宋_GB2312" w:cs="Times New Roman Regular"/>
          <w:sz w:val="32"/>
          <w:szCs w:val="32"/>
          <w:lang w:val="en-US" w:eastAsia="zh-CN"/>
        </w:rPr>
        <w:t>98分</w:t>
      </w:r>
      <w:r>
        <w:rPr>
          <w:rFonts w:hint="eastAsia" w:ascii="Times New Roman Regular" w:hAnsi="Times New Roman Regular" w:eastAsia="仿宋_GB2312" w:cs="Times New Roman Regular"/>
          <w:sz w:val="32"/>
          <w:szCs w:val="32"/>
        </w:rPr>
        <w:t>，严格落实《食品安全法》</w:t>
      </w:r>
      <w:r>
        <w:rPr>
          <w:rFonts w:hint="eastAsia" w:ascii="Times New Roman Regular" w:hAnsi="Times New Roman Regular" w:eastAsia="仿宋_GB2312" w:cs="Times New Roman Regular"/>
          <w:sz w:val="32"/>
          <w:szCs w:val="32"/>
          <w:lang w:eastAsia="zh-CN"/>
        </w:rPr>
        <w:t>、《市场监管总局关于做好统一市场监管部门制式服装和标志管理工作的通知》</w:t>
      </w:r>
      <w:r>
        <w:rPr>
          <w:rFonts w:hint="eastAsia" w:ascii="Times New Roman Regular" w:hAnsi="Times New Roman Regular" w:eastAsia="仿宋_GB2312" w:cs="Times New Roman Regular"/>
          <w:sz w:val="32"/>
          <w:szCs w:val="32"/>
        </w:rPr>
        <w:t>《财政专项资金管理办法》等要求，实现“资金-任务-责任”三挂钩</w:t>
      </w:r>
      <w:r>
        <w:rPr>
          <w:rFonts w:hint="eastAsia" w:ascii="Times New Roman Regular" w:hAnsi="Times New Roman Regular" w:eastAsia="仿宋_GB2312" w:cs="Times New Roman Regular"/>
          <w:sz w:val="32"/>
          <w:szCs w:val="32"/>
          <w:lang w:eastAsia="zh-CN"/>
        </w:rPr>
        <w:t>，项目支出</w:t>
      </w:r>
      <w:r>
        <w:rPr>
          <w:rFonts w:hint="eastAsia" w:ascii="Times New Roman Regular" w:hAnsi="Times New Roman Regular" w:eastAsia="仿宋_GB2312" w:cs="Times New Roman Regular"/>
          <w:sz w:val="32"/>
          <w:szCs w:val="32"/>
        </w:rPr>
        <w:t>资金管理整体规范高效，</w:t>
      </w:r>
      <w:r>
        <w:rPr>
          <w:rFonts w:hint="eastAsia" w:ascii="Times New Roman Regular" w:hAnsi="Times New Roman Regular" w:eastAsia="仿宋_GB2312" w:cs="Times New Roman Regular"/>
          <w:sz w:val="32"/>
          <w:szCs w:val="32"/>
          <w:lang w:eastAsia="zh-CN"/>
        </w:rPr>
        <w:t>项目</w:t>
      </w:r>
      <w:r>
        <w:rPr>
          <w:rFonts w:hint="eastAsia" w:ascii="Times New Roman Regular" w:hAnsi="Times New Roman Regular" w:eastAsia="仿宋_GB2312" w:cs="Times New Roman Regular"/>
          <w:sz w:val="32"/>
          <w:szCs w:val="32"/>
        </w:rPr>
        <w:t>目标全面达成，有效提升了辖区</w:t>
      </w:r>
      <w:r>
        <w:rPr>
          <w:rFonts w:hint="eastAsia" w:ascii="Times New Roman Regular" w:hAnsi="Times New Roman Regular" w:eastAsia="仿宋_GB2312" w:cs="Times New Roman Regular"/>
          <w:sz w:val="32"/>
          <w:szCs w:val="32"/>
          <w:lang w:eastAsia="zh-CN"/>
        </w:rPr>
        <w:t>市场</w:t>
      </w:r>
      <w:r>
        <w:rPr>
          <w:rFonts w:hint="eastAsia" w:ascii="Times New Roman Regular" w:hAnsi="Times New Roman Regular" w:eastAsia="仿宋_GB2312" w:cs="Times New Roman Regular"/>
          <w:sz w:val="32"/>
          <w:szCs w:val="32"/>
        </w:rPr>
        <w:t>监</w:t>
      </w:r>
      <w:r>
        <w:rPr>
          <w:rFonts w:hint="eastAsia" w:ascii="Times New Roman Regular" w:hAnsi="Times New Roman Regular" w:eastAsia="仿宋_GB2312" w:cs="Times New Roman Regular"/>
          <w:sz w:val="32"/>
          <w:szCs w:val="32"/>
          <w:lang w:eastAsia="zh-CN"/>
        </w:rPr>
        <w:t>督</w:t>
      </w:r>
      <w:r>
        <w:rPr>
          <w:rFonts w:hint="eastAsia" w:ascii="Times New Roman Regular" w:hAnsi="Times New Roman Regular" w:eastAsia="仿宋_GB2312" w:cs="Times New Roman Regular"/>
          <w:sz w:val="32"/>
          <w:szCs w:val="32"/>
        </w:rPr>
        <w:t>管</w:t>
      </w:r>
      <w:r>
        <w:rPr>
          <w:rFonts w:hint="eastAsia" w:ascii="Times New Roman Regular" w:hAnsi="Times New Roman Regular" w:eastAsia="仿宋_GB2312" w:cs="Times New Roman Regular"/>
          <w:sz w:val="32"/>
          <w:szCs w:val="32"/>
          <w:lang w:eastAsia="zh-CN"/>
        </w:rPr>
        <w:t>理</w:t>
      </w:r>
      <w:r>
        <w:rPr>
          <w:rFonts w:hint="eastAsia" w:ascii="Times New Roman Regular" w:hAnsi="Times New Roman Regular" w:eastAsia="仿宋_GB2312" w:cs="Times New Roman Regular"/>
          <w:sz w:val="32"/>
          <w:szCs w:val="32"/>
        </w:rPr>
        <w:t>水平。</w:t>
      </w:r>
    </w:p>
    <w:p w14:paraId="4D4371B3">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eastAsia="zh-CN"/>
        </w:rPr>
        <w:t>不存在</w:t>
      </w:r>
      <w:r>
        <w:rPr>
          <w:rFonts w:hint="eastAsia" w:ascii="Times New Roman Regular" w:hAnsi="Times New Roman Regular" w:eastAsia="仿宋_GB2312" w:cs="Times New Roman Regular"/>
          <w:sz w:val="32"/>
          <w:szCs w:val="32"/>
        </w:rPr>
        <w:t>对年度总体绩效目标没有完成的项目</w:t>
      </w:r>
      <w:r>
        <w:rPr>
          <w:rFonts w:hint="eastAsia" w:ascii="Times New Roman Regular" w:hAnsi="Times New Roman Regular" w:eastAsia="仿宋_GB2312" w:cs="Times New Roman Regular"/>
          <w:sz w:val="32"/>
          <w:szCs w:val="32"/>
          <w:lang w:eastAsia="zh-CN"/>
        </w:rPr>
        <w:t>，不存在</w:t>
      </w:r>
      <w:r>
        <w:rPr>
          <w:rFonts w:hint="eastAsia" w:ascii="Times New Roman Regular" w:hAnsi="Times New Roman Regular" w:eastAsia="仿宋_GB2312" w:cs="Times New Roman Regular"/>
          <w:sz w:val="32"/>
          <w:szCs w:val="32"/>
        </w:rPr>
        <w:t>绩效指标完成情况存在偏差的（没有完成、超额完成30%及以上）</w:t>
      </w:r>
      <w:r>
        <w:rPr>
          <w:rFonts w:hint="eastAsia" w:ascii="Times New Roman Regular" w:hAnsi="Times New Roman Regular" w:eastAsia="仿宋_GB2312" w:cs="Times New Roman Regular"/>
          <w:sz w:val="32"/>
          <w:szCs w:val="32"/>
          <w:lang w:eastAsia="zh-CN"/>
        </w:rPr>
        <w:t>的项目</w:t>
      </w:r>
      <w:r>
        <w:rPr>
          <w:rFonts w:hint="eastAsia" w:ascii="Times New Roman Regular" w:hAnsi="Times New Roman Regular" w:eastAsia="仿宋_GB2312" w:cs="Times New Roman Regular"/>
          <w:sz w:val="32"/>
          <w:szCs w:val="32"/>
        </w:rPr>
        <w:t>。</w:t>
      </w:r>
    </w:p>
    <w:p w14:paraId="2F6DCFE6">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四、项目自评发现的问题及整改措施</w:t>
      </w:r>
    </w:p>
    <w:p w14:paraId="27AB4041">
      <w:pPr>
        <w:snapToGrid w:val="0"/>
        <w:spacing w:line="520" w:lineRule="exact"/>
        <w:ind w:firstLine="640" w:firstLineChars="200"/>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1.</w:t>
      </w:r>
      <w:r>
        <w:rPr>
          <w:rFonts w:hint="eastAsia" w:ascii="Times New Roman Regular" w:hAnsi="Times New Roman Regular" w:eastAsia="仿宋_GB2312" w:cs="Times New Roman Regular"/>
          <w:sz w:val="32"/>
          <w:szCs w:val="32"/>
          <w:lang w:eastAsia="zh-CN"/>
        </w:rPr>
        <w:t>发现的问题：</w:t>
      </w:r>
      <w:r>
        <w:rPr>
          <w:rFonts w:hint="eastAsia" w:ascii="Times New Roman Regular" w:hAnsi="Times New Roman Regular" w:eastAsia="仿宋_GB2312" w:cs="Times New Roman Regular"/>
          <w:sz w:val="32"/>
          <w:szCs w:val="32"/>
          <w:lang w:val="en-US" w:eastAsia="zh-CN"/>
        </w:rPr>
        <w:t>（1）预算编制不合理，缺乏科学论证，影响项目执行效率。（2）资金使用透明度不足，缺乏动态跟踪。（3）重投入轻产出，未细化资金使用效益评估体系，无法优化资源配置，难以问责。</w:t>
      </w:r>
    </w:p>
    <w:p w14:paraId="1CC340CF">
      <w:pPr>
        <w:snapToGrid w:val="0"/>
        <w:spacing w:line="520" w:lineRule="exact"/>
        <w:ind w:firstLine="640" w:firstLineChars="200"/>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2.改进措施：（1）强化预算科学性与动态调整。（2）建立季度预算调整机制，根据实际需求灵活调配资金。（3）细化指标，定期评估资金使用效果。</w:t>
      </w:r>
    </w:p>
    <w:p w14:paraId="22CD654D">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五、项目自评工作建议及预算安排建议</w:t>
      </w:r>
    </w:p>
    <w:p w14:paraId="00114D97">
      <w:pPr>
        <w:snapToGrid w:val="0"/>
        <w:spacing w:line="520" w:lineRule="exact"/>
        <w:ind w:firstLine="640" w:firstLineChars="200"/>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单位项目金额小、任务重，人员配置不够，建议简化项目自评工作，为确保项目预期目标有效实现，请求适当提高预算专项资金。</w:t>
      </w:r>
    </w:p>
    <w:p w14:paraId="7AC0BAE4">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六、其他需要说明的问题</w:t>
      </w:r>
    </w:p>
    <w:p w14:paraId="5B1D3583">
      <w:pPr>
        <w:snapToGrid w:val="0"/>
        <w:spacing w:line="520" w:lineRule="exact"/>
        <w:ind w:firstLine="640" w:firstLineChars="200"/>
        <w:rPr>
          <w:rFonts w:hint="eastAsia" w:ascii="Times New Roman" w:hAnsi="Times New Roman" w:eastAsia="方正仿宋_GBK" w:cs="仿宋"/>
          <w:kern w:val="2"/>
          <w:sz w:val="32"/>
          <w:szCs w:val="32"/>
          <w:lang w:val="en-US" w:eastAsia="zh-CN" w:bidi="ar-SA"/>
        </w:rPr>
      </w:pPr>
      <w:r>
        <w:rPr>
          <w:rFonts w:hint="eastAsia" w:ascii="Times New Roman" w:hAnsi="Times New Roman" w:eastAsia="方正仿宋_GBK" w:cs="仿宋"/>
          <w:kern w:val="2"/>
          <w:sz w:val="32"/>
          <w:szCs w:val="32"/>
          <w:lang w:val="en-US" w:eastAsia="zh-CN" w:bidi="ar-SA"/>
        </w:rPr>
        <w:t>无</w:t>
      </w:r>
      <w:r>
        <w:rPr>
          <w:rFonts w:hint="eastAsia" w:ascii="Times New Roman" w:hAnsi="Times New Roman" w:eastAsia="方正仿宋_GBK" w:cs="仿宋"/>
          <w:kern w:val="2"/>
          <w:sz w:val="32"/>
          <w:szCs w:val="32"/>
          <w:lang w:val="en-US" w:eastAsia="zh-CN" w:bidi="ar-SA"/>
        </w:rPr>
        <w:tab/>
      </w:r>
    </w:p>
    <w:p w14:paraId="55A083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D7748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006C1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D9344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C909D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7BCB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C72FE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E7FB1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9B713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10F99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9DE5D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F1924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016B4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5CD19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7B158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360CD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4C593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186B2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FF4CD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2024年度怀化市市场监督管理局直属二局</w:t>
      </w:r>
    </w:p>
    <w:p w14:paraId="0790C8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整体支出绩效自评报告</w:t>
      </w:r>
    </w:p>
    <w:p w14:paraId="3EB9AE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445C2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default"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单位名称（盖章）：怀化市市场监督管理局直属二局</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2B32EAC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7D167B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6BCC05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怀化市市场监督管理局直属二局是怀化市市场监督管理局的派出机构，主管市场监督管理和行政执法工作。单位内设办公室、信用监管股、登记注册股、特种设备安全监管股、价格监督检查和反不正当竞争股、药械化监管股、食品安全监督管理股和河西市场监管所（消费者权益保护股）共</w:t>
      </w:r>
      <w:r>
        <w:rPr>
          <w:rFonts w:hint="eastAsia" w:ascii="仿宋_GB2312" w:hAnsi="仿宋_GB2312" w:eastAsia="仿宋_GB2312" w:cs="仿宋_GB2312"/>
          <w:i w:val="0"/>
          <w:iCs w:val="0"/>
          <w:caps w:val="0"/>
          <w:color w:val="000000"/>
          <w:spacing w:val="0"/>
          <w:sz w:val="32"/>
          <w:szCs w:val="32"/>
          <w:shd w:val="clear" w:fill="FFFFFF"/>
          <w:lang w:val="en-US" w:eastAsia="zh-CN"/>
        </w:rPr>
        <w:t>8个股、室、所。</w:t>
      </w:r>
    </w:p>
    <w:p w14:paraId="37F87D3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主要职能职责为：</w:t>
      </w:r>
    </w:p>
    <w:p w14:paraId="4DAA1D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1.负责分局辖区市场监督管理和行政执法的有关工作。</w:t>
      </w:r>
    </w:p>
    <w:p w14:paraId="6B81CD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2.负责分局辖区各类企业、农民专业合作社和从事经营活动的单位、个人等市场主体的登记注册并监督管理，承担依法查处取缔无照经营的责任。</w:t>
      </w:r>
    </w:p>
    <w:p w14:paraId="5AE3FD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3.承担依法规范和维护各类市场经营秩序的责任，负责监督管理市场交易行为和网络商品交易及有关服务的行为。</w:t>
      </w:r>
    </w:p>
    <w:p w14:paraId="10F82B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4.承担监督管理流通领域商品质量的责任，组织开展有关服务领域消费维权工作，按分工查处假冒伪劣等违法行为，指导消费者咨询、申诉、举报受理处理和网络体系建设等工作，保护经营者、消费者合法权益。</w:t>
      </w:r>
    </w:p>
    <w:p w14:paraId="098EAF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5.承担查处违法直销和传销案件的责任，依法监督管理直销企业和直销员及其直销活动。</w:t>
      </w:r>
    </w:p>
    <w:p w14:paraId="1F7EE0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6.依法查处不正当竞争、商业贿赂、走私贩私等经济违法行为。 </w:t>
      </w:r>
    </w:p>
    <w:p w14:paraId="646A42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7.负责依法监督管理经纪人、经纪机构及经纪活动。</w:t>
      </w:r>
    </w:p>
    <w:p w14:paraId="6D1FD6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8.依法实施合同行政监督管理，负责管理股权出质登记、动产抵押物登记，组织监督管理拍卖行为，负责依法查处合同欺诈等违法行为。     </w:t>
      </w:r>
    </w:p>
    <w:p w14:paraId="768AC5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9.指导分局辖区广告业发展，负责广告活动的监督管理工作。</w:t>
      </w:r>
    </w:p>
    <w:p w14:paraId="2BC89F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10.负责商标监督管理工作，依法保护商标专用权和查处商标侵权行为，协调处理商标争议事宜，加强中国驰名商标、省著名商标的保护工作。负责特殊标志、官方标志的保护。</w:t>
      </w:r>
    </w:p>
    <w:p w14:paraId="2494B8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11.组织指导企业、个体工商户、商品交易市场信用分类管理，研究分析并依法发布市场主体登记注册基础信息，为政府决策和社会公众提供相关信息服务。</w:t>
      </w:r>
    </w:p>
    <w:p w14:paraId="444906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12.负责个体工商户、私营企业经营行为的服务和监督管理。</w:t>
      </w:r>
    </w:p>
    <w:p w14:paraId="5A59E4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13.承办市局及经开区管委会交办的其他事项。</w:t>
      </w:r>
    </w:p>
    <w:p w14:paraId="42FF96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374034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2024年本部门整体支出563.39万元，基本支出555.11万元，项目支出8.28万元。其中工资福利支出483.69万元，商品和服务支出49.03万元，对个人和家庭的补助30.67万元。</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75D0D05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2024年本单位基本支出555.11万元。其中人员经费支出514.36万元，主要用于保障单位人员工资及社会保障交费</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离退休费及单位职工住房公积金等开支</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日常公用经费支出40.75万元，主要用于保障日常工作开展。2024年本单位无“三公”经费预算及支出。</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241369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本单位2024年项目支出共计8.28万元，主要为中央食品监管补助资金5万元和省级制服采购资金3.28万元，均及时安排落实。</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2、项目资金（主要指财政资金）实际使用情况分析。</w:t>
      </w:r>
    </w:p>
    <w:p w14:paraId="152946B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央食品监管补助资金依据《食品安全监管专项资金管理办法》，结合辖区食品安全风险等级、人口密度、监管任务量等因素，科学制定分配方案，资金主要用于日常监管。其中，用于办公费0.5万，用于印刷费4.5万元，制作食品安全“两个责任”公示牌，印刷食品企业产品入库、贮存、保管及领用记录表，产品留样记录表等。</w:t>
      </w:r>
    </w:p>
    <w:p w14:paraId="350E93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省级制服采购资金依据湘市监办发〔2024〕5号《关于 2024—2026 年度全省市场监管制式服装配置管理工作的通知》，根据省局与制式服装和标志供应单位签订的全省市场监管制式服装和标志采购框架协议，结合本单位着装人员的情况、服装标志交付进度做好资金安排计划，分别与本区域的供应商签订采购合同。共计配发常服37套、常服裤74条、常服配套衬衣74件。</w:t>
      </w:r>
    </w:p>
    <w:p w14:paraId="1D04E3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300AA5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在项目资金管理方面，</w:t>
      </w:r>
      <w:r>
        <w:rPr>
          <w:rFonts w:hint="default" w:ascii="Times New Roman Regular" w:hAnsi="Times New Roman Regular" w:eastAsia="仿宋_GB2312" w:cs="Times New Roman Regular"/>
          <w:color w:val="auto"/>
          <w:sz w:val="32"/>
          <w:szCs w:val="32"/>
          <w:highlight w:val="none"/>
          <w:lang w:val="en-US" w:eastAsia="zh-CN"/>
        </w:rPr>
        <w:t>根据国家财经法规和财务管理制度规定以及有关专项资金管理办法的规定，以部门绩效评价为资金分配的依据，建立了</w:t>
      </w:r>
      <w:r>
        <w:rPr>
          <w:rFonts w:hint="eastAsia" w:ascii="Times New Roman Regular" w:hAnsi="Times New Roman Regular" w:eastAsia="仿宋_GB2312" w:cs="Times New Roman Regular"/>
          <w:color w:val="auto"/>
          <w:sz w:val="32"/>
          <w:szCs w:val="32"/>
          <w:highlight w:val="none"/>
          <w:lang w:val="en-US" w:eastAsia="zh-CN"/>
        </w:rPr>
        <w:t>财</w:t>
      </w:r>
      <w:r>
        <w:rPr>
          <w:rFonts w:hint="default" w:ascii="Times New Roman Regular" w:hAnsi="Times New Roman Regular" w:eastAsia="仿宋_GB2312" w:cs="Times New Roman Regular"/>
          <w:color w:val="auto"/>
          <w:sz w:val="32"/>
          <w:szCs w:val="32"/>
          <w:highlight w:val="none"/>
          <w:lang w:val="en-US" w:eastAsia="zh-CN"/>
        </w:rPr>
        <w:t>务管理制度和经费开支审批管理办法，严格制度的执行，严格支出审批报销程序，做到了无虚列套取</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无截留、挤占、挪用，无开支超预算或超标准等情况。资金拨付严格遵循“专款专用、逐级审批”原则；资金使用前提交预算明细，经局务会讨论批准；支付环节执行“三重一大”决策制度，大额支出通过公开比价方式实施；资金流向清晰，未发现截留、挪用或超范围支出问题。</w:t>
      </w: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279E1E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中央食品监管补助资金的</w:t>
      </w:r>
      <w:r>
        <w:rPr>
          <w:rFonts w:hint="default" w:ascii="Times New Roman Regular" w:hAnsi="Times New Roman Regular" w:eastAsia="仿宋_GB2312" w:cs="Times New Roman Regular"/>
          <w:color w:val="auto"/>
          <w:sz w:val="32"/>
          <w:szCs w:val="32"/>
          <w:highlight w:val="none"/>
          <w:lang w:val="en-US" w:eastAsia="zh-CN"/>
        </w:rPr>
        <w:t>大额支出通过公开比价方式实施</w:t>
      </w:r>
      <w:r>
        <w:rPr>
          <w:rFonts w:hint="eastAsia" w:ascii="Times New Roman Regular" w:hAnsi="Times New Roman Regular" w:eastAsia="仿宋_GB2312" w:cs="Times New Roman Regular"/>
          <w:color w:val="auto"/>
          <w:sz w:val="32"/>
          <w:szCs w:val="32"/>
          <w:highlight w:val="none"/>
          <w:lang w:val="en-US" w:eastAsia="zh-CN"/>
        </w:rPr>
        <w:t>；省级制服采购资金根据省局与制式服装和标志供应单位签订的全省市场监管制式服装和标志采购框架协议，与供货商签订采购合同，验收成功后按时付款。</w:t>
      </w:r>
    </w:p>
    <w:p w14:paraId="62348C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28E02F3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制度建设：依据项目目标，搭建涵盖项目立项、执行、验收全周期的管理制度体系，确保制度具有可操作性与权威性，并定期评估修订，适应业务发展需求。</w:t>
      </w:r>
    </w:p>
    <w:p w14:paraId="5D7E23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检查监督：建立常态化检查机制，对照制度标准核查项目执行情况，重点监督关键环节与风险点；发现问题即时记录反馈，</w:t>
      </w:r>
      <w:r>
        <w:rPr>
          <w:rFonts w:hint="eastAsia" w:ascii="Times New Roman Regular" w:hAnsi="Times New Roman Regular" w:eastAsia="仿宋_GB2312" w:cs="Times New Roman Regular"/>
          <w:color w:val="auto"/>
          <w:sz w:val="32"/>
          <w:szCs w:val="32"/>
          <w:highlight w:val="none"/>
          <w:lang w:val="en-US" w:eastAsia="zh-CN"/>
        </w:rPr>
        <w:t>及时整改</w:t>
      </w:r>
      <w:r>
        <w:rPr>
          <w:rFonts w:hint="default" w:ascii="Times New Roman Regular" w:hAnsi="Times New Roman Regular" w:eastAsia="仿宋_GB2312" w:cs="Times New Roman Regular"/>
          <w:color w:val="auto"/>
          <w:sz w:val="32"/>
          <w:szCs w:val="32"/>
          <w:highlight w:val="none"/>
          <w:lang w:val="en-US" w:eastAsia="zh-CN"/>
        </w:rPr>
        <w:t>。</w:t>
      </w: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7B4E47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制度建设：依据相关法规及部门实际，制定覆盖资产配置、使用、清查、处置全周期的管理制度，明确各岗位职责、审批权限及操作规范。</w:t>
      </w:r>
    </w:p>
    <w:p w14:paraId="6538AE6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管理措施：实施资产台账动态管理，运用信息化系统实时记录资产增减变动；定期开展资产盘点清查，核对账实差异并及时处理；强化日常维护监管，明确资产使用责任人，保障资产安全完整。</w:t>
      </w:r>
    </w:p>
    <w:p w14:paraId="088B1E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配置处置程序：资产配置遵循</w:t>
      </w:r>
      <w:r>
        <w:rPr>
          <w:rFonts w:hint="eastAsia" w:ascii="Times New Roman Regular" w:hAnsi="Times New Roman Regular" w:eastAsia="仿宋_GB2312" w:cs="Times New Roman Regular"/>
          <w:color w:val="auto"/>
          <w:sz w:val="32"/>
          <w:szCs w:val="32"/>
          <w:highlight w:val="none"/>
          <w:lang w:val="en-US" w:eastAsia="zh-CN"/>
        </w:rPr>
        <w:t>财政要求</w:t>
      </w:r>
      <w:r>
        <w:rPr>
          <w:rFonts w:hint="default" w:ascii="Times New Roman Regular" w:hAnsi="Times New Roman Regular" w:eastAsia="仿宋_GB2312" w:cs="Times New Roman Regular"/>
          <w:color w:val="auto"/>
          <w:sz w:val="32"/>
          <w:szCs w:val="32"/>
          <w:highlight w:val="none"/>
          <w:lang w:val="en-US" w:eastAsia="zh-CN"/>
        </w:rPr>
        <w:t>，结合部门需求与预算统筹安排；资产处置</w:t>
      </w:r>
      <w:r>
        <w:rPr>
          <w:rFonts w:hint="eastAsia" w:ascii="Times New Roman Regular" w:hAnsi="Times New Roman Regular" w:eastAsia="仿宋_GB2312" w:cs="Times New Roman Regular"/>
          <w:color w:val="auto"/>
          <w:sz w:val="32"/>
          <w:szCs w:val="32"/>
          <w:highlight w:val="none"/>
          <w:lang w:val="en-US" w:eastAsia="zh-CN"/>
        </w:rPr>
        <w:t>严格</w:t>
      </w:r>
      <w:r>
        <w:rPr>
          <w:rFonts w:hint="default" w:ascii="Times New Roman Regular" w:hAnsi="Times New Roman Regular" w:eastAsia="仿宋_GB2312" w:cs="Times New Roman Regular"/>
          <w:color w:val="auto"/>
          <w:sz w:val="32"/>
          <w:szCs w:val="32"/>
          <w:highlight w:val="none"/>
          <w:lang w:val="en-US" w:eastAsia="zh-CN"/>
        </w:rPr>
        <w:t>履行</w:t>
      </w:r>
      <w:r>
        <w:rPr>
          <w:rFonts w:hint="eastAsia" w:ascii="Times New Roman Regular" w:hAnsi="Times New Roman Regular" w:eastAsia="仿宋_GB2312" w:cs="Times New Roman Regular"/>
          <w:color w:val="auto"/>
          <w:sz w:val="32"/>
          <w:szCs w:val="32"/>
          <w:highlight w:val="none"/>
          <w:lang w:val="en-US" w:eastAsia="zh-CN"/>
        </w:rPr>
        <w:t>处置</w:t>
      </w:r>
      <w:r>
        <w:rPr>
          <w:rFonts w:hint="default" w:ascii="Times New Roman Regular" w:hAnsi="Times New Roman Regular" w:eastAsia="仿宋_GB2312" w:cs="Times New Roman Regular"/>
          <w:color w:val="auto"/>
          <w:sz w:val="32"/>
          <w:szCs w:val="32"/>
          <w:highlight w:val="none"/>
          <w:lang w:val="en-US" w:eastAsia="zh-CN"/>
        </w:rPr>
        <w:t>程序，确保处置过程合规透明，处置收益及时上缴。</w:t>
      </w:r>
    </w:p>
    <w:p w14:paraId="7C2AACF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3DB497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3488626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124A15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3844A89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23FCA6C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D039E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2024年年度总体目标为：1.持续强化食品、药品、医疗器械、化妆品、特种设备和产品质量安全监管，加强市场监管安全风险防控和隐患排查整治，坚决把事故风险隐患消除在萌芽状态；2.进一步强化消费维权工作，坚决杜绝市场监管安全事故和重大舆情事件；3.持续深化商事制度改革，依法维护公平有序的市场环境，深化“互联网+监管”改革，认真落实“双随机、一公开”监管；4.进一步加强知识产权、商标广告、反不正当竞争、价格计量等监管力度，健全公平竞争审查制度，加大反垄断和反不正当竞争执法力度，维护市场公平正义。</w:t>
      </w:r>
    </w:p>
    <w:p w14:paraId="27F82F4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围绕整体绩效目标及预算配置，本单位以部门绩效评价为资金分配的依据，建立了财务管理制度和经费开支审批管理办法</w:t>
      </w:r>
      <w:bookmarkStart w:id="0" w:name="_GoBack"/>
      <w:bookmarkEnd w:id="0"/>
      <w:r>
        <w:rPr>
          <w:rFonts w:hint="default" w:ascii="Times New Roman Regular" w:hAnsi="Times New Roman Regular" w:eastAsia="仿宋_GB2312" w:cs="Times New Roman Regular"/>
          <w:color w:val="auto"/>
          <w:sz w:val="32"/>
          <w:szCs w:val="32"/>
          <w:highlight w:val="none"/>
          <w:lang w:val="en-US" w:eastAsia="zh-CN"/>
        </w:rPr>
        <w:t>。</w:t>
      </w:r>
    </w:p>
    <w:p w14:paraId="4F6870D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在运行成本方面，本单位年初预算数为570.80万元，全年预算数为578.17万元，决算数为563.39万元，运行成本控制在合理范围内。</w:t>
      </w:r>
    </w:p>
    <w:p w14:paraId="19E851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在管理效率、履职效能、社会效应、可持续发展能力和服务对象满意度等方面：</w:t>
      </w:r>
    </w:p>
    <w:p w14:paraId="44E804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（一)发挥职能作用，开展“服务月”活动</w:t>
      </w:r>
    </w:p>
    <w:p w14:paraId="0D63CD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年来，始终把服务高质量发展作为工作重心，特别是5—6月，完善方案措施、全局尽锐出战，扎实开展“国际陆港高质量发展服务月”活动，受到经开区好评，媒体纷纷报道。主要做法是：聚焦省委书记在怀调研交办两个责任清单和“5+10”现代化产业新体系建设、国际陆港重点产业、重点项目和重点企业以及国家级广告产业园，积极发挥市监职能作用优化服务，开展九项服务，守牢一个底线，落实一项要求，助力国际陆港高质量发展。“服务月”期间，班子成员、协管领导带队深入一线，问需于企，解忧于企，全局扎实开展九项服务，切实将省委书记交办两个责任清单见效落地，共走访辖区重点企业50余家，为重点企业解决问题20余个，立足市场监管职能，对接市局科室，一批服务国际陆港企业高质量发展项目落地见效。</w:t>
      </w:r>
    </w:p>
    <w:p w14:paraId="7A3115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（二）确保辖区安全，开展“安全月”活动</w:t>
      </w:r>
    </w:p>
    <w:p w14:paraId="4193E6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全年坚决守牢市场监管安全底线，没有发生重大或较大市场监管领域安全事故或舆情事件。8月下旬精心部署、集中一个月时间开展国际陆港市场监管领域高水平安全“攻坚月”行动：一是用心用情抓实第十一届全球湘商大会期间市场监管领域安全工作，全方位护航全球湘商大会；二是全程全方位强化市场监管领域四大安全监管（食品、药械化、特种设备、产品质量安全），集中力量排查整治；三是严格守牢市场监管安全底线，严厉打击市场监管领域违法行为。“攻坚月”期间，对湘商大会考察路线和园区内的食品药品、特种设备经营使用单位开展全面监督检查指导，出动200余人次，检查学校（幼儿园）食堂、商场超市和食品经营主体48家；检查医疗机构、药品零售企业和医疗美容机构共16家，发放宣传资料300余份；对怀化国际陆港规划厅、享怀箱包产业园、智慧冷链数字化物流园中心项目、海关监管仓、箱包创业园等重点场所170台特种设备重点检查，规范电梯轿厢内电梯使用、安全、警示等标志标准，进一步筑牢了怀化国际陆港市场监管领域安全防线，多次获经开区表扬。</w:t>
      </w:r>
    </w:p>
    <w:p w14:paraId="7CD802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（三）推动法治市监“小切口”改革取得成效</w:t>
      </w:r>
    </w:p>
    <w:p w14:paraId="4F61B0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月以来，由直属二局、国际陆港法庭联动协作的怀化国际陆港消费者权益保护纠纷诉源治理工作站挂牌成立，以推动消费矛盾纠纷行政调解、专业性调解和司法调解优势互补、衔接联动诉源治理“小切口”改革提升维权效能，切实增强人民群众的获得感和满意度。成立了工作专班，联合开展消费维权普法宣传培训、案例会诊、对侵权主体采取行政指导与司法指导相结合的方式开展法治教育等多元渠道加强协作。目前试点工作已经逐步完善了对接机制和处置流程，初步发挥了消费维权行政调解、专业性调解和司法调解的互补优势，提升了消费维权效能，已联手成功调处消费投诉近 100 起，其中较大金额复杂投诉案 2 起，为消费者挽回经济损失 20 余万元，消费维权行政复议诉讼率明显减少，人民群众获得感和满意度提升，主流媒体纷纷报道。目前，试点工作还在进一步完善，省局法规处、消保处两次到直属二局指导并予以肯定。</w:t>
      </w: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124E24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从总体目标设置和总体目标完成情况来看，基本上完成了设定的总体目标，不存在超量完成或未完成现象。</w:t>
      </w:r>
    </w:p>
    <w:p w14:paraId="1C97D6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从三级绩效指标偏离情况来看：</w:t>
      </w:r>
    </w:p>
    <w:p w14:paraId="70B6D3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（1）部门整体支出成本目标值≤570.80，实际完成值563.39；</w:t>
      </w:r>
    </w:p>
    <w:p w14:paraId="1E4BB47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（2）社会成本节约率目标值≥0%，实际完成值1.30%；</w:t>
      </w:r>
    </w:p>
    <w:p w14:paraId="717D2F5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（3）生态环境成本节约率目标值≥0%，实际完成值0%；</w:t>
      </w:r>
    </w:p>
    <w:p w14:paraId="74C6C49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（4）部门职责内工作完成率=100%，实际完成值100%；</w:t>
      </w:r>
    </w:p>
    <w:p w14:paraId="3FEB04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经费使用合规率</w:t>
      </w:r>
      <w:r>
        <w:rPr>
          <w:rFonts w:hint="eastAsia" w:ascii="Times New Roman Regular" w:hAnsi="Times New Roman Regular" w:eastAsia="仿宋_GB2312" w:cs="Times New Roman Regular"/>
          <w:color w:val="auto"/>
          <w:sz w:val="32"/>
          <w:szCs w:val="32"/>
          <w:highlight w:val="none"/>
          <w:lang w:val="en-US" w:eastAsia="zh-CN"/>
        </w:rPr>
        <w:t>目标值</w:t>
      </w:r>
      <w:r>
        <w:rPr>
          <w:rFonts w:hint="default" w:ascii="Times New Roman Regular" w:hAnsi="Times New Roman Regular" w:eastAsia="仿宋_GB2312" w:cs="Times New Roman Regular"/>
          <w:color w:val="auto"/>
          <w:sz w:val="32"/>
          <w:szCs w:val="32"/>
          <w:highlight w:val="none"/>
          <w:lang w:val="en-US" w:eastAsia="zh-CN"/>
        </w:rPr>
        <w:t>=100%</w:t>
      </w:r>
      <w:r>
        <w:rPr>
          <w:rFonts w:hint="eastAsia" w:ascii="Times New Roman Regular" w:hAnsi="Times New Roman Regular" w:eastAsia="仿宋_GB2312" w:cs="Times New Roman Regular"/>
          <w:color w:val="auto"/>
          <w:sz w:val="32"/>
          <w:szCs w:val="32"/>
          <w:highlight w:val="none"/>
          <w:lang w:val="en-US" w:eastAsia="zh-CN"/>
        </w:rPr>
        <w:t>，实际完成值</w:t>
      </w:r>
      <w:r>
        <w:rPr>
          <w:rFonts w:hint="default" w:ascii="Times New Roman Regular" w:hAnsi="Times New Roman Regular" w:eastAsia="仿宋_GB2312" w:cs="Times New Roman Regular"/>
          <w:color w:val="auto"/>
          <w:sz w:val="32"/>
          <w:szCs w:val="32"/>
          <w:highlight w:val="none"/>
          <w:lang w:val="en-US" w:eastAsia="zh-CN"/>
        </w:rPr>
        <w:t>100%</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　</w:t>
      </w:r>
    </w:p>
    <w:p w14:paraId="3BE3D75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监督检查程序合规率</w:t>
      </w:r>
      <w:r>
        <w:rPr>
          <w:rFonts w:hint="eastAsia" w:ascii="Times New Roman Regular" w:hAnsi="Times New Roman Regular" w:eastAsia="仿宋_GB2312" w:cs="Times New Roman Regular"/>
          <w:color w:val="auto"/>
          <w:sz w:val="32"/>
          <w:szCs w:val="32"/>
          <w:highlight w:val="none"/>
          <w:lang w:val="en-US" w:eastAsia="zh-CN"/>
        </w:rPr>
        <w:t>目标值</w:t>
      </w:r>
      <w:r>
        <w:rPr>
          <w:rFonts w:hint="default" w:ascii="Times New Roman Regular" w:hAnsi="Times New Roman Regular" w:eastAsia="仿宋_GB2312" w:cs="Times New Roman Regular"/>
          <w:color w:val="auto"/>
          <w:sz w:val="32"/>
          <w:szCs w:val="32"/>
          <w:highlight w:val="none"/>
          <w:lang w:val="en-US" w:eastAsia="zh-CN"/>
        </w:rPr>
        <w:t>=100%</w:t>
      </w:r>
      <w:r>
        <w:rPr>
          <w:rFonts w:hint="eastAsia" w:ascii="Times New Roman Regular" w:hAnsi="Times New Roman Regular" w:eastAsia="仿宋_GB2312" w:cs="Times New Roman Regular"/>
          <w:color w:val="auto"/>
          <w:sz w:val="32"/>
          <w:szCs w:val="32"/>
          <w:highlight w:val="none"/>
          <w:lang w:val="en-US" w:eastAsia="zh-CN"/>
        </w:rPr>
        <w:t>，实际完成值</w:t>
      </w:r>
      <w:r>
        <w:rPr>
          <w:rFonts w:hint="default" w:ascii="Times New Roman Regular" w:hAnsi="Times New Roman Regular" w:eastAsia="仿宋_GB2312" w:cs="Times New Roman Regular"/>
          <w:color w:val="auto"/>
          <w:sz w:val="32"/>
          <w:szCs w:val="32"/>
          <w:highlight w:val="none"/>
          <w:lang w:val="en-US" w:eastAsia="zh-CN"/>
        </w:rPr>
        <w:t>100%</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　</w:t>
      </w:r>
    </w:p>
    <w:p w14:paraId="3F543B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w:t>
      </w:r>
      <w:r>
        <w:rPr>
          <w:rFonts w:hint="default" w:ascii="Times New Roman Regular" w:hAnsi="Times New Roman Regular" w:eastAsia="仿宋_GB2312" w:cs="Times New Roman Regular"/>
          <w:color w:val="auto"/>
          <w:sz w:val="32"/>
          <w:szCs w:val="32"/>
          <w:highlight w:val="none"/>
          <w:lang w:val="en-US" w:eastAsia="zh-CN"/>
        </w:rPr>
        <w:t>工作完成时间</w:t>
      </w:r>
      <w:r>
        <w:rPr>
          <w:rFonts w:hint="eastAsia" w:ascii="Times New Roman Regular" w:hAnsi="Times New Roman Regular" w:eastAsia="仿宋_GB2312" w:cs="Times New Roman Regular"/>
          <w:color w:val="auto"/>
          <w:sz w:val="32"/>
          <w:szCs w:val="32"/>
          <w:highlight w:val="none"/>
          <w:lang w:val="en-US" w:eastAsia="zh-CN"/>
        </w:rPr>
        <w:t>目标值</w:t>
      </w:r>
      <w:r>
        <w:rPr>
          <w:rFonts w:hint="default" w:ascii="Times New Roman Regular" w:hAnsi="Times New Roman Regular" w:eastAsia="仿宋_GB2312" w:cs="Times New Roman Regular"/>
          <w:color w:val="auto"/>
          <w:sz w:val="32"/>
          <w:szCs w:val="32"/>
          <w:highlight w:val="none"/>
          <w:lang w:val="en-US" w:eastAsia="zh-CN"/>
        </w:rPr>
        <w:t>2024年12月31日前</w:t>
      </w:r>
      <w:r>
        <w:rPr>
          <w:rFonts w:hint="eastAsia" w:ascii="Times New Roman Regular" w:hAnsi="Times New Roman Regular" w:eastAsia="仿宋_GB2312" w:cs="Times New Roman Regular"/>
          <w:color w:val="auto"/>
          <w:sz w:val="32"/>
          <w:szCs w:val="32"/>
          <w:highlight w:val="none"/>
          <w:lang w:val="en-US" w:eastAsia="zh-CN"/>
        </w:rPr>
        <w:t>，实际完成值</w:t>
      </w:r>
      <w:r>
        <w:rPr>
          <w:rFonts w:hint="default" w:ascii="Times New Roman Regular" w:hAnsi="Times New Roman Regular" w:eastAsia="仿宋_GB2312" w:cs="Times New Roman Regular"/>
          <w:color w:val="auto"/>
          <w:sz w:val="32"/>
          <w:szCs w:val="32"/>
          <w:highlight w:val="none"/>
          <w:lang w:val="en-US" w:eastAsia="zh-CN"/>
        </w:rPr>
        <w:t>2024年12月31日前</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　</w:t>
      </w:r>
    </w:p>
    <w:p w14:paraId="431308D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（8）</w:t>
      </w:r>
      <w:r>
        <w:rPr>
          <w:rFonts w:hint="default" w:ascii="Times New Roman Regular" w:hAnsi="Times New Roman Regular" w:eastAsia="仿宋_GB2312" w:cs="Times New Roman Regular"/>
          <w:color w:val="auto"/>
          <w:sz w:val="32"/>
          <w:szCs w:val="32"/>
          <w:highlight w:val="none"/>
          <w:lang w:val="en-US" w:eastAsia="zh-CN"/>
        </w:rPr>
        <w:t>优化监管流程，提高监管效率，减少企业因应对监管而产生的额外成本</w:t>
      </w:r>
      <w:r>
        <w:rPr>
          <w:rFonts w:hint="eastAsia" w:ascii="Times New Roman Regular" w:hAnsi="Times New Roman Regular" w:eastAsia="仿宋_GB2312" w:cs="Times New Roman Regular"/>
          <w:color w:val="auto"/>
          <w:sz w:val="32"/>
          <w:szCs w:val="32"/>
          <w:highlight w:val="none"/>
          <w:lang w:val="en-US" w:eastAsia="zh-CN"/>
        </w:rPr>
        <w:t>，目标：</w:t>
      </w:r>
      <w:r>
        <w:rPr>
          <w:rFonts w:hint="default" w:ascii="Times New Roman Regular" w:hAnsi="Times New Roman Regular" w:eastAsia="仿宋_GB2312" w:cs="Times New Roman Regular"/>
          <w:color w:val="auto"/>
          <w:sz w:val="32"/>
          <w:szCs w:val="32"/>
          <w:highlight w:val="none"/>
          <w:lang w:val="en-US" w:eastAsia="zh-CN"/>
        </w:rPr>
        <w:t>效果明显</w:t>
      </w:r>
      <w:r>
        <w:rPr>
          <w:rFonts w:hint="eastAsia" w:ascii="Times New Roman Regular" w:hAnsi="Times New Roman Regular" w:eastAsia="仿宋_GB2312" w:cs="Times New Roman Regular"/>
          <w:color w:val="auto"/>
          <w:sz w:val="32"/>
          <w:szCs w:val="32"/>
          <w:highlight w:val="none"/>
          <w:lang w:val="en-US" w:eastAsia="zh-CN"/>
        </w:rPr>
        <w:t>，实际完成：</w:t>
      </w:r>
      <w:r>
        <w:rPr>
          <w:rFonts w:hint="default" w:ascii="Times New Roman Regular" w:hAnsi="Times New Roman Regular" w:eastAsia="仿宋_GB2312" w:cs="Times New Roman Regular"/>
          <w:color w:val="auto"/>
          <w:sz w:val="32"/>
          <w:szCs w:val="32"/>
          <w:highlight w:val="none"/>
          <w:lang w:val="en-US" w:eastAsia="zh-CN"/>
        </w:rPr>
        <w:t>效果明显</w:t>
      </w:r>
      <w:r>
        <w:rPr>
          <w:rFonts w:hint="eastAsia" w:ascii="Times New Roman Regular" w:hAnsi="Times New Roman Regular" w:eastAsia="仿宋_GB2312" w:cs="Times New Roman Regular"/>
          <w:color w:val="auto"/>
          <w:sz w:val="32"/>
          <w:szCs w:val="32"/>
          <w:highlight w:val="none"/>
          <w:lang w:val="en-US" w:eastAsia="zh-CN"/>
        </w:rPr>
        <w:t>；</w:t>
      </w:r>
    </w:p>
    <w:p w14:paraId="6E30FB5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（9）加</w:t>
      </w:r>
      <w:r>
        <w:rPr>
          <w:rFonts w:hint="default" w:ascii="Times New Roman Regular" w:hAnsi="Times New Roman Regular" w:eastAsia="仿宋_GB2312" w:cs="Times New Roman Regular"/>
          <w:color w:val="auto"/>
          <w:sz w:val="32"/>
          <w:szCs w:val="32"/>
          <w:highlight w:val="none"/>
          <w:lang w:val="en-US" w:eastAsia="zh-CN"/>
        </w:rPr>
        <w:t>强消费者权益保护工作，及时处理消费者投诉举报，严厉打击侵害消费者权益的行为</w:t>
      </w:r>
      <w:r>
        <w:rPr>
          <w:rFonts w:hint="eastAsia" w:ascii="Times New Roman Regular" w:hAnsi="Times New Roman Regular" w:eastAsia="仿宋_GB2312" w:cs="Times New Roman Regular"/>
          <w:color w:val="auto"/>
          <w:sz w:val="32"/>
          <w:szCs w:val="32"/>
          <w:highlight w:val="none"/>
          <w:lang w:val="en-US" w:eastAsia="zh-CN"/>
        </w:rPr>
        <w:t>，目标：</w:t>
      </w:r>
      <w:r>
        <w:rPr>
          <w:rFonts w:hint="default" w:ascii="Times New Roman Regular" w:hAnsi="Times New Roman Regular" w:eastAsia="仿宋_GB2312" w:cs="Times New Roman Regular"/>
          <w:color w:val="auto"/>
          <w:sz w:val="32"/>
          <w:szCs w:val="32"/>
          <w:highlight w:val="none"/>
          <w:lang w:val="en-US" w:eastAsia="zh-CN"/>
        </w:rPr>
        <w:t>效果明显</w:t>
      </w:r>
      <w:r>
        <w:rPr>
          <w:rFonts w:hint="eastAsia" w:ascii="Times New Roman Regular" w:hAnsi="Times New Roman Regular" w:eastAsia="仿宋_GB2312" w:cs="Times New Roman Regular"/>
          <w:color w:val="auto"/>
          <w:sz w:val="32"/>
          <w:szCs w:val="32"/>
          <w:highlight w:val="none"/>
          <w:lang w:val="en-US" w:eastAsia="zh-CN"/>
        </w:rPr>
        <w:t>，实际完成：</w:t>
      </w:r>
      <w:r>
        <w:rPr>
          <w:rFonts w:hint="default" w:ascii="Times New Roman Regular" w:hAnsi="Times New Roman Regular" w:eastAsia="仿宋_GB2312" w:cs="Times New Roman Regular"/>
          <w:color w:val="auto"/>
          <w:sz w:val="32"/>
          <w:szCs w:val="32"/>
          <w:highlight w:val="none"/>
          <w:lang w:val="en-US" w:eastAsia="zh-CN"/>
        </w:rPr>
        <w:t>效果明显</w:t>
      </w:r>
      <w:r>
        <w:rPr>
          <w:rFonts w:hint="eastAsia" w:ascii="Times New Roman Regular" w:hAnsi="Times New Roman Regular" w:eastAsia="仿宋_GB2312" w:cs="Times New Roman Regular"/>
          <w:color w:val="auto"/>
          <w:sz w:val="32"/>
          <w:szCs w:val="32"/>
          <w:highlight w:val="none"/>
          <w:lang w:val="en-US" w:eastAsia="zh-CN"/>
        </w:rPr>
        <w:t>；</w:t>
      </w:r>
    </w:p>
    <w:p w14:paraId="520A19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（10）</w:t>
      </w:r>
      <w:r>
        <w:rPr>
          <w:rFonts w:hint="default" w:ascii="Times New Roman Regular" w:hAnsi="Times New Roman Regular" w:eastAsia="仿宋_GB2312" w:cs="Times New Roman Regular"/>
          <w:color w:val="auto"/>
          <w:sz w:val="32"/>
          <w:szCs w:val="32"/>
          <w:highlight w:val="none"/>
          <w:lang w:val="en-US" w:eastAsia="zh-CN"/>
        </w:rPr>
        <w:t>鼓励企业采用环保技术和生产方式，推动绿色产业发展，助力实现碳达峰、碳中和目标</w:t>
      </w:r>
      <w:r>
        <w:rPr>
          <w:rFonts w:hint="eastAsia" w:ascii="Times New Roman Regular" w:hAnsi="Times New Roman Regular" w:eastAsia="仿宋_GB2312" w:cs="Times New Roman Regular"/>
          <w:color w:val="auto"/>
          <w:sz w:val="32"/>
          <w:szCs w:val="32"/>
          <w:highlight w:val="none"/>
          <w:lang w:val="en-US" w:eastAsia="zh-CN"/>
        </w:rPr>
        <w:t>，目标：</w:t>
      </w:r>
      <w:r>
        <w:rPr>
          <w:rFonts w:hint="default" w:ascii="Times New Roman Regular" w:hAnsi="Times New Roman Regular" w:eastAsia="仿宋_GB2312" w:cs="Times New Roman Regular"/>
          <w:color w:val="auto"/>
          <w:sz w:val="32"/>
          <w:szCs w:val="32"/>
          <w:highlight w:val="none"/>
          <w:lang w:val="en-US" w:eastAsia="zh-CN"/>
        </w:rPr>
        <w:t>效果明显</w:t>
      </w:r>
      <w:r>
        <w:rPr>
          <w:rFonts w:hint="eastAsia" w:ascii="Times New Roman Regular" w:hAnsi="Times New Roman Regular" w:eastAsia="仿宋_GB2312" w:cs="Times New Roman Regular"/>
          <w:color w:val="auto"/>
          <w:sz w:val="32"/>
          <w:szCs w:val="32"/>
          <w:highlight w:val="none"/>
          <w:lang w:val="en-US" w:eastAsia="zh-CN"/>
        </w:rPr>
        <w:t>；实际完成：</w:t>
      </w:r>
      <w:r>
        <w:rPr>
          <w:rFonts w:hint="default" w:ascii="Times New Roman Regular" w:hAnsi="Times New Roman Regular" w:eastAsia="仿宋_GB2312" w:cs="Times New Roman Regular"/>
          <w:color w:val="auto"/>
          <w:sz w:val="32"/>
          <w:szCs w:val="32"/>
          <w:highlight w:val="none"/>
          <w:lang w:val="en-US" w:eastAsia="zh-CN"/>
        </w:rPr>
        <w:t>效果一般</w:t>
      </w:r>
      <w:r>
        <w:rPr>
          <w:rFonts w:hint="eastAsia" w:ascii="Times New Roman Regular" w:hAnsi="Times New Roman Regular" w:eastAsia="仿宋_GB2312" w:cs="Times New Roman Regular"/>
          <w:color w:val="auto"/>
          <w:sz w:val="32"/>
          <w:szCs w:val="32"/>
          <w:highlight w:val="none"/>
          <w:lang w:val="en-US" w:eastAsia="zh-CN"/>
        </w:rPr>
        <w:t>；</w:t>
      </w:r>
    </w:p>
    <w:p w14:paraId="4C8FF4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（10）</w:t>
      </w:r>
      <w:r>
        <w:rPr>
          <w:rFonts w:hint="default" w:ascii="Times New Roman Regular" w:hAnsi="Times New Roman Regular" w:eastAsia="仿宋_GB2312" w:cs="Times New Roman Regular"/>
          <w:color w:val="auto"/>
          <w:sz w:val="32"/>
          <w:szCs w:val="32"/>
          <w:highlight w:val="none"/>
          <w:lang w:val="en-US" w:eastAsia="zh-CN"/>
        </w:rPr>
        <w:t>建立长效监管机制，确保市场监管工作的持续性和稳定性</w:t>
      </w:r>
      <w:r>
        <w:rPr>
          <w:rFonts w:hint="eastAsia" w:ascii="Times New Roman Regular" w:hAnsi="Times New Roman Regular" w:eastAsia="仿宋_GB2312" w:cs="Times New Roman Regular"/>
          <w:color w:val="auto"/>
          <w:sz w:val="32"/>
          <w:szCs w:val="32"/>
          <w:highlight w:val="none"/>
          <w:lang w:val="en-US" w:eastAsia="zh-CN"/>
        </w:rPr>
        <w:t>，目标：</w:t>
      </w:r>
      <w:r>
        <w:rPr>
          <w:rFonts w:hint="default" w:ascii="Times New Roman Regular" w:hAnsi="Times New Roman Regular" w:eastAsia="仿宋_GB2312" w:cs="Times New Roman Regular"/>
          <w:color w:val="auto"/>
          <w:sz w:val="32"/>
          <w:szCs w:val="32"/>
          <w:highlight w:val="none"/>
          <w:lang w:val="en-US" w:eastAsia="zh-CN"/>
        </w:rPr>
        <w:t>效果明显</w:t>
      </w:r>
      <w:r>
        <w:rPr>
          <w:rFonts w:hint="eastAsia" w:ascii="Times New Roman Regular" w:hAnsi="Times New Roman Regular" w:eastAsia="仿宋_GB2312" w:cs="Times New Roman Regular"/>
          <w:color w:val="auto"/>
          <w:sz w:val="32"/>
          <w:szCs w:val="32"/>
          <w:highlight w:val="none"/>
          <w:lang w:val="en-US" w:eastAsia="zh-CN"/>
        </w:rPr>
        <w:t>，实际完成：</w:t>
      </w:r>
      <w:r>
        <w:rPr>
          <w:rFonts w:hint="default" w:ascii="Times New Roman Regular" w:hAnsi="Times New Roman Regular" w:eastAsia="仿宋_GB2312" w:cs="Times New Roman Regular"/>
          <w:color w:val="auto"/>
          <w:sz w:val="32"/>
          <w:szCs w:val="32"/>
          <w:highlight w:val="none"/>
          <w:lang w:val="en-US" w:eastAsia="zh-CN"/>
        </w:rPr>
        <w:t>效果明显</w:t>
      </w:r>
    </w:p>
    <w:p w14:paraId="4F58BA0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（12）</w:t>
      </w:r>
      <w:r>
        <w:rPr>
          <w:rFonts w:hint="default" w:ascii="Times New Roman Regular" w:hAnsi="Times New Roman Regular" w:eastAsia="仿宋_GB2312" w:cs="Times New Roman Regular"/>
          <w:color w:val="auto"/>
          <w:sz w:val="32"/>
          <w:szCs w:val="32"/>
          <w:highlight w:val="none"/>
          <w:lang w:val="en-US" w:eastAsia="zh-CN"/>
        </w:rPr>
        <w:t>消费者满意度</w:t>
      </w:r>
      <w:r>
        <w:rPr>
          <w:rFonts w:hint="eastAsia" w:ascii="Times New Roman Regular" w:hAnsi="Times New Roman Regular" w:eastAsia="仿宋_GB2312" w:cs="Times New Roman Regular"/>
          <w:color w:val="auto"/>
          <w:sz w:val="32"/>
          <w:szCs w:val="32"/>
          <w:highlight w:val="none"/>
          <w:lang w:val="en-US" w:eastAsia="zh-CN"/>
        </w:rPr>
        <w:t>目标值</w:t>
      </w:r>
      <w:r>
        <w:rPr>
          <w:rFonts w:hint="default" w:ascii="Times New Roman Regular" w:hAnsi="Times New Roman Regular" w:eastAsia="仿宋_GB2312" w:cs="Times New Roman Regular"/>
          <w:color w:val="auto"/>
          <w:sz w:val="32"/>
          <w:szCs w:val="32"/>
          <w:highlight w:val="none"/>
          <w:lang w:val="en-US" w:eastAsia="zh-CN"/>
        </w:rPr>
        <w:t>≥95%</w:t>
      </w:r>
      <w:r>
        <w:rPr>
          <w:rFonts w:hint="eastAsia" w:ascii="Times New Roman Regular" w:hAnsi="Times New Roman Regular" w:eastAsia="仿宋_GB2312" w:cs="Times New Roman Regular"/>
          <w:color w:val="auto"/>
          <w:sz w:val="32"/>
          <w:szCs w:val="32"/>
          <w:highlight w:val="none"/>
          <w:lang w:val="en-US" w:eastAsia="zh-CN"/>
        </w:rPr>
        <w:t>，实际完成值</w:t>
      </w:r>
      <w:r>
        <w:rPr>
          <w:rFonts w:hint="default" w:ascii="Times New Roman Regular" w:hAnsi="Times New Roman Regular" w:eastAsia="仿宋_GB2312" w:cs="Times New Roman Regular"/>
          <w:color w:val="auto"/>
          <w:sz w:val="32"/>
          <w:szCs w:val="32"/>
          <w:highlight w:val="none"/>
          <w:lang w:val="en-US" w:eastAsia="zh-CN"/>
        </w:rPr>
        <w:t>95%</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　</w:t>
      </w:r>
    </w:p>
    <w:p w14:paraId="2ACF1A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从三级绩效指标设置和完成情况来看，基本上完成了设定的总体目标，不存在未完成现象</w:t>
      </w:r>
      <w:r>
        <w:rPr>
          <w:rFonts w:hint="eastAsia" w:ascii="Times New Roman Regular" w:hAnsi="Times New Roman Regular" w:eastAsia="仿宋_GB2312" w:cs="Times New Roman Regular"/>
          <w:color w:val="auto"/>
          <w:sz w:val="32"/>
          <w:szCs w:val="32"/>
          <w:highlight w:val="none"/>
          <w:lang w:val="en-US" w:eastAsia="zh-CN"/>
        </w:rPr>
        <w:t>。生态效益指标有所偏离，主要是因为于业务本身对生态系统无实质性干预或改善作用，导致所设生态效益指标在实际业务执行中难以体现，出现偏离现象。后续将结合业务特性，优化绩效指标设定，确保目标与实际业务紧密贴合。</w:t>
      </w:r>
    </w:p>
    <w:p w14:paraId="4F0F780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487055B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为防止后续出现绩效指标偏离，将进一步优化目标设定流程、建立弹性调整机制、强化实施过程监控、完善绩效评级体系。</w:t>
      </w:r>
    </w:p>
    <w:p w14:paraId="6A2EBD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3C75018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按规定上报和公开绩效自评结果，</w:t>
      </w:r>
      <w:r>
        <w:rPr>
          <w:rFonts w:hint="default" w:ascii="Times New Roman Regular" w:hAnsi="Times New Roman Regular" w:eastAsia="仿宋_GB2312" w:cs="Times New Roman Regular"/>
          <w:color w:val="auto"/>
          <w:sz w:val="32"/>
          <w:szCs w:val="32"/>
          <w:highlight w:val="none"/>
          <w:lang w:val="en-US" w:eastAsia="zh-CN"/>
        </w:rPr>
        <w:t>根据结果，进一步完善</w:t>
      </w:r>
      <w:r>
        <w:rPr>
          <w:rFonts w:hint="eastAsia" w:ascii="Times New Roman Regular" w:hAnsi="Times New Roman Regular" w:eastAsia="仿宋_GB2312" w:cs="Times New Roman Regular"/>
          <w:color w:val="auto"/>
          <w:sz w:val="32"/>
          <w:szCs w:val="32"/>
          <w:highlight w:val="none"/>
          <w:lang w:val="en-US" w:eastAsia="zh-CN"/>
        </w:rPr>
        <w:t>财政</w:t>
      </w:r>
      <w:r>
        <w:rPr>
          <w:rFonts w:hint="default" w:ascii="Times New Roman Regular" w:hAnsi="Times New Roman Regular" w:eastAsia="仿宋_GB2312" w:cs="Times New Roman Regular"/>
          <w:color w:val="auto"/>
          <w:sz w:val="32"/>
          <w:szCs w:val="32"/>
          <w:highlight w:val="none"/>
          <w:lang w:val="en-US" w:eastAsia="zh-CN"/>
        </w:rPr>
        <w:t>资金使用，加强</w:t>
      </w:r>
      <w:r>
        <w:rPr>
          <w:rFonts w:hint="eastAsia" w:ascii="Times New Roman Regular" w:hAnsi="Times New Roman Regular" w:eastAsia="仿宋_GB2312" w:cs="Times New Roman Regular"/>
          <w:color w:val="auto"/>
          <w:sz w:val="32"/>
          <w:szCs w:val="32"/>
          <w:highlight w:val="none"/>
          <w:lang w:val="en-US" w:eastAsia="zh-CN"/>
        </w:rPr>
        <w:t>市场</w:t>
      </w:r>
      <w:r>
        <w:rPr>
          <w:rFonts w:hint="default" w:ascii="Times New Roman Regular" w:hAnsi="Times New Roman Regular" w:eastAsia="仿宋_GB2312" w:cs="Times New Roman Regular"/>
          <w:color w:val="auto"/>
          <w:sz w:val="32"/>
          <w:szCs w:val="32"/>
          <w:highlight w:val="none"/>
          <w:lang w:val="en-US" w:eastAsia="zh-CN"/>
        </w:rPr>
        <w:t>监</w:t>
      </w:r>
      <w:r>
        <w:rPr>
          <w:rFonts w:hint="eastAsia" w:ascii="Times New Roman Regular" w:hAnsi="Times New Roman Regular" w:eastAsia="仿宋_GB2312" w:cs="Times New Roman Regular"/>
          <w:color w:val="auto"/>
          <w:sz w:val="32"/>
          <w:szCs w:val="32"/>
          <w:highlight w:val="none"/>
          <w:lang w:val="en-US" w:eastAsia="zh-CN"/>
        </w:rPr>
        <w:t>督</w:t>
      </w:r>
      <w:r>
        <w:rPr>
          <w:rFonts w:hint="default" w:ascii="Times New Roman Regular" w:hAnsi="Times New Roman Regular" w:eastAsia="仿宋_GB2312" w:cs="Times New Roman Regular"/>
          <w:color w:val="auto"/>
          <w:sz w:val="32"/>
          <w:szCs w:val="32"/>
          <w:highlight w:val="none"/>
          <w:lang w:val="en-US" w:eastAsia="zh-CN"/>
        </w:rPr>
        <w:t>管</w:t>
      </w:r>
      <w:r>
        <w:rPr>
          <w:rFonts w:hint="eastAsia" w:ascii="Times New Roman Regular" w:hAnsi="Times New Roman Regular" w:eastAsia="仿宋_GB2312" w:cs="Times New Roman Regular"/>
          <w:color w:val="auto"/>
          <w:sz w:val="32"/>
          <w:szCs w:val="32"/>
          <w:highlight w:val="none"/>
          <w:lang w:val="en-US" w:eastAsia="zh-CN"/>
        </w:rPr>
        <w:t>理</w:t>
      </w:r>
      <w:r>
        <w:rPr>
          <w:rFonts w:hint="default" w:ascii="Times New Roman Regular" w:hAnsi="Times New Roman Regular" w:eastAsia="仿宋_GB2312" w:cs="Times New Roman Regular"/>
          <w:color w:val="auto"/>
          <w:sz w:val="32"/>
          <w:szCs w:val="32"/>
          <w:highlight w:val="none"/>
          <w:lang w:val="en-US" w:eastAsia="zh-CN"/>
        </w:rPr>
        <w:t>。</w:t>
      </w: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7C26D7F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6BBD57B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95B56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87330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、国有资本经营预算支出情况表</w:t>
      </w:r>
    </w:p>
    <w:p w14:paraId="270852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、社会保险基金预算支出情况表</w:t>
      </w:r>
    </w:p>
    <w:p w14:paraId="3DF12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213706C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1587"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799A1B-DFD7-4146-A877-5F3FA614C75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C281446A-A291-45AC-90F8-E164514628F6}"/>
  </w:font>
  <w:font w:name="方正小标宋简体">
    <w:panose1 w:val="03000509000000000000"/>
    <w:charset w:val="86"/>
    <w:family w:val="auto"/>
    <w:pitch w:val="default"/>
    <w:sig w:usb0="00000001" w:usb1="080E0000" w:usb2="00000000" w:usb3="00000000" w:csb0="00040000" w:csb1="00000000"/>
    <w:embedRegular r:id="rId3" w:fontKey="{CE14B606-247E-4E04-8543-00F4AAFD0DFD}"/>
  </w:font>
  <w:font w:name="仿宋_GB2312">
    <w:panose1 w:val="02010609030101010101"/>
    <w:charset w:val="86"/>
    <w:family w:val="auto"/>
    <w:pitch w:val="default"/>
    <w:sig w:usb0="00000001" w:usb1="080E0000" w:usb2="00000000" w:usb3="00000000" w:csb0="00040000" w:csb1="00000000"/>
    <w:embedRegular r:id="rId4" w:fontKey="{D41087F6-36A4-49AF-98DD-316C75813ED5}"/>
  </w:font>
  <w:font w:name="仿宋">
    <w:panose1 w:val="02010609060101010101"/>
    <w:charset w:val="86"/>
    <w:family w:val="auto"/>
    <w:pitch w:val="default"/>
    <w:sig w:usb0="800002BF" w:usb1="38CF7CFA" w:usb2="00000016" w:usb3="00000000" w:csb0="00040001" w:csb1="00000000"/>
    <w:embedRegular r:id="rId5" w:fontKey="{707429B5-9F0C-40A9-9677-5BB25A3057A0}"/>
  </w:font>
  <w:font w:name="方正黑体_GBK">
    <w:altName w:val="微软雅黑"/>
    <w:panose1 w:val="02000000000000000000"/>
    <w:charset w:val="86"/>
    <w:family w:val="auto"/>
    <w:pitch w:val="default"/>
    <w:sig w:usb0="00000000" w:usb1="00000000" w:usb2="00000000" w:usb3="00000000" w:csb0="00040000" w:csb1="00000000"/>
    <w:embedRegular r:id="rId6" w:fontKey="{4246D271-441F-4A7F-B60F-6E3987B6AF9E}"/>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7" w:fontKey="{0D81CBCC-B81B-4698-9864-4D298C27BC1A}"/>
  </w:font>
  <w:font w:name="方正仿宋_GB2312">
    <w:panose1 w:val="02000000000000000000"/>
    <w:charset w:val="86"/>
    <w:family w:val="auto"/>
    <w:pitch w:val="default"/>
    <w:sig w:usb0="A00002BF" w:usb1="184F6CFA" w:usb2="00000012" w:usb3="00000000" w:csb0="00040001" w:csb1="00000000"/>
    <w:embedRegular r:id="rId8" w:fontKey="{2FDA8323-E55F-46D5-8E87-28A04696AE7F}"/>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9" w:fontKey="{B95E2C26-48EE-4F89-9C8D-38548846295B}"/>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2B47C39"/>
    <w:rsid w:val="05E95AA6"/>
    <w:rsid w:val="0C180A78"/>
    <w:rsid w:val="0D276746"/>
    <w:rsid w:val="0D464D9C"/>
    <w:rsid w:val="0DD52794"/>
    <w:rsid w:val="0E956870"/>
    <w:rsid w:val="10C666A5"/>
    <w:rsid w:val="1223366A"/>
    <w:rsid w:val="143877FD"/>
    <w:rsid w:val="17FCFFF6"/>
    <w:rsid w:val="19E805B2"/>
    <w:rsid w:val="1CBF872E"/>
    <w:rsid w:val="1ED61CF8"/>
    <w:rsid w:val="22CD369B"/>
    <w:rsid w:val="22FE234B"/>
    <w:rsid w:val="261849E0"/>
    <w:rsid w:val="277E6F02"/>
    <w:rsid w:val="29990575"/>
    <w:rsid w:val="2AF6742D"/>
    <w:rsid w:val="312A2265"/>
    <w:rsid w:val="333F3E43"/>
    <w:rsid w:val="36FC0F5D"/>
    <w:rsid w:val="375773F8"/>
    <w:rsid w:val="393E32BB"/>
    <w:rsid w:val="3EFDDE87"/>
    <w:rsid w:val="419B2857"/>
    <w:rsid w:val="41D71DA8"/>
    <w:rsid w:val="4AA43B64"/>
    <w:rsid w:val="4C6611ED"/>
    <w:rsid w:val="4D5D3BD3"/>
    <w:rsid w:val="4EB7F892"/>
    <w:rsid w:val="552A0475"/>
    <w:rsid w:val="578D10CB"/>
    <w:rsid w:val="5A5915AC"/>
    <w:rsid w:val="5ABBC979"/>
    <w:rsid w:val="5BFC7B3B"/>
    <w:rsid w:val="5E77C7C6"/>
    <w:rsid w:val="5FFFAAE0"/>
    <w:rsid w:val="635B54D4"/>
    <w:rsid w:val="66347B2F"/>
    <w:rsid w:val="667FD72C"/>
    <w:rsid w:val="6A12486A"/>
    <w:rsid w:val="6ABE64BE"/>
    <w:rsid w:val="6B5F16C5"/>
    <w:rsid w:val="6BBC102D"/>
    <w:rsid w:val="6CF3EA5A"/>
    <w:rsid w:val="73F30540"/>
    <w:rsid w:val="753C4E9B"/>
    <w:rsid w:val="769B7804"/>
    <w:rsid w:val="779FCBF0"/>
    <w:rsid w:val="77F7E21B"/>
    <w:rsid w:val="781113A7"/>
    <w:rsid w:val="791E6510"/>
    <w:rsid w:val="79E2F975"/>
    <w:rsid w:val="7A65148B"/>
    <w:rsid w:val="7B3BDBF2"/>
    <w:rsid w:val="7C8D4A41"/>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1"/>
      <w:szCs w:val="22"/>
    </w:r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3"/>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458</Words>
  <Characters>536</Characters>
  <Lines>0</Lines>
  <Paragraphs>0</Paragraphs>
  <TotalTime>5</TotalTime>
  <ScaleCrop>false</ScaleCrop>
  <LinksUpToDate>false</LinksUpToDate>
  <CharactersWithSpaces>717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唐茂林</cp:lastModifiedBy>
  <cp:lastPrinted>2025-04-10T10:25:00Z</cp:lastPrinted>
  <dcterms:modified xsi:type="dcterms:W3CDTF">2025-06-13T02:30:59Z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2E59967559EAD85B47E0F5671AAD0169_43</vt:lpwstr>
  </property>
  <property fmtid="{D5CDD505-2E9C-101B-9397-08002B2CF9AE}" pid="4" name="KSOTemplateDocerSaveRecord">
    <vt:lpwstr>eyJoZGlkIjoiYjBmMTkwMDg0Y2M4Yjk4NGMyNDYyZTMyMDEzMjc5ZWUiLCJ1c2VySWQiOiIzMjExNTEwMjgifQ==</vt:lpwstr>
  </property>
</Properties>
</file>