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hAnsi="黑体"/>
          <w:sz w:val="36"/>
          <w:szCs w:val="36"/>
        </w:rPr>
      </w:pPr>
    </w:p>
    <w:p>
      <w:pPr>
        <w:pStyle w:val="14"/>
        <w:jc w:val="center"/>
        <w:rPr>
          <w:rFonts w:ascii="Times New Roman" w:hAnsi="Times New Roman" w:cs="Times New Roman"/>
          <w:sz w:val="56"/>
          <w:szCs w:val="56"/>
        </w:rPr>
      </w:pPr>
    </w:p>
    <w:p>
      <w:pPr>
        <w:pStyle w:val="14"/>
        <w:jc w:val="center"/>
        <w:rPr>
          <w:rFonts w:ascii="Times New Roman" w:hAnsi="Times New Roman" w:cs="Times New Roman"/>
          <w:sz w:val="84"/>
          <w:szCs w:val="84"/>
        </w:rPr>
      </w:pPr>
    </w:p>
    <w:p>
      <w:pPr>
        <w:pStyle w:val="14"/>
        <w:jc w:val="center"/>
        <w:rPr>
          <w:rFonts w:ascii="Times New Roman" w:hAnsi="Times New Roman" w:cs="Times New Roman"/>
          <w:sz w:val="84"/>
          <w:szCs w:val="84"/>
        </w:rPr>
      </w:pPr>
    </w:p>
    <w:p>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4"/>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怀化市检验检测中心</w:t>
      </w:r>
    </w:p>
    <w:p>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4"/>
        <w:jc w:val="center"/>
        <w:rPr>
          <w:rFonts w:ascii="Times New Roman" w:hAnsi="Times New Roman" w:eastAsia="方正小标宋_GBK" w:cs="Times New Roman"/>
          <w:sz w:val="56"/>
          <w:szCs w:val="56"/>
        </w:rPr>
      </w:pPr>
    </w:p>
    <w:p>
      <w:pPr>
        <w:pStyle w:val="14"/>
        <w:jc w:val="center"/>
        <w:rPr>
          <w:rFonts w:ascii="Times New Roman" w:hAnsi="Times New Roman" w:cs="Times New Roman"/>
          <w:sz w:val="56"/>
          <w:szCs w:val="56"/>
        </w:rPr>
      </w:pPr>
    </w:p>
    <w:p>
      <w:pPr>
        <w:pStyle w:val="14"/>
        <w:rPr>
          <w:rFonts w:ascii="Times New Roman" w:hAnsi="Times New Roman" w:cs="Times New Roman"/>
          <w:sz w:val="56"/>
          <w:szCs w:val="56"/>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rPr>
          <w:rFonts w:ascii="Times New Roman" w:hAnsi="Times New Roman" w:cs="Times New Roman"/>
          <w:b/>
          <w:sz w:val="36"/>
          <w:szCs w:val="28"/>
        </w:rPr>
      </w:pPr>
    </w:p>
    <w:p>
      <w:pPr>
        <w:pStyle w:val="8"/>
        <w:sectPr>
          <w:pgSz w:w="11906" w:h="16838"/>
          <w:pgMar w:top="1417" w:right="1588" w:bottom="1417" w:left="1588" w:header="851" w:footer="992" w:gutter="0"/>
          <w:cols w:space="425" w:num="1"/>
          <w:docGrid w:type="lines" w:linePitch="312" w:charSpace="0"/>
        </w:sectPr>
      </w:pPr>
    </w:p>
    <w:p>
      <w:pPr>
        <w:pStyle w:val="14"/>
        <w:spacing w:line="600" w:lineRule="exact"/>
        <w:jc w:val="both"/>
        <w:rPr>
          <w:rFonts w:ascii="Times New Roman" w:hAnsi="Times New Roman" w:cs="Times New Roman"/>
          <w:b/>
          <w:sz w:val="36"/>
          <w:szCs w:val="28"/>
        </w:rPr>
      </w:pPr>
    </w:p>
    <w:p>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4"/>
        <w:spacing w:line="600" w:lineRule="exact"/>
        <w:jc w:val="center"/>
        <w:rPr>
          <w:rFonts w:ascii="Times New Roman" w:hAnsi="Times New Roman" w:cs="Times New Roman"/>
          <w:b/>
          <w:sz w:val="36"/>
          <w:szCs w:val="28"/>
        </w:rPr>
      </w:pPr>
    </w:p>
    <w:p>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怀化市检验检测中心</w:t>
      </w:r>
      <w:r>
        <w:rPr>
          <w:rFonts w:ascii="Times New Roman" w:hAnsi="Times New Roman" w:cs="Times New Roman"/>
          <w:bCs/>
          <w:sz w:val="32"/>
          <w:szCs w:val="32"/>
        </w:rPr>
        <w:t>概况</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九、国有资本经营预算财政拨款支出决算情况说明</w:t>
      </w:r>
    </w:p>
    <w:p>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十、关于机关运行经费支出说明</w:t>
      </w:r>
    </w:p>
    <w:p>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十一、一般性支出情况说明</w:t>
      </w:r>
    </w:p>
    <w:p>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十二、关于政府采购支出说明</w:t>
      </w:r>
    </w:p>
    <w:p>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十三、关于国有资产占用情况说明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4"/>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8"/>
        <w:rPr>
          <w:rFonts w:ascii="Times New Roman" w:hAnsi="Times New Roman" w:cs="Times New Roman"/>
          <w:sz w:val="72"/>
          <w:szCs w:val="72"/>
        </w:rPr>
      </w:pPr>
    </w:p>
    <w:p>
      <w:pPr>
        <w:pStyle w:val="4"/>
        <w:rPr>
          <w:rFonts w:ascii="Times New Roman" w:hAnsi="Times New Roman" w:cs="Times New Roman"/>
          <w:sz w:val="72"/>
          <w:szCs w:val="72"/>
        </w:rPr>
      </w:pPr>
    </w:p>
    <w:p>
      <w:pPr>
        <w:rPr>
          <w:rFonts w:ascii="Times New Roman" w:hAnsi="Times New Roman" w:cs="Times New Roman"/>
          <w:sz w:val="72"/>
          <w:szCs w:val="72"/>
        </w:rPr>
      </w:pPr>
    </w:p>
    <w:p>
      <w:pPr>
        <w:pStyle w:val="8"/>
      </w:pPr>
    </w:p>
    <w:p>
      <w:pPr>
        <w:jc w:val="center"/>
        <w:rPr>
          <w:rFonts w:ascii="Times New Roman" w:hAnsi="Times New Roman" w:cs="Times New Roman"/>
          <w:sz w:val="72"/>
          <w:szCs w:val="72"/>
        </w:rPr>
      </w:pPr>
    </w:p>
    <w:p>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4"/>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怀化市检验检测中心</w:t>
      </w: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概况</w:t>
      </w: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8"/>
        <w:jc w:val="left"/>
      </w:pPr>
    </w:p>
    <w:p>
      <w:pPr>
        <w:rPr>
          <w:rFonts w:hint="eastAsia" w:ascii="Times New Roman" w:hAnsi="Times New Roman" w:eastAsia="黑体" w:cs="Times New Roman"/>
          <w:sz w:val="32"/>
          <w:szCs w:val="32"/>
        </w:rPr>
      </w:pPr>
    </w:p>
    <w:p>
      <w:pPr>
        <w:rPr>
          <w:rFonts w:hint="eastAsia" w:ascii="Times New Roman" w:hAnsi="Times New Roman" w:eastAsia="黑体" w:cs="Times New Roman"/>
          <w:sz w:val="32"/>
          <w:szCs w:val="32"/>
        </w:rPr>
      </w:pPr>
    </w:p>
    <w:p>
      <w:pPr>
        <w:rPr>
          <w:rFonts w:hint="eastAsia" w:ascii="Times New Roman" w:hAnsi="Times New Roman" w:eastAsia="黑体" w:cs="Times New Roman"/>
          <w:sz w:val="32"/>
          <w:szCs w:val="32"/>
        </w:rPr>
      </w:pPr>
    </w:p>
    <w:p>
      <w:pPr>
        <w:rPr>
          <w:rFonts w:hint="eastAsia" w:ascii="Times New Roman" w:hAnsi="Times New Roman" w:eastAsia="黑体" w:cs="Times New Roman"/>
          <w:sz w:val="32"/>
          <w:szCs w:val="32"/>
        </w:rPr>
      </w:pPr>
    </w:p>
    <w:p>
      <w:pPr>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br w:type="page"/>
      </w:r>
    </w:p>
    <w:p>
      <w:pPr>
        <w:pStyle w:val="15"/>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kern w:val="0"/>
          <w:sz w:val="32"/>
          <w:szCs w:val="32"/>
        </w:rPr>
      </w:pPr>
      <w:r>
        <w:rPr>
          <w:rFonts w:hint="eastAsia" w:ascii="仿宋" w:hAnsi="仿宋" w:eastAsia="仿宋"/>
          <w:color w:val="000000"/>
          <w:sz w:val="32"/>
          <w:shd w:val="clear" w:color="auto" w:fill="FFFFFF"/>
        </w:rPr>
        <w:t>主要职责是依法为全市食品、药品、化妆品质量监督、标准制订修订、技术仲裁等提供技术服务；开展工业产品质量检验检测，质量标准、地理标志保护产品及工业产品发展等科研工作；研究和建立社会公用计量标准，开展授权范围内的量值传递，执行计量器具强制检定工作，开展能源计量审查，研究起草计量检定规程、规范等。</w:t>
      </w:r>
    </w:p>
    <w:p>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left"/>
        <w:textAlignment w:val="auto"/>
        <w:outlineLvl w:val="9"/>
        <w:rPr>
          <w:rFonts w:hint="eastAsia"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lang w:val="en-US" w:eastAsia="zh-CN"/>
        </w:rPr>
        <w:t>怀化市检验检测中心</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Times New Roman"/>
          <w:bCs/>
          <w:kern w:val="0"/>
          <w:sz w:val="32"/>
          <w:szCs w:val="32"/>
          <w:lang w:eastAsia="zh-CN"/>
        </w:rPr>
        <w:t>办公室、党群人事部、科技财务部、业务拓展部、质量技术部、食品检验检测部、农产品检验检测部、药品检验检测部、化妆品医疗器械检验检测部、工业产品检验检测部、竹木生态制品检验检测部、强制检定部、工作计量器具校准部、医学计量部、能源计量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lang w:val="en-US" w:eastAsia="zh-CN"/>
        </w:rPr>
        <w:t>怀化市检验检测中心</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怀化市检验检测中心。</w:t>
      </w:r>
    </w:p>
    <w:p>
      <w:pPr>
        <w:widowControl/>
        <w:spacing w:line="600" w:lineRule="exact"/>
        <w:ind w:firstLine="640" w:firstLineChars="200"/>
        <w:rPr>
          <w:rFonts w:ascii="Times New Roman" w:hAnsi="Times New Roman" w:eastAsia="仿宋_GB2312" w:cs="Times New Roman"/>
          <w:bCs/>
          <w:kern w:val="0"/>
          <w:sz w:val="32"/>
          <w:szCs w:val="32"/>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cs="Times New Roman"/>
          <w:sz w:val="72"/>
          <w:szCs w:val="72"/>
        </w:rPr>
      </w:pPr>
    </w:p>
    <w:p>
      <w:pPr>
        <w:pStyle w:val="14"/>
        <w:jc w:val="center"/>
        <w:rPr>
          <w:rFonts w:hint="eastAsia" w:ascii="方正小标宋_GBK" w:hAnsi="方正小标宋_GBK" w:eastAsia="方正小标宋_GBK" w:cs="方正小标宋_GBK"/>
          <w:sz w:val="84"/>
          <w:szCs w:val="84"/>
        </w:rPr>
      </w:pPr>
    </w:p>
    <w:p>
      <w:pPr>
        <w:pStyle w:val="14"/>
        <w:jc w:val="both"/>
        <w:rPr>
          <w:rFonts w:hint="eastAsia" w:ascii="方正小标宋_GBK" w:hAnsi="方正小标宋_GBK" w:eastAsia="方正小标宋_GBK" w:cs="方正小标宋_GBK"/>
          <w:sz w:val="84"/>
          <w:szCs w:val="84"/>
        </w:rPr>
      </w:pPr>
    </w:p>
    <w:p>
      <w:pPr>
        <w:pStyle w:val="14"/>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第二部分</w:t>
      </w:r>
    </w:p>
    <w:p>
      <w:pPr>
        <w:pStyle w:val="14"/>
        <w:spacing w:line="360" w:lineRule="auto"/>
        <w:jc w:val="center"/>
        <w:rPr>
          <w:rFonts w:hint="eastAsia" w:ascii="Times New Roman" w:hAnsi="Times New Roman" w:eastAsia="方正小标宋_GBK" w:cs="Times New Roman"/>
          <w:sz w:val="52"/>
          <w:szCs w:val="52"/>
        </w:rPr>
      </w:pPr>
    </w:p>
    <w:p>
      <w:pPr>
        <w:pStyle w:val="14"/>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部门决算表</w:t>
      </w:r>
    </w:p>
    <w:p>
      <w:pPr>
        <w:jc w:val="center"/>
        <w:rPr>
          <w:sz w:val="72"/>
          <w:szCs w:val="72"/>
        </w:rPr>
      </w:pPr>
    </w:p>
    <w:p>
      <w:pPr>
        <w:jc w:val="center"/>
        <w:rPr>
          <w:rFonts w:hint="eastAsia" w:ascii="Times New Roman" w:hAnsi="Times New Roman" w:eastAsia="方正小标宋_GBK" w:cs="Times New Roman"/>
          <w:color w:val="000000"/>
          <w:kern w:val="0"/>
          <w:sz w:val="52"/>
          <w:szCs w:val="52"/>
          <w:lang w:val="en-US" w:eastAsia="zh-CN" w:bidi="ar-SA"/>
        </w:rPr>
      </w:pPr>
      <w:r>
        <w:rPr>
          <w:rFonts w:hint="eastAsia" w:ascii="Times New Roman" w:hAnsi="Times New Roman" w:eastAsia="方正小标宋_GBK" w:cs="Times New Roman"/>
          <w:color w:val="000000"/>
          <w:kern w:val="0"/>
          <w:sz w:val="52"/>
          <w:szCs w:val="52"/>
          <w:lang w:val="en-US" w:eastAsia="zh-CN" w:bidi="ar-SA"/>
        </w:rPr>
        <w:t>见附件</w:t>
      </w: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r>
        <w:rPr>
          <w:rFonts w:ascii="Times New Roman" w:hAnsi="Times New Roman" w:cs="Times New Roman"/>
          <w:sz w:val="72"/>
          <w:szCs w:val="72"/>
        </w:rPr>
        <w:br w:type="page"/>
      </w: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1755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116.87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7.13</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rPr>
        <w:t>住房保障支出</w:t>
      </w:r>
      <w:r>
        <w:rPr>
          <w:rFonts w:hint="eastAsia" w:ascii="Times New Roman" w:hAnsi="Times New Roman" w:eastAsia="仿宋_GB2312" w:cs="Times New Roman"/>
          <w:sz w:val="32"/>
          <w:szCs w:val="32"/>
          <w:highlight w:val="none"/>
          <w:lang w:val="en-US" w:eastAsia="zh-CN"/>
        </w:rPr>
        <w:t>增加</w:t>
      </w:r>
      <w:r>
        <w:rPr>
          <w:rFonts w:hint="eastAsia" w:ascii="Times New Roman" w:hAnsi="Times New Roman" w:eastAsia="仿宋_GB2312"/>
          <w:sz w:val="32"/>
          <w:szCs w:val="32"/>
          <w:highlight w:val="none"/>
          <w:lang w:val="en-US"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1755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1754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99.94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1755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1302.19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452.82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1754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118.51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highlight w:val="none"/>
          <w:lang w:val="en-US" w:eastAsia="zh-CN"/>
        </w:rPr>
        <w:t>25</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rPr>
        <w:t>住房保障支出</w:t>
      </w:r>
      <w:r>
        <w:rPr>
          <w:rFonts w:hint="eastAsia" w:ascii="Times New Roman" w:hAnsi="Times New Roman" w:eastAsia="仿宋_GB2312" w:cs="Times New Roman"/>
          <w:sz w:val="32"/>
          <w:szCs w:val="32"/>
          <w:highlight w:val="none"/>
          <w:lang w:val="en-US" w:eastAsia="zh-CN"/>
        </w:rPr>
        <w:t>增加</w:t>
      </w:r>
      <w:r>
        <w:rPr>
          <w:rFonts w:hint="eastAsia" w:ascii="Times New Roman" w:hAnsi="Times New Roman" w:eastAsia="仿宋_GB2312"/>
          <w:sz w:val="32"/>
          <w:szCs w:val="32"/>
          <w:highlight w:val="none"/>
          <w:lang w:val="en-US"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五、一般公共预算财政拨款支出决算情况说明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2024年度财政拨款支出</w:t>
      </w:r>
      <w:r>
        <w:rPr>
          <w:rFonts w:hint="eastAsia" w:ascii="Times New Roman" w:hAnsi="Times New Roman" w:eastAsia="仿宋_GB2312" w:cs="Times New Roman"/>
          <w:sz w:val="32"/>
          <w:szCs w:val="32"/>
          <w:highlight w:val="none"/>
        </w:rPr>
        <w:t>1754</w:t>
      </w:r>
      <w:r>
        <w:rPr>
          <w:rFonts w:ascii="Times New Roman" w:hAnsi="Times New Roman" w:eastAsia="仿宋_GB2312" w:cs="Times New Roman"/>
          <w:sz w:val="32"/>
          <w:szCs w:val="32"/>
          <w:highlight w:val="none"/>
        </w:rPr>
        <w:t>万元，占本年支出合计的</w:t>
      </w:r>
      <w:r>
        <w:rPr>
          <w:rFonts w:hint="eastAsia" w:ascii="Times New Roman" w:hAnsi="Times New Roman" w:eastAsia="仿宋_GB2312" w:cs="Times New Roman"/>
          <w:sz w:val="32"/>
          <w:szCs w:val="32"/>
          <w:highlight w:val="none"/>
          <w:lang w:val="en-US" w:eastAsia="zh-CN"/>
        </w:rPr>
        <w:t>99.94</w:t>
      </w:r>
      <w:r>
        <w:rPr>
          <w:rFonts w:ascii="Times New Roman" w:hAnsi="Times New Roman" w:eastAsia="仿宋_GB2312" w:cs="Times New Roman"/>
          <w:sz w:val="32"/>
          <w:szCs w:val="32"/>
          <w:highlight w:val="none"/>
        </w:rPr>
        <w:t>%，与上年相比，财政拨款支出增加</w:t>
      </w:r>
      <w:r>
        <w:rPr>
          <w:rFonts w:hint="eastAsia" w:ascii="Times New Roman" w:hAnsi="Times New Roman" w:eastAsia="仿宋_GB2312" w:cs="Times New Roman"/>
          <w:sz w:val="32"/>
          <w:szCs w:val="32"/>
          <w:highlight w:val="none"/>
        </w:rPr>
        <w:t>118.51</w:t>
      </w:r>
      <w:r>
        <w:rPr>
          <w:rFonts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lang w:val="en-US" w:eastAsia="zh-CN"/>
        </w:rPr>
        <w:t>7.25</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rPr>
        <w:t>住房保障支出</w:t>
      </w:r>
      <w:r>
        <w:rPr>
          <w:rFonts w:hint="eastAsia" w:ascii="Times New Roman" w:hAnsi="Times New Roman" w:eastAsia="仿宋_GB2312" w:cs="Times New Roman"/>
          <w:sz w:val="32"/>
          <w:szCs w:val="32"/>
          <w:highlight w:val="none"/>
          <w:lang w:val="en-US" w:eastAsia="zh-CN"/>
        </w:rPr>
        <w:t>增加</w:t>
      </w:r>
      <w:r>
        <w:rPr>
          <w:rFonts w:hint="eastAsia" w:ascii="Times New Roman" w:hAnsi="Times New Roman" w:eastAsia="仿宋_GB2312"/>
          <w:sz w:val="32"/>
          <w:szCs w:val="32"/>
          <w:highlight w:val="none"/>
          <w:lang w:val="en-US" w:eastAsia="zh-CN"/>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4"/>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1754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1492.92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85.12</w:t>
      </w:r>
      <w:r>
        <w:rPr>
          <w:rFonts w:ascii="Times New Roman" w:hAnsi="Times New Roman" w:eastAsia="仿宋_GB2312" w:cs="Times New Roman"/>
          <w:sz w:val="32"/>
          <w:szCs w:val="32"/>
        </w:rPr>
        <w:t>%；</w:t>
      </w:r>
      <w:r>
        <w:rPr>
          <w:rFonts w:hint="eastAsia" w:ascii="Times New Roman" w:hAnsi="Times New Roman" w:eastAsia="仿宋_GB2312"/>
          <w:sz w:val="32"/>
          <w:szCs w:val="32"/>
        </w:rPr>
        <w:t>社会保障和就业（类）支出115.24万元，占</w:t>
      </w:r>
      <w:r>
        <w:rPr>
          <w:rFonts w:hint="eastAsia" w:ascii="Times New Roman" w:hAnsi="Times New Roman" w:eastAsia="仿宋_GB2312"/>
          <w:sz w:val="32"/>
          <w:szCs w:val="32"/>
          <w:lang w:val="en-US" w:eastAsia="zh-CN"/>
        </w:rPr>
        <w:t>6.57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卫生健康（类）支出46.35万元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2.64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支出99.49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5.67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w:t>
      </w:r>
      <w:r>
        <w:rPr>
          <w:rFonts w:ascii="Times New Roman" w:hAnsi="Times New Roman" w:eastAsia="仿宋_GB2312" w:cs="Times New Roman"/>
          <w:sz w:val="32"/>
          <w:szCs w:val="32"/>
          <w:highlight w:val="none"/>
        </w:rPr>
        <w:t>数为</w:t>
      </w:r>
      <w:r>
        <w:rPr>
          <w:rFonts w:hint="eastAsia" w:ascii="Times New Roman" w:hAnsi="Times New Roman" w:eastAsia="仿宋_GB2312" w:cs="Times New Roman"/>
          <w:sz w:val="32"/>
          <w:szCs w:val="32"/>
          <w:highlight w:val="none"/>
        </w:rPr>
        <w:t>1568.86</w:t>
      </w:r>
      <w:r>
        <w:rPr>
          <w:rFonts w:ascii="Times New Roman" w:hAnsi="Times New Roman" w:eastAsia="仿宋_GB2312" w:cs="Times New Roman"/>
          <w:sz w:val="32"/>
          <w:szCs w:val="32"/>
          <w:highlight w:val="none"/>
        </w:rPr>
        <w:t>万元，支</w:t>
      </w:r>
      <w:r>
        <w:rPr>
          <w:rFonts w:ascii="Times New Roman" w:hAnsi="Times New Roman" w:eastAsia="仿宋_GB2312" w:cs="Times New Roman"/>
          <w:sz w:val="32"/>
          <w:szCs w:val="32"/>
        </w:rPr>
        <w:t>出决算数为</w:t>
      </w:r>
      <w:r>
        <w:rPr>
          <w:rFonts w:hint="eastAsia" w:ascii="Times New Roman" w:hAnsi="Times New Roman" w:eastAsia="仿宋_GB2312" w:cs="Times New Roman"/>
          <w:sz w:val="32"/>
          <w:szCs w:val="32"/>
        </w:rPr>
        <w:t>1754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111.8</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sz w:val="32"/>
          <w:szCs w:val="32"/>
        </w:rPr>
        <w:t>市场监督管理事务（款）质量基础（项）</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追加预算，检验检测能力提升项目30万元。</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sz w:val="32"/>
          <w:szCs w:val="32"/>
        </w:rPr>
        <w:t>市场监督管理事务（款）药品事务（项）</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190.87</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追加预算，药械化抽检专项78万元、检验设备配备56.69万元、湖南省中药材标准修订专项15万元、食品药品保化品监测经费41.18万元。</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cs="Times New Roman"/>
          <w:bCs/>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sz w:val="32"/>
          <w:szCs w:val="32"/>
        </w:rPr>
        <w:t>市场监督管理事务（款）事业运行（项）</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rPr>
        <w:t>1061.1</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1040.1</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98.01</w:t>
      </w:r>
      <w:r>
        <w:rPr>
          <w:rFonts w:ascii="Times New Roman" w:hAnsi="Times New Roman" w:eastAsia="仿宋_GB2312" w:cs="Times New Roman"/>
          <w:sz w:val="32"/>
          <w:szCs w:val="32"/>
          <w:highlight w:val="none"/>
        </w:rPr>
        <w:t>%，决算数小于年初预算数的主要原因是：</w:t>
      </w:r>
      <w:r>
        <w:rPr>
          <w:rFonts w:hint="eastAsia" w:ascii="Times New Roman" w:hAnsi="Times New Roman" w:eastAsia="仿宋_GB2312" w:cs="Times New Roman"/>
          <w:sz w:val="32"/>
          <w:szCs w:val="32"/>
          <w:highlight w:val="none"/>
          <w:lang w:val="en-US" w:eastAsia="zh-CN"/>
        </w:rPr>
        <w:t>预决算关于</w:t>
      </w:r>
      <w:r>
        <w:rPr>
          <w:rFonts w:hint="eastAsia" w:ascii="Times New Roman" w:hAnsi="Times New Roman" w:eastAsia="仿宋_GB2312"/>
          <w:sz w:val="32"/>
          <w:szCs w:val="32"/>
          <w:highlight w:val="none"/>
        </w:rPr>
        <w:t>事业运行</w:t>
      </w:r>
      <w:r>
        <w:rPr>
          <w:rFonts w:hint="eastAsia" w:ascii="Times New Roman" w:hAnsi="Times New Roman" w:eastAsia="仿宋_GB2312"/>
          <w:sz w:val="32"/>
          <w:szCs w:val="32"/>
          <w:highlight w:val="none"/>
          <w:lang w:val="en-US" w:eastAsia="zh-CN"/>
        </w:rPr>
        <w:t>中项目支出的统计口径不一致</w:t>
      </w:r>
      <w:r>
        <w:rPr>
          <w:rFonts w:hint="eastAsia" w:ascii="Times New Roman" w:hAnsi="Times New Roman" w:eastAsia="仿宋_GB2312" w:cs="Times New Roman"/>
          <w:sz w:val="32"/>
          <w:szCs w:val="32"/>
          <w:highlight w:val="none"/>
          <w:lang w:val="en-US" w:eastAsia="zh-CN"/>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cs="Times New Roman"/>
          <w:bCs/>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sz w:val="32"/>
          <w:szCs w:val="32"/>
        </w:rPr>
        <w:t>市场监督管理事务（款）其他市场监督管理事务（项）</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247.5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231.95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93.72</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，决算数小于年初预算数的主要原因是：</w:t>
      </w:r>
      <w:r>
        <w:rPr>
          <w:rFonts w:hint="eastAsia" w:ascii="Times New Roman" w:hAnsi="Times New Roman" w:eastAsia="仿宋_GB2312" w:cs="Times New Roman"/>
          <w:sz w:val="32"/>
          <w:szCs w:val="32"/>
          <w:highlight w:val="none"/>
          <w:lang w:val="en-US" w:eastAsia="zh-CN"/>
        </w:rPr>
        <w:t>项目资金未下达到位,存在冻结的项目资金。</w:t>
      </w:r>
    </w:p>
    <w:p>
      <w:pPr>
        <w:pStyle w:val="14"/>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（类）行政事业单位养老支出（款）</w:t>
      </w:r>
      <w:r>
        <w:rPr>
          <w:rFonts w:hint="eastAsia" w:ascii="Times New Roman" w:hAnsi="Times New Roman" w:eastAsia="仿宋_GB2312"/>
          <w:sz w:val="32"/>
          <w:szCs w:val="32"/>
          <w:lang w:val="en-US" w:eastAsia="zh-CN"/>
        </w:rPr>
        <w:t>机</w:t>
      </w:r>
      <w:r>
        <w:rPr>
          <w:rFonts w:hint="eastAsia" w:ascii="Times New Roman" w:hAnsi="Times New Roman" w:eastAsia="仿宋_GB2312"/>
          <w:sz w:val="32"/>
          <w:szCs w:val="32"/>
        </w:rPr>
        <w:t>关事业单位基本养老保险缴费支出（项）。</w:t>
      </w:r>
    </w:p>
    <w:p>
      <w:pPr>
        <w:pStyle w:val="14"/>
        <w:overflowPunct w:val="0"/>
        <w:autoSpaceDE/>
        <w:autoSpaceDN/>
        <w:spacing w:line="600" w:lineRule="exact"/>
        <w:ind w:firstLine="640" w:firstLineChars="200"/>
        <w:jc w:val="both"/>
        <w:rPr>
          <w:rFonts w:hint="eastAsia" w:ascii="Times New Roman" w:hAnsi="Times New Roman" w:eastAsia="仿宋_GB2312"/>
          <w:sz w:val="32"/>
          <w:szCs w:val="32"/>
          <w:highlight w:val="none"/>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115.67</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支出决算为</w:t>
      </w:r>
      <w:r>
        <w:rPr>
          <w:rFonts w:hint="eastAsia" w:ascii="Times New Roman" w:hAnsi="Times New Roman" w:eastAsia="仿宋_GB2312" w:cs="Times New Roman"/>
          <w:sz w:val="32"/>
          <w:szCs w:val="32"/>
          <w:highlight w:val="none"/>
        </w:rPr>
        <w:t>115.24</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99.63</w:t>
      </w:r>
      <w:r>
        <w:rPr>
          <w:rFonts w:ascii="Times New Roman" w:hAnsi="Times New Roman" w:eastAsia="仿宋_GB2312" w:cs="Times New Roman"/>
          <w:sz w:val="32"/>
          <w:szCs w:val="32"/>
          <w:highlight w:val="none"/>
        </w:rPr>
        <w:t>%，决算数小于年初预算数的主要原因是：</w:t>
      </w:r>
      <w:r>
        <w:rPr>
          <w:rFonts w:hint="eastAsia" w:ascii="Times New Roman" w:hAnsi="Times New Roman" w:eastAsia="仿宋_GB2312"/>
          <w:sz w:val="32"/>
          <w:szCs w:val="32"/>
          <w:highlight w:val="none"/>
          <w:lang w:val="en-US" w:eastAsia="zh-CN"/>
        </w:rPr>
        <w:t>本年度有2名退休人员。</w:t>
      </w:r>
    </w:p>
    <w:p>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卫生健康支出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行政事业单位医疗</w:t>
      </w:r>
      <w:r>
        <w:rPr>
          <w:rFonts w:hint="eastAsia" w:ascii="Times New Roman" w:hAnsi="Times New Roman" w:eastAsia="仿宋_GB2312"/>
          <w:sz w:val="32"/>
          <w:szCs w:val="32"/>
          <w:highlight w:val="none"/>
        </w:rPr>
        <w:t>（款）行政单位医疗（项）。</w:t>
      </w:r>
    </w:p>
    <w:p>
      <w:pPr>
        <w:pStyle w:val="14"/>
        <w:overflowPunct w:val="0"/>
        <w:autoSpaceDE/>
        <w:autoSpaceDN/>
        <w:spacing w:line="600" w:lineRule="exact"/>
        <w:ind w:firstLine="640" w:firstLineChars="200"/>
        <w:jc w:val="both"/>
        <w:rPr>
          <w:rFonts w:hint="eastAsia" w:ascii="Times New Roman" w:hAnsi="Times New Roman" w:eastAsia="仿宋_GB2312"/>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49</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46.35</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94.6</w:t>
      </w:r>
      <w:r>
        <w:rPr>
          <w:rFonts w:ascii="Times New Roman" w:hAnsi="Times New Roman" w:eastAsia="仿宋_GB2312" w:cs="Times New Roman"/>
          <w:sz w:val="32"/>
          <w:szCs w:val="32"/>
          <w:highlight w:val="none"/>
        </w:rPr>
        <w:t>%，决算数小于年初预算数的主要原因是：</w:t>
      </w:r>
      <w:r>
        <w:rPr>
          <w:rFonts w:hint="eastAsia" w:ascii="Times New Roman" w:hAnsi="Times New Roman" w:eastAsia="仿宋_GB2312"/>
          <w:sz w:val="32"/>
          <w:szCs w:val="32"/>
          <w:highlight w:val="none"/>
          <w:lang w:val="en-US" w:eastAsia="zh-CN"/>
        </w:rPr>
        <w:t>本年度有2名退休人员。</w:t>
      </w:r>
    </w:p>
    <w:p>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住房保障支出（类）住房改革支</w:t>
      </w:r>
      <w:r>
        <w:rPr>
          <w:rFonts w:hint="eastAsia" w:ascii="Times New Roman" w:hAnsi="Times New Roman" w:eastAsia="仿宋_GB2312"/>
          <w:sz w:val="32"/>
          <w:szCs w:val="32"/>
        </w:rPr>
        <w:t>出（款）住房公积金（项）。</w:t>
      </w:r>
    </w:p>
    <w:p>
      <w:pPr>
        <w:pStyle w:val="14"/>
        <w:overflowPunct w:val="0"/>
        <w:autoSpaceDE/>
        <w:autoSpaceDN/>
        <w:spacing w:line="600" w:lineRule="exact"/>
        <w:ind w:firstLine="640" w:firstLineChars="200"/>
        <w:jc w:val="both"/>
        <w:rPr>
          <w:rFonts w:hint="default" w:ascii="Times New Roman" w:hAnsi="Times New Roman" w:eastAsia="仿宋_GB2312" w:cs="Times New Roman"/>
          <w:bCs/>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95.51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99.49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104.16</w:t>
      </w:r>
      <w:r>
        <w:rPr>
          <w:rFonts w:ascii="Times New Roman" w:hAnsi="Times New Roman" w:eastAsia="仿宋_GB2312" w:cs="Times New Roman"/>
          <w:sz w:val="32"/>
          <w:szCs w:val="32"/>
        </w:rPr>
        <w:t>%，决算数大于年初</w:t>
      </w:r>
      <w:r>
        <w:rPr>
          <w:rFonts w:ascii="Times New Roman" w:hAnsi="Times New Roman" w:eastAsia="仿宋_GB2312" w:cs="Times New Roman"/>
          <w:sz w:val="32"/>
          <w:szCs w:val="32"/>
          <w:highlight w:val="none"/>
        </w:rPr>
        <w:t>预算数的主要原因是：</w:t>
      </w:r>
      <w:r>
        <w:rPr>
          <w:rFonts w:hint="eastAsia" w:ascii="Times New Roman" w:hAnsi="Times New Roman" w:eastAsia="仿宋_GB2312" w:cs="Times New Roman"/>
          <w:sz w:val="32"/>
          <w:szCs w:val="32"/>
          <w:highlight w:val="none"/>
          <w:lang w:val="en-US" w:eastAsia="zh-CN"/>
        </w:rPr>
        <w:t>追加预算，财政配套部分住房公积金增加。</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1301.18</w:t>
      </w:r>
      <w:r>
        <w:rPr>
          <w:rFonts w:ascii="Times New Roman" w:hAnsi="Times New Roman" w:eastAsia="仿宋_GB2312" w:cs="Times New Roman"/>
          <w:sz w:val="32"/>
          <w:szCs w:val="32"/>
        </w:rPr>
        <w:t>万元，其中：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1231.8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94.67</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rPr>
        <w:t>绩效工资</w:t>
      </w:r>
      <w:r>
        <w:rPr>
          <w:rFonts w:hint="eastAsia" w:ascii="Times New Roman" w:hAnsi="Times New Roman" w:eastAsia="仿宋_GB2312" w:cs="Times New Roman"/>
          <w:sz w:val="32"/>
          <w:szCs w:val="32"/>
          <w:lang w:eastAsia="zh-CN"/>
        </w:rPr>
        <w:t>、机关事业单位基本养老保险缴费、职工基本医疗保险缴费、其他社会保障缴费、住房公积金、抚恤金、生活补助、奖励金</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eastAsia="zh-CN"/>
        </w:rPr>
        <w:t>其他对个人和家庭的补助</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69.38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5.33</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eastAsia="zh-CN"/>
        </w:rPr>
        <w:t>、维修（护）费、公务接待费、劳务费、工会经费、福利费、公务用车运行维护费、其他交通费用</w:t>
      </w:r>
      <w:r>
        <w:rPr>
          <w:rFonts w:hint="eastAsia" w:ascii="Times New Roman" w:hAnsi="Times New Roman" w:eastAsia="仿宋_GB2312" w:cs="Times New Roman"/>
          <w:sz w:val="32"/>
          <w:szCs w:val="32"/>
          <w:lang w:val="en-US" w:eastAsia="zh-CN"/>
        </w:rPr>
        <w:t>和其他商品和服务支出</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16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92.31</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9.27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168.49</w:t>
      </w:r>
      <w:r>
        <w:rPr>
          <w:rFonts w:ascii="Times New Roman" w:hAnsi="Times New Roman" w:eastAsia="仿宋_GB2312" w:cs="Times New Roman"/>
          <w:sz w:val="32"/>
          <w:szCs w:val="32"/>
        </w:rPr>
        <w:t>%。决算数小于预</w:t>
      </w:r>
      <w:r>
        <w:rPr>
          <w:rFonts w:ascii="Times New Roman" w:hAnsi="Times New Roman" w:eastAsia="仿宋_GB2312" w:cs="Times New Roman"/>
          <w:sz w:val="32"/>
          <w:szCs w:val="32"/>
          <w:highlight w:val="none"/>
        </w:rPr>
        <w:t>算数的主要原因是</w:t>
      </w:r>
      <w:r>
        <w:rPr>
          <w:rFonts w:hint="eastAsia" w:ascii="Times New Roman" w:hAnsi="Times New Roman" w:eastAsia="仿宋_GB2312"/>
          <w:sz w:val="32"/>
          <w:szCs w:val="32"/>
          <w:highlight w:val="none"/>
          <w:lang w:val="en-US" w:eastAsia="zh-CN"/>
        </w:rPr>
        <w:t>严格按预算执行</w:t>
      </w:r>
      <w:r>
        <w:rPr>
          <w:rFonts w:ascii="Times New Roman" w:hAnsi="Times New Roman" w:eastAsia="仿宋_GB2312" w:cs="Times New Roman"/>
          <w:sz w:val="32"/>
          <w:szCs w:val="32"/>
          <w:highlight w:val="none"/>
        </w:rPr>
        <w:t>。决算数大于上年数的主要原因是</w:t>
      </w:r>
      <w:r>
        <w:rPr>
          <w:rFonts w:hint="eastAsia" w:ascii="Times New Roman" w:hAnsi="Times New Roman" w:eastAsia="仿宋_GB2312" w:cs="Times New Roman"/>
          <w:sz w:val="32"/>
          <w:szCs w:val="32"/>
        </w:rPr>
        <w:t>三个单位合并，三公经费预算增加，特别是</w:t>
      </w:r>
      <w:r>
        <w:rPr>
          <w:rFonts w:hint="eastAsia" w:ascii="Times New Roman" w:hAnsi="Times New Roman" w:eastAsia="仿宋_GB2312" w:cs="Times New Roman"/>
          <w:sz w:val="32"/>
          <w:szCs w:val="32"/>
          <w:lang w:val="en-US" w:eastAsia="zh-CN"/>
        </w:rPr>
        <w:t>车</w:t>
      </w:r>
      <w:r>
        <w:rPr>
          <w:rFonts w:hint="eastAsia" w:ascii="Times New Roman" w:hAnsi="Times New Roman" w:eastAsia="仿宋_GB2312" w:cs="Times New Roman"/>
          <w:sz w:val="32"/>
          <w:szCs w:val="32"/>
        </w:rPr>
        <w:t>辆运行维护费</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4"/>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因公出国（境）费支出预算为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w:t>
      </w:r>
      <w:r>
        <w:rPr>
          <w:rFonts w:ascii="Times New Roman" w:hAnsi="Times New Roman" w:eastAsia="仿宋_GB2312" w:cs="Times New Roman"/>
          <w:color w:val="000000" w:themeColor="text1"/>
          <w:sz w:val="32"/>
          <w:szCs w:val="32"/>
          <w14:textFill>
            <w14:solidFill>
              <w14:schemeClr w14:val="tx1"/>
            </w14:solidFill>
          </w14:textFill>
        </w:rPr>
        <w:t>与上年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持平</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预算数的主要原因是本单位厉行节俭，严控“三公”经费，</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hint="eastAsia" w:ascii="仿宋_GB2312" w:hAnsi="仿宋" w:eastAsia="仿宋_GB2312" w:cs="仿宋"/>
          <w:color w:val="000000"/>
          <w:sz w:val="32"/>
          <w:szCs w:val="32"/>
          <w:lang w:val="en-US" w:eastAsia="zh-CN"/>
        </w:rPr>
        <w:t>上年数持平的</w:t>
      </w:r>
      <w:r>
        <w:rPr>
          <w:rFonts w:hint="eastAsia" w:ascii="Times New Roman" w:hAnsi="Times New Roman" w:eastAsia="仿宋_GB2312"/>
          <w:sz w:val="32"/>
          <w:szCs w:val="32"/>
        </w:rPr>
        <w:t>主要原因</w:t>
      </w:r>
      <w:r>
        <w:rPr>
          <w:rFonts w:hint="eastAsia" w:ascii="Times New Roman" w:hAnsi="Times New Roman" w:eastAsia="仿宋_GB2312"/>
          <w:sz w:val="32"/>
          <w:szCs w:val="32"/>
          <w:lang w:val="en-US" w:eastAsia="zh-CN"/>
        </w:rPr>
        <w:t>本年度未发生</w:t>
      </w:r>
      <w:r>
        <w:rPr>
          <w:rFonts w:hint="eastAsia" w:ascii="Times New Roman" w:hAnsi="Times New Roman" w:eastAsia="仿宋_GB2312"/>
          <w:sz w:val="32"/>
          <w:szCs w:val="32"/>
        </w:rPr>
        <w:t>因公出国（境）费</w:t>
      </w:r>
      <w:r>
        <w:rPr>
          <w:rFonts w:hint="eastAsia" w:ascii="仿宋_GB2312" w:hAnsi="仿宋" w:eastAsia="仿宋_GB2312" w:cs="仿宋"/>
          <w:color w:val="000000"/>
          <w:sz w:val="32"/>
          <w:szCs w:val="32"/>
          <w:lang w:val="en-US" w:eastAsia="zh-CN"/>
        </w:rPr>
        <w:t>。</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200</w:t>
      </w:r>
      <w:r>
        <w:rPr>
          <w:rFonts w:ascii="Times New Roman" w:hAnsi="Times New Roman" w:eastAsia="仿宋_GB2312" w:cs="Times New Roman"/>
          <w:sz w:val="32"/>
          <w:szCs w:val="32"/>
        </w:rPr>
        <w:t>%。其中：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rPr>
        <w:t>本单位厉行节俭，严控“三公”经费</w:t>
      </w:r>
      <w:r>
        <w:rPr>
          <w:rFonts w:hint="eastAsia" w:ascii="Times New Roman" w:hAnsi="Times New Roman" w:eastAsia="仿宋_GB2312"/>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数持平的</w:t>
      </w:r>
      <w:r>
        <w:rPr>
          <w:rFonts w:hint="eastAsia" w:ascii="Times New Roman" w:hAnsi="Times New Roman" w:eastAsia="仿宋_GB2312"/>
          <w:sz w:val="32"/>
          <w:szCs w:val="32"/>
        </w:rPr>
        <w:t>主要原因</w:t>
      </w:r>
      <w:r>
        <w:rPr>
          <w:rFonts w:hint="eastAsia" w:ascii="Times New Roman" w:hAnsi="Times New Roman" w:eastAsia="仿宋_GB2312"/>
          <w:sz w:val="32"/>
          <w:szCs w:val="32"/>
          <w:lang w:val="en-US" w:eastAsia="zh-CN"/>
        </w:rPr>
        <w:t>本年度未发生公务用车购置费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怀化市检验检测中心</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万元，主要是</w:t>
      </w:r>
      <w:r>
        <w:rPr>
          <w:rFonts w:hint="eastAsia" w:ascii="Times New Roman" w:hAnsi="Times New Roman" w:eastAsia="仿宋_GB2312"/>
          <w:sz w:val="32"/>
          <w:szCs w:val="32"/>
          <w:highlight w:val="none"/>
          <w:lang w:eastAsia="zh-CN"/>
        </w:rPr>
        <w:t>油料费、车辆保险费、</w:t>
      </w:r>
      <w:r>
        <w:rPr>
          <w:rFonts w:hint="eastAsia" w:ascii="Times New Roman" w:hAnsi="Times New Roman" w:eastAsia="仿宋_GB2312"/>
          <w:sz w:val="32"/>
          <w:szCs w:val="32"/>
          <w:highlight w:val="none"/>
          <w:lang w:val="en-US" w:eastAsia="zh-CN"/>
        </w:rPr>
        <w:t>过路费等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rPr>
        <w:t>本单位厉行节俭，严控“三公”经费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三个单位合并，三公经费预算增加，特别是</w:t>
      </w:r>
      <w:r>
        <w:rPr>
          <w:rFonts w:hint="eastAsia" w:ascii="Times New Roman" w:hAnsi="Times New Roman" w:eastAsia="仿宋_GB2312" w:cs="Times New Roman"/>
          <w:sz w:val="32"/>
          <w:szCs w:val="32"/>
          <w:lang w:val="en-US" w:eastAsia="zh-CN"/>
        </w:rPr>
        <w:t>车</w:t>
      </w:r>
      <w:r>
        <w:rPr>
          <w:rFonts w:hint="eastAsia" w:ascii="Times New Roman" w:hAnsi="Times New Roman" w:eastAsia="仿宋_GB2312" w:cs="Times New Roman"/>
          <w:sz w:val="32"/>
          <w:szCs w:val="32"/>
        </w:rPr>
        <w:t>辆运行维护费</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辆。</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50.8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0.27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26.68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本单位厉行节俭，严控“三公”经费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本单位</w:t>
      </w:r>
      <w:r>
        <w:rPr>
          <w:rFonts w:hint="eastAsia" w:ascii="Times New Roman" w:hAnsi="Times New Roman" w:eastAsia="仿宋_GB2312" w:cs="Times New Roman"/>
          <w:sz w:val="32"/>
          <w:szCs w:val="32"/>
        </w:rPr>
        <w:t>今年公务接待人次增加，预算增加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144</w:t>
      </w:r>
      <w:r>
        <w:rPr>
          <w:rFonts w:ascii="Times New Roman" w:hAnsi="Times New Roman" w:eastAsia="仿宋_GB2312" w:cs="Times New Roman"/>
          <w:sz w:val="32"/>
          <w:szCs w:val="32"/>
        </w:rPr>
        <w:t>人次，</w:t>
      </w:r>
      <w:r>
        <w:rPr>
          <w:rFonts w:hint="eastAsia" w:ascii="Times New Roman" w:hAnsi="Times New Roman" w:eastAsia="仿宋_GB2312"/>
          <w:sz w:val="32"/>
          <w:szCs w:val="32"/>
          <w:highlight w:val="none"/>
        </w:rPr>
        <w:t>主要</w:t>
      </w:r>
      <w:r>
        <w:rPr>
          <w:rFonts w:hint="eastAsia" w:ascii="Times New Roman" w:hAnsi="Times New Roman" w:eastAsia="仿宋_GB2312"/>
          <w:sz w:val="32"/>
          <w:szCs w:val="32"/>
          <w:highlight w:val="none"/>
          <w:lang w:eastAsia="zh-CN"/>
        </w:rPr>
        <w:t>用于资质扩项、计量授权考核、检验检测机构技术交流等</w:t>
      </w:r>
      <w:r>
        <w:rPr>
          <w:rFonts w:hint="eastAsia" w:ascii="Times New Roman" w:hAnsi="Times New Roman" w:eastAsia="仿宋_GB2312"/>
          <w:sz w:val="32"/>
          <w:szCs w:val="32"/>
          <w:highlight w:val="none"/>
        </w:rPr>
        <w:t>发生的接待支出。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本单位无政府性基金收支。</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九、国有资本经营预算财政拨款支出决算情况说明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cs="Times New Roman"/>
          <w:bCs/>
          <w:sz w:val="32"/>
          <w:szCs w:val="32"/>
        </w:rPr>
      </w:pPr>
      <w:r>
        <w:rPr>
          <w:rFonts w:hint="eastAsia" w:ascii="Times New Roman" w:hAnsi="Times New Roman" w:eastAsia="仿宋_GB2312"/>
          <w:sz w:val="32"/>
          <w:szCs w:val="32"/>
          <w:lang w:val="en-US" w:eastAsia="zh-CN"/>
        </w:rPr>
        <w:t>本单位无国有资本经营预算财政拨款支出。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pPr>
        <w:pStyle w:val="9"/>
        <w:keepNext w:val="0"/>
        <w:keepLines w:val="0"/>
        <w:pageBreakBefore w:val="0"/>
        <w:widowControl/>
        <w:suppressLineNumbers w:val="0"/>
        <w:kinsoku/>
        <w:wordWrap/>
        <w:overflowPunct/>
        <w:topLinePunct w:val="0"/>
        <w:bidi w:val="0"/>
        <w:snapToGrid/>
        <w:spacing w:before="0" w:beforeAutospacing="0" w:afterAutospacing="0"/>
        <w:ind w:left="0" w:firstLine="640" w:firstLineChars="200"/>
        <w:jc w:val="left"/>
        <w:textAlignment w:val="auto"/>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本单位属于事业单位，故没有机关运行经费支出。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pPr>
        <w:pStyle w:val="9"/>
        <w:keepNext w:val="0"/>
        <w:keepLines w:val="0"/>
        <w:pageBreakBefore w:val="0"/>
        <w:widowControl/>
        <w:suppressLineNumbers w:val="0"/>
        <w:kinsoku/>
        <w:wordWrap/>
        <w:overflowPunct/>
        <w:topLinePunct w:val="0"/>
        <w:bidi w:val="0"/>
        <w:snapToGrid/>
        <w:spacing w:before="0" w:beforeAutospacing="0" w:afterAutospacing="0" w:line="600" w:lineRule="exact"/>
        <w:ind w:left="0" w:firstLine="640" w:firstLineChars="200"/>
        <w:jc w:val="left"/>
        <w:textAlignment w:val="auto"/>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rPr>
        <w:t>0.52</w:t>
      </w:r>
      <w:r>
        <w:rPr>
          <w:rFonts w:ascii="Times New Roman" w:hAnsi="Times New Roman" w:eastAsia="仿宋_GB2312" w:cs="Times New Roman"/>
          <w:sz w:val="32"/>
          <w:szCs w:val="32"/>
        </w:rPr>
        <w:t>万元，</w:t>
      </w:r>
      <w:r>
        <w:rPr>
          <w:rFonts w:hint="eastAsia" w:ascii="Times New Roman" w:hAnsi="Times New Roman" w:eastAsia="仿宋_GB2312"/>
          <w:sz w:val="32"/>
          <w:szCs w:val="32"/>
          <w:highlight w:val="none"/>
        </w:rPr>
        <w:t>用于开展</w:t>
      </w:r>
      <w:r>
        <w:rPr>
          <w:rFonts w:hint="eastAsia" w:ascii="Times New Roman" w:hAnsi="Times New Roman" w:eastAsia="仿宋_GB2312"/>
          <w:sz w:val="32"/>
          <w:szCs w:val="32"/>
          <w:highlight w:val="none"/>
          <w:lang w:eastAsia="zh-CN"/>
        </w:rPr>
        <w:t>业务能力</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74</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eastAsia="zh-CN"/>
        </w:rPr>
        <w:t>食品安全抽检监测业务能力提升、特种设备培训、事业单位工作人员培训等</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lang w:eastAsia="zh-CN"/>
        </w:rPr>
        <w:t>未举办</w:t>
      </w:r>
      <w:r>
        <w:rPr>
          <w:rFonts w:hint="eastAsia" w:ascii="Times New Roman" w:hAnsi="Times New Roman" w:eastAsia="仿宋_GB2312"/>
          <w:sz w:val="32"/>
          <w:szCs w:val="32"/>
        </w:rPr>
        <w:t>节庆、晚会、论坛、赛事活动</w:t>
      </w:r>
      <w:r>
        <w:rPr>
          <w:rFonts w:hint="eastAsia" w:ascii="Times New Roman" w:hAnsi="Times New Roman" w:eastAsia="仿宋_GB2312"/>
          <w:sz w:val="32"/>
          <w:szCs w:val="32"/>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349.73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119.74</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230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349.73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349.73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sz w:val="32"/>
          <w:szCs w:val="32"/>
          <w:lang w:val="en-US" w:eastAsia="zh-CN"/>
        </w:rPr>
        <w:t>业务用车</w:t>
      </w:r>
      <w:r>
        <w:rPr>
          <w:rFonts w:ascii="Times New Roman" w:hAnsi="Times New Roman" w:eastAsia="仿宋_GB2312" w:cs="Times New Roman"/>
          <w:color w:val="auto"/>
          <w:sz w:val="32"/>
          <w:szCs w:val="32"/>
        </w:rPr>
        <w:t>；单位价值100万元以上设备（不含车辆）</w:t>
      </w:r>
      <w:r>
        <w:rPr>
          <w:rFonts w:hint="default" w:ascii="Times New Roman" w:hAnsi="Times New Roman" w:eastAsia="仿宋_GB2312" w:cs="Times New Roman"/>
          <w:color w:val="auto"/>
          <w:sz w:val="32"/>
          <w:szCs w:val="32"/>
          <w:lang w:val="en"/>
        </w:rPr>
        <w:t>4</w:t>
      </w:r>
      <w:r>
        <w:rPr>
          <w:rFonts w:ascii="Times New Roman" w:hAnsi="Times New Roman" w:eastAsia="仿宋_GB2312" w:cs="Times New Roman"/>
          <w:color w:val="auto"/>
          <w:sz w:val="32"/>
          <w:szCs w:val="32"/>
        </w:rPr>
        <w:t>台（套）。</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highlight w:val="yellow"/>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452.82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452.82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val="0"/>
        <w:bidi w:val="0"/>
        <w:snapToGrid/>
        <w:spacing w:line="624" w:lineRule="atLeast"/>
        <w:ind w:firstLine="640" w:firstLineChars="200"/>
        <w:textAlignment w:val="auto"/>
        <w:rPr>
          <w:rFonts w:ascii="Times New Roman" w:hAnsi="Times New Roman" w:eastAsia="仿宋_GB2312" w:cs="Times New Roman"/>
          <w:bCs/>
          <w:sz w:val="32"/>
          <w:szCs w:val="32"/>
          <w:highlight w:val="yellow"/>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w:t>
      </w:r>
      <w:r>
        <w:rPr>
          <w:rFonts w:ascii="Times New Roman" w:hAnsi="Times New Roman" w:eastAsia="仿宋_GB2312" w:cs="Times New Roman"/>
          <w:sz w:val="32"/>
          <w:szCs w:val="32"/>
          <w:highlight w:val="none"/>
        </w:rPr>
        <w:t>预算数</w:t>
      </w:r>
      <w:r>
        <w:rPr>
          <w:rFonts w:hint="eastAsia" w:ascii="仿宋_GB2312" w:hAnsi="仿宋_GB2312" w:eastAsia="仿宋_GB2312" w:cs="仿宋_GB2312"/>
          <w:spacing w:val="0"/>
          <w:position w:val="0"/>
          <w:sz w:val="32"/>
          <w:szCs w:val="32"/>
          <w:highlight w:val="none"/>
          <w:lang w:val="en-US" w:eastAsia="zh-CN"/>
        </w:rPr>
        <w:t>1755</w:t>
      </w:r>
      <w:r>
        <w:rPr>
          <w:rFonts w:ascii="Times New Roman" w:hAnsi="Times New Roman" w:eastAsia="仿宋_GB2312" w:cs="Times New Roman"/>
          <w:sz w:val="32"/>
          <w:szCs w:val="32"/>
          <w:highlight w:val="none"/>
        </w:rPr>
        <w:t>万元，执行数</w:t>
      </w:r>
      <w:r>
        <w:rPr>
          <w:rFonts w:hint="eastAsia" w:ascii="仿宋_GB2312" w:hAnsi="仿宋_GB2312" w:eastAsia="仿宋_GB2312" w:cs="仿宋_GB2312"/>
          <w:spacing w:val="0"/>
          <w:position w:val="0"/>
          <w:sz w:val="32"/>
          <w:szCs w:val="32"/>
          <w:highlight w:val="none"/>
          <w:lang w:val="en-US" w:eastAsia="zh-CN"/>
        </w:rPr>
        <w:t>1755</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w:t>
      </w:r>
      <w:r>
        <w:rPr>
          <w:rFonts w:ascii="Times New Roman" w:hAnsi="Times New Roman" w:eastAsia="仿宋_GB2312" w:cs="Times New Roman"/>
          <w:kern w:val="0"/>
          <w:sz w:val="32"/>
          <w:szCs w:val="32"/>
          <w:highlight w:val="none"/>
        </w:rPr>
        <w:t>，绩效自评得分</w:t>
      </w:r>
      <w:r>
        <w:rPr>
          <w:rFonts w:hint="eastAsia" w:ascii="Times New Roman" w:hAnsi="Times New Roman" w:eastAsia="仿宋_GB2312" w:cs="Times New Roman"/>
          <w:kern w:val="0"/>
          <w:sz w:val="32"/>
          <w:szCs w:val="32"/>
          <w:highlight w:val="none"/>
          <w:lang w:val="en-US" w:eastAsia="zh-CN"/>
        </w:rPr>
        <w:t>96.5</w:t>
      </w:r>
      <w:r>
        <w:rPr>
          <w:rFonts w:ascii="Times New Roman" w:hAnsi="Times New Roman" w:eastAsia="仿宋_GB2312" w:cs="Times New Roman"/>
          <w:sz w:val="32"/>
          <w:szCs w:val="32"/>
          <w:highlight w:val="none"/>
        </w:rPr>
        <w:t>分</w:t>
      </w:r>
      <w:r>
        <w:rPr>
          <w:rFonts w:ascii="Times New Roman" w:hAnsi="Times New Roman" w:eastAsia="仿宋_GB2312" w:cs="Times New Roman"/>
          <w:kern w:val="0"/>
          <w:sz w:val="32"/>
          <w:szCs w:val="32"/>
          <w:highlight w:val="none"/>
        </w:rPr>
        <w:t>，评价等级为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优</w:t>
      </w:r>
      <w:r>
        <w:rPr>
          <w:rFonts w:ascii="Times New Roman" w:hAnsi="Times New Roman" w:eastAsia="仿宋_GB2312" w:cs="Times New Roman"/>
          <w:sz w:val="32"/>
          <w:szCs w:val="32"/>
          <w:highlight w:val="none"/>
        </w:rPr>
        <w:t>”。绩效目标完成情况：</w:t>
      </w:r>
      <w:r>
        <w:rPr>
          <w:rFonts w:hint="default" w:ascii="Times New Roman" w:hAnsi="Times New Roman" w:eastAsia="仿宋_GB2312" w:cs="Times New Roman"/>
          <w:sz w:val="32"/>
          <w:szCs w:val="32"/>
          <w:highlight w:val="none"/>
          <w:lang w:val="en-US" w:eastAsia="zh-CN"/>
        </w:rPr>
        <w:t>完成预算内计划下</w:t>
      </w:r>
      <w:r>
        <w:rPr>
          <w:rFonts w:hint="eastAsia" w:ascii="Times New Roman" w:hAnsi="Times New Roman" w:eastAsia="仿宋_GB2312" w:cs="Times New Roman"/>
          <w:sz w:val="32"/>
          <w:szCs w:val="32"/>
          <w:highlight w:val="none"/>
          <w:lang w:val="en-US" w:eastAsia="zh-CN"/>
        </w:rPr>
        <w:t>达的</w:t>
      </w:r>
      <w:r>
        <w:rPr>
          <w:rFonts w:hint="default" w:ascii="Times New Roman" w:hAnsi="Times New Roman" w:eastAsia="仿宋_GB2312" w:cs="Times New Roman"/>
          <w:sz w:val="32"/>
          <w:szCs w:val="32"/>
          <w:highlight w:val="none"/>
          <w:lang w:val="en-US" w:eastAsia="zh-CN"/>
        </w:rPr>
        <w:t>任务</w:t>
      </w:r>
      <w:r>
        <w:rPr>
          <w:rFonts w:hint="eastAsia" w:ascii="Times New Roman" w:hAnsi="Times New Roman" w:eastAsia="仿宋_GB2312" w:cs="Times New Roman"/>
          <w:sz w:val="32"/>
          <w:szCs w:val="32"/>
          <w:highlight w:val="none"/>
          <w:lang w:val="en-US" w:eastAsia="zh-CN"/>
        </w:rPr>
        <w:t>，全部完成</w:t>
      </w:r>
      <w:r>
        <w:rPr>
          <w:rFonts w:ascii="Times New Roman" w:hAnsi="Times New Roman" w:eastAsia="仿宋_GB2312" w:cs="Times New Roman"/>
          <w:sz w:val="32"/>
          <w:szCs w:val="32"/>
          <w:highlight w:val="none"/>
        </w:rPr>
        <w:t>。发现</w:t>
      </w:r>
      <w:r>
        <w:rPr>
          <w:rFonts w:ascii="Times New Roman" w:hAnsi="Times New Roman" w:eastAsia="仿宋_GB2312" w:cs="Times New Roman"/>
          <w:sz w:val="32"/>
          <w:szCs w:val="32"/>
        </w:rPr>
        <w:t>的主要问题及原因：一是</w:t>
      </w:r>
      <w:r>
        <w:rPr>
          <w:rFonts w:hint="eastAsia" w:ascii="Times New Roman" w:hAnsi="Times New Roman" w:eastAsia="仿宋_GB2312" w:cs="Times New Roman"/>
          <w:sz w:val="32"/>
          <w:szCs w:val="32"/>
        </w:rPr>
        <w:t>基层检验机构的</w:t>
      </w:r>
      <w:r>
        <w:rPr>
          <w:rFonts w:hint="eastAsia" w:ascii="Times New Roman" w:hAnsi="Times New Roman" w:eastAsia="仿宋_GB2312" w:cs="Times New Roman"/>
          <w:sz w:val="32"/>
          <w:szCs w:val="32"/>
          <w:lang w:val="en-US" w:eastAsia="zh-CN"/>
        </w:rPr>
        <w:t>能力有待提高</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科研</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有待加强；三是抽检计划下达不及时；四是检验经费保障不到位；五是能力建设没有保障</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val="en-US" w:eastAsia="zh-CN"/>
        </w:rPr>
        <w:t>建议</w:t>
      </w:r>
      <w:r>
        <w:rPr>
          <w:rFonts w:hint="eastAsia" w:ascii="Times New Roman" w:hAnsi="Times New Roman" w:eastAsia="仿宋_GB2312" w:cs="Times New Roman"/>
          <w:sz w:val="32"/>
          <w:szCs w:val="32"/>
        </w:rPr>
        <w:t>加强基层检验机构的</w:t>
      </w:r>
      <w:r>
        <w:rPr>
          <w:rFonts w:hint="eastAsia" w:ascii="Times New Roman" w:hAnsi="Times New Roman" w:eastAsia="仿宋_GB2312" w:cs="Times New Roman"/>
          <w:sz w:val="32"/>
          <w:szCs w:val="32"/>
          <w:lang w:val="en-US" w:eastAsia="zh-CN"/>
        </w:rPr>
        <w:t>能力</w:t>
      </w:r>
      <w:r>
        <w:rPr>
          <w:rFonts w:hint="eastAsia" w:ascii="Times New Roman" w:hAnsi="Times New Roman" w:eastAsia="仿宋_GB2312" w:cs="Times New Roman"/>
          <w:sz w:val="32"/>
          <w:szCs w:val="32"/>
        </w:rPr>
        <w:t>建设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房</w:t>
      </w:r>
      <w:r>
        <w:rPr>
          <w:rFonts w:hint="eastAsia" w:ascii="仿宋" w:hAnsi="仿宋" w:eastAsia="仿宋" w:cs="仿宋"/>
          <w:color w:val="000000"/>
          <w:sz w:val="32"/>
          <w:szCs w:val="32"/>
        </w:rPr>
        <w:t>屋配套设施、大型检测仪器设备，检验资质的能力储备与提高，应由省级相关部门统一规划，当地政府和省财政加大投入，了解检验</w:t>
      </w:r>
      <w:r>
        <w:rPr>
          <w:rFonts w:hint="eastAsia" w:ascii="仿宋" w:hAnsi="仿宋" w:eastAsia="仿宋" w:cs="仿宋"/>
          <w:color w:val="000000"/>
          <w:sz w:val="32"/>
          <w:szCs w:val="32"/>
          <w:lang w:eastAsia="zh-CN"/>
        </w:rPr>
        <w:t>检测</w:t>
      </w:r>
      <w:r>
        <w:rPr>
          <w:rFonts w:hint="eastAsia" w:ascii="仿宋" w:hAnsi="仿宋" w:eastAsia="仿宋" w:cs="仿宋"/>
          <w:color w:val="000000"/>
          <w:sz w:val="32"/>
          <w:szCs w:val="32"/>
        </w:rPr>
        <w:t>的重要性和必要性，保证正常的</w:t>
      </w:r>
      <w:r>
        <w:rPr>
          <w:rFonts w:hint="eastAsia" w:ascii="仿宋" w:hAnsi="仿宋" w:eastAsia="仿宋" w:cs="仿宋"/>
          <w:color w:val="000000"/>
          <w:sz w:val="32"/>
          <w:szCs w:val="32"/>
          <w:lang w:eastAsia="zh-CN"/>
        </w:rPr>
        <w:t>检验检测</w:t>
      </w:r>
      <w:r>
        <w:rPr>
          <w:rFonts w:hint="eastAsia" w:ascii="仿宋" w:hAnsi="仿宋" w:eastAsia="仿宋" w:cs="仿宋"/>
          <w:color w:val="000000"/>
          <w:sz w:val="32"/>
          <w:szCs w:val="32"/>
        </w:rPr>
        <w:t>监督工作开展</w:t>
      </w:r>
      <w:r>
        <w:rPr>
          <w:rFonts w:ascii="Times New Roman" w:hAnsi="Times New Roman" w:eastAsia="仿宋_GB2312" w:cs="Times New Roman"/>
          <w:sz w:val="32"/>
          <w:szCs w:val="32"/>
        </w:rPr>
        <w:t>；二是</w:t>
      </w:r>
      <w:r>
        <w:rPr>
          <w:rFonts w:hint="eastAsia" w:ascii="仿宋" w:hAnsi="仿宋" w:eastAsia="仿宋" w:cs="仿宋"/>
          <w:color w:val="000000"/>
          <w:sz w:val="32"/>
          <w:szCs w:val="32"/>
          <w:lang w:val="en-US" w:eastAsia="zh-CN"/>
        </w:rPr>
        <w:t>建议加强省、市机构科研工作联动</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侧重本地区特色产业技术攻关，</w:t>
      </w:r>
      <w:r>
        <w:rPr>
          <w:rFonts w:hint="eastAsia" w:ascii="仿宋" w:hAnsi="仿宋" w:eastAsia="仿宋" w:cs="仿宋"/>
          <w:color w:val="000000"/>
          <w:sz w:val="32"/>
          <w:szCs w:val="32"/>
        </w:rPr>
        <w:t>解决</w:t>
      </w:r>
      <w:r>
        <w:rPr>
          <w:rFonts w:hint="eastAsia" w:ascii="仿宋" w:hAnsi="仿宋" w:eastAsia="仿宋" w:cs="仿宋"/>
          <w:color w:val="000000"/>
          <w:sz w:val="32"/>
          <w:szCs w:val="32"/>
          <w:lang w:val="en-US" w:eastAsia="zh-CN"/>
        </w:rPr>
        <w:t>本地区产业发展技术发展</w:t>
      </w:r>
      <w:r>
        <w:rPr>
          <w:rFonts w:hint="eastAsia" w:ascii="仿宋" w:hAnsi="仿宋" w:eastAsia="仿宋" w:cs="仿宋"/>
          <w:color w:val="000000"/>
          <w:sz w:val="32"/>
          <w:szCs w:val="32"/>
        </w:rPr>
        <w:t>中存在的问题，加强</w:t>
      </w:r>
      <w:r>
        <w:rPr>
          <w:rFonts w:hint="eastAsia" w:ascii="仿宋" w:hAnsi="仿宋" w:eastAsia="仿宋" w:cs="仿宋"/>
          <w:color w:val="000000"/>
          <w:sz w:val="32"/>
          <w:szCs w:val="32"/>
          <w:lang w:val="en-US" w:eastAsia="zh-CN"/>
        </w:rPr>
        <w:t>技术</w:t>
      </w:r>
      <w:r>
        <w:rPr>
          <w:rFonts w:hint="eastAsia" w:ascii="仿宋" w:hAnsi="仿宋" w:eastAsia="仿宋" w:cs="仿宋"/>
          <w:color w:val="000000"/>
          <w:sz w:val="32"/>
          <w:szCs w:val="32"/>
        </w:rPr>
        <w:t>交流学习，促进</w:t>
      </w:r>
      <w:r>
        <w:rPr>
          <w:rFonts w:hint="eastAsia" w:ascii="仿宋" w:hAnsi="仿宋" w:eastAsia="仿宋" w:cs="仿宋"/>
          <w:color w:val="000000"/>
          <w:sz w:val="32"/>
          <w:szCs w:val="32"/>
          <w:lang w:val="en-US" w:eastAsia="zh-CN"/>
        </w:rPr>
        <w:t>产业</w:t>
      </w:r>
      <w:r>
        <w:rPr>
          <w:rFonts w:hint="eastAsia" w:ascii="仿宋" w:hAnsi="仿宋" w:eastAsia="仿宋" w:cs="仿宋"/>
          <w:color w:val="000000"/>
          <w:sz w:val="32"/>
          <w:szCs w:val="32"/>
        </w:rPr>
        <w:t>人才培养</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三是建议市级抽检计划下达时间尽可能提前，并均衡性抽检，以便保质保量按时完成抽检任务；四是建议检验经费保障到位；五是建议市财政资金和政策支持，对设备进行更换</w:t>
      </w:r>
      <w:r>
        <w:rPr>
          <w:rFonts w:ascii="Times New Roman" w:hAnsi="Times New Roman" w:eastAsia="仿宋_GB2312" w:cs="Times New Roman"/>
          <w:kern w:val="0"/>
          <w:sz w:val="32"/>
          <w:szCs w:val="32"/>
        </w:rPr>
        <w:t>。</w:t>
      </w:r>
    </w:p>
    <w:p>
      <w:pPr>
        <w:pStyle w:val="14"/>
        <w:overflowPunct w:val="0"/>
        <w:autoSpaceDE/>
        <w:autoSpaceDN/>
        <w:spacing w:line="600" w:lineRule="exact"/>
        <w:ind w:firstLine="640" w:firstLineChars="200"/>
        <w:jc w:val="both"/>
        <w:rPr>
          <w:rFonts w:hint="default" w:ascii="仿宋" w:hAnsi="仿宋" w:eastAsia="仿宋" w:cs="仿宋"/>
          <w:color w:val="000000"/>
          <w:kern w:val="2"/>
          <w:sz w:val="32"/>
          <w:szCs w:val="32"/>
          <w:lang w:val="en-US" w:eastAsia="zh-CN" w:bidi="ar-SA"/>
        </w:rPr>
      </w:pPr>
      <w:r>
        <w:rPr>
          <w:rFonts w:ascii="Times New Roman" w:hAnsi="Times New Roman" w:eastAsia="楷体_GB2312" w:cs="Times New Roman"/>
          <w:b/>
          <w:bCs/>
          <w:color w:val="auto"/>
          <w:kern w:val="2"/>
          <w:sz w:val="32"/>
          <w:szCs w:val="32"/>
        </w:rPr>
        <w:t>（三）评价结果应用情况。</w:t>
      </w:r>
      <w:r>
        <w:rPr>
          <w:rFonts w:hint="eastAsia" w:ascii="仿宋" w:hAnsi="仿宋" w:eastAsia="仿宋" w:cs="仿宋"/>
          <w:color w:val="000000"/>
          <w:kern w:val="2"/>
          <w:sz w:val="32"/>
          <w:szCs w:val="32"/>
          <w:lang w:val="en-US" w:eastAsia="zh-CN" w:bidi="ar-SA"/>
        </w:rPr>
        <w:t>通过绩效自评结果，对指标完成好的工作要在下一年度继续巩固和加强，对未完成的指标要深入剖析原因，找出症结，在以后工作中完善和改进吗，作为2025年预算的参考依据。</w:t>
      </w:r>
    </w:p>
    <w:p>
      <w:pPr>
        <w:rPr>
          <w:rFonts w:ascii="Times New Roman" w:hAnsi="Times New Roman" w:cs="Times New Roman"/>
          <w:sz w:val="72"/>
          <w:szCs w:val="72"/>
        </w:rPr>
      </w:pPr>
      <w:r>
        <w:rPr>
          <w:rFonts w:ascii="Times New Roman" w:hAnsi="Times New Roman" w:cs="Times New Roman"/>
          <w:sz w:val="72"/>
          <w:szCs w:val="72"/>
        </w:rPr>
        <w:br w:type="page"/>
      </w: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4"/>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4"/>
        <w:spacing w:line="600" w:lineRule="exact"/>
        <w:ind w:left="1278" w:leftChars="304" w:hanging="640" w:hangingChars="200"/>
        <w:rPr>
          <w:rFonts w:hint="eastAsia" w:ascii="仿宋" w:hAnsi="仿宋" w:eastAsia="仿宋" w:cs="仿宋"/>
          <w:b w:val="0"/>
          <w:bCs w:val="0"/>
          <w:sz w:val="32"/>
          <w:szCs w:val="32"/>
        </w:rPr>
      </w:pPr>
      <w:r>
        <w:rPr>
          <w:rFonts w:hint="eastAsia" w:ascii="仿宋" w:hAnsi="仿宋" w:eastAsia="仿宋" w:cs="仿宋"/>
          <w:b w:val="0"/>
          <w:bCs w:val="0"/>
          <w:sz w:val="32"/>
          <w:szCs w:val="32"/>
        </w:rPr>
        <w:t>一、</w:t>
      </w:r>
      <w:r>
        <w:rPr>
          <w:rFonts w:hint="eastAsia" w:ascii="仿宋" w:hAnsi="仿宋" w:eastAsia="仿宋" w:cs="仿宋"/>
          <w:b w:val="0"/>
          <w:bCs w:val="0"/>
          <w:sz w:val="32"/>
          <w:szCs w:val="32"/>
          <w:lang w:val="en-US" w:eastAsia="zh-CN"/>
        </w:rPr>
        <w:t>怀化市检验检测中心</w:t>
      </w:r>
      <w:r>
        <w:rPr>
          <w:rFonts w:hint="eastAsia" w:ascii="仿宋" w:hAnsi="仿宋" w:eastAsia="仿宋" w:cs="仿宋"/>
          <w:b w:val="0"/>
          <w:bCs w:val="0"/>
          <w:sz w:val="32"/>
          <w:szCs w:val="32"/>
        </w:rPr>
        <w:t>2024年度部门整体支出绩效自评报告</w:t>
      </w:r>
    </w:p>
    <w:p>
      <w:pPr>
        <w:pStyle w:val="14"/>
        <w:spacing w:line="600" w:lineRule="exact"/>
        <w:ind w:left="1278" w:leftChars="304" w:hanging="640" w:hanging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二、怀化市检验检测中心</w:t>
      </w:r>
      <w:r>
        <w:rPr>
          <w:rFonts w:hint="eastAsia" w:ascii="仿宋" w:hAnsi="仿宋" w:eastAsia="仿宋" w:cs="仿宋"/>
          <w:b w:val="0"/>
          <w:bCs w:val="0"/>
          <w:sz w:val="32"/>
          <w:szCs w:val="32"/>
        </w:rPr>
        <w:t>2024年度</w:t>
      </w:r>
      <w:bookmarkStart w:id="0" w:name="_GoBack"/>
      <w:bookmarkEnd w:id="0"/>
      <w:r>
        <w:rPr>
          <w:rFonts w:hint="eastAsia" w:ascii="仿宋" w:hAnsi="仿宋" w:eastAsia="仿宋" w:cs="仿宋"/>
          <w:b w:val="0"/>
          <w:bCs w:val="0"/>
          <w:sz w:val="32"/>
          <w:szCs w:val="32"/>
          <w:lang w:val="en-US" w:eastAsia="zh-CN"/>
        </w:rPr>
        <w:t>项目</w:t>
      </w:r>
      <w:r>
        <w:rPr>
          <w:rFonts w:hint="eastAsia" w:ascii="仿宋" w:hAnsi="仿宋" w:eastAsia="仿宋" w:cs="仿宋"/>
          <w:b w:val="0"/>
          <w:bCs w:val="0"/>
          <w:sz w:val="32"/>
          <w:szCs w:val="32"/>
        </w:rPr>
        <w:t>支出绩效自评报告</w:t>
      </w:r>
    </w:p>
    <w:p>
      <w:pPr>
        <w:pStyle w:val="14"/>
        <w:spacing w:line="6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三、怀化市检验检测中心2024年度部门决算公开表</w:t>
      </w:r>
    </w:p>
    <w:p>
      <w:pPr>
        <w:pStyle w:val="14"/>
        <w:ind w:firstLine="640" w:firstLineChars="200"/>
        <w:rPr>
          <w:rFonts w:hint="eastAsia" w:ascii="仿宋" w:hAnsi="仿宋" w:eastAsia="仿宋" w:cs="仿宋"/>
          <w:b w:val="0"/>
          <w:bCs w:val="0"/>
          <w:sz w:val="32"/>
          <w:szCs w:val="32"/>
          <w:lang w:val="en-US" w:eastAsia="zh-CN"/>
        </w:rPr>
      </w:pPr>
    </w:p>
    <w:p>
      <w:pPr>
        <w:pStyle w:val="14"/>
        <w:spacing w:line="600" w:lineRule="exact"/>
        <w:ind w:firstLine="640" w:firstLineChars="200"/>
        <w:rPr>
          <w:rFonts w:ascii="Times New Roman" w:hAnsi="Times New Roman" w:eastAsia="仿宋_GB2312" w:cs="Times New Roman"/>
          <w:sz w:val="32"/>
          <w:szCs w:val="3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FA29C8-CBF6-4CBB-9B68-D249265F3D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embedRegular r:id="rId2" w:fontKey="{9F4EE2BB-279C-44C6-9EDF-BD3F3C2285EF}"/>
  </w:font>
  <w:font w:name="方正小标宋_GBK">
    <w:altName w:val="Arial Unicode MS"/>
    <w:panose1 w:val="02000000000000000000"/>
    <w:charset w:val="86"/>
    <w:family w:val="script"/>
    <w:pitch w:val="default"/>
    <w:sig w:usb0="00000000" w:usb1="00000000" w:usb2="00000000" w:usb3="00000000" w:csb0="00040000" w:csb1="00000000"/>
    <w:embedRegular r:id="rId3" w:fontKey="{E8A4BD2B-558C-482D-98E0-88A100F941B5}"/>
  </w:font>
  <w:font w:name="仿宋_GB2312">
    <w:altName w:val="仿宋"/>
    <w:panose1 w:val="02010609030101010101"/>
    <w:charset w:val="86"/>
    <w:family w:val="modern"/>
    <w:pitch w:val="default"/>
    <w:sig w:usb0="00000000" w:usb1="00000000" w:usb2="00000000" w:usb3="00000000" w:csb0="00040000" w:csb1="00000000"/>
    <w:embedRegular r:id="rId4" w:fontKey="{627DF8AE-B21A-4475-8538-0A8380A24B59}"/>
  </w:font>
  <w:font w:name="仿宋">
    <w:panose1 w:val="02010609060101010101"/>
    <w:charset w:val="86"/>
    <w:family w:val="auto"/>
    <w:pitch w:val="default"/>
    <w:sig w:usb0="800002BF" w:usb1="38CF7CFA" w:usb2="00000016" w:usb3="00000000" w:csb0="00040001" w:csb1="00000000"/>
    <w:embedRegular r:id="rId5" w:fontKey="{04E92CA4-5675-4F33-90D1-868E38CBED4E}"/>
  </w:font>
  <w:font w:name="楷体_GB2312">
    <w:altName w:val="楷体"/>
    <w:panose1 w:val="00000000000000000000"/>
    <w:charset w:val="86"/>
    <w:family w:val="modern"/>
    <w:pitch w:val="default"/>
    <w:sig w:usb0="00000000" w:usb1="00000000" w:usb2="00000010" w:usb3="00000000" w:csb0="00040000" w:csb1="00000000"/>
    <w:embedRegular r:id="rId6" w:fontKey="{DDB1AD10-8677-4D51-ABFD-984897EB1B3C}"/>
  </w:font>
  <w:font w:name="楷体">
    <w:panose1 w:val="02010609060101010101"/>
    <w:charset w:val="86"/>
    <w:family w:val="modern"/>
    <w:pitch w:val="default"/>
    <w:sig w:usb0="800002BF" w:usb1="38CF7CFA" w:usb2="00000016" w:usb3="00000000" w:csb0="00040001" w:csb1="00000000"/>
    <w:embedRegular r:id="rId7" w:fontKey="{A705FF92-A963-43AC-AAE2-936BEE73970C}"/>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xLOQWAgAAFQQAAA4AAABkcnMvZTJvRG9jLnhtbK1TzY7TMBC+I/EO&#10;lu80aVFX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83qa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98SzkFgIAABUEAAAOAAAAAAAA&#10;AAEAIAAAAB8BAABkcnMvZTJvRG9jLnhtbFBLBQYAAAAABgAGAFkBAACn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EEBAB0"/>
    <w:multiLevelType w:val="singleLevel"/>
    <w:tmpl w:val="AEEEBAB0"/>
    <w:lvl w:ilvl="0" w:tentative="0">
      <w:start w:val="6"/>
      <w:numFmt w:val="decimal"/>
      <w:suff w:val="nothing"/>
      <w:lvlText w:val="%1、"/>
      <w:lvlJc w:val="left"/>
    </w:lvl>
  </w:abstractNum>
  <w:abstractNum w:abstractNumId="1">
    <w:nsid w:val="EBDD5FFE"/>
    <w:multiLevelType w:val="singleLevel"/>
    <w:tmpl w:val="EBDD5FFE"/>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2DC0"/>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1666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24617F2"/>
    <w:rsid w:val="02F92D08"/>
    <w:rsid w:val="048E122E"/>
    <w:rsid w:val="04957428"/>
    <w:rsid w:val="062F6A41"/>
    <w:rsid w:val="078F4A42"/>
    <w:rsid w:val="079E786F"/>
    <w:rsid w:val="08FA1588"/>
    <w:rsid w:val="09D47090"/>
    <w:rsid w:val="0D35493D"/>
    <w:rsid w:val="0E0D7335"/>
    <w:rsid w:val="13AC16D1"/>
    <w:rsid w:val="13D57219"/>
    <w:rsid w:val="143F5822"/>
    <w:rsid w:val="15610299"/>
    <w:rsid w:val="171001C9"/>
    <w:rsid w:val="1D0A66C7"/>
    <w:rsid w:val="1D97DEFF"/>
    <w:rsid w:val="1DFF72E5"/>
    <w:rsid w:val="1E766B63"/>
    <w:rsid w:val="1EFC6F07"/>
    <w:rsid w:val="23BC6EFB"/>
    <w:rsid w:val="24B94ECC"/>
    <w:rsid w:val="250A3C7D"/>
    <w:rsid w:val="25E44CFA"/>
    <w:rsid w:val="2B053749"/>
    <w:rsid w:val="2E750BE6"/>
    <w:rsid w:val="2E884DBD"/>
    <w:rsid w:val="2FDF85B8"/>
    <w:rsid w:val="2FFFEE04"/>
    <w:rsid w:val="33872816"/>
    <w:rsid w:val="34713BFD"/>
    <w:rsid w:val="34DF85B0"/>
    <w:rsid w:val="3575596F"/>
    <w:rsid w:val="36AE738B"/>
    <w:rsid w:val="37F96695"/>
    <w:rsid w:val="38AC78FA"/>
    <w:rsid w:val="39311BAD"/>
    <w:rsid w:val="3B820975"/>
    <w:rsid w:val="3B8F36BC"/>
    <w:rsid w:val="3C552056"/>
    <w:rsid w:val="3D000214"/>
    <w:rsid w:val="3D174D43"/>
    <w:rsid w:val="3E886713"/>
    <w:rsid w:val="3E95042D"/>
    <w:rsid w:val="45F00061"/>
    <w:rsid w:val="461B7E6D"/>
    <w:rsid w:val="470A0C98"/>
    <w:rsid w:val="491FF225"/>
    <w:rsid w:val="4AB15847"/>
    <w:rsid w:val="4B8B339F"/>
    <w:rsid w:val="4BF74ED8"/>
    <w:rsid w:val="4E065E6C"/>
    <w:rsid w:val="4F905428"/>
    <w:rsid w:val="4FFD214C"/>
    <w:rsid w:val="525B1F29"/>
    <w:rsid w:val="545E17CF"/>
    <w:rsid w:val="551A4038"/>
    <w:rsid w:val="55D911AB"/>
    <w:rsid w:val="563A433F"/>
    <w:rsid w:val="5777D4F5"/>
    <w:rsid w:val="57AB457F"/>
    <w:rsid w:val="591E1CF6"/>
    <w:rsid w:val="599975CF"/>
    <w:rsid w:val="59DD8326"/>
    <w:rsid w:val="5AF04DCA"/>
    <w:rsid w:val="5C593045"/>
    <w:rsid w:val="5DEF592A"/>
    <w:rsid w:val="5FC6BB1E"/>
    <w:rsid w:val="5FF720F1"/>
    <w:rsid w:val="60CD3BCF"/>
    <w:rsid w:val="62966DA1"/>
    <w:rsid w:val="64E67B5F"/>
    <w:rsid w:val="657A6506"/>
    <w:rsid w:val="65DE334E"/>
    <w:rsid w:val="66254337"/>
    <w:rsid w:val="66D165FA"/>
    <w:rsid w:val="67FF5C0B"/>
    <w:rsid w:val="690E2C5B"/>
    <w:rsid w:val="6B663FD5"/>
    <w:rsid w:val="6D260198"/>
    <w:rsid w:val="6ED053E9"/>
    <w:rsid w:val="6EFC0924"/>
    <w:rsid w:val="6FB74722"/>
    <w:rsid w:val="6FEF8B7E"/>
    <w:rsid w:val="712A6CFC"/>
    <w:rsid w:val="71A6591B"/>
    <w:rsid w:val="71CA611F"/>
    <w:rsid w:val="724B4571"/>
    <w:rsid w:val="727442DD"/>
    <w:rsid w:val="737D59BA"/>
    <w:rsid w:val="75BA07F0"/>
    <w:rsid w:val="75BDF78F"/>
    <w:rsid w:val="75E9202B"/>
    <w:rsid w:val="76B64EC4"/>
    <w:rsid w:val="77C37683"/>
    <w:rsid w:val="7995551C"/>
    <w:rsid w:val="79D19834"/>
    <w:rsid w:val="79FF515B"/>
    <w:rsid w:val="7B3311D9"/>
    <w:rsid w:val="7B7A0BB6"/>
    <w:rsid w:val="7E2E5C88"/>
    <w:rsid w:val="7E9E1962"/>
    <w:rsid w:val="7E9F11B4"/>
    <w:rsid w:val="7F37EC1E"/>
    <w:rsid w:val="7F7DCD9D"/>
    <w:rsid w:val="7F970A6F"/>
    <w:rsid w:val="7FBF1038"/>
    <w:rsid w:val="7FC1FFF3"/>
    <w:rsid w:val="7FC69637"/>
    <w:rsid w:val="7FDF8620"/>
    <w:rsid w:val="7FE8C8F7"/>
    <w:rsid w:val="7FF9D6D5"/>
    <w:rsid w:val="7FFB242F"/>
    <w:rsid w:val="7FFDB408"/>
    <w:rsid w:val="7FFE4EEB"/>
    <w:rsid w:val="95FB2B98"/>
    <w:rsid w:val="9A639BC2"/>
    <w:rsid w:val="9FF7D786"/>
    <w:rsid w:val="ABBFB23D"/>
    <w:rsid w:val="C3B4DA5A"/>
    <w:rsid w:val="CBFF70E0"/>
    <w:rsid w:val="CFF50B82"/>
    <w:rsid w:val="CFFFAD89"/>
    <w:rsid w:val="DDFF261F"/>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kern w:val="0"/>
      <w:sz w:val="20"/>
      <w:szCs w:val="20"/>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4784</Words>
  <Characters>5255</Characters>
  <Lines>69</Lines>
  <Paragraphs>19</Paragraphs>
  <TotalTime>1</TotalTime>
  <ScaleCrop>false</ScaleCrop>
  <LinksUpToDate>false</LinksUpToDate>
  <CharactersWithSpaces>5270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2025-09-11T10:15:00Z</dcterms:created>
  <dc:creator>李航 null</dc:creator>
  <cp:lastModifiedBy>影子</cp:lastModifiedBy>
  <cp:lastPrinted>2024-08-09T18:20:00Z</cp:lastPrinted>
  <dcterms:modified xsi:type="dcterms:W3CDTF">2025-09-24T07:35:58Z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6F2B178D3A3B496994220CD4E03670A2_13</vt:lpwstr>
  </property>
  <property fmtid="{D5CDD505-2E9C-101B-9397-08002B2CF9AE}" pid="4" name="KSOTemplateDocerSaveRecord">
    <vt:lpwstr>eyJoZGlkIjoiYWIzNDQ1Yjc4NjMyZDJjNTFjZDUwZmM2MDc5M2QzNGQiLCJ1c2VySWQiOiIzNjU3MjI3NzMifQ==</vt:lpwstr>
  </property>
</Properties>
</file>