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E487D">
      <w:pPr>
        <w:pStyle w:val="14"/>
        <w:spacing w:before="156" w:beforeLines="50" w:after="156" w:afterLines="50" w:line="600" w:lineRule="exact"/>
        <w:ind w:firstLine="0" w:firstLineChars="0"/>
        <w:jc w:val="center"/>
        <w:rPr>
          <w:rFonts w:ascii="宋体" w:hAnsi="宋体"/>
          <w:b/>
          <w:bCs/>
          <w:sz w:val="44"/>
          <w:szCs w:val="44"/>
          <w:shd w:val="clear" w:color="auto" w:fill="FFFFFF"/>
        </w:rPr>
      </w:pPr>
      <w:r>
        <w:rPr>
          <w:rFonts w:hint="eastAsia" w:ascii="宋体" w:hAnsi="宋体"/>
          <w:b/>
          <w:bCs/>
          <w:sz w:val="44"/>
          <w:szCs w:val="44"/>
          <w:shd w:val="clear" w:color="auto" w:fill="FFFFFF"/>
        </w:rPr>
        <w:t>202</w:t>
      </w:r>
      <w:r>
        <w:rPr>
          <w:rFonts w:ascii="宋体" w:hAnsi="宋体"/>
          <w:b/>
          <w:bCs/>
          <w:sz w:val="44"/>
          <w:szCs w:val="44"/>
          <w:shd w:val="clear" w:color="auto" w:fill="FFFFFF"/>
        </w:rPr>
        <w:t>5</w:t>
      </w:r>
      <w:r>
        <w:rPr>
          <w:rFonts w:hint="eastAsia" w:ascii="宋体" w:hAnsi="宋体"/>
          <w:b/>
          <w:bCs/>
          <w:sz w:val="44"/>
          <w:szCs w:val="44"/>
          <w:shd w:val="clear" w:color="auto" w:fill="FFFFFF"/>
        </w:rPr>
        <w:t>年度怀化市公共资源交易中心</w:t>
      </w:r>
    </w:p>
    <w:p w14:paraId="363FDD18">
      <w:pPr>
        <w:pStyle w:val="14"/>
        <w:spacing w:before="156" w:beforeLines="50" w:after="156" w:afterLines="50" w:line="600" w:lineRule="exact"/>
        <w:ind w:firstLine="0" w:firstLineChars="0"/>
        <w:jc w:val="center"/>
        <w:rPr>
          <w:rFonts w:ascii="宋体" w:hAnsi="宋体"/>
          <w:b/>
          <w:bCs/>
          <w:sz w:val="44"/>
          <w:szCs w:val="44"/>
          <w:shd w:val="clear" w:color="auto" w:fill="FFFFFF"/>
        </w:rPr>
      </w:pPr>
      <w:r>
        <w:rPr>
          <w:rFonts w:hint="eastAsia" w:ascii="宋体" w:hAnsi="宋体"/>
          <w:b/>
          <w:bCs/>
          <w:sz w:val="44"/>
          <w:szCs w:val="44"/>
          <w:shd w:val="clear" w:color="auto" w:fill="FFFFFF"/>
        </w:rPr>
        <w:t>部门整体支出绩效自评报告</w:t>
      </w:r>
    </w:p>
    <w:p w14:paraId="023E2FA9">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一、部门概况</w:t>
      </w:r>
    </w:p>
    <w:p w14:paraId="26B71407">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（一）部门（单位）基本情况。</w:t>
      </w:r>
    </w:p>
    <w:p w14:paraId="58881BC6">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1.机构设置情况</w:t>
      </w:r>
    </w:p>
    <w:p w14:paraId="789E537E">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怀化市公共资源交易中心为市人民政府直属正处级公益一类事业单位，内设部室为：办公室、监督部、技术信息与市场服务部、财务部、工程交易部、政府采购交易部、产权交易部、自然资源交易部8个职能部室。</w:t>
      </w:r>
    </w:p>
    <w:p w14:paraId="6CF5FD6F">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2.人员编制情况</w:t>
      </w:r>
    </w:p>
    <w:p w14:paraId="3408847C">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根据三定方案，2025年度怀化市公共资源交易中心编制人员54人，在编在岗63人，其中：差额事业管理人员编制54人，长聘人员9人。</w:t>
      </w:r>
    </w:p>
    <w:p w14:paraId="45CF57F2">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3.主要职能职责</w:t>
      </w:r>
    </w:p>
    <w:p w14:paraId="3E6DC305">
      <w:pPr>
        <w:snapToGrid w:val="0"/>
        <w:spacing w:line="600" w:lineRule="exact"/>
        <w:ind w:firstLine="640" w:firstLineChars="200"/>
        <w:rPr>
          <w:rFonts w:cs="Times New Roman Regular" w:asciiTheme="minorEastAsia" w:hAnsiTheme="minorEastAsia"/>
          <w:sz w:val="32"/>
          <w:szCs w:val="32"/>
        </w:rPr>
      </w:pPr>
      <w:r>
        <w:rPr>
          <w:rFonts w:hint="eastAsia" w:cs="方正黑体_GBK" w:asciiTheme="minorEastAsia" w:hAnsiTheme="minorEastAsia"/>
          <w:sz w:val="32"/>
          <w:szCs w:val="32"/>
        </w:rPr>
        <w:t>（1）</w:t>
      </w:r>
      <w:r>
        <w:rPr>
          <w:rFonts w:hint="eastAsia" w:cs="Times New Roman Regular" w:asciiTheme="minorEastAsia" w:hAnsiTheme="minorEastAsia"/>
          <w:sz w:val="32"/>
          <w:szCs w:val="32"/>
        </w:rPr>
        <w:t>贯彻执行国家和省有关公共资源交易的方针政策和法律法规，为市场主体、社会公众、行政监督管理部门提供综合服务。</w:t>
      </w:r>
    </w:p>
    <w:p w14:paraId="13DF6412">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（2）为公共资源交易平台提供运行服务。</w:t>
      </w:r>
    </w:p>
    <w:p w14:paraId="7C0EC46D">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（3）承担工程交易、政府采购交易、产权交易和自然资源交易相关服务工作；提供交易活动所必要的场所、设施和服务。</w:t>
      </w:r>
    </w:p>
    <w:p w14:paraId="5D928B26">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（4）执行各类公共资源交易流程、操作规程和现场管理制度，维持现场交易秩序；为电子交易和监管系统提供对接服务。</w:t>
      </w:r>
    </w:p>
    <w:p w14:paraId="59F10CE4">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5）负责市级公共资源交易平台及电子系统建设、运行、管理，为有关部门核验交易主体的资质提供服务，收集、储存和发布各类公共资源交易信息，为市场主体提供信息咨询服务，记录、整理、保存交易服务过程相关资料，汇总分析、综合利用交易数据，开展交易风险监测预警。</w:t>
      </w:r>
    </w:p>
    <w:p w14:paraId="0F8869BD">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（6）为行政监管部门开展监督提供必要条件和平台服务，配合行政监管部门和监察机关的监督管理工作，及时向行政监管部门报告发现的违反交易规则和管理制度的行为。</w:t>
      </w:r>
    </w:p>
    <w:p w14:paraId="7F4D2224">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（7）在相关部门监督下，承担评标专家抽取有关工作；提供交易活动见证服务；做好项目入场登记服务，组织平台内的公共资源交易活动，对参与平台内交易活动的相关人员、机构活动进行记录和考评。</w:t>
      </w:r>
    </w:p>
    <w:p w14:paraId="4D23BEE8">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（8）完成市委、市政府和市公共资源交易管理委员会交办的其他事项。</w:t>
      </w:r>
    </w:p>
    <w:p w14:paraId="6F5F9F9F">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（二）部门（单位）整体支出规模、使用方向和主要内容、涉及范围等。</w:t>
      </w:r>
    </w:p>
    <w:p w14:paraId="427B92B1">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根据《怀化市财政局关于批复下达202</w:t>
      </w:r>
      <w:r>
        <w:rPr>
          <w:rFonts w:cs="Times New Roman Regular" w:asciiTheme="minorEastAsia" w:hAnsiTheme="minorEastAsia"/>
          <w:sz w:val="32"/>
          <w:szCs w:val="32"/>
        </w:rPr>
        <w:t>5</w:t>
      </w:r>
      <w:r>
        <w:rPr>
          <w:rFonts w:hint="eastAsia" w:cs="Times New Roman Regular" w:asciiTheme="minorEastAsia" w:hAnsiTheme="minorEastAsia"/>
          <w:sz w:val="32"/>
          <w:szCs w:val="32"/>
        </w:rPr>
        <w:t>年市直部门预算的通知》（怀财预〔202</w:t>
      </w:r>
      <w:r>
        <w:rPr>
          <w:rFonts w:cs="Times New Roman Regular" w:asciiTheme="minorEastAsia" w:hAnsiTheme="minorEastAsia"/>
          <w:sz w:val="32"/>
          <w:szCs w:val="32"/>
        </w:rPr>
        <w:t>5</w:t>
      </w:r>
      <w:r>
        <w:rPr>
          <w:rFonts w:hint="eastAsia" w:cs="Times New Roman Regular" w:asciiTheme="minorEastAsia" w:hAnsiTheme="minorEastAsia"/>
          <w:sz w:val="32"/>
          <w:szCs w:val="32"/>
        </w:rPr>
        <w:t>〕</w:t>
      </w:r>
      <w:r>
        <w:rPr>
          <w:rFonts w:cs="Times New Roman Regular" w:asciiTheme="minorEastAsia" w:hAnsiTheme="minorEastAsia"/>
          <w:sz w:val="32"/>
          <w:szCs w:val="32"/>
        </w:rPr>
        <w:t>4</w:t>
      </w:r>
      <w:r>
        <w:rPr>
          <w:rFonts w:hint="eastAsia" w:cs="Times New Roman Regular" w:asciiTheme="minorEastAsia" w:hAnsiTheme="minorEastAsia"/>
          <w:sz w:val="32"/>
          <w:szCs w:val="32"/>
        </w:rPr>
        <w:t>号），202</w:t>
      </w:r>
      <w:r>
        <w:rPr>
          <w:rFonts w:cs="Times New Roman Regular" w:asciiTheme="minorEastAsia" w:hAnsiTheme="minorEastAsia"/>
          <w:sz w:val="32"/>
          <w:szCs w:val="32"/>
        </w:rPr>
        <w:t>5</w:t>
      </w:r>
      <w:r>
        <w:rPr>
          <w:rFonts w:hint="eastAsia" w:cs="Times New Roman Regular" w:asciiTheme="minorEastAsia" w:hAnsiTheme="minorEastAsia"/>
          <w:sz w:val="32"/>
          <w:szCs w:val="32"/>
        </w:rPr>
        <w:t>年我单位整体支出</w:t>
      </w:r>
      <w:r>
        <w:rPr>
          <w:rFonts w:cs="Times New Roman Regular" w:asciiTheme="minorEastAsia" w:hAnsiTheme="minorEastAsia"/>
          <w:sz w:val="32"/>
          <w:szCs w:val="32"/>
        </w:rPr>
        <w:t>2643.36</w:t>
      </w:r>
      <w:r>
        <w:rPr>
          <w:rFonts w:hint="eastAsia" w:cs="Times New Roman Regular" w:asciiTheme="minorEastAsia" w:hAnsiTheme="minorEastAsia"/>
          <w:sz w:val="32"/>
          <w:szCs w:val="32"/>
          <w:lang w:eastAsia="zh-CN"/>
        </w:rPr>
        <w:t>万</w:t>
      </w:r>
      <w:r>
        <w:rPr>
          <w:rFonts w:hint="eastAsia" w:cs="Times New Roman Regular" w:asciiTheme="minorEastAsia" w:hAnsiTheme="minorEastAsia"/>
          <w:sz w:val="32"/>
          <w:szCs w:val="32"/>
        </w:rPr>
        <w:t>元，全部实行整体支出绩效目标管理，编报绩效目标的项目1个，其中：公共交易平台一体化和营商环境评价等经</w:t>
      </w:r>
      <w:r>
        <w:rPr>
          <w:rFonts w:hint="eastAsia" w:cs="微软雅黑" w:asciiTheme="minorEastAsia" w:hAnsiTheme="minorEastAsia"/>
          <w:sz w:val="32"/>
          <w:szCs w:val="32"/>
        </w:rPr>
        <w:t>费</w:t>
      </w:r>
      <w:r>
        <w:rPr>
          <w:rFonts w:cs="Times New Roman Regular" w:asciiTheme="minorEastAsia" w:hAnsiTheme="minorEastAsia"/>
          <w:sz w:val="32"/>
          <w:szCs w:val="32"/>
        </w:rPr>
        <w:t>1326.75</w:t>
      </w:r>
      <w:r>
        <w:rPr>
          <w:rFonts w:hint="eastAsia" w:cs="Times New Roman Regular" w:asciiTheme="minorEastAsia" w:hAnsiTheme="minorEastAsia"/>
          <w:sz w:val="32"/>
          <w:szCs w:val="32"/>
        </w:rPr>
        <w:t>万元，全部实行项目支出绩效目标管理。</w:t>
      </w:r>
    </w:p>
    <w:p w14:paraId="19B77AED">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二、一般公共预算支出情况</w:t>
      </w:r>
    </w:p>
    <w:p w14:paraId="2EF39BC8">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（一）基本支出</w:t>
      </w:r>
    </w:p>
    <w:p w14:paraId="52AC1EA6">
      <w:pPr>
        <w:snapToGrid w:val="0"/>
        <w:spacing w:line="600" w:lineRule="exact"/>
        <w:ind w:firstLine="640" w:firstLineChars="200"/>
        <w:rPr>
          <w:rFonts w:asciiTheme="minorEastAsia" w:hAnsiTheme="minorEastAsia"/>
          <w:sz w:val="32"/>
          <w:szCs w:val="32"/>
        </w:rPr>
      </w:pPr>
      <w:r>
        <w:rPr>
          <w:rFonts w:cs="Times New Roman Regular" w:asciiTheme="minorEastAsia" w:hAnsiTheme="minorEastAsia"/>
          <w:sz w:val="32"/>
          <w:szCs w:val="32"/>
        </w:rPr>
        <w:t>2025年基本支出年初预算1316.61万元，全年预算数1416.61万元，实际支出1403.71万元。基本支出是指为保障单位机构正常运转、完成日常工作任务而发生的各项支出，其中：基本工资305.12万元、津贴补贴0.90万元、奖金200.51万元、绩效工资234.27万元、机关事业单位基本养老保险缴费94.48万元、职业年金</w:t>
      </w:r>
      <w:r>
        <w:rPr>
          <w:rFonts w:hint="eastAsia" w:cs="Times New Roman Regular" w:asciiTheme="minorEastAsia" w:hAnsiTheme="minorEastAsia"/>
          <w:sz w:val="32"/>
          <w:szCs w:val="32"/>
        </w:rPr>
        <w:t>缴费</w:t>
      </w:r>
      <w:r>
        <w:rPr>
          <w:rFonts w:cs="Times New Roman Regular" w:asciiTheme="minorEastAsia" w:hAnsiTheme="minorEastAsia"/>
          <w:sz w:val="32"/>
          <w:szCs w:val="32"/>
        </w:rPr>
        <w:t>48.40万元、职工基本医疗保险缴费36.48万元、其他社会保障缴费41.60万元、住房公积金77.24万元、其他工资福利支出148.91万元</w:t>
      </w:r>
      <w:r>
        <w:rPr>
          <w:rFonts w:hint="eastAsia" w:cs="Times New Roman Regular" w:asciiTheme="minorEastAsia" w:hAnsiTheme="minorEastAsia"/>
          <w:sz w:val="32"/>
          <w:szCs w:val="32"/>
        </w:rPr>
        <w:t>、</w:t>
      </w:r>
      <w:r>
        <w:rPr>
          <w:rFonts w:cs="Times New Roman Regular" w:asciiTheme="minorEastAsia" w:hAnsiTheme="minorEastAsia"/>
          <w:sz w:val="32"/>
          <w:szCs w:val="32"/>
        </w:rPr>
        <w:t>水费0.98万元、邮电费2.48万元、差旅费14.34万元、</w:t>
      </w:r>
      <w:r>
        <w:rPr>
          <w:rFonts w:hint="eastAsia" w:cs="Times New Roman Regular" w:asciiTheme="minorEastAsia" w:hAnsiTheme="minorEastAsia"/>
          <w:sz w:val="32"/>
          <w:szCs w:val="32"/>
        </w:rPr>
        <w:t>培训费5</w:t>
      </w:r>
      <w:r>
        <w:rPr>
          <w:rFonts w:cs="Times New Roman Regular" w:asciiTheme="minorEastAsia" w:hAnsiTheme="minorEastAsia"/>
          <w:sz w:val="32"/>
          <w:szCs w:val="32"/>
        </w:rPr>
        <w:t>.36</w:t>
      </w:r>
      <w:r>
        <w:rPr>
          <w:rFonts w:hint="eastAsia" w:cs="Times New Roman Regular" w:asciiTheme="minorEastAsia" w:hAnsiTheme="minorEastAsia"/>
          <w:sz w:val="32"/>
          <w:szCs w:val="32"/>
        </w:rPr>
        <w:t>万元、</w:t>
      </w:r>
      <w:r>
        <w:rPr>
          <w:rFonts w:cs="Times New Roman Regular" w:asciiTheme="minorEastAsia" w:hAnsiTheme="minorEastAsia"/>
          <w:sz w:val="32"/>
          <w:szCs w:val="32"/>
        </w:rPr>
        <w:t>公务接待费0.53万元、劳务费</w:t>
      </w:r>
      <w:r>
        <w:rPr>
          <w:rFonts w:hint="eastAsia" w:cs="Times New Roman Regular" w:asciiTheme="minorEastAsia" w:hAnsiTheme="minorEastAsia"/>
          <w:sz w:val="32"/>
          <w:szCs w:val="32"/>
        </w:rPr>
        <w:t>8.</w:t>
      </w:r>
      <w:r>
        <w:rPr>
          <w:rFonts w:cs="Times New Roman Regular" w:asciiTheme="minorEastAsia" w:hAnsiTheme="minorEastAsia"/>
          <w:sz w:val="32"/>
          <w:szCs w:val="32"/>
        </w:rPr>
        <w:t>29万元、</w:t>
      </w:r>
      <w:r>
        <w:rPr>
          <w:rFonts w:hint="eastAsia" w:cs="Times New Roman Regular" w:asciiTheme="minorEastAsia" w:hAnsiTheme="minorEastAsia"/>
          <w:sz w:val="32"/>
          <w:szCs w:val="32"/>
        </w:rPr>
        <w:t>委托业务费</w:t>
      </w:r>
      <w:r>
        <w:rPr>
          <w:rFonts w:cs="Times New Roman Regular" w:asciiTheme="minorEastAsia" w:hAnsiTheme="minorEastAsia"/>
          <w:sz w:val="32"/>
          <w:szCs w:val="32"/>
        </w:rPr>
        <w:t>4.50</w:t>
      </w:r>
      <w:r>
        <w:rPr>
          <w:rFonts w:hint="eastAsia" w:cs="Times New Roman Regular" w:asciiTheme="minorEastAsia" w:hAnsiTheme="minorEastAsia"/>
          <w:sz w:val="32"/>
          <w:szCs w:val="32"/>
        </w:rPr>
        <w:t>万元、</w:t>
      </w:r>
      <w:r>
        <w:rPr>
          <w:rFonts w:cs="Times New Roman Regular" w:asciiTheme="minorEastAsia" w:hAnsiTheme="minorEastAsia"/>
          <w:sz w:val="32"/>
          <w:szCs w:val="32"/>
        </w:rPr>
        <w:t>工会经费47.53万元、福利费17.98万元、公务用车运行维护费1.66万元、其他交通费用7.04万元、其他商品和服务支出56.69万元</w:t>
      </w:r>
      <w:r>
        <w:rPr>
          <w:rFonts w:hint="eastAsia" w:cs="Times New Roman Regular" w:asciiTheme="minorEastAsia" w:hAnsiTheme="minorEastAsia"/>
          <w:sz w:val="32"/>
          <w:szCs w:val="32"/>
        </w:rPr>
        <w:t>、</w:t>
      </w:r>
      <w:r>
        <w:rPr>
          <w:rFonts w:cs="Times New Roman Regular" w:asciiTheme="minorEastAsia" w:hAnsiTheme="minorEastAsia"/>
          <w:sz w:val="32"/>
          <w:szCs w:val="32"/>
        </w:rPr>
        <w:t>生活补助25.41万元</w:t>
      </w:r>
      <w:r>
        <w:rPr>
          <w:rFonts w:hint="eastAsia" w:cs="Times New Roman Regular" w:asciiTheme="minorEastAsia" w:hAnsiTheme="minorEastAsia"/>
          <w:sz w:val="32"/>
          <w:szCs w:val="32"/>
        </w:rPr>
        <w:t>等。</w:t>
      </w:r>
    </w:p>
    <w:p w14:paraId="30209BB9">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2025年我单位无</w:t>
      </w:r>
      <w:r>
        <w:rPr>
          <w:rFonts w:cs="Times New Roman Regular" w:asciiTheme="minorEastAsia" w:hAnsiTheme="minorEastAsia"/>
          <w:sz w:val="32"/>
          <w:szCs w:val="32"/>
        </w:rPr>
        <w:t>一般公共预算“三公”经费预算</w:t>
      </w:r>
      <w:r>
        <w:rPr>
          <w:rFonts w:hint="eastAsia" w:cs="Times New Roman Regular" w:asciiTheme="minorEastAsia" w:hAnsiTheme="minorEastAsia"/>
          <w:sz w:val="32"/>
          <w:szCs w:val="32"/>
        </w:rPr>
        <w:t>，主要原因是我单位无一般公共预算财政拨款基本支出拨款收入，也没有使用一般公共预算财政拨款基本支出拨款安排的支出。</w:t>
      </w:r>
    </w:p>
    <w:p w14:paraId="6E02E4BE">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（二）项目支出</w:t>
      </w:r>
    </w:p>
    <w:p w14:paraId="000E3361">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1</w:t>
      </w:r>
      <w:r>
        <w:rPr>
          <w:rFonts w:hint="eastAsia" w:cs="Times New Roman Regular" w:asciiTheme="minorEastAsia" w:hAnsiTheme="minorEastAsia"/>
          <w:sz w:val="32"/>
          <w:szCs w:val="32"/>
        </w:rPr>
        <w:t>.</w:t>
      </w:r>
      <w:r>
        <w:rPr>
          <w:rFonts w:cs="Times New Roman Regular" w:asciiTheme="minorEastAsia" w:hAnsiTheme="minorEastAsia"/>
          <w:sz w:val="32"/>
          <w:szCs w:val="32"/>
        </w:rPr>
        <w:t>项目资金（包括财政资金、自筹资金等）安排落实、总投入等情况分析</w:t>
      </w:r>
    </w:p>
    <w:p w14:paraId="3BD5C883">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2025年项目支出年初预算1326.75万元，全年预算1226.75万元，实际支出806.87万元。项目支出是指单位为完成特定行政工作任务或事业发展目标而发生的支出，包括有关事业发展专项、专项业务费、基本建设支出等。</w:t>
      </w:r>
    </w:p>
    <w:p w14:paraId="137A0CE1">
      <w:pPr>
        <w:snapToGrid w:val="0"/>
        <w:spacing w:line="600" w:lineRule="exact"/>
        <w:ind w:left="640"/>
        <w:rPr>
          <w:rFonts w:cs="Times New Roman Regular" w:asciiTheme="minorEastAsia" w:hAnsiTheme="minorEastAsia"/>
          <w:sz w:val="32"/>
          <w:szCs w:val="32"/>
        </w:rPr>
      </w:pPr>
      <w:r>
        <w:rPr>
          <w:rFonts w:hint="eastAsia" w:cs="Times New Roman Regular" w:asciiTheme="minorEastAsia" w:hAnsiTheme="minorEastAsia"/>
          <w:sz w:val="32"/>
          <w:szCs w:val="32"/>
        </w:rPr>
        <w:t>2.</w:t>
      </w:r>
      <w:r>
        <w:rPr>
          <w:rFonts w:cs="Times New Roman Regular" w:asciiTheme="minorEastAsia" w:hAnsiTheme="minorEastAsia"/>
          <w:sz w:val="32"/>
          <w:szCs w:val="32"/>
        </w:rPr>
        <w:t>项目资金（主要指财政资金）实际使用情况分析</w:t>
      </w:r>
    </w:p>
    <w:p w14:paraId="4C4CD932">
      <w:pPr>
        <w:snapToGrid w:val="0"/>
        <w:spacing w:line="600" w:lineRule="exact"/>
        <w:ind w:firstLine="640"/>
        <w:rPr>
          <w:rFonts w:cs="Times New Roman Regular" w:asciiTheme="minorEastAsia" w:hAnsiTheme="minorEastAsia"/>
          <w:sz w:val="32"/>
          <w:szCs w:val="32"/>
        </w:rPr>
      </w:pPr>
      <w:r>
        <w:rPr>
          <w:rFonts w:cs="Times New Roman Regular" w:asciiTheme="minorEastAsia" w:hAnsiTheme="minorEastAsia"/>
          <w:sz w:val="32"/>
          <w:szCs w:val="32"/>
        </w:rPr>
        <w:t>我</w:t>
      </w:r>
      <w:r>
        <w:rPr>
          <w:rFonts w:hint="eastAsia" w:cs="Times New Roman Regular" w:asciiTheme="minorEastAsia" w:hAnsiTheme="minorEastAsia"/>
          <w:sz w:val="32"/>
          <w:szCs w:val="32"/>
        </w:rPr>
        <w:t>单位</w:t>
      </w:r>
      <w:r>
        <w:rPr>
          <w:rFonts w:cs="Times New Roman Regular" w:asciiTheme="minorEastAsia" w:hAnsiTheme="minorEastAsia"/>
          <w:sz w:val="32"/>
          <w:szCs w:val="32"/>
        </w:rPr>
        <w:t>是纳入部门预算的</w:t>
      </w:r>
      <w:r>
        <w:rPr>
          <w:rFonts w:hint="eastAsia" w:cs="Times New Roman Regular" w:asciiTheme="minorEastAsia" w:hAnsiTheme="minorEastAsia"/>
          <w:sz w:val="32"/>
          <w:szCs w:val="32"/>
        </w:rPr>
        <w:t>差额拨款</w:t>
      </w:r>
      <w:r>
        <w:rPr>
          <w:rFonts w:cs="Times New Roman Regular" w:asciiTheme="minorEastAsia" w:hAnsiTheme="minorEastAsia"/>
          <w:sz w:val="32"/>
          <w:szCs w:val="32"/>
        </w:rPr>
        <w:t>公益一类事业单位，</w:t>
      </w:r>
      <w:r>
        <w:rPr>
          <w:rFonts w:hint="eastAsia" w:cs="Times New Roman Regular" w:asciiTheme="minorEastAsia" w:hAnsiTheme="minorEastAsia"/>
          <w:sz w:val="32"/>
          <w:szCs w:val="32"/>
        </w:rPr>
        <w:t>我</w:t>
      </w:r>
      <w:r>
        <w:rPr>
          <w:rFonts w:cs="Times New Roman Regular" w:asciiTheme="minorEastAsia" w:hAnsiTheme="minorEastAsia"/>
          <w:sz w:val="32"/>
          <w:szCs w:val="32"/>
        </w:rPr>
        <w:t>单位无</w:t>
      </w:r>
      <w:r>
        <w:rPr>
          <w:rFonts w:hint="eastAsia" w:cs="Times New Roman Regular" w:asciiTheme="minorEastAsia" w:hAnsiTheme="minorEastAsia"/>
          <w:sz w:val="32"/>
          <w:szCs w:val="32"/>
        </w:rPr>
        <w:t>一般公共财政预算拨款</w:t>
      </w:r>
      <w:r>
        <w:rPr>
          <w:rFonts w:cs="Times New Roman Regular" w:asciiTheme="minorEastAsia" w:hAnsiTheme="minorEastAsia"/>
          <w:sz w:val="32"/>
          <w:szCs w:val="32"/>
        </w:rPr>
        <w:t>资金</w:t>
      </w:r>
      <w:r>
        <w:rPr>
          <w:rFonts w:hint="eastAsia" w:cs="Times New Roman Regular" w:asciiTheme="minorEastAsia" w:hAnsiTheme="minorEastAsia"/>
          <w:sz w:val="32"/>
          <w:szCs w:val="32"/>
        </w:rPr>
        <w:t>，使用财政非税专户资金</w:t>
      </w:r>
      <w:r>
        <w:rPr>
          <w:rFonts w:cs="Times New Roman Regular" w:asciiTheme="minorEastAsia" w:hAnsiTheme="minorEastAsia"/>
          <w:sz w:val="32"/>
          <w:szCs w:val="32"/>
        </w:rPr>
        <w:t>。</w:t>
      </w:r>
      <w:r>
        <w:rPr>
          <w:rFonts w:hint="eastAsia" w:cs="Times New Roman Regular" w:asciiTheme="minorEastAsia" w:hAnsiTheme="minorEastAsia"/>
          <w:sz w:val="32"/>
          <w:szCs w:val="32"/>
        </w:rPr>
        <w:t>公共交易平台一体化和营商环境评价等经费</w:t>
      </w:r>
      <w:r>
        <w:rPr>
          <w:rFonts w:cs="Times New Roman Regular" w:asciiTheme="minorEastAsia" w:hAnsiTheme="minorEastAsia"/>
          <w:sz w:val="32"/>
          <w:szCs w:val="32"/>
        </w:rPr>
        <w:t>主要用于</w:t>
      </w:r>
      <w:r>
        <w:rPr>
          <w:rFonts w:hint="eastAsia" w:cs="Times New Roman Regular" w:asciiTheme="minorEastAsia" w:hAnsiTheme="minorEastAsia"/>
          <w:sz w:val="32"/>
          <w:szCs w:val="32"/>
        </w:rPr>
        <w:t>全面实现工程建设、政府采购、国有产权、自然资源四大领域项目全流程电子化交易；建成数字见证室，我市公共资源交易开启数字见证新时代；公共资源交易进入“智能辅助评标”新模式；实现跨省远程异地评标；开展数据治理，实现交易数据全省共享等；是继续提升电子化交易水平，以信息化促营商环境改善的工作经费。</w:t>
      </w:r>
    </w:p>
    <w:p w14:paraId="3B353B9D">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其中，办公费</w:t>
      </w:r>
      <w:r>
        <w:rPr>
          <w:rFonts w:cs="Times New Roman Regular" w:asciiTheme="minorEastAsia" w:hAnsiTheme="minorEastAsia"/>
          <w:sz w:val="32"/>
          <w:szCs w:val="32"/>
        </w:rPr>
        <w:t>5.19</w:t>
      </w:r>
      <w:r>
        <w:rPr>
          <w:rFonts w:hint="eastAsia" w:cs="Times New Roman Regular" w:asciiTheme="minorEastAsia" w:hAnsiTheme="minorEastAsia"/>
          <w:sz w:val="32"/>
          <w:szCs w:val="32"/>
        </w:rPr>
        <w:t>万元、电费</w:t>
      </w:r>
      <w:r>
        <w:rPr>
          <w:rFonts w:cs="Times New Roman Regular" w:asciiTheme="minorEastAsia" w:hAnsiTheme="minorEastAsia"/>
          <w:sz w:val="32"/>
          <w:szCs w:val="32"/>
        </w:rPr>
        <w:t>44.00</w:t>
      </w:r>
      <w:r>
        <w:rPr>
          <w:rFonts w:hint="eastAsia" w:cs="Times New Roman Regular" w:asciiTheme="minorEastAsia" w:hAnsiTheme="minorEastAsia"/>
          <w:sz w:val="32"/>
          <w:szCs w:val="32"/>
        </w:rPr>
        <w:t>万元、物业管理费</w:t>
      </w:r>
      <w:r>
        <w:rPr>
          <w:rFonts w:cs="Times New Roman Regular" w:asciiTheme="minorEastAsia" w:hAnsiTheme="minorEastAsia"/>
          <w:sz w:val="32"/>
          <w:szCs w:val="32"/>
        </w:rPr>
        <w:t>69.88</w:t>
      </w:r>
      <w:r>
        <w:rPr>
          <w:rFonts w:hint="eastAsia" w:cs="Times New Roman Regular" w:asciiTheme="minorEastAsia" w:hAnsiTheme="minorEastAsia"/>
          <w:sz w:val="32"/>
          <w:szCs w:val="32"/>
        </w:rPr>
        <w:t>万元、维修（护）费</w:t>
      </w:r>
      <w:r>
        <w:rPr>
          <w:rFonts w:cs="Times New Roman Regular" w:asciiTheme="minorEastAsia" w:hAnsiTheme="minorEastAsia"/>
          <w:sz w:val="32"/>
          <w:szCs w:val="32"/>
        </w:rPr>
        <w:t>247.95</w:t>
      </w:r>
      <w:r>
        <w:rPr>
          <w:rFonts w:hint="eastAsia" w:cs="Times New Roman Regular" w:asciiTheme="minorEastAsia" w:hAnsiTheme="minorEastAsia"/>
          <w:sz w:val="32"/>
          <w:szCs w:val="32"/>
        </w:rPr>
        <w:t>万元、租赁费</w:t>
      </w:r>
      <w:r>
        <w:rPr>
          <w:rFonts w:cs="Times New Roman Regular" w:asciiTheme="minorEastAsia" w:hAnsiTheme="minorEastAsia"/>
          <w:sz w:val="32"/>
          <w:szCs w:val="32"/>
        </w:rPr>
        <w:t>119.00</w:t>
      </w:r>
      <w:r>
        <w:rPr>
          <w:rFonts w:hint="eastAsia" w:cs="Times New Roman Regular" w:asciiTheme="minorEastAsia" w:hAnsiTheme="minorEastAsia"/>
          <w:sz w:val="32"/>
          <w:szCs w:val="32"/>
        </w:rPr>
        <w:t>万元、委</w:t>
      </w:r>
      <w:r>
        <w:rPr>
          <w:rFonts w:hint="eastAsia" w:cs="微软雅黑" w:asciiTheme="minorEastAsia" w:hAnsiTheme="minorEastAsia"/>
          <w:sz w:val="32"/>
          <w:szCs w:val="32"/>
        </w:rPr>
        <w:t>托</w:t>
      </w:r>
      <w:r>
        <w:rPr>
          <w:rFonts w:hint="eastAsia" w:cs="Times New Roman Regular" w:asciiTheme="minorEastAsia" w:hAnsiTheme="minorEastAsia"/>
          <w:sz w:val="32"/>
          <w:szCs w:val="32"/>
        </w:rPr>
        <w:t>业务费7</w:t>
      </w:r>
      <w:r>
        <w:rPr>
          <w:rFonts w:cs="Times New Roman Regular" w:asciiTheme="minorEastAsia" w:hAnsiTheme="minorEastAsia"/>
          <w:sz w:val="32"/>
          <w:szCs w:val="32"/>
        </w:rPr>
        <w:t>9.52</w:t>
      </w:r>
      <w:r>
        <w:rPr>
          <w:rFonts w:hint="eastAsia" w:cs="Times New Roman Regular" w:asciiTheme="minorEastAsia" w:hAnsiTheme="minorEastAsia"/>
          <w:sz w:val="32"/>
          <w:szCs w:val="32"/>
        </w:rPr>
        <w:t>万元、其他商品和服务支出</w:t>
      </w:r>
      <w:r>
        <w:rPr>
          <w:rFonts w:cs="Times New Roman Regular" w:asciiTheme="minorEastAsia" w:hAnsiTheme="minorEastAsia"/>
          <w:sz w:val="32"/>
          <w:szCs w:val="32"/>
        </w:rPr>
        <w:t>70.79</w:t>
      </w:r>
      <w:r>
        <w:rPr>
          <w:rFonts w:hint="eastAsia" w:cs="Times New Roman Regular" w:asciiTheme="minorEastAsia" w:hAnsiTheme="minorEastAsia"/>
          <w:sz w:val="32"/>
          <w:szCs w:val="32"/>
        </w:rPr>
        <w:t>万元、房屋建筑物构建</w:t>
      </w:r>
      <w:r>
        <w:rPr>
          <w:rFonts w:cs="Times New Roman Regular" w:asciiTheme="minorEastAsia" w:hAnsiTheme="minorEastAsia"/>
          <w:sz w:val="32"/>
          <w:szCs w:val="32"/>
        </w:rPr>
        <w:t>40.16</w:t>
      </w:r>
      <w:r>
        <w:rPr>
          <w:rFonts w:hint="eastAsia" w:cs="Times New Roman Regular" w:asciiTheme="minorEastAsia" w:hAnsiTheme="minorEastAsia"/>
          <w:sz w:val="32"/>
          <w:szCs w:val="32"/>
        </w:rPr>
        <w:t>万元、办公设备购置</w:t>
      </w:r>
      <w:r>
        <w:rPr>
          <w:rFonts w:cs="Times New Roman Regular" w:asciiTheme="minorEastAsia" w:hAnsiTheme="minorEastAsia"/>
          <w:sz w:val="32"/>
          <w:szCs w:val="32"/>
        </w:rPr>
        <w:t>50.38</w:t>
      </w:r>
      <w:r>
        <w:rPr>
          <w:rFonts w:hint="eastAsia" w:cs="Times New Roman Regular" w:asciiTheme="minorEastAsia" w:hAnsiTheme="minorEastAsia"/>
          <w:sz w:val="32"/>
          <w:szCs w:val="32"/>
        </w:rPr>
        <w:t>万元、信息网络及软件购置更新</w:t>
      </w:r>
      <w:r>
        <w:rPr>
          <w:rFonts w:cs="Times New Roman Regular" w:asciiTheme="minorEastAsia" w:hAnsiTheme="minorEastAsia"/>
          <w:sz w:val="32"/>
          <w:szCs w:val="32"/>
        </w:rPr>
        <w:t>80.00</w:t>
      </w:r>
      <w:r>
        <w:rPr>
          <w:rFonts w:hint="eastAsia" w:cs="Times New Roman Regular" w:asciiTheme="minorEastAsia" w:hAnsiTheme="minorEastAsia"/>
          <w:sz w:val="32"/>
          <w:szCs w:val="32"/>
        </w:rPr>
        <w:t>万元。</w:t>
      </w:r>
    </w:p>
    <w:p w14:paraId="043CD7D2">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3.</w:t>
      </w:r>
      <w:r>
        <w:rPr>
          <w:rFonts w:cs="Times New Roman Regular" w:asciiTheme="minorEastAsia" w:hAnsiTheme="minorEastAsia"/>
          <w:sz w:val="32"/>
          <w:szCs w:val="32"/>
        </w:rPr>
        <w:t>项目资金管理情况分析，主要包括管理制度、办法的制订及执行情况。</w:t>
      </w:r>
    </w:p>
    <w:p w14:paraId="2D304857">
      <w:pPr>
        <w:snapToGrid w:val="0"/>
        <w:spacing w:line="600" w:lineRule="exact"/>
        <w:ind w:firstLine="640"/>
        <w:rPr>
          <w:rFonts w:cs="Times New Roman Regular" w:asciiTheme="minorEastAsia" w:hAnsiTheme="minorEastAsia"/>
          <w:sz w:val="32"/>
          <w:szCs w:val="32"/>
        </w:rPr>
      </w:pPr>
      <w:r>
        <w:rPr>
          <w:rFonts w:cs="Times New Roman Regular" w:asciiTheme="minorEastAsia" w:hAnsiTheme="minorEastAsia"/>
          <w:sz w:val="32"/>
          <w:szCs w:val="32"/>
        </w:rPr>
        <w:t>项目严格按照“申报</w:t>
      </w:r>
      <w:r>
        <w:rPr>
          <w:rFonts w:hint="eastAsia" w:cs="Times New Roman Regular" w:asciiTheme="minorEastAsia" w:hAnsiTheme="minorEastAsia"/>
          <w:sz w:val="32"/>
          <w:szCs w:val="32"/>
        </w:rPr>
        <w:t>—</w:t>
      </w:r>
      <w:r>
        <w:rPr>
          <w:rFonts w:cs="Times New Roman Regular" w:asciiTheme="minorEastAsia" w:hAnsiTheme="minorEastAsia"/>
          <w:sz w:val="32"/>
          <w:szCs w:val="32"/>
        </w:rPr>
        <w:t>审批</w:t>
      </w:r>
      <w:r>
        <w:rPr>
          <w:rFonts w:hint="eastAsia" w:cs="Times New Roman Regular" w:asciiTheme="minorEastAsia" w:hAnsiTheme="minorEastAsia"/>
          <w:sz w:val="32"/>
          <w:szCs w:val="32"/>
        </w:rPr>
        <w:t>—</w:t>
      </w:r>
      <w:r>
        <w:rPr>
          <w:rFonts w:cs="Times New Roman Regular" w:asciiTheme="minorEastAsia" w:hAnsiTheme="minorEastAsia"/>
          <w:sz w:val="32"/>
          <w:szCs w:val="32"/>
        </w:rPr>
        <w:t>实施</w:t>
      </w:r>
      <w:r>
        <w:rPr>
          <w:rFonts w:hint="eastAsia" w:cs="Times New Roman Regular" w:asciiTheme="minorEastAsia" w:hAnsiTheme="minorEastAsia"/>
          <w:sz w:val="32"/>
          <w:szCs w:val="32"/>
        </w:rPr>
        <w:t>—</w:t>
      </w:r>
      <w:r>
        <w:rPr>
          <w:rFonts w:cs="Times New Roman Regular" w:asciiTheme="minorEastAsia" w:hAnsiTheme="minorEastAsia"/>
          <w:sz w:val="32"/>
          <w:szCs w:val="32"/>
        </w:rPr>
        <w:t>验收”流程推进。由项目部门按照年初财政下达的项目资金预算来进行采购，经党</w:t>
      </w:r>
      <w:r>
        <w:rPr>
          <w:rFonts w:hint="eastAsia" w:cs="Times New Roman Regular" w:asciiTheme="minorEastAsia" w:hAnsiTheme="minorEastAsia"/>
          <w:sz w:val="32"/>
          <w:szCs w:val="32"/>
        </w:rPr>
        <w:t>组</w:t>
      </w:r>
      <w:r>
        <w:rPr>
          <w:rFonts w:cs="Times New Roman Regular" w:asciiTheme="minorEastAsia" w:hAnsiTheme="minorEastAsia"/>
          <w:sz w:val="32"/>
          <w:szCs w:val="32"/>
        </w:rPr>
        <w:t>会会议通过后实行，并按照政府采购程序签订合同。项目实施验收完成后，由项目部门向财务部提交有关项目报销附件。财务部门根据上述报销资料进行初审，报财务分管领导审批后提交到财政归口科室审核，经财政下指标后,按照项目进度及合同约定支付。资金支出严格执行“三重一大”决策制度，严格按照专款专用原则支付项目资金。</w:t>
      </w:r>
    </w:p>
    <w:p w14:paraId="3053FC29">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三、项目组织实施情况</w:t>
      </w:r>
    </w:p>
    <w:p w14:paraId="20FD8078">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我单位在项目组织实施管理方面取得了显著成效。通过构建完善的项目组织体系、明确职责分工与协调机制、加强进度管理和质量管理等措施，确保了项目的顺利实施和高效推进。同时，我单位也将不断优化和完善项目实施管理的各个环节，提升电子化交易水平，</w:t>
      </w:r>
      <w:r>
        <w:rPr>
          <w:rFonts w:hint="eastAsia" w:cs="Times New Roman Regular" w:asciiTheme="minorEastAsia" w:hAnsiTheme="minorEastAsia"/>
          <w:sz w:val="32"/>
          <w:szCs w:val="32"/>
        </w:rPr>
        <w:t>改善</w:t>
      </w:r>
      <w:r>
        <w:rPr>
          <w:rFonts w:cs="Times New Roman Regular" w:asciiTheme="minorEastAsia" w:hAnsiTheme="minorEastAsia"/>
          <w:sz w:val="32"/>
          <w:szCs w:val="32"/>
        </w:rPr>
        <w:t>营商环境。</w:t>
      </w:r>
    </w:p>
    <w:p w14:paraId="383651B0">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在资金使用和管理方面，我单位严格按照财政制度相关要求，坚持专款专用，按项目核算，严格按照规定的范围、标准和程序，加强专项资金的使用管理，确保了专项资金使用管理的规范性、安全性和有效性。</w:t>
      </w:r>
    </w:p>
    <w:p w14:paraId="16E89B77">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四、资产管理情况</w:t>
      </w:r>
    </w:p>
    <w:p w14:paraId="74A0E57D">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资产配置、管理、处置程序严格遵循各项要求。我单位对固定资产建立了台账，对固定资产进行了分类清查和盘点，确保资产的真实性和准确性，同时加强了固定资产的维护和保养工作，提高了固定资产的使用寿命和价值。增减固定资产，严格按照机关事务局及财政局的规定和要求办理审批手续。</w:t>
      </w:r>
    </w:p>
    <w:p w14:paraId="5B90F4A1">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五、</w:t>
      </w:r>
      <w:r>
        <w:rPr>
          <w:rFonts w:cs="方正黑体_GBK" w:asciiTheme="minorEastAsia" w:hAnsiTheme="minorEastAsia"/>
          <w:b/>
          <w:bCs/>
          <w:sz w:val="32"/>
          <w:szCs w:val="32"/>
        </w:rPr>
        <w:t>政府性基金预算支出情况</w:t>
      </w:r>
    </w:p>
    <w:p w14:paraId="6305A704">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2025年</w:t>
      </w:r>
      <w:r>
        <w:rPr>
          <w:rFonts w:hint="eastAsia" w:cs="Times New Roman Regular" w:asciiTheme="minorEastAsia" w:hAnsiTheme="minorEastAsia"/>
          <w:sz w:val="32"/>
          <w:szCs w:val="32"/>
        </w:rPr>
        <w:t>我</w:t>
      </w:r>
      <w:r>
        <w:rPr>
          <w:rFonts w:cs="Times New Roman Regular" w:asciiTheme="minorEastAsia" w:hAnsiTheme="minorEastAsia"/>
          <w:sz w:val="32"/>
          <w:szCs w:val="32"/>
        </w:rPr>
        <w:t>单位无政府性基金预算支出。</w:t>
      </w:r>
    </w:p>
    <w:p w14:paraId="6AE53F2F">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六、</w:t>
      </w:r>
      <w:r>
        <w:rPr>
          <w:rFonts w:cs="方正黑体_GBK" w:asciiTheme="minorEastAsia" w:hAnsiTheme="minorEastAsia"/>
          <w:b/>
          <w:bCs/>
          <w:sz w:val="32"/>
          <w:szCs w:val="32"/>
        </w:rPr>
        <w:t>国有资本经营预算支出情况</w:t>
      </w:r>
    </w:p>
    <w:p w14:paraId="77B5DC24">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2025年</w:t>
      </w:r>
      <w:r>
        <w:rPr>
          <w:rFonts w:hint="eastAsia" w:cs="Times New Roman Regular" w:asciiTheme="minorEastAsia" w:hAnsiTheme="minorEastAsia"/>
          <w:sz w:val="32"/>
          <w:szCs w:val="32"/>
        </w:rPr>
        <w:t>我</w:t>
      </w:r>
      <w:r>
        <w:rPr>
          <w:rFonts w:cs="Times New Roman Regular" w:asciiTheme="minorEastAsia" w:hAnsiTheme="minorEastAsia"/>
          <w:sz w:val="32"/>
          <w:szCs w:val="32"/>
        </w:rPr>
        <w:t>单位无国有资本经营预算支出。</w:t>
      </w:r>
    </w:p>
    <w:p w14:paraId="16CB4AD7">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七、</w:t>
      </w:r>
      <w:r>
        <w:rPr>
          <w:rFonts w:cs="方正黑体_GBK" w:asciiTheme="minorEastAsia" w:hAnsiTheme="minorEastAsia"/>
          <w:b/>
          <w:bCs/>
          <w:sz w:val="32"/>
          <w:szCs w:val="32"/>
        </w:rPr>
        <w:t>社会保险基金预算支出情况</w:t>
      </w:r>
    </w:p>
    <w:p w14:paraId="1002D407">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2025年</w:t>
      </w:r>
      <w:r>
        <w:rPr>
          <w:rFonts w:hint="eastAsia" w:cs="Times New Roman Regular" w:asciiTheme="minorEastAsia" w:hAnsiTheme="minorEastAsia"/>
          <w:sz w:val="32"/>
          <w:szCs w:val="32"/>
        </w:rPr>
        <w:t>我</w:t>
      </w:r>
      <w:r>
        <w:rPr>
          <w:rFonts w:cs="Times New Roman Regular" w:asciiTheme="minorEastAsia" w:hAnsiTheme="minorEastAsia"/>
          <w:sz w:val="32"/>
          <w:szCs w:val="32"/>
        </w:rPr>
        <w:t>单位无社会保险基金预算支出。</w:t>
      </w:r>
    </w:p>
    <w:p w14:paraId="578CD3AD">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八、</w:t>
      </w:r>
      <w:r>
        <w:rPr>
          <w:rFonts w:cs="方正黑体_GBK" w:asciiTheme="minorEastAsia" w:hAnsiTheme="minorEastAsia"/>
          <w:b/>
          <w:bCs/>
          <w:sz w:val="32"/>
          <w:szCs w:val="32"/>
        </w:rPr>
        <w:t>部门整体支出绩效情况</w:t>
      </w:r>
    </w:p>
    <w:p w14:paraId="50A18A75">
      <w:pPr>
        <w:numPr>
          <w:ilvl w:val="0"/>
          <w:numId w:val="1"/>
        </w:num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综合评价结论。</w:t>
      </w:r>
    </w:p>
    <w:p w14:paraId="604998F2">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根据部门整体支出绩效评价指标规定的内容，经我单位认真自评，总评分为100分，实际得分98.36分，2025年度部门整体绩效评价为优秀。</w:t>
      </w:r>
    </w:p>
    <w:p w14:paraId="027D7214">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我单位按照市级部门预决算编制通知和有关要求，按时完成预决算编制工作，并及时在网上进行预决算公开。部门整体绩效目标编制完整、合理，项目绩效目标编制明确、量化。按要求严格预算执行管理，及时足额将专项资金按指标拨付。严格执行“三公经费”预算，按要求及时公开预算、决算、绩效等信息。按要求及时、准确、全面开展资产清查工作，上报国有资产报表数据真实、准确、全面。内部控制制度健全完整并执行良好，在本年度内未出现廉政风险。</w:t>
      </w:r>
    </w:p>
    <w:p w14:paraId="218E2DE7">
      <w:pPr>
        <w:numPr>
          <w:ilvl w:val="0"/>
          <w:numId w:val="2"/>
        </w:num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评价指标分析。</w:t>
      </w:r>
    </w:p>
    <w:p w14:paraId="6683B914">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2025年以来，怀化市公共资源交易中心坚持以习近平新时代中国特色社会主义思想为指导，深入</w:t>
      </w:r>
      <w:r>
        <w:rPr>
          <w:rFonts w:hint="eastAsia" w:cs="Times New Roman Regular" w:asciiTheme="minorEastAsia" w:hAnsiTheme="minorEastAsia"/>
          <w:sz w:val="32"/>
          <w:szCs w:val="32"/>
          <w:lang w:eastAsia="zh-CN"/>
        </w:rPr>
        <w:t>学习</w:t>
      </w:r>
      <w:bookmarkStart w:id="0" w:name="_GoBack"/>
      <w:bookmarkEnd w:id="0"/>
      <w:r>
        <w:rPr>
          <w:rFonts w:hint="eastAsia" w:cs="Times New Roman Regular" w:asciiTheme="minorEastAsia" w:hAnsiTheme="minorEastAsia"/>
          <w:sz w:val="32"/>
          <w:szCs w:val="32"/>
        </w:rPr>
        <w:t>贯彻党的二十大、二十届三中、四中全会精神，全面落实省委省政府、市委市政府决策部署，</w:t>
      </w:r>
      <w:r>
        <w:rPr>
          <w:rFonts w:hint="eastAsia" w:cs="Times New Roman Regular" w:asciiTheme="minorEastAsia" w:hAnsiTheme="minorEastAsia"/>
          <w:sz w:val="32"/>
          <w:szCs w:val="32"/>
          <w:lang w:val="en-US" w:eastAsia="zh-CN"/>
        </w:rPr>
        <w:t>不断推进“机器管招投标”改革，</w:t>
      </w:r>
      <w:r>
        <w:rPr>
          <w:rFonts w:hint="eastAsia" w:cs="Times New Roman Regular" w:asciiTheme="minorEastAsia" w:hAnsiTheme="minorEastAsia"/>
          <w:sz w:val="32"/>
          <w:szCs w:val="32"/>
        </w:rPr>
        <w:t>紧紧围绕“建设阳光、诚信、安全、高效、人民</w:t>
      </w:r>
      <w:r>
        <w:rPr>
          <w:rFonts w:hint="eastAsia" w:cs="微软雅黑" w:asciiTheme="minorEastAsia" w:hAnsiTheme="minorEastAsia"/>
          <w:sz w:val="32"/>
          <w:szCs w:val="32"/>
        </w:rPr>
        <w:t>满</w:t>
      </w:r>
      <w:r>
        <w:rPr>
          <w:rFonts w:hint="eastAsia" w:cs="___WRD_EMBED_SUB_49" w:asciiTheme="minorEastAsia" w:hAnsiTheme="minorEastAsia"/>
          <w:sz w:val="32"/>
          <w:szCs w:val="32"/>
        </w:rPr>
        <w:t>意的公共资源交易平台”服务目标，以党建为引领，以改革为动力，以科技为支</w:t>
      </w:r>
      <w:r>
        <w:rPr>
          <w:rFonts w:hint="eastAsia" w:cs="微软雅黑" w:asciiTheme="minorEastAsia" w:hAnsiTheme="minorEastAsia"/>
          <w:sz w:val="32"/>
          <w:szCs w:val="32"/>
        </w:rPr>
        <w:t>撑</w:t>
      </w:r>
      <w:r>
        <w:rPr>
          <w:rFonts w:hint="eastAsia" w:cs="___WRD_EMBED_SUB_49" w:asciiTheme="minorEastAsia" w:hAnsiTheme="minorEastAsia"/>
          <w:sz w:val="32"/>
          <w:szCs w:val="32"/>
        </w:rPr>
        <w:t>，实现了交易服务质效的全面提升。</w:t>
      </w:r>
    </w:p>
    <w:p w14:paraId="66603404">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2025</w:t>
      </w:r>
      <w:r>
        <w:rPr>
          <w:rFonts w:hint="eastAsia" w:cs="Times New Roman Regular" w:asciiTheme="minorEastAsia" w:hAnsiTheme="minorEastAsia"/>
          <w:sz w:val="32"/>
          <w:szCs w:val="32"/>
        </w:rPr>
        <w:t>年全市完成公共资源进场交易项目1795宗，同比增长17.01%；交易总额294.92亿元，同比增长0.40%；增收资金4970.67万元，节约资金24.15亿元，交易总额位</w:t>
      </w:r>
      <w:r>
        <w:rPr>
          <w:rFonts w:hint="eastAsia" w:cs="微软雅黑" w:asciiTheme="minorEastAsia" w:hAnsiTheme="minorEastAsia"/>
          <w:sz w:val="32"/>
          <w:szCs w:val="32"/>
        </w:rPr>
        <w:t>列</w:t>
      </w:r>
      <w:r>
        <w:rPr>
          <w:rFonts w:hint="eastAsia" w:cs="___WRD_EMBED_SUB_49" w:asciiTheme="minorEastAsia" w:hAnsiTheme="minorEastAsia"/>
          <w:sz w:val="32"/>
          <w:szCs w:val="32"/>
        </w:rPr>
        <w:t>全省</w:t>
      </w:r>
      <w:r>
        <w:rPr>
          <w:rFonts w:hint="eastAsia" w:cs="Times New Roman Regular" w:asciiTheme="minorEastAsia" w:hAnsiTheme="minorEastAsia"/>
          <w:sz w:val="32"/>
          <w:szCs w:val="32"/>
        </w:rPr>
        <w:t>14个市</w:t>
      </w:r>
      <w:r>
        <w:rPr>
          <w:rFonts w:hint="eastAsia" w:cs="微软雅黑" w:asciiTheme="minorEastAsia" w:hAnsiTheme="minorEastAsia"/>
          <w:sz w:val="32"/>
          <w:szCs w:val="32"/>
        </w:rPr>
        <w:t>州</w:t>
      </w:r>
      <w:r>
        <w:rPr>
          <w:rFonts w:hint="eastAsia" w:cs="___WRD_EMBED_SUB_49" w:asciiTheme="minorEastAsia" w:hAnsiTheme="minorEastAsia"/>
          <w:sz w:val="32"/>
          <w:szCs w:val="32"/>
        </w:rPr>
        <w:t>第</w:t>
      </w:r>
      <w:r>
        <w:rPr>
          <w:rFonts w:hint="eastAsia" w:cs="Times New Roman Regular" w:asciiTheme="minorEastAsia" w:hAnsiTheme="minorEastAsia"/>
          <w:sz w:val="32"/>
          <w:szCs w:val="32"/>
        </w:rPr>
        <w:t>2，</w:t>
      </w:r>
      <w:r>
        <w:rPr>
          <w:rFonts w:hint="eastAsia" w:cs="微软雅黑" w:asciiTheme="minorEastAsia" w:hAnsiTheme="minorEastAsia"/>
          <w:sz w:val="32"/>
          <w:szCs w:val="32"/>
        </w:rPr>
        <w:t>再</w:t>
      </w:r>
      <w:r>
        <w:rPr>
          <w:rFonts w:hint="eastAsia" w:cs="___WRD_EMBED_SUB_49" w:asciiTheme="minorEastAsia" w:hAnsiTheme="minorEastAsia"/>
          <w:sz w:val="32"/>
          <w:szCs w:val="32"/>
        </w:rPr>
        <w:t>创</w:t>
      </w:r>
      <w:r>
        <w:rPr>
          <w:rFonts w:hint="eastAsia" w:cs="微软雅黑" w:asciiTheme="minorEastAsia" w:hAnsiTheme="minorEastAsia"/>
          <w:sz w:val="32"/>
          <w:szCs w:val="32"/>
        </w:rPr>
        <w:t>历史</w:t>
      </w:r>
      <w:r>
        <w:rPr>
          <w:rFonts w:hint="eastAsia" w:cs="___WRD_EMBED_SUB_49" w:asciiTheme="minorEastAsia" w:hAnsiTheme="minorEastAsia"/>
          <w:sz w:val="32"/>
          <w:szCs w:val="32"/>
        </w:rPr>
        <w:t>新高，</w:t>
      </w:r>
      <w:r>
        <w:rPr>
          <w:rFonts w:hint="eastAsia" w:cs="Times New Roman Regular" w:asciiTheme="minorEastAsia" w:hAnsiTheme="minorEastAsia"/>
          <w:sz w:val="32"/>
          <w:szCs w:val="32"/>
        </w:rPr>
        <w:t>为全市高水平开放高质量发展贡献力量。2025年度领导班子工作情况</w:t>
      </w:r>
      <w:r>
        <w:rPr>
          <w:rFonts w:hint="eastAsia" w:cs="微软雅黑" w:asciiTheme="minorEastAsia" w:hAnsiTheme="minorEastAsia"/>
          <w:sz w:val="32"/>
          <w:szCs w:val="32"/>
        </w:rPr>
        <w:t>如</w:t>
      </w:r>
      <w:r>
        <w:rPr>
          <w:rFonts w:hint="eastAsia" w:cs="___WRD_EMBED_SUB_49" w:asciiTheme="minorEastAsia" w:hAnsiTheme="minorEastAsia"/>
          <w:sz w:val="32"/>
          <w:szCs w:val="32"/>
        </w:rPr>
        <w:t>下：</w:t>
      </w:r>
    </w:p>
    <w:p w14:paraId="13B8720B">
      <w:pPr>
        <w:spacing w:line="600" w:lineRule="exact"/>
        <w:ind w:left="640"/>
        <w:jc w:val="left"/>
        <w:rPr>
          <w:rFonts w:cs="黑体" w:asciiTheme="minorEastAsia" w:hAnsiTheme="minorEastAsia"/>
          <w:sz w:val="32"/>
          <w:szCs w:val="32"/>
        </w:rPr>
      </w:pPr>
      <w:r>
        <w:rPr>
          <w:rFonts w:hint="eastAsia" w:cs="黑体" w:asciiTheme="minorEastAsia" w:hAnsiTheme="minorEastAsia"/>
          <w:sz w:val="32"/>
          <w:szCs w:val="32"/>
        </w:rPr>
        <w:t>1.筑牢政治根基，把稳发展“方向盘”</w:t>
      </w:r>
    </w:p>
    <w:p w14:paraId="25FBDBC0">
      <w:pPr>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（1）</w:t>
      </w:r>
      <w:r>
        <w:rPr>
          <w:rFonts w:hint="eastAsia" w:cs="楷体_GB2312" w:asciiTheme="minorEastAsia" w:hAnsiTheme="minorEastAsia"/>
          <w:sz w:val="32"/>
          <w:szCs w:val="32"/>
        </w:rPr>
        <w:t>持续强化党的创新理论武装。</w:t>
      </w:r>
      <w:r>
        <w:rPr>
          <w:rFonts w:hint="eastAsia" w:cs="仿宋_GB2312" w:asciiTheme="minorEastAsia" w:hAnsiTheme="minorEastAsia"/>
          <w:sz w:val="32"/>
          <w:szCs w:val="32"/>
        </w:rPr>
        <w:t>严格落实“第一议题”制度，组织党组会议13次、中心组集中（扩大）学习12次，深入学习贯彻《习近平谈治国理政》第五卷、习近平总书记关于党的建设的重要思想等重要论述，以及考察湖南时的重要指示批示精神，扎实开展二十届四中全会精神宣讲，坚持在深化内化转化上下功夫，用“跟进学”确保“跟着走”。</w:t>
      </w:r>
    </w:p>
    <w:p w14:paraId="4A2A20BA">
      <w:pPr>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（2）</w:t>
      </w:r>
      <w:r>
        <w:rPr>
          <w:rFonts w:hint="eastAsia" w:cs="楷体_GB2312" w:asciiTheme="minorEastAsia" w:hAnsiTheme="minorEastAsia"/>
          <w:sz w:val="32"/>
          <w:szCs w:val="32"/>
        </w:rPr>
        <w:t>扎实开展学习教育。</w:t>
      </w:r>
      <w:r>
        <w:rPr>
          <w:rFonts w:hint="eastAsia" w:cs="仿宋_GB2312" w:asciiTheme="minorEastAsia" w:hAnsiTheme="minorEastAsia"/>
          <w:sz w:val="32"/>
          <w:szCs w:val="32"/>
        </w:rPr>
        <w:t>制定学习教育实施方案，通过集中学习、专题党课、案例警示等多元形式，组织专题交流8次、上党课5次、举办读书班1期、开展警示教育7场，原文全文学习中央八项规定及其实施细则精神、《习近平关于加强党的作风建设论述摘编》等内容，拧紧了干部职工思想开关。对照28个问题清单等，深入自查自纠，党组及中层干部共查摆问题138个，建立“班子牵头整改、部室具体落实、专班跟踪督办”机制，召开4次党组会专题研究整改方案，明确责任主体与完成时限，8月中旬完成开标室投影设备更换等18个具体问题整改销号，实现真查真改、闭环落实。</w:t>
      </w:r>
    </w:p>
    <w:p w14:paraId="4D366074">
      <w:pPr>
        <w:widowControl/>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（3）</w:t>
      </w:r>
      <w:r>
        <w:rPr>
          <w:rFonts w:hint="eastAsia" w:cs="楷体_GB2312" w:asciiTheme="minorEastAsia" w:hAnsiTheme="minorEastAsia"/>
          <w:sz w:val="32"/>
          <w:szCs w:val="32"/>
        </w:rPr>
        <w:t>不断压实政治责任。</w:t>
      </w:r>
      <w:r>
        <w:rPr>
          <w:rFonts w:hint="eastAsia" w:cs="仿宋_GB2312" w:asciiTheme="minorEastAsia" w:hAnsiTheme="minorEastAsia"/>
          <w:sz w:val="32"/>
          <w:szCs w:val="32"/>
        </w:rPr>
        <w:t>始终将政治建设贯穿交易工作全过程，立足实际制定2025年党组工作要点，党组书记切实扛起“第一责任人”责任，带头统筹推进重点工作；党组成员严格履行“一岗双责”，实现党建工作与业务工作同部署、同落实、同考核。聚焦“机器管招投标”“优化营商环境”等关键领域，累计解决各类突出问题36项，切实将上级决策部署转化为推动交易工作高质量发展的实际成效。落实统战、安全生产、信访、平安建设等工作责任制，加强法治建设，组织干部职工学法用法，审查合同12份，依法依规妥善处理信访遗留问题1件。</w:t>
      </w:r>
    </w:p>
    <w:p w14:paraId="3A1F16A9">
      <w:pPr>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（4）</w:t>
      </w:r>
      <w:r>
        <w:rPr>
          <w:rFonts w:hint="eastAsia" w:cs="楷体_GB2312" w:asciiTheme="minorEastAsia" w:hAnsiTheme="minorEastAsia"/>
          <w:sz w:val="32"/>
          <w:szCs w:val="32"/>
        </w:rPr>
        <w:t>切实规范组织生活。</w:t>
      </w:r>
      <w:r>
        <w:rPr>
          <w:rFonts w:hint="eastAsia" w:cs="仿宋_GB2312" w:asciiTheme="minorEastAsia" w:hAnsiTheme="minorEastAsia"/>
          <w:sz w:val="32"/>
          <w:szCs w:val="32"/>
        </w:rPr>
        <w:t>党组专题研究党建工作2次，党组成员围绕深入贯彻中央八项规定精神学习教育等主题讲授专题党课5次。严格执行“三会一课”等制度，组织党员集中学习6次、“一月一课一片一实践”活动12次，7月1日赴洪江区开展党性廉洁教育，传承红色基因、筑牢廉洁防线，启动党员活动室改造工作，进一步提升支部凝聚力战斗力，建强战斗堡垒。</w:t>
      </w:r>
    </w:p>
    <w:p w14:paraId="55B52709">
      <w:pPr>
        <w:spacing w:line="600" w:lineRule="exact"/>
        <w:ind w:firstLine="640" w:firstLineChars="200"/>
        <w:jc w:val="left"/>
        <w:rPr>
          <w:rFonts w:cs="黑体" w:asciiTheme="minorEastAsia" w:hAnsiTheme="minorEastAsia"/>
          <w:sz w:val="32"/>
          <w:szCs w:val="32"/>
        </w:rPr>
      </w:pPr>
      <w:r>
        <w:rPr>
          <w:rFonts w:hint="eastAsia" w:cs="黑体" w:asciiTheme="minorEastAsia" w:hAnsiTheme="minorEastAsia"/>
          <w:sz w:val="32"/>
          <w:szCs w:val="32"/>
        </w:rPr>
        <w:t>2.抓实多元重点工作，凝聚奋进“正能量”</w:t>
      </w:r>
    </w:p>
    <w:p w14:paraId="21A775B7">
      <w:pPr>
        <w:pStyle w:val="2"/>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（1）</w:t>
      </w:r>
      <w:r>
        <w:rPr>
          <w:rFonts w:hint="eastAsia" w:cs="楷体_GB2312" w:asciiTheme="minorEastAsia" w:hAnsiTheme="minorEastAsia"/>
          <w:sz w:val="32"/>
          <w:szCs w:val="32"/>
        </w:rPr>
        <w:t>强化队伍能力素质培养。</w:t>
      </w:r>
      <w:r>
        <w:rPr>
          <w:rFonts w:hint="eastAsia" w:cs="仿宋_GB2312" w:asciiTheme="minorEastAsia" w:hAnsiTheme="minorEastAsia"/>
          <w:sz w:val="32"/>
          <w:szCs w:val="32"/>
        </w:rPr>
        <w:t>制定《怀化市公共资源交易中心工作人员培训制度》，围绕招标投标法律法规、电子交易系统操作、廉洁自律准则等内容，全体干部职工参加培训学时人均达150小时以上，提升了干部职工专业素养和履职能力。5月28日组织16名青年职工开展廉洁专题座谈会，围绕清廉建设与本职工作交流研讨。评选“流动红旗部室”“服务明星”16个，通过典型引领激发干部职工服务热情。积极做好工会、群团等工作，荣获2025年全市女职工健身尊巴比赛二等奖，营造团结向上的工作氛围，激发队伍活力。</w:t>
      </w:r>
    </w:p>
    <w:p w14:paraId="305BA11B">
      <w:pPr>
        <w:widowControl/>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（2）</w:t>
      </w:r>
      <w:r>
        <w:rPr>
          <w:rFonts w:hint="eastAsia" w:cs="楷体_GB2312" w:asciiTheme="minorEastAsia" w:hAnsiTheme="minorEastAsia"/>
          <w:sz w:val="32"/>
          <w:szCs w:val="32"/>
        </w:rPr>
        <w:t>用心用情办好民生实事。</w:t>
      </w:r>
      <w:r>
        <w:rPr>
          <w:rFonts w:hint="eastAsia" w:cs="仿宋_GB2312" w:asciiTheme="minorEastAsia" w:hAnsiTheme="minorEastAsia"/>
          <w:sz w:val="32"/>
          <w:szCs w:val="32"/>
        </w:rPr>
        <w:t>落实“四下基层”制度，常态化开展“走找想促”活动，党组成员围绕“机器管招投标”改革等工作开展调研32次，收集解决问题28个。积极推进乡村振兴、社区共建帮扶工作，投入资金20.8万元，推动鹤城区凉亭坳乡杨潭村、城北街道龙塘社区发展。协助推动野桥坪组通组公路硬化项目纳入鹤城区“十五五”规划，维护安装太阳能路灯146盏，助力村集体经济增收与提升村容村貌。重点为2户监测户解决医疗就学等困难。</w:t>
      </w:r>
    </w:p>
    <w:p w14:paraId="4640686B">
      <w:pPr>
        <w:spacing w:line="600" w:lineRule="exact"/>
        <w:ind w:firstLine="640" w:firstLineChars="200"/>
        <w:jc w:val="left"/>
        <w:rPr>
          <w:rFonts w:cs="黑体" w:asciiTheme="minorEastAsia" w:hAnsiTheme="minorEastAsia"/>
          <w:sz w:val="32"/>
          <w:szCs w:val="32"/>
        </w:rPr>
      </w:pPr>
      <w:r>
        <w:rPr>
          <w:rFonts w:hint="eastAsia" w:cs="黑体" w:asciiTheme="minorEastAsia" w:hAnsiTheme="minorEastAsia"/>
          <w:sz w:val="32"/>
          <w:szCs w:val="32"/>
        </w:rPr>
        <w:t>3.聚焦主责主业，彰显服务“硬担当”</w:t>
      </w:r>
    </w:p>
    <w:p w14:paraId="2FF2A205">
      <w:pPr>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（1）</w:t>
      </w:r>
      <w:r>
        <w:rPr>
          <w:rFonts w:hint="eastAsia" w:cs="楷体_GB2312" w:asciiTheme="minorEastAsia" w:hAnsiTheme="minorEastAsia"/>
          <w:sz w:val="32"/>
          <w:szCs w:val="32"/>
        </w:rPr>
        <w:t>持续增强服务重大战略能力。</w:t>
      </w:r>
      <w:r>
        <w:rPr>
          <w:rFonts w:hint="eastAsia" w:cs="仿宋_GB2312" w:asciiTheme="minorEastAsia" w:hAnsiTheme="minorEastAsia"/>
          <w:sz w:val="32"/>
          <w:szCs w:val="32"/>
        </w:rPr>
        <w:t>主动融入全省旅游发展大会等重大战略部署，精准对接项目交易需求。通过前移工作时间、优化流程等方式，提供“延时服务”328次，解决“怀化市排水管网雨污混接错接改造工程（紫东片区、湖天片区）总承包”等项目开标室预约难等实际问题42个，确保全市重点建设项目早进场、早受理、早安排、早交易，为推进“项目建设年”活动提供坚实保障。</w:t>
      </w:r>
    </w:p>
    <w:p w14:paraId="0A3E68CB">
      <w:pPr>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（2）</w:t>
      </w:r>
      <w:r>
        <w:rPr>
          <w:rFonts w:hint="eastAsia" w:cs="楷体_GB2312" w:asciiTheme="minorEastAsia" w:hAnsiTheme="minorEastAsia"/>
          <w:sz w:val="32"/>
          <w:szCs w:val="32"/>
        </w:rPr>
        <w:t>规范现场管理秩序。</w:t>
      </w:r>
      <w:r>
        <w:rPr>
          <w:rFonts w:hint="eastAsia" w:cs="仿宋_GB2312" w:asciiTheme="minorEastAsia" w:hAnsiTheme="minorEastAsia"/>
          <w:sz w:val="32"/>
          <w:szCs w:val="32"/>
        </w:rPr>
        <w:t>严格落实专家物理隔离措施，在全国率先推出“智能胸牌+数字见证”系统，实现评标动态远程见证，巡查人力成本降低70%，评标过程全程可追溯。6月23日使用新建评审专家专用电梯，进一步实现评标专家与其他交易主体分流，有效降低被围猎风险。实行评标专家及招标代理机构“一项目一考评”制度，截至目前，发现并报送违规问题17个，显著提升公共资源交易规范性。</w:t>
      </w:r>
    </w:p>
    <w:p w14:paraId="1746F875">
      <w:pPr>
        <w:widowControl/>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（3）</w:t>
      </w:r>
      <w:r>
        <w:rPr>
          <w:rFonts w:hint="eastAsia" w:cs="楷体_GB2312" w:asciiTheme="minorEastAsia" w:hAnsiTheme="minorEastAsia"/>
          <w:sz w:val="32"/>
          <w:szCs w:val="32"/>
        </w:rPr>
        <w:t>纵深推进全链条监督。</w:t>
      </w:r>
      <w:r>
        <w:rPr>
          <w:rFonts w:hint="eastAsia" w:cs="仿宋_GB2312" w:asciiTheme="minorEastAsia" w:hAnsiTheme="minorEastAsia"/>
          <w:sz w:val="32"/>
          <w:szCs w:val="32"/>
        </w:rPr>
        <w:t>深入推进公共资源交易领域及招标投标领域突出问题系统整治，以“零容忍”态度打击违法违规行为。常态化压实统计监督责任，建立数据治理联动机制，开展2022年至今交易数据系统性治理，实现问题数据当日“清零”，确保数据真实准确。完善与纪检、公安等部门常态化数据共享机</w:t>
      </w:r>
      <w:r>
        <w:rPr>
          <w:rFonts w:hint="eastAsia" w:cs="仿宋_GB2312" w:asciiTheme="minorEastAsia" w:hAnsiTheme="minorEastAsia"/>
          <w:spacing w:val="-6"/>
          <w:sz w:val="32"/>
          <w:szCs w:val="32"/>
        </w:rPr>
        <w:t>制，全年配合调取查阅项目交易资料111次，</w:t>
      </w:r>
      <w:r>
        <w:rPr>
          <w:rFonts w:hint="eastAsia" w:cs="仿宋_GB2312" w:asciiTheme="minorEastAsia" w:hAnsiTheme="minorEastAsia"/>
          <w:sz w:val="32"/>
          <w:szCs w:val="32"/>
        </w:rPr>
        <w:t>较2025年提升81.96%，提供数据上万条，形成监管合力。</w:t>
      </w:r>
    </w:p>
    <w:p w14:paraId="18B669A3">
      <w:pPr>
        <w:widowControl/>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（4）</w:t>
      </w:r>
      <w:r>
        <w:rPr>
          <w:rFonts w:hint="eastAsia" w:cs="楷体_GB2312" w:asciiTheme="minorEastAsia" w:hAnsiTheme="minorEastAsia"/>
          <w:sz w:val="32"/>
          <w:szCs w:val="32"/>
        </w:rPr>
        <w:t>不断优化营商环境。</w:t>
      </w:r>
      <w:r>
        <w:rPr>
          <w:rFonts w:hint="eastAsia" w:cs="仿宋_GB2312" w:asciiTheme="minorEastAsia" w:hAnsiTheme="minorEastAsia"/>
          <w:sz w:val="32"/>
          <w:szCs w:val="32"/>
        </w:rPr>
        <w:t>落实《湖南省2025年营商环境监测工作方案》，结合实际制定工作方案，力争“招标投标”指标进入全省总体监测单项指标前6名。全面推广电子保函（保险）应用，工程</w:t>
      </w:r>
      <w:r>
        <w:rPr>
          <w:rFonts w:hint="eastAsia" w:cs="仿宋_GB2312" w:asciiTheme="minorEastAsia" w:hAnsiTheme="minorEastAsia"/>
          <w:spacing w:val="-11"/>
          <w:sz w:val="32"/>
          <w:szCs w:val="32"/>
        </w:rPr>
        <w:t>建设项目非现金缴纳保证金占比率从去年93.05%提升至</w:t>
      </w:r>
      <w:r>
        <w:rPr>
          <w:rFonts w:hint="eastAsia" w:cs="仿宋_GB2312" w:asciiTheme="minorEastAsia" w:hAnsiTheme="minorEastAsia"/>
          <w:sz w:val="32"/>
          <w:szCs w:val="32"/>
        </w:rPr>
        <w:t>99.05%，为企业减少占用资金4.10亿元；积极推动移动数字证书（CA）全国互认，目前已对接全国30个省、直辖市的750个招标采购平台，切实降低企业交易成本。拓宽远程异地评标合作范围，在全省全覆盖的基础上，与湖北等</w:t>
      </w:r>
      <w:r>
        <w:rPr>
          <w:rFonts w:hint="eastAsia" w:cs="仿宋_GB2312" w:asciiTheme="minorEastAsia" w:hAnsiTheme="minorEastAsia"/>
          <w:spacing w:val="-11"/>
          <w:sz w:val="32"/>
          <w:szCs w:val="32"/>
        </w:rPr>
        <w:t>2省3市建立跨省协作关系。目前已完成</w:t>
      </w:r>
      <w:r>
        <w:rPr>
          <w:rFonts w:hint="eastAsia" w:cs="仿宋_GB2312" w:asciiTheme="minorEastAsia" w:hAnsiTheme="minorEastAsia"/>
          <w:spacing w:val="-6"/>
          <w:sz w:val="32"/>
          <w:szCs w:val="32"/>
        </w:rPr>
        <w:t>主场远程异地评标项目211个、副场项目71个，项目覆盖率达100%，</w:t>
      </w:r>
      <w:r>
        <w:rPr>
          <w:rFonts w:hint="eastAsia" w:cs="仿宋_GB2312" w:asciiTheme="minorEastAsia" w:hAnsiTheme="minorEastAsia"/>
          <w:sz w:val="32"/>
          <w:szCs w:val="32"/>
        </w:rPr>
        <w:t>有效打破地域壁垒，提升评标公正性与效率。</w:t>
      </w:r>
    </w:p>
    <w:p w14:paraId="28FF507B">
      <w:pPr>
        <w:spacing w:line="600" w:lineRule="exact"/>
        <w:ind w:firstLine="640" w:firstLineChars="200"/>
        <w:jc w:val="left"/>
        <w:rPr>
          <w:rFonts w:cs="黑体" w:asciiTheme="minorEastAsia" w:hAnsiTheme="minorEastAsia"/>
          <w:sz w:val="32"/>
          <w:szCs w:val="32"/>
        </w:rPr>
      </w:pPr>
      <w:r>
        <w:rPr>
          <w:rFonts w:hint="eastAsia" w:cs="黑体" w:asciiTheme="minorEastAsia" w:hAnsiTheme="minorEastAsia"/>
          <w:sz w:val="32"/>
          <w:szCs w:val="32"/>
        </w:rPr>
        <w:t>4.推进全面从严治党，筑牢廉政“防火墙”</w:t>
      </w:r>
    </w:p>
    <w:p w14:paraId="65BF5659">
      <w:pPr>
        <w:widowControl/>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（1）</w:t>
      </w:r>
      <w:r>
        <w:rPr>
          <w:rFonts w:hint="eastAsia" w:cs="楷体_GB2312" w:asciiTheme="minorEastAsia" w:hAnsiTheme="minorEastAsia"/>
          <w:sz w:val="32"/>
          <w:szCs w:val="32"/>
        </w:rPr>
        <w:t>压实管党治党责任。</w:t>
      </w:r>
      <w:r>
        <w:rPr>
          <w:rFonts w:hint="eastAsia" w:cs="仿宋_GB2312" w:asciiTheme="minorEastAsia" w:hAnsiTheme="minorEastAsia"/>
          <w:sz w:val="32"/>
          <w:szCs w:val="32"/>
        </w:rPr>
        <w:t>制定2025年纪检监察工作要点及政治监督清单，全年专题研究党风廉政建设工作3次，持续加强政治生态分析研判。严格执行民主集中制，向驻市发改委纪检监察组报告“三重一大”重大事项5件，1名领导干部及2名职工主动报备个人重大事项，全年实现0违规、0违纪，公共资源交易领域政治生态风清气正。</w:t>
      </w:r>
    </w:p>
    <w:p w14:paraId="78608219">
      <w:pPr>
        <w:widowControl/>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（2）</w:t>
      </w:r>
      <w:r>
        <w:rPr>
          <w:rFonts w:hint="eastAsia" w:cs="楷体_GB2312" w:asciiTheme="minorEastAsia" w:hAnsiTheme="minorEastAsia"/>
          <w:sz w:val="32"/>
          <w:szCs w:val="32"/>
        </w:rPr>
        <w:t>加强廉政教育引导。</w:t>
      </w:r>
      <w:r>
        <w:rPr>
          <w:rFonts w:hint="eastAsia" w:cs="仿宋_GB2312" w:asciiTheme="minorEastAsia" w:hAnsiTheme="minorEastAsia"/>
          <w:sz w:val="32"/>
          <w:szCs w:val="32"/>
        </w:rPr>
        <w:t>打造“线上+线下”廉政教育组合，线上通过工作群转发廉政提醒、典型案例18次；线下在交易大厅、办公区打造廉政文化墙，张贴标语80余条，营造“处处见廉、时时学廉”浓厚氛围。全年开展集体廉政谈话3次，个别廉政谈话做到全覆盖，组织干部及家属开展“清风常伴廉洁齐家”座谈会，引导干部职工知敬畏、存戒惧、守底线。</w:t>
      </w:r>
    </w:p>
    <w:p w14:paraId="296BFD42">
      <w:pPr>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（3）</w:t>
      </w:r>
      <w:r>
        <w:rPr>
          <w:rFonts w:hint="eastAsia" w:cs="楷体_GB2312" w:asciiTheme="minorEastAsia" w:hAnsiTheme="minorEastAsia"/>
          <w:sz w:val="32"/>
          <w:szCs w:val="32"/>
        </w:rPr>
        <w:t>深化作风建设整治。</w:t>
      </w:r>
      <w:r>
        <w:rPr>
          <w:rFonts w:hint="eastAsia" w:cs="仿宋_GB2312" w:asciiTheme="minorEastAsia" w:hAnsiTheme="minorEastAsia"/>
          <w:sz w:val="32"/>
          <w:szCs w:val="32"/>
        </w:rPr>
        <w:t>新增《干部职工“八小时外”禁止事项清单》等制度3项，修订文稿审核、夜间评标等制度10余项，形成覆盖“八小时内履职+八小时外自律”的制度闭环。推进领导班子日常巡察工作机制，开展常态化巡察17次，整改13个问题，通报1人，形成“发现问题—督促整改—清单销号”的闭环管理。大力精简会议文件，印发文件数量、召开会议次数分别同比减少20.45%和10.7%。坚持过紧日子，严格执行“零基预算”，党建经费、宣传经费分别缩减81%和70%，“三公”经费实现持续压减，扎实推进政府化债相关工作，持续保持“零债务”良好状态。</w:t>
      </w:r>
    </w:p>
    <w:p w14:paraId="2EDF9057">
      <w:pPr>
        <w:spacing w:line="600" w:lineRule="exact"/>
        <w:ind w:firstLine="640" w:firstLineChars="200"/>
        <w:jc w:val="left"/>
        <w:rPr>
          <w:rFonts w:cs="黑体" w:asciiTheme="minorEastAsia" w:hAnsiTheme="minorEastAsia"/>
          <w:sz w:val="32"/>
          <w:szCs w:val="32"/>
        </w:rPr>
      </w:pPr>
      <w:r>
        <w:rPr>
          <w:rFonts w:hint="eastAsia" w:cs="黑体" w:asciiTheme="minorEastAsia" w:hAnsiTheme="minorEastAsia"/>
          <w:sz w:val="32"/>
          <w:szCs w:val="32"/>
        </w:rPr>
        <w:t>5.亮点工作</w:t>
      </w:r>
    </w:p>
    <w:p w14:paraId="51B11865">
      <w:pPr>
        <w:spacing w:line="600" w:lineRule="exact"/>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（1）</w:t>
      </w:r>
      <w:r>
        <w:rPr>
          <w:rFonts w:hint="eastAsia" w:cs="楷体_GB2312" w:asciiTheme="minorEastAsia" w:hAnsiTheme="minorEastAsia"/>
          <w:sz w:val="32"/>
          <w:szCs w:val="32"/>
        </w:rPr>
        <w:t>积极推进“机器管招投标”改革。</w:t>
      </w:r>
      <w:r>
        <w:rPr>
          <w:rFonts w:hint="eastAsia" w:cs="仿宋_GB2312" w:asciiTheme="minorEastAsia" w:hAnsiTheme="minorEastAsia"/>
          <w:sz w:val="32"/>
          <w:szCs w:val="32"/>
        </w:rPr>
        <w:t>2025年2月27日，省建市用的“机器管招投标”交易系统上线试运行，该系统是人工智能技术在招投标领域应用的体现，通过数字化、模块化、逻辑内嵌的电子招标文件范本体系为牵引，构建覆盖工程建设7大行业34类评标办法的“机器管招投标”数智化平台体系。4月8日，全市首个“机器管招投标”项目——沅陵县老旧小区外城市改造，吸引了全国115家企业参与竞标。2025年，全市“机器管招投标”项目挂网共329个，完成项目交易212个。线上编辑标书、评标人工计算时长均缩短66%左右；外省企业与民营企业参与投标率达34.43%和87.56%，较改革前分别提升11.32%和3.67%；为招标人节约资金5.37亿元，平均节资率为13.36%，比传统模式（4.96%）提高了1.69倍，显著提升了交易效率、公信力、吸引力，交易监管闭环形成有效震慑，解决了招标文件“量体裁衣”和专家滥用“自由裁量权”等问题，项目交易基本实现“打不了招呼，打了招呼也没用”。</w:t>
      </w:r>
    </w:p>
    <w:p w14:paraId="1201BCC7">
      <w:pPr>
        <w:spacing w:line="600" w:lineRule="exact"/>
        <w:ind w:firstLine="640" w:firstLineChars="200"/>
        <w:jc w:val="left"/>
        <w:rPr>
          <w:rFonts w:cs="仿宋_GB2312" w:asciiTheme="minorEastAsia" w:hAnsiTheme="minorEastAsia"/>
          <w:sz w:val="32"/>
          <w:szCs w:val="32"/>
        </w:rPr>
      </w:pPr>
      <w:r>
        <w:rPr>
          <w:rFonts w:hint="eastAsia" w:cs="Times New Roman Regular" w:asciiTheme="minorEastAsia" w:hAnsiTheme="minorEastAsia"/>
          <w:sz w:val="32"/>
          <w:szCs w:val="32"/>
        </w:rPr>
        <w:t>（2）</w:t>
      </w:r>
      <w:r>
        <w:rPr>
          <w:rFonts w:hint="eastAsia" w:cs="楷体_GB2312" w:asciiTheme="minorEastAsia" w:hAnsiTheme="minorEastAsia"/>
          <w:sz w:val="32"/>
          <w:szCs w:val="32"/>
        </w:rPr>
        <w:t>“信用+招标代理”机制成效显著。</w:t>
      </w:r>
      <w:r>
        <w:rPr>
          <w:rFonts w:hint="eastAsia" w:cs="仿宋_GB2312" w:asciiTheme="minorEastAsia" w:hAnsiTheme="minorEastAsia"/>
          <w:sz w:val="32"/>
          <w:szCs w:val="32"/>
        </w:rPr>
        <w:t>怀化市“信用+招标代理”项目自2025年7月入选省“信用+”惠民便企场景建设项目试点以来成效显著</w:t>
      </w:r>
      <w:r>
        <w:rPr>
          <w:rFonts w:cs="仿宋_GB2312" w:asciiTheme="minorEastAsia" w:hAnsiTheme="minorEastAsia"/>
          <w:sz w:val="32"/>
          <w:szCs w:val="32"/>
        </w:rPr>
        <w:t>,获评为2025年全省信用应用场景建设成果观摩特色项目。</w:t>
      </w:r>
      <w:r>
        <w:rPr>
          <w:rFonts w:hint="eastAsia" w:cs="仿宋_GB2312" w:asciiTheme="minorEastAsia" w:hAnsiTheme="minorEastAsia"/>
          <w:sz w:val="32"/>
          <w:szCs w:val="32"/>
        </w:rPr>
        <w:t>构建了“1+N”标准化体系，出台《关于开展“信用+招标代理”试点工作的实施方案》和《怀化市公共资源交易招标代理机构现场行为信用评价细则（试行）》等制度，创新“双承诺双核查”和事前防控、事中阻断、事后闭环的“三阶九步”机制，实现代理机构全流程闭环管理。建设运行怀化市公共资源交易招标代理机构信用评价管理系统+移动端扣分录入系统，实现“管理－移动－见证”规范化运行。针对招标代理机构，建立了涵盖企业履约能力、社会责任等多维度的综合信用监管全周期服务体系，为154家企业建立信用档案，实现应建尽建，招标代理机构和投标人主动信用承诺分别为276次与8832次，系统对接管理端动态评价1333个项目，精准拦截失信黑名单企业20户，不断夯实我市公共资源交易领域信用建设基础。</w:t>
      </w:r>
    </w:p>
    <w:p w14:paraId="0645369D">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九、存在的问题及原因分析</w:t>
      </w:r>
    </w:p>
    <w:p w14:paraId="284CDB5C">
      <w:pPr>
        <w:pStyle w:val="2"/>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（一）</w:t>
      </w:r>
      <w:r>
        <w:rPr>
          <w:rFonts w:hint="eastAsia" w:cs="仿宋_GB2312" w:asciiTheme="minorEastAsia" w:hAnsiTheme="minorEastAsia"/>
          <w:sz w:val="32"/>
          <w:szCs w:val="32"/>
        </w:rPr>
        <w:t>项目支出预算执行进度不均衡，预算执行过程中，部分项目资金支出进度缓慢，而有些项目则出现资金集中支付的情况，导致整体预算执行进度不均衡。</w:t>
      </w:r>
      <w:r>
        <w:rPr>
          <w:rFonts w:cs="仿宋_GB2312" w:asciiTheme="minorEastAsia" w:hAnsiTheme="minorEastAsia"/>
          <w:sz w:val="32"/>
          <w:szCs w:val="32"/>
        </w:rPr>
        <w:t>    </w:t>
      </w:r>
    </w:p>
    <w:p w14:paraId="7CD89DA9">
      <w:pPr>
        <w:pStyle w:val="2"/>
        <w:ind w:firstLine="640" w:firstLineChars="200"/>
        <w:rPr>
          <w:rFonts w:cs="仿宋_GB2312" w:asciiTheme="minorEastAsia" w:hAnsiTheme="minorEastAsia"/>
          <w:sz w:val="32"/>
          <w:szCs w:val="32"/>
        </w:rPr>
      </w:pPr>
      <w:r>
        <w:rPr>
          <w:rFonts w:hint="eastAsia" w:cs="Times New Roman Regular" w:asciiTheme="minorEastAsia" w:hAnsiTheme="minorEastAsia"/>
          <w:sz w:val="32"/>
          <w:szCs w:val="32"/>
        </w:rPr>
        <w:t>（二）</w:t>
      </w:r>
      <w:r>
        <w:rPr>
          <w:rFonts w:hint="eastAsia" w:cs="仿宋_GB2312" w:asciiTheme="minorEastAsia" w:hAnsiTheme="minorEastAsia"/>
          <w:sz w:val="32"/>
          <w:szCs w:val="32"/>
        </w:rPr>
        <w:t>管理制度有待完善和健全，部分预算绩效管理工作开展不到位，预算绩效管理意识有待提高，整体绩效指标中的个性化指标有待进一步完善。</w:t>
      </w:r>
    </w:p>
    <w:p w14:paraId="67B3C8DA">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十、下一步改进措施</w:t>
      </w:r>
    </w:p>
    <w:p w14:paraId="772D33A0">
      <w:pPr>
        <w:snapToGrid w:val="0"/>
        <w:spacing w:line="600" w:lineRule="exact"/>
        <w:ind w:firstLine="640" w:firstLineChars="200"/>
        <w:rPr>
          <w:rFonts w:cs="Times New Roman Regular" w:asciiTheme="minorEastAsia" w:hAnsiTheme="minorEastAsia"/>
          <w:sz w:val="32"/>
          <w:szCs w:val="32"/>
        </w:rPr>
      </w:pPr>
      <w:r>
        <w:rPr>
          <w:rFonts w:cs="Times New Roman Regular" w:asciiTheme="minorEastAsia" w:hAnsiTheme="minorEastAsia"/>
          <w:sz w:val="32"/>
          <w:szCs w:val="32"/>
        </w:rPr>
        <w:t>本着“谁支出，谁负责”的原则，我单位所有预算项目开展预算绩效日常监控，根据财政支出序时进度要求及时实现支出；定期对绩效监控信息进行收集、审核、分析、汇总；定期分析未达到绩效目标的原因，适时调整、不断改进、及时采取纠偏措施。今后将不断完善管理机制，优化管理流程，做到预算编制有目标、预算执行有监控、预算完成有评价，实现财政预算绩效管理工作常态化、规范化。严格预算约束，加快支出进度，增强预算执行的严肃性和实效性，为更好实现预算绩效目标提供有力保障。</w:t>
      </w:r>
    </w:p>
    <w:p w14:paraId="1C227890">
      <w:pPr>
        <w:snapToGrid w:val="0"/>
        <w:spacing w:line="600" w:lineRule="exact"/>
        <w:ind w:firstLine="643" w:firstLineChars="200"/>
        <w:rPr>
          <w:rFonts w:cs="方正黑体_GBK" w:asciiTheme="minorEastAsia" w:hAnsiTheme="minorEastAsia"/>
          <w:b/>
          <w:bCs/>
          <w:sz w:val="32"/>
          <w:szCs w:val="32"/>
        </w:rPr>
      </w:pPr>
      <w:r>
        <w:rPr>
          <w:rFonts w:cs="方正黑体_GBK" w:asciiTheme="minorEastAsia" w:hAnsiTheme="minorEastAsia"/>
          <w:b/>
          <w:bCs/>
          <w:sz w:val="32"/>
          <w:szCs w:val="32"/>
        </w:rPr>
        <w:t>十一、绩效自评结果拟应用和公开情况</w:t>
      </w:r>
    </w:p>
    <w:p w14:paraId="7177F477">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我单位</w:t>
      </w:r>
      <w:r>
        <w:rPr>
          <w:rFonts w:cs="Times New Roman Regular" w:asciiTheme="minorEastAsia" w:hAnsiTheme="minorEastAsia"/>
          <w:sz w:val="32"/>
          <w:szCs w:val="32"/>
        </w:rPr>
        <w:t>将针对绩效自评中发现的问题，加强与相关业务部门的沟通协调，采取切实可行的整改举措并落实到位，进一步重视绩效考核激励作用，扎实做好绩效评价工作，提高财政资金使用效益。同时，按照统一部署，在</w:t>
      </w:r>
      <w:r>
        <w:rPr>
          <w:rFonts w:hint="eastAsia" w:cs="Times New Roman Regular" w:asciiTheme="minorEastAsia" w:hAnsiTheme="minorEastAsia"/>
          <w:sz w:val="32"/>
          <w:szCs w:val="32"/>
        </w:rPr>
        <w:t>我单位</w:t>
      </w:r>
      <w:r>
        <w:rPr>
          <w:rFonts w:cs="Times New Roman Regular" w:asciiTheme="minorEastAsia" w:hAnsiTheme="minorEastAsia"/>
          <w:sz w:val="32"/>
          <w:szCs w:val="32"/>
        </w:rPr>
        <w:t>门户网站公开2025年部门整体支出绩效自评报告，接受社会监督。</w:t>
      </w:r>
    </w:p>
    <w:p w14:paraId="21EA765D">
      <w:pPr>
        <w:snapToGrid w:val="0"/>
        <w:spacing w:line="600" w:lineRule="exact"/>
        <w:ind w:firstLine="643" w:firstLineChars="200"/>
        <w:rPr>
          <w:rFonts w:cs="方正黑体_GBK" w:asciiTheme="minorEastAsia" w:hAnsiTheme="minorEastAsia"/>
          <w:b/>
          <w:bCs/>
          <w:sz w:val="32"/>
          <w:szCs w:val="32"/>
        </w:rPr>
      </w:pPr>
      <w:r>
        <w:rPr>
          <w:rFonts w:hint="eastAsia" w:cs="方正黑体_GBK" w:asciiTheme="minorEastAsia" w:hAnsiTheme="minorEastAsia"/>
          <w:b/>
          <w:bCs/>
          <w:sz w:val="32"/>
          <w:szCs w:val="32"/>
        </w:rPr>
        <w:t>十二、</w:t>
      </w:r>
      <w:r>
        <w:rPr>
          <w:rFonts w:cs="方正黑体_GBK" w:asciiTheme="minorEastAsia" w:hAnsiTheme="minorEastAsia"/>
          <w:b/>
          <w:bCs/>
          <w:sz w:val="32"/>
          <w:szCs w:val="32"/>
        </w:rPr>
        <w:t>其他需要说明的情况</w:t>
      </w:r>
    </w:p>
    <w:p w14:paraId="3ACB8E73">
      <w:pPr>
        <w:snapToGrid w:val="0"/>
        <w:spacing w:line="600" w:lineRule="exact"/>
        <w:ind w:firstLine="640" w:firstLineChars="200"/>
        <w:rPr>
          <w:rFonts w:cs="Times New Roman Regular" w:asciiTheme="minorEastAsia" w:hAnsiTheme="minorEastAsia"/>
          <w:sz w:val="32"/>
          <w:szCs w:val="32"/>
        </w:rPr>
      </w:pPr>
      <w:r>
        <w:rPr>
          <w:rFonts w:hint="eastAsia" w:cs="Times New Roman Regular" w:asciiTheme="minorEastAsia" w:hAnsiTheme="minorEastAsia"/>
          <w:sz w:val="32"/>
          <w:szCs w:val="32"/>
        </w:rPr>
        <w:t>无。</w:t>
      </w:r>
    </w:p>
    <w:p w14:paraId="51833F64">
      <w:pPr>
        <w:snapToGrid w:val="0"/>
        <w:spacing w:line="600" w:lineRule="exact"/>
        <w:ind w:firstLine="640" w:firstLineChars="200"/>
        <w:rPr>
          <w:rFonts w:cs="仿宋_GB2312" w:asciiTheme="minorEastAsia" w:hAnsiTheme="minorEastAsia"/>
          <w:sz w:val="32"/>
          <w:szCs w:val="32"/>
        </w:rPr>
      </w:pPr>
    </w:p>
    <w:p w14:paraId="2E24A240">
      <w:pPr>
        <w:snapToGrid w:val="0"/>
        <w:spacing w:line="600" w:lineRule="exact"/>
        <w:ind w:firstLine="640" w:firstLineChars="200"/>
        <w:rPr>
          <w:rFonts w:cs="仿宋_GB2312" w:asciiTheme="minorEastAsia" w:hAnsiTheme="minorEastAsia"/>
          <w:sz w:val="32"/>
          <w:szCs w:val="32"/>
        </w:rPr>
      </w:pPr>
      <w:r>
        <w:rPr>
          <w:rFonts w:hint="eastAsia" w:cs="仿宋_GB2312" w:asciiTheme="minorEastAsia" w:hAnsiTheme="minorEastAsia"/>
          <w:sz w:val="32"/>
          <w:szCs w:val="32"/>
        </w:rPr>
        <w:t>整体支出报告需要以下附件：</w:t>
      </w:r>
    </w:p>
    <w:p w14:paraId="4E714E3C">
      <w:pPr>
        <w:snapToGrid w:val="0"/>
        <w:spacing w:line="600" w:lineRule="exact"/>
        <w:ind w:firstLine="640" w:firstLineChars="200"/>
        <w:rPr>
          <w:rFonts w:cs="仿宋_GB2312" w:asciiTheme="minorEastAsia" w:hAnsiTheme="minorEastAsia"/>
          <w:sz w:val="32"/>
          <w:szCs w:val="32"/>
        </w:rPr>
      </w:pPr>
      <w:r>
        <w:rPr>
          <w:rFonts w:hint="eastAsia" w:cs="仿宋_GB2312" w:asciiTheme="minorEastAsia" w:hAnsiTheme="minorEastAsia"/>
          <w:sz w:val="32"/>
          <w:szCs w:val="32"/>
        </w:rPr>
        <w:t>1.部门整体支出绩效评价基础数据表</w:t>
      </w:r>
    </w:p>
    <w:p w14:paraId="6BD33D98">
      <w:pPr>
        <w:snapToGrid w:val="0"/>
        <w:spacing w:line="600" w:lineRule="exact"/>
        <w:ind w:firstLine="640" w:firstLineChars="200"/>
        <w:rPr>
          <w:rFonts w:cs="Times New Roman Regular" w:asciiTheme="minorEastAsia" w:hAnsiTheme="minorEastAsia"/>
          <w:sz w:val="32"/>
          <w:szCs w:val="32"/>
        </w:rPr>
      </w:pPr>
      <w:r>
        <w:rPr>
          <w:rFonts w:hint="eastAsia" w:cs="仿宋_GB2312" w:asciiTheme="minorEastAsia" w:hAnsiTheme="minorEastAsia"/>
          <w:sz w:val="32"/>
          <w:szCs w:val="32"/>
        </w:rPr>
        <w:t>2.部门整体</w:t>
      </w:r>
      <w:r>
        <w:rPr>
          <w:rFonts w:hint="eastAsia" w:cs="Times New Roman Regular" w:asciiTheme="minorEastAsia" w:hAnsiTheme="minorEastAsia"/>
          <w:sz w:val="32"/>
          <w:szCs w:val="32"/>
        </w:rPr>
        <w:t>支出绩效自评表</w:t>
      </w:r>
    </w:p>
    <w:p w14:paraId="21EEDC58">
      <w:pPr>
        <w:snapToGrid w:val="0"/>
        <w:spacing w:line="600" w:lineRule="exact"/>
        <w:ind w:firstLine="640" w:firstLineChars="200"/>
        <w:rPr>
          <w:rFonts w:cs="仿宋_GB2312" w:asciiTheme="minorEastAsia" w:hAnsiTheme="minorEastAsia"/>
          <w:sz w:val="32"/>
          <w:szCs w:val="32"/>
        </w:rPr>
      </w:pPr>
      <w:r>
        <w:rPr>
          <w:rFonts w:hint="eastAsia" w:cs="仿宋_GB2312" w:asciiTheme="minorEastAsia" w:hAnsiTheme="minorEastAsia"/>
          <w:sz w:val="32"/>
          <w:szCs w:val="32"/>
        </w:rPr>
        <w:t>3.项目支出绩效自评表</w:t>
      </w:r>
    </w:p>
    <w:p w14:paraId="1062B12C">
      <w:pPr>
        <w:snapToGrid w:val="0"/>
        <w:spacing w:line="600" w:lineRule="exact"/>
        <w:ind w:firstLine="420" w:firstLineChars="200"/>
        <w:rPr>
          <w:rFonts w:cs="仿宋_GB2312" w:asciiTheme="minorEastAsia" w:hAnsiTheme="minorEastAsia"/>
          <w:sz w:val="32"/>
          <w:szCs w:val="32"/>
        </w:rPr>
      </w:pPr>
      <w:r>
        <w:rPr>
          <w:rFonts w:hint="eastAsia"/>
        </w:rPr>
        <w:t xml:space="preserve"> </w:t>
      </w:r>
      <w:r>
        <w:rPr>
          <w:rFonts w:cs="仿宋_GB2312" w:asciiTheme="minorEastAsia" w:hAnsiTheme="minorEastAsia"/>
          <w:sz w:val="32"/>
          <w:szCs w:val="32"/>
        </w:rPr>
        <w:t xml:space="preserve"> 4.</w:t>
      </w:r>
      <w:r>
        <w:rPr>
          <w:rFonts w:hint="eastAsia" w:cs="仿宋_GB2312" w:asciiTheme="minorEastAsia" w:hAnsiTheme="minorEastAsia"/>
          <w:sz w:val="32"/>
          <w:szCs w:val="32"/>
        </w:rPr>
        <w:t>项目支出自评结果汇总分析报告</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微软雅黑">
    <w:altName w:val="方正黑体_GBK"/>
    <w:panose1 w:val="020B0503020204020204"/>
    <w:charset w:val="86"/>
    <w:family w:val="swiss"/>
    <w:pitch w:val="default"/>
    <w:sig w:usb0="00000000" w:usb1="00000000" w:usb2="00000016" w:usb3="00000000" w:csb0="0004001F" w:csb1="00000000"/>
  </w:font>
  <w:font w:name="___WRD_EMBED_SUB_49">
    <w:altName w:val="仿宋_GB2312"/>
    <w:panose1 w:val="00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45C45">
    <w:pPr>
      <w:pStyle w:val="5"/>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8592B">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6F8592B">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E4C80"/>
    <w:multiLevelType w:val="singleLevel"/>
    <w:tmpl w:val="27DE4C80"/>
    <w:lvl w:ilvl="0" w:tentative="0">
      <w:start w:val="1"/>
      <w:numFmt w:val="chineseCounting"/>
      <w:suff w:val="nothing"/>
      <w:lvlText w:val="（%1）"/>
      <w:lvlJc w:val="left"/>
      <w:rPr>
        <w:rFonts w:hint="eastAsia"/>
      </w:rPr>
    </w:lvl>
  </w:abstractNum>
  <w:abstractNum w:abstractNumId="1">
    <w:nsid w:val="66FE7917"/>
    <w:multiLevelType w:val="singleLevel"/>
    <w:tmpl w:val="66FE791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095B91"/>
    <w:rsid w:val="000A002F"/>
    <w:rsid w:val="000A1252"/>
    <w:rsid w:val="000C3DA7"/>
    <w:rsid w:val="000D5291"/>
    <w:rsid w:val="00110FDA"/>
    <w:rsid w:val="0011528E"/>
    <w:rsid w:val="00126C42"/>
    <w:rsid w:val="001305B8"/>
    <w:rsid w:val="001314CE"/>
    <w:rsid w:val="0013356E"/>
    <w:rsid w:val="001450EF"/>
    <w:rsid w:val="00171D67"/>
    <w:rsid w:val="00175EDD"/>
    <w:rsid w:val="00183402"/>
    <w:rsid w:val="001A031F"/>
    <w:rsid w:val="00206750"/>
    <w:rsid w:val="002223CF"/>
    <w:rsid w:val="00226C84"/>
    <w:rsid w:val="002856F5"/>
    <w:rsid w:val="002A04B4"/>
    <w:rsid w:val="002A2651"/>
    <w:rsid w:val="002B79A6"/>
    <w:rsid w:val="002B7C7F"/>
    <w:rsid w:val="00302C98"/>
    <w:rsid w:val="00302DD2"/>
    <w:rsid w:val="00306A40"/>
    <w:rsid w:val="00327CB1"/>
    <w:rsid w:val="00330E26"/>
    <w:rsid w:val="00352AA5"/>
    <w:rsid w:val="00375B0A"/>
    <w:rsid w:val="003961CD"/>
    <w:rsid w:val="003A241E"/>
    <w:rsid w:val="003A46FC"/>
    <w:rsid w:val="003D098E"/>
    <w:rsid w:val="003D21B2"/>
    <w:rsid w:val="00425CAC"/>
    <w:rsid w:val="00435C6E"/>
    <w:rsid w:val="004468E7"/>
    <w:rsid w:val="00450133"/>
    <w:rsid w:val="00455329"/>
    <w:rsid w:val="00482EEF"/>
    <w:rsid w:val="004A3CAA"/>
    <w:rsid w:val="004B6BA7"/>
    <w:rsid w:val="004B79B8"/>
    <w:rsid w:val="004C593B"/>
    <w:rsid w:val="004E2D54"/>
    <w:rsid w:val="00514CE4"/>
    <w:rsid w:val="00552C18"/>
    <w:rsid w:val="00562469"/>
    <w:rsid w:val="00576CBD"/>
    <w:rsid w:val="00580350"/>
    <w:rsid w:val="00594D3F"/>
    <w:rsid w:val="005A64E2"/>
    <w:rsid w:val="005D6E2B"/>
    <w:rsid w:val="005E29B7"/>
    <w:rsid w:val="005E5B07"/>
    <w:rsid w:val="00617A8A"/>
    <w:rsid w:val="0062511F"/>
    <w:rsid w:val="00660332"/>
    <w:rsid w:val="0067581C"/>
    <w:rsid w:val="00692C30"/>
    <w:rsid w:val="006E71D4"/>
    <w:rsid w:val="0070493E"/>
    <w:rsid w:val="0071457E"/>
    <w:rsid w:val="0074212E"/>
    <w:rsid w:val="00763489"/>
    <w:rsid w:val="0077485E"/>
    <w:rsid w:val="00777D86"/>
    <w:rsid w:val="00782C04"/>
    <w:rsid w:val="00782E6C"/>
    <w:rsid w:val="007B56B9"/>
    <w:rsid w:val="0080097B"/>
    <w:rsid w:val="00831B90"/>
    <w:rsid w:val="008420B8"/>
    <w:rsid w:val="00880FDA"/>
    <w:rsid w:val="008D2007"/>
    <w:rsid w:val="00903E5F"/>
    <w:rsid w:val="00945839"/>
    <w:rsid w:val="00970D2E"/>
    <w:rsid w:val="00981F62"/>
    <w:rsid w:val="009933A9"/>
    <w:rsid w:val="009A0917"/>
    <w:rsid w:val="009A505B"/>
    <w:rsid w:val="009D04BE"/>
    <w:rsid w:val="00A179E5"/>
    <w:rsid w:val="00A21E2B"/>
    <w:rsid w:val="00A45B24"/>
    <w:rsid w:val="00A61557"/>
    <w:rsid w:val="00A66C49"/>
    <w:rsid w:val="00A904F3"/>
    <w:rsid w:val="00AC4323"/>
    <w:rsid w:val="00AD67F9"/>
    <w:rsid w:val="00B6053B"/>
    <w:rsid w:val="00B7783B"/>
    <w:rsid w:val="00BB1833"/>
    <w:rsid w:val="00C20D58"/>
    <w:rsid w:val="00C22E84"/>
    <w:rsid w:val="00CC3640"/>
    <w:rsid w:val="00CF5773"/>
    <w:rsid w:val="00D07DBA"/>
    <w:rsid w:val="00D56E08"/>
    <w:rsid w:val="00D6746C"/>
    <w:rsid w:val="00D82A7E"/>
    <w:rsid w:val="00D83564"/>
    <w:rsid w:val="00D95A73"/>
    <w:rsid w:val="00DB5D78"/>
    <w:rsid w:val="00DE3E03"/>
    <w:rsid w:val="00E442A2"/>
    <w:rsid w:val="00E62563"/>
    <w:rsid w:val="00E746AD"/>
    <w:rsid w:val="00E80D95"/>
    <w:rsid w:val="00EC1C8F"/>
    <w:rsid w:val="00EC3E32"/>
    <w:rsid w:val="00EC7902"/>
    <w:rsid w:val="00ED2AEF"/>
    <w:rsid w:val="00ED7116"/>
    <w:rsid w:val="00EF108A"/>
    <w:rsid w:val="00EF21B0"/>
    <w:rsid w:val="00F41CD4"/>
    <w:rsid w:val="00F61F1A"/>
    <w:rsid w:val="00F63F3E"/>
    <w:rsid w:val="00F8632F"/>
    <w:rsid w:val="00F91729"/>
    <w:rsid w:val="00F9323D"/>
    <w:rsid w:val="00FB22F1"/>
    <w:rsid w:val="00FF0FD5"/>
    <w:rsid w:val="018A7679"/>
    <w:rsid w:val="018D0AE9"/>
    <w:rsid w:val="01A21D6C"/>
    <w:rsid w:val="02290C40"/>
    <w:rsid w:val="02467A44"/>
    <w:rsid w:val="02BD75DA"/>
    <w:rsid w:val="02CC3DCA"/>
    <w:rsid w:val="02CE1487"/>
    <w:rsid w:val="03077138"/>
    <w:rsid w:val="030C5432"/>
    <w:rsid w:val="030F3021"/>
    <w:rsid w:val="032B7CD9"/>
    <w:rsid w:val="033E696D"/>
    <w:rsid w:val="03741F6C"/>
    <w:rsid w:val="03863E70"/>
    <w:rsid w:val="03B604E9"/>
    <w:rsid w:val="048E715A"/>
    <w:rsid w:val="04D70E27"/>
    <w:rsid w:val="053C062A"/>
    <w:rsid w:val="05785C74"/>
    <w:rsid w:val="05E95AA6"/>
    <w:rsid w:val="062B705F"/>
    <w:rsid w:val="06530982"/>
    <w:rsid w:val="066A7D90"/>
    <w:rsid w:val="066F6E3E"/>
    <w:rsid w:val="06825158"/>
    <w:rsid w:val="06DD5B44"/>
    <w:rsid w:val="06E332B7"/>
    <w:rsid w:val="076624BA"/>
    <w:rsid w:val="078828AD"/>
    <w:rsid w:val="082279B0"/>
    <w:rsid w:val="093D1541"/>
    <w:rsid w:val="0A1E0205"/>
    <w:rsid w:val="0B27056C"/>
    <w:rsid w:val="0B4765DB"/>
    <w:rsid w:val="0C180A78"/>
    <w:rsid w:val="0C4168A8"/>
    <w:rsid w:val="0C590F18"/>
    <w:rsid w:val="0CAF0888"/>
    <w:rsid w:val="0D276746"/>
    <w:rsid w:val="0D464D9C"/>
    <w:rsid w:val="0D9045E5"/>
    <w:rsid w:val="0D915FD8"/>
    <w:rsid w:val="0DB0116C"/>
    <w:rsid w:val="0DD52794"/>
    <w:rsid w:val="0E01043C"/>
    <w:rsid w:val="0E372618"/>
    <w:rsid w:val="0E956870"/>
    <w:rsid w:val="0EA65DF4"/>
    <w:rsid w:val="0EBB38BF"/>
    <w:rsid w:val="0EE5282B"/>
    <w:rsid w:val="0F242EBB"/>
    <w:rsid w:val="0F625791"/>
    <w:rsid w:val="0FC02FEF"/>
    <w:rsid w:val="10384339"/>
    <w:rsid w:val="103C540E"/>
    <w:rsid w:val="10C666A5"/>
    <w:rsid w:val="11802A42"/>
    <w:rsid w:val="11FC3C7B"/>
    <w:rsid w:val="12071360"/>
    <w:rsid w:val="1213563A"/>
    <w:rsid w:val="12151ECE"/>
    <w:rsid w:val="1223366A"/>
    <w:rsid w:val="12645AF3"/>
    <w:rsid w:val="126D6927"/>
    <w:rsid w:val="12865C3B"/>
    <w:rsid w:val="12CB20B3"/>
    <w:rsid w:val="13596EAB"/>
    <w:rsid w:val="13702B73"/>
    <w:rsid w:val="138403CC"/>
    <w:rsid w:val="13B14444"/>
    <w:rsid w:val="143877FD"/>
    <w:rsid w:val="1472415E"/>
    <w:rsid w:val="14C75888"/>
    <w:rsid w:val="15637209"/>
    <w:rsid w:val="158B3BF8"/>
    <w:rsid w:val="16090E6F"/>
    <w:rsid w:val="16355420"/>
    <w:rsid w:val="165A7400"/>
    <w:rsid w:val="16822038"/>
    <w:rsid w:val="169C37CB"/>
    <w:rsid w:val="16BB05C9"/>
    <w:rsid w:val="16E13640"/>
    <w:rsid w:val="16FD6993"/>
    <w:rsid w:val="1700759E"/>
    <w:rsid w:val="176A6FE5"/>
    <w:rsid w:val="1791130A"/>
    <w:rsid w:val="17C66384"/>
    <w:rsid w:val="17FCFFF6"/>
    <w:rsid w:val="18194E5B"/>
    <w:rsid w:val="18ED431E"/>
    <w:rsid w:val="18F06FEA"/>
    <w:rsid w:val="193A4B2E"/>
    <w:rsid w:val="1965563C"/>
    <w:rsid w:val="197B5111"/>
    <w:rsid w:val="19837F1B"/>
    <w:rsid w:val="19E805B2"/>
    <w:rsid w:val="1A04275F"/>
    <w:rsid w:val="1AC714F1"/>
    <w:rsid w:val="1BB27AA1"/>
    <w:rsid w:val="1BE51C24"/>
    <w:rsid w:val="1BFD6F6E"/>
    <w:rsid w:val="1C6E7E6B"/>
    <w:rsid w:val="1C7F3E27"/>
    <w:rsid w:val="1C8566EE"/>
    <w:rsid w:val="1CAC629E"/>
    <w:rsid w:val="1CBF872E"/>
    <w:rsid w:val="1CD344D8"/>
    <w:rsid w:val="1CF0262F"/>
    <w:rsid w:val="1CF810CC"/>
    <w:rsid w:val="1E601A36"/>
    <w:rsid w:val="1ECC0E79"/>
    <w:rsid w:val="1F31278E"/>
    <w:rsid w:val="1F533A49"/>
    <w:rsid w:val="1F576995"/>
    <w:rsid w:val="1F62533A"/>
    <w:rsid w:val="1FF40A7E"/>
    <w:rsid w:val="20126D60"/>
    <w:rsid w:val="203F49D7"/>
    <w:rsid w:val="205D1159"/>
    <w:rsid w:val="20851E61"/>
    <w:rsid w:val="20B56069"/>
    <w:rsid w:val="21040C2B"/>
    <w:rsid w:val="220426D8"/>
    <w:rsid w:val="220B3A67"/>
    <w:rsid w:val="22235254"/>
    <w:rsid w:val="222C5B8B"/>
    <w:rsid w:val="22323BCB"/>
    <w:rsid w:val="224439AE"/>
    <w:rsid w:val="227E2874"/>
    <w:rsid w:val="22FE234B"/>
    <w:rsid w:val="23072219"/>
    <w:rsid w:val="23CD191B"/>
    <w:rsid w:val="24216EEB"/>
    <w:rsid w:val="24457704"/>
    <w:rsid w:val="2498613B"/>
    <w:rsid w:val="25517EDB"/>
    <w:rsid w:val="25897AC4"/>
    <w:rsid w:val="25CE1002"/>
    <w:rsid w:val="25F63A4B"/>
    <w:rsid w:val="26AB6098"/>
    <w:rsid w:val="277E6F02"/>
    <w:rsid w:val="27814EF7"/>
    <w:rsid w:val="27870033"/>
    <w:rsid w:val="27EB6814"/>
    <w:rsid w:val="28930410"/>
    <w:rsid w:val="28E219C5"/>
    <w:rsid w:val="28EB63A0"/>
    <w:rsid w:val="290B259E"/>
    <w:rsid w:val="295D729E"/>
    <w:rsid w:val="2976489F"/>
    <w:rsid w:val="2995635F"/>
    <w:rsid w:val="29990575"/>
    <w:rsid w:val="2A0B6CFA"/>
    <w:rsid w:val="2A626118"/>
    <w:rsid w:val="2AB1497C"/>
    <w:rsid w:val="2AF6742D"/>
    <w:rsid w:val="2B193CEA"/>
    <w:rsid w:val="2B3C17C4"/>
    <w:rsid w:val="2B82123D"/>
    <w:rsid w:val="2C500F73"/>
    <w:rsid w:val="2CDC2780"/>
    <w:rsid w:val="2CE61358"/>
    <w:rsid w:val="2CF9016D"/>
    <w:rsid w:val="2D157E8F"/>
    <w:rsid w:val="2D1A2751"/>
    <w:rsid w:val="2D3E0EB4"/>
    <w:rsid w:val="2D4C1B03"/>
    <w:rsid w:val="2DB63A2B"/>
    <w:rsid w:val="2E764C99"/>
    <w:rsid w:val="2F1458EF"/>
    <w:rsid w:val="2F1F0B51"/>
    <w:rsid w:val="2F90084E"/>
    <w:rsid w:val="2FA86931"/>
    <w:rsid w:val="2FEC58C6"/>
    <w:rsid w:val="309A7A3E"/>
    <w:rsid w:val="30BD4AC6"/>
    <w:rsid w:val="30D06101"/>
    <w:rsid w:val="312A2265"/>
    <w:rsid w:val="31745184"/>
    <w:rsid w:val="317A4765"/>
    <w:rsid w:val="31C14142"/>
    <w:rsid w:val="31DC0D66"/>
    <w:rsid w:val="32344FAC"/>
    <w:rsid w:val="329218AB"/>
    <w:rsid w:val="33020B14"/>
    <w:rsid w:val="3339603D"/>
    <w:rsid w:val="333F3E43"/>
    <w:rsid w:val="336D2B84"/>
    <w:rsid w:val="337C0FFF"/>
    <w:rsid w:val="33AD634D"/>
    <w:rsid w:val="34565FCE"/>
    <w:rsid w:val="34C75A4A"/>
    <w:rsid w:val="34D914C4"/>
    <w:rsid w:val="353B58E2"/>
    <w:rsid w:val="35870510"/>
    <w:rsid w:val="35CF5088"/>
    <w:rsid w:val="360168C5"/>
    <w:rsid w:val="3619279E"/>
    <w:rsid w:val="361A4C88"/>
    <w:rsid w:val="36213401"/>
    <w:rsid w:val="36C7044C"/>
    <w:rsid w:val="36C85C26"/>
    <w:rsid w:val="36E42DAC"/>
    <w:rsid w:val="36FC0F5D"/>
    <w:rsid w:val="37182A56"/>
    <w:rsid w:val="375773F8"/>
    <w:rsid w:val="37B00EE0"/>
    <w:rsid w:val="37C156A9"/>
    <w:rsid w:val="37E312B6"/>
    <w:rsid w:val="37E74B44"/>
    <w:rsid w:val="38213B8C"/>
    <w:rsid w:val="38284F1B"/>
    <w:rsid w:val="382E27FC"/>
    <w:rsid w:val="382F7AF7"/>
    <w:rsid w:val="384C5DF5"/>
    <w:rsid w:val="38BF587F"/>
    <w:rsid w:val="38ED43BF"/>
    <w:rsid w:val="38F042A5"/>
    <w:rsid w:val="39047736"/>
    <w:rsid w:val="393E32BB"/>
    <w:rsid w:val="3A97102A"/>
    <w:rsid w:val="3AB4576D"/>
    <w:rsid w:val="3AF25F2C"/>
    <w:rsid w:val="3B1B0D67"/>
    <w:rsid w:val="3B6B3A9C"/>
    <w:rsid w:val="3BB96E2F"/>
    <w:rsid w:val="3C413397"/>
    <w:rsid w:val="3C723D61"/>
    <w:rsid w:val="3D3879AE"/>
    <w:rsid w:val="3D78424E"/>
    <w:rsid w:val="3DB715CA"/>
    <w:rsid w:val="3E221208"/>
    <w:rsid w:val="3EC13D69"/>
    <w:rsid w:val="3EE33949"/>
    <w:rsid w:val="3EFDDE87"/>
    <w:rsid w:val="3F0833B0"/>
    <w:rsid w:val="3FB157F6"/>
    <w:rsid w:val="3FE27130"/>
    <w:rsid w:val="40095632"/>
    <w:rsid w:val="400A523F"/>
    <w:rsid w:val="407F76A2"/>
    <w:rsid w:val="40DA7E76"/>
    <w:rsid w:val="41197AF6"/>
    <w:rsid w:val="41575537"/>
    <w:rsid w:val="41960039"/>
    <w:rsid w:val="419B2857"/>
    <w:rsid w:val="41BB6E00"/>
    <w:rsid w:val="41D71DA8"/>
    <w:rsid w:val="42664FBD"/>
    <w:rsid w:val="426B5D0D"/>
    <w:rsid w:val="42C43A92"/>
    <w:rsid w:val="430E16AD"/>
    <w:rsid w:val="43120CA1"/>
    <w:rsid w:val="43553FA0"/>
    <w:rsid w:val="438C6476"/>
    <w:rsid w:val="439E6E16"/>
    <w:rsid w:val="43CF26F8"/>
    <w:rsid w:val="441445A5"/>
    <w:rsid w:val="44C85ABB"/>
    <w:rsid w:val="45012D7B"/>
    <w:rsid w:val="456A42E1"/>
    <w:rsid w:val="457C0EFB"/>
    <w:rsid w:val="46591D79"/>
    <w:rsid w:val="466727DF"/>
    <w:rsid w:val="46A61E2C"/>
    <w:rsid w:val="46D71FE6"/>
    <w:rsid w:val="46ED7553"/>
    <w:rsid w:val="470D6C14"/>
    <w:rsid w:val="47701FEB"/>
    <w:rsid w:val="477C436F"/>
    <w:rsid w:val="47863C40"/>
    <w:rsid w:val="47C87C98"/>
    <w:rsid w:val="47FE53CC"/>
    <w:rsid w:val="48594C7C"/>
    <w:rsid w:val="48BB7D26"/>
    <w:rsid w:val="49670529"/>
    <w:rsid w:val="4999150E"/>
    <w:rsid w:val="4A78588E"/>
    <w:rsid w:val="4A7B230B"/>
    <w:rsid w:val="4A8E3303"/>
    <w:rsid w:val="4AB362CC"/>
    <w:rsid w:val="4B235061"/>
    <w:rsid w:val="4B7A5635"/>
    <w:rsid w:val="4C0010D8"/>
    <w:rsid w:val="4C343F17"/>
    <w:rsid w:val="4C6611ED"/>
    <w:rsid w:val="4C9F2E67"/>
    <w:rsid w:val="4CB64A77"/>
    <w:rsid w:val="4D010871"/>
    <w:rsid w:val="4D275349"/>
    <w:rsid w:val="4D5D3BD3"/>
    <w:rsid w:val="4DA42E3E"/>
    <w:rsid w:val="4E006DA4"/>
    <w:rsid w:val="4E1C0C26"/>
    <w:rsid w:val="4E807407"/>
    <w:rsid w:val="4EB7F892"/>
    <w:rsid w:val="4EF84368"/>
    <w:rsid w:val="4F1A755C"/>
    <w:rsid w:val="4F1F277C"/>
    <w:rsid w:val="4FE24FA4"/>
    <w:rsid w:val="50264753"/>
    <w:rsid w:val="50324731"/>
    <w:rsid w:val="50770396"/>
    <w:rsid w:val="51220301"/>
    <w:rsid w:val="513D1190"/>
    <w:rsid w:val="51B51175"/>
    <w:rsid w:val="51D102B2"/>
    <w:rsid w:val="51F3430E"/>
    <w:rsid w:val="52A46993"/>
    <w:rsid w:val="52BC4786"/>
    <w:rsid w:val="52C13A04"/>
    <w:rsid w:val="52E934AC"/>
    <w:rsid w:val="538C4C81"/>
    <w:rsid w:val="53BD2563"/>
    <w:rsid w:val="53EF7801"/>
    <w:rsid w:val="53F31090"/>
    <w:rsid w:val="5486329D"/>
    <w:rsid w:val="54A01FF8"/>
    <w:rsid w:val="552503C0"/>
    <w:rsid w:val="552A0475"/>
    <w:rsid w:val="552F7491"/>
    <w:rsid w:val="557D4A95"/>
    <w:rsid w:val="559E39E2"/>
    <w:rsid w:val="55CC16A6"/>
    <w:rsid w:val="560B5B9C"/>
    <w:rsid w:val="562B7C58"/>
    <w:rsid w:val="564638E1"/>
    <w:rsid w:val="56737851"/>
    <w:rsid w:val="56D843E7"/>
    <w:rsid w:val="572172AD"/>
    <w:rsid w:val="57364B06"/>
    <w:rsid w:val="578D10CB"/>
    <w:rsid w:val="58187B81"/>
    <w:rsid w:val="588D4BFA"/>
    <w:rsid w:val="58DD25BE"/>
    <w:rsid w:val="59240D93"/>
    <w:rsid w:val="594A2AEB"/>
    <w:rsid w:val="5958305D"/>
    <w:rsid w:val="59CB0B12"/>
    <w:rsid w:val="5A1460F3"/>
    <w:rsid w:val="5A315E5B"/>
    <w:rsid w:val="5A3A490E"/>
    <w:rsid w:val="5A5915AC"/>
    <w:rsid w:val="5A806BFB"/>
    <w:rsid w:val="5A8831DA"/>
    <w:rsid w:val="5ABBC979"/>
    <w:rsid w:val="5ACD10FB"/>
    <w:rsid w:val="5ACD4674"/>
    <w:rsid w:val="5B2630E4"/>
    <w:rsid w:val="5B3666C6"/>
    <w:rsid w:val="5BDE0628"/>
    <w:rsid w:val="5BFC7B3B"/>
    <w:rsid w:val="5C0F2DC3"/>
    <w:rsid w:val="5C167710"/>
    <w:rsid w:val="5C2F421A"/>
    <w:rsid w:val="5C6217A0"/>
    <w:rsid w:val="5C982D46"/>
    <w:rsid w:val="5CCE050A"/>
    <w:rsid w:val="5DC34C1A"/>
    <w:rsid w:val="5DFA3908"/>
    <w:rsid w:val="5E323B4E"/>
    <w:rsid w:val="5E77C7C6"/>
    <w:rsid w:val="5E7A5C08"/>
    <w:rsid w:val="5EA066A1"/>
    <w:rsid w:val="5EAC56AE"/>
    <w:rsid w:val="5EDA66BF"/>
    <w:rsid w:val="5F0F12C4"/>
    <w:rsid w:val="5F127074"/>
    <w:rsid w:val="5F5A0C98"/>
    <w:rsid w:val="5FF67529"/>
    <w:rsid w:val="5FFFAAE0"/>
    <w:rsid w:val="604858AA"/>
    <w:rsid w:val="60A103D3"/>
    <w:rsid w:val="62466743"/>
    <w:rsid w:val="625933C2"/>
    <w:rsid w:val="629C7113"/>
    <w:rsid w:val="638B61DA"/>
    <w:rsid w:val="639A641D"/>
    <w:rsid w:val="64550ED7"/>
    <w:rsid w:val="64CF567C"/>
    <w:rsid w:val="6580738E"/>
    <w:rsid w:val="65870C23"/>
    <w:rsid w:val="65AF1C1C"/>
    <w:rsid w:val="65D31F2E"/>
    <w:rsid w:val="661E3335"/>
    <w:rsid w:val="662D7608"/>
    <w:rsid w:val="66347B2F"/>
    <w:rsid w:val="66427B3E"/>
    <w:rsid w:val="664663E8"/>
    <w:rsid w:val="667A315A"/>
    <w:rsid w:val="667FD72C"/>
    <w:rsid w:val="66FA5C7E"/>
    <w:rsid w:val="67BD26DA"/>
    <w:rsid w:val="68231236"/>
    <w:rsid w:val="689245C1"/>
    <w:rsid w:val="68AD274F"/>
    <w:rsid w:val="68EF4822"/>
    <w:rsid w:val="690C1B6B"/>
    <w:rsid w:val="694F1A58"/>
    <w:rsid w:val="699C1543"/>
    <w:rsid w:val="69D23162"/>
    <w:rsid w:val="69F858DF"/>
    <w:rsid w:val="6A050368"/>
    <w:rsid w:val="6A12486A"/>
    <w:rsid w:val="6A12716B"/>
    <w:rsid w:val="6A4E3ABD"/>
    <w:rsid w:val="6A892D47"/>
    <w:rsid w:val="6ABE64BE"/>
    <w:rsid w:val="6B5F16C5"/>
    <w:rsid w:val="6B87197D"/>
    <w:rsid w:val="6C2B409A"/>
    <w:rsid w:val="6C4C1071"/>
    <w:rsid w:val="6C6546D2"/>
    <w:rsid w:val="6CC14A1B"/>
    <w:rsid w:val="6CED5810"/>
    <w:rsid w:val="6CF3EA5A"/>
    <w:rsid w:val="6D2D20B0"/>
    <w:rsid w:val="6D605FE2"/>
    <w:rsid w:val="6D9D7236"/>
    <w:rsid w:val="6E0472B5"/>
    <w:rsid w:val="6ED02ACD"/>
    <w:rsid w:val="6ED547AD"/>
    <w:rsid w:val="70A7182D"/>
    <w:rsid w:val="70B052EC"/>
    <w:rsid w:val="70BC0C6D"/>
    <w:rsid w:val="710A39B3"/>
    <w:rsid w:val="71687B5B"/>
    <w:rsid w:val="716F59BA"/>
    <w:rsid w:val="71871854"/>
    <w:rsid w:val="72AC0479"/>
    <w:rsid w:val="72DD5943"/>
    <w:rsid w:val="72E53903"/>
    <w:rsid w:val="734168B5"/>
    <w:rsid w:val="73BC327A"/>
    <w:rsid w:val="74157242"/>
    <w:rsid w:val="74A4374A"/>
    <w:rsid w:val="74A8783F"/>
    <w:rsid w:val="74E40210"/>
    <w:rsid w:val="74FD4A5E"/>
    <w:rsid w:val="750875AC"/>
    <w:rsid w:val="753B3329"/>
    <w:rsid w:val="753C4E9B"/>
    <w:rsid w:val="754E12AC"/>
    <w:rsid w:val="7570799D"/>
    <w:rsid w:val="75973F1C"/>
    <w:rsid w:val="759C3D2B"/>
    <w:rsid w:val="75E561D8"/>
    <w:rsid w:val="764F12E9"/>
    <w:rsid w:val="768F5B89"/>
    <w:rsid w:val="769B7804"/>
    <w:rsid w:val="76B15B00"/>
    <w:rsid w:val="76F263F7"/>
    <w:rsid w:val="77436940"/>
    <w:rsid w:val="77613082"/>
    <w:rsid w:val="779FCBF0"/>
    <w:rsid w:val="77F7E21B"/>
    <w:rsid w:val="781113A7"/>
    <w:rsid w:val="782303E7"/>
    <w:rsid w:val="784E0831"/>
    <w:rsid w:val="78D16192"/>
    <w:rsid w:val="791E6510"/>
    <w:rsid w:val="799314ED"/>
    <w:rsid w:val="79D51B05"/>
    <w:rsid w:val="79E2F975"/>
    <w:rsid w:val="79F532FD"/>
    <w:rsid w:val="79FF3026"/>
    <w:rsid w:val="7A146AD1"/>
    <w:rsid w:val="7A28257D"/>
    <w:rsid w:val="7A8F6158"/>
    <w:rsid w:val="7AF2228E"/>
    <w:rsid w:val="7B3BDBF2"/>
    <w:rsid w:val="7BD858DD"/>
    <w:rsid w:val="7C030BAC"/>
    <w:rsid w:val="7C2177D7"/>
    <w:rsid w:val="7C393B59"/>
    <w:rsid w:val="7C8D4A41"/>
    <w:rsid w:val="7D5E1424"/>
    <w:rsid w:val="7DA10339"/>
    <w:rsid w:val="7DD24CD9"/>
    <w:rsid w:val="7DEE7639"/>
    <w:rsid w:val="7E0E55E6"/>
    <w:rsid w:val="7E6A2B1A"/>
    <w:rsid w:val="7E6B28C4"/>
    <w:rsid w:val="7EBD7AF1"/>
    <w:rsid w:val="7EBDCBBF"/>
    <w:rsid w:val="7EC02D84"/>
    <w:rsid w:val="7EC74CC1"/>
    <w:rsid w:val="7ECA59B1"/>
    <w:rsid w:val="7EE6408F"/>
    <w:rsid w:val="7F2215D5"/>
    <w:rsid w:val="7F27031D"/>
    <w:rsid w:val="7F3EB32E"/>
    <w:rsid w:val="7F5F3F3B"/>
    <w:rsid w:val="7F5FE5E8"/>
    <w:rsid w:val="7F674E25"/>
    <w:rsid w:val="7F69341C"/>
    <w:rsid w:val="7F7C5BBA"/>
    <w:rsid w:val="7F7FC8C5"/>
    <w:rsid w:val="7F8918B0"/>
    <w:rsid w:val="7FFDE9AB"/>
    <w:rsid w:val="7FFEB77D"/>
    <w:rsid w:val="7FFFADA2"/>
    <w:rsid w:val="85EFA354"/>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4">
    <w:name w:val="Body Text Indent"/>
    <w:basedOn w:val="1"/>
    <w:unhideWhenUsed/>
    <w:qFormat/>
    <w:uiPriority w:val="0"/>
    <w:pPr>
      <w:ind w:firstLine="640" w:firstLineChars="200"/>
    </w:pPr>
    <w:rPr>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2"/>
    <w:basedOn w:val="4"/>
    <w:unhideWhenUsed/>
    <w:qFormat/>
    <w:uiPriority w:val="99"/>
    <w:pPr>
      <w:ind w:firstLine="42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3"/>
    <w:qFormat/>
    <w:uiPriority w:val="0"/>
    <w:rPr>
      <w:rFonts w:eastAsia="黑体"/>
    </w:rPr>
  </w:style>
  <w:style w:type="paragraph" w:customStyle="1" w:styleId="13">
    <w:name w:val="首行缩进"/>
    <w:basedOn w:val="1"/>
    <w:qFormat/>
    <w:uiPriority w:val="0"/>
    <w:pPr>
      <w:ind w:firstLine="480" w:firstLineChars="200"/>
    </w:pPr>
    <w:rPr>
      <w:lang w:val="zh-CN"/>
    </w:rPr>
  </w:style>
  <w:style w:type="paragraph" w:customStyle="1" w:styleId="14">
    <w:name w:val="4正文"/>
    <w:basedOn w:val="1"/>
    <w:link w:val="15"/>
    <w:qFormat/>
    <w:uiPriority w:val="0"/>
    <w:pPr>
      <w:snapToGrid w:val="0"/>
      <w:spacing w:line="440" w:lineRule="exact"/>
      <w:ind w:firstLine="200" w:firstLineChars="200"/>
    </w:pPr>
    <w:rPr>
      <w:rFonts w:ascii="Times New Roman" w:hAnsi="Times New Roman" w:eastAsia="宋体"/>
      <w:sz w:val="24"/>
      <w:szCs w:val="22"/>
    </w:rPr>
  </w:style>
  <w:style w:type="character" w:customStyle="1" w:styleId="15">
    <w:name w:val="4正文 字符"/>
    <w:basedOn w:val="11"/>
    <w:link w:val="14"/>
    <w:qFormat/>
    <w:uiPriority w:val="0"/>
    <w:rPr>
      <w:rFonts w:cstheme="minorBidi"/>
      <w:kern w:val="2"/>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7062</Words>
  <Characters>7503</Characters>
  <Lines>53</Lines>
  <Paragraphs>15</Paragraphs>
  <TotalTime>2</TotalTime>
  <ScaleCrop>false</ScaleCrop>
  <LinksUpToDate>false</LinksUpToDate>
  <CharactersWithSpaces>7505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2025-07-07T16:32:00Z</cp:lastPrinted>
  <dcterms:modified xsi:type="dcterms:W3CDTF">2026-10-15T16:13:09Z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960697DA22E34E0094383D8C76471C65_13</vt:lpwstr>
  </property>
  <property fmtid="{D5CDD505-2E9C-101B-9397-08002B2CF9AE}" pid="4" name="KSOTemplateDocerSaveRecord">
    <vt:lpwstr>eyJoZGlkIjoiOGQ1YjlhYWVlZGI5N2JlYzUzOWE1YTA0YjFlMzE0MWUiLCJ1c2VySWQiOiI2Mzc4MDIwOTAifQ==</vt:lpwstr>
  </property>
</Properties>
</file>