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805D0">
      <w:pPr>
        <w:pStyle w:val="13"/>
        <w:jc w:val="center"/>
        <w:rPr>
          <w:rFonts w:ascii="Times New Roman" w:hAnsi="Times New Roman" w:cs="Times New Roman"/>
          <w:sz w:val="56"/>
          <w:szCs w:val="56"/>
        </w:rPr>
      </w:pPr>
    </w:p>
    <w:p w14:paraId="0032C4FD">
      <w:pPr>
        <w:pStyle w:val="13"/>
        <w:jc w:val="center"/>
        <w:rPr>
          <w:rFonts w:ascii="Times New Roman" w:hAnsi="Times New Roman" w:cs="Times New Roman"/>
          <w:sz w:val="84"/>
          <w:szCs w:val="84"/>
        </w:rPr>
      </w:pPr>
    </w:p>
    <w:p w14:paraId="7F8C4B30">
      <w:pPr>
        <w:pStyle w:val="13"/>
        <w:jc w:val="center"/>
        <w:rPr>
          <w:rFonts w:ascii="Times New Roman" w:hAnsi="Times New Roman" w:cs="Times New Roman"/>
          <w:sz w:val="84"/>
          <w:szCs w:val="84"/>
        </w:rPr>
      </w:pPr>
    </w:p>
    <w:p w14:paraId="2CCC1E2F">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66FB700">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怀化市公共资源交易中心</w:t>
      </w:r>
      <w:r>
        <w:rPr>
          <w:rFonts w:ascii="Times New Roman" w:hAnsi="Times New Roman" w:eastAsia="方正小标宋简体" w:cs="Times New Roman"/>
          <w:sz w:val="72"/>
          <w:szCs w:val="72"/>
        </w:rPr>
        <w:t>部门决算</w:t>
      </w:r>
    </w:p>
    <w:p w14:paraId="3BC0F8A6">
      <w:pPr>
        <w:pStyle w:val="13"/>
        <w:jc w:val="center"/>
        <w:rPr>
          <w:rFonts w:ascii="Times New Roman" w:hAnsi="Times New Roman" w:eastAsia="方正小标宋_GBK" w:cs="Times New Roman"/>
          <w:sz w:val="56"/>
          <w:szCs w:val="56"/>
        </w:rPr>
      </w:pPr>
    </w:p>
    <w:p w14:paraId="1FEF1162">
      <w:pPr>
        <w:pStyle w:val="13"/>
        <w:jc w:val="center"/>
        <w:rPr>
          <w:rFonts w:ascii="Times New Roman" w:hAnsi="Times New Roman" w:cs="Times New Roman"/>
          <w:sz w:val="56"/>
          <w:szCs w:val="56"/>
        </w:rPr>
      </w:pPr>
    </w:p>
    <w:p w14:paraId="556EB999">
      <w:pPr>
        <w:pStyle w:val="13"/>
        <w:rPr>
          <w:rFonts w:ascii="Times New Roman" w:hAnsi="Times New Roman" w:cs="Times New Roman"/>
          <w:sz w:val="56"/>
          <w:szCs w:val="56"/>
        </w:rPr>
      </w:pPr>
    </w:p>
    <w:p w14:paraId="321CC90F">
      <w:pPr>
        <w:pStyle w:val="13"/>
        <w:jc w:val="center"/>
        <w:rPr>
          <w:rFonts w:ascii="Times New Roman" w:hAnsi="Times New Roman" w:cs="Times New Roman"/>
          <w:sz w:val="32"/>
          <w:szCs w:val="32"/>
        </w:rPr>
      </w:pPr>
    </w:p>
    <w:p w14:paraId="7190ED0C">
      <w:pPr>
        <w:pStyle w:val="13"/>
        <w:jc w:val="center"/>
        <w:rPr>
          <w:rFonts w:ascii="Times New Roman" w:hAnsi="Times New Roman" w:cs="Times New Roman"/>
          <w:sz w:val="32"/>
          <w:szCs w:val="32"/>
        </w:rPr>
      </w:pPr>
    </w:p>
    <w:p w14:paraId="6DA3F5B6">
      <w:pPr>
        <w:pStyle w:val="13"/>
        <w:jc w:val="center"/>
        <w:rPr>
          <w:rFonts w:ascii="Times New Roman" w:hAnsi="Times New Roman" w:cs="Times New Roman"/>
          <w:sz w:val="32"/>
          <w:szCs w:val="32"/>
        </w:rPr>
      </w:pPr>
    </w:p>
    <w:p w14:paraId="7B78359A">
      <w:pPr>
        <w:pStyle w:val="13"/>
        <w:jc w:val="center"/>
        <w:rPr>
          <w:rFonts w:ascii="Times New Roman" w:hAnsi="Times New Roman" w:cs="Times New Roman"/>
          <w:sz w:val="32"/>
          <w:szCs w:val="32"/>
        </w:rPr>
      </w:pPr>
    </w:p>
    <w:p w14:paraId="1AD64E84">
      <w:pPr>
        <w:pStyle w:val="13"/>
        <w:jc w:val="center"/>
        <w:rPr>
          <w:rFonts w:ascii="Times New Roman" w:hAnsi="Times New Roman" w:cs="Times New Roman"/>
          <w:sz w:val="32"/>
          <w:szCs w:val="32"/>
        </w:rPr>
      </w:pPr>
    </w:p>
    <w:p w14:paraId="6F0C2F41">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8740D57">
      <w:pPr>
        <w:pStyle w:val="13"/>
        <w:spacing w:line="600" w:lineRule="exact"/>
        <w:jc w:val="both"/>
        <w:rPr>
          <w:rFonts w:ascii="Times New Roman" w:hAnsi="Times New Roman" w:cs="Times New Roman"/>
          <w:b/>
          <w:sz w:val="36"/>
          <w:szCs w:val="28"/>
        </w:rPr>
      </w:pPr>
    </w:p>
    <w:p w14:paraId="02A7E98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B3DA720">
      <w:pPr>
        <w:pStyle w:val="13"/>
        <w:spacing w:line="600" w:lineRule="exact"/>
        <w:jc w:val="center"/>
        <w:rPr>
          <w:rFonts w:ascii="Times New Roman" w:hAnsi="Times New Roman" w:cs="Times New Roman"/>
          <w:b/>
          <w:sz w:val="36"/>
          <w:szCs w:val="28"/>
        </w:rPr>
      </w:pPr>
    </w:p>
    <w:p w14:paraId="2D017A0A">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怀化市公共资源交易中心</w:t>
      </w:r>
      <w:r>
        <w:rPr>
          <w:rFonts w:ascii="Times New Roman" w:hAnsi="Times New Roman" w:cs="Times New Roman"/>
          <w:bCs/>
          <w:sz w:val="32"/>
          <w:szCs w:val="32"/>
        </w:rPr>
        <w:t>概况</w:t>
      </w:r>
    </w:p>
    <w:p w14:paraId="6C71AA0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7ABD9D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0D7DA81">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FEDAF5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58D773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50814D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0F1AC8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580079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0F36C5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8CB29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4F257F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156466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556DFA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523E83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8DB6C99">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476377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133A5C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C00CC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FE4B78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7F98F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B914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FC07C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7B253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DBC9E2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ADA743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D883F6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54C9F9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2C7E77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B53AEB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418B464">
      <w:pPr>
        <w:pStyle w:val="13"/>
        <w:spacing w:line="600" w:lineRule="exact"/>
        <w:rPr>
          <w:rFonts w:ascii="Times New Roman" w:hAnsi="Times New Roman" w:cs="Times New Roman"/>
          <w:bCs/>
          <w:sz w:val="28"/>
          <w:szCs w:val="28"/>
        </w:rPr>
      </w:pPr>
    </w:p>
    <w:p w14:paraId="0865CA5F">
      <w:pPr>
        <w:jc w:val="center"/>
        <w:rPr>
          <w:rFonts w:ascii="Times New Roman" w:hAnsi="Times New Roman" w:cs="Times New Roman"/>
          <w:sz w:val="72"/>
          <w:szCs w:val="72"/>
        </w:rPr>
      </w:pPr>
    </w:p>
    <w:p w14:paraId="5FBE6FD1">
      <w:pPr>
        <w:jc w:val="center"/>
        <w:rPr>
          <w:rFonts w:ascii="Times New Roman" w:hAnsi="Times New Roman" w:cs="Times New Roman"/>
          <w:sz w:val="72"/>
          <w:szCs w:val="72"/>
        </w:rPr>
      </w:pPr>
    </w:p>
    <w:p w14:paraId="0A525B12">
      <w:pPr>
        <w:jc w:val="center"/>
        <w:rPr>
          <w:rFonts w:ascii="Times New Roman" w:hAnsi="Times New Roman" w:cs="Times New Roman"/>
          <w:sz w:val="72"/>
          <w:szCs w:val="72"/>
        </w:rPr>
      </w:pPr>
    </w:p>
    <w:p w14:paraId="5C7AA2B0">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A762CD7">
      <w:pPr>
        <w:rPr>
          <w:rFonts w:ascii="Times New Roman" w:hAnsi="Times New Roman" w:eastAsia="方正小标宋_GBK" w:cs="Times New Roman"/>
          <w:sz w:val="72"/>
          <w:szCs w:val="72"/>
        </w:rPr>
      </w:pPr>
    </w:p>
    <w:p w14:paraId="3C2A32D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3C0B88A">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怀化市公共资源交易中心</w:t>
      </w:r>
      <w:r>
        <w:rPr>
          <w:rFonts w:ascii="Times New Roman" w:hAnsi="Times New Roman" w:eastAsia="方正小标宋_GBK" w:cs="Times New Roman"/>
          <w:sz w:val="52"/>
          <w:szCs w:val="52"/>
        </w:rPr>
        <w:t>概况</w:t>
      </w:r>
    </w:p>
    <w:p w14:paraId="0DD635A9">
      <w:pPr>
        <w:pStyle w:val="4"/>
        <w:ind w:left="0" w:leftChars="0" w:firstLine="0" w:firstLineChars="0"/>
        <w:rPr>
          <w:rFonts w:ascii="Times New Roman" w:hAnsi="Times New Roman" w:cs="Times New Roman"/>
        </w:rPr>
      </w:pPr>
    </w:p>
    <w:p w14:paraId="5F3CAADE">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374148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1.贯彻执行国家和省有关公共资源交易的方针政策和法律法规，为市场主体、社会公众、行政监督管理部门提供综合服务。</w:t>
      </w:r>
    </w:p>
    <w:p w14:paraId="534AAA4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2.为公共资源交易平台提供运行服务。</w:t>
      </w:r>
    </w:p>
    <w:p w14:paraId="35E9FEE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3.承担工程交易、政府采购交易、产权交易和自然资源交易相关服务工作；提供交易活动所必要的场所、设施和服务。</w:t>
      </w:r>
    </w:p>
    <w:p w14:paraId="28F8573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4.执行各类公共资源交易流程、操作规程和现场管理制度，维持现场交易秩序；为电子交易和监管系统提供对接服务。</w:t>
      </w:r>
    </w:p>
    <w:p w14:paraId="06BC168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5.负责市级公共资源交易平台及电子系统建设、运行、管理，为有关部门核验交易主体的资质提供服务，收集、储存和发布各类公共资源交易信息，为市场主体提供信息咨询服务，记录、整理、保存交易服务过程相关资料，汇总分析、综合利用交易数据，开展交易风险监测预警。</w:t>
      </w:r>
    </w:p>
    <w:p w14:paraId="26E52AF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6.为行政监管部门开展监督提供必要条件和平台服务，配合行政监管部门和监察机关的监督管理工作，及时向行政监管部门报告发现的违反交易规则和管理制度的行为。</w:t>
      </w:r>
    </w:p>
    <w:p w14:paraId="3981DDF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7.在相关部门监督下，承担评标专家抽取有关工作；提供交易活动见证服务；做好项目入场登记服务，组织平台内的公共资源交易活动，对参与平台内交易活动的相关人员、机构活动进行记录和考评。</w:t>
      </w:r>
    </w:p>
    <w:p w14:paraId="000B5A5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8.完成市委、市政府和市公共资源交易管理委员会交办的其他事项。</w:t>
      </w:r>
    </w:p>
    <w:p w14:paraId="05514E0A">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C62061A">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公共资源交易中心为市人民政府直属正处级公益一类事业单位，内设部室为：办公室、监督部、技术信息与市场服务部、财务部、工程交易部、政府采购交易部、产权交易部、自然资源交易部8个职能部室。</w:t>
      </w:r>
    </w:p>
    <w:p w14:paraId="2348009E">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怀化市公共资源交易中心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怀化市公共资源交易中心</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14:paraId="1DD27AE4">
      <w:pPr>
        <w:jc w:val="left"/>
        <w:rPr>
          <w:rFonts w:ascii="Times New Roman" w:hAnsi="Times New Roman" w:eastAsia="仿宋_GB2312" w:cs="Times New Roman"/>
          <w:sz w:val="28"/>
          <w:szCs w:val="32"/>
        </w:rPr>
      </w:pPr>
    </w:p>
    <w:p w14:paraId="3D50DFF7">
      <w:pPr>
        <w:jc w:val="center"/>
        <w:rPr>
          <w:rFonts w:ascii="Times New Roman" w:hAnsi="Times New Roman" w:eastAsia="黑体" w:cs="Times New Roman"/>
          <w:sz w:val="28"/>
          <w:szCs w:val="28"/>
        </w:rPr>
      </w:pPr>
    </w:p>
    <w:p w14:paraId="1E11F96A">
      <w:pPr>
        <w:jc w:val="center"/>
        <w:rPr>
          <w:rFonts w:ascii="Times New Roman" w:hAnsi="Times New Roman" w:eastAsia="黑体" w:cs="Times New Roman"/>
          <w:sz w:val="28"/>
          <w:szCs w:val="28"/>
        </w:rPr>
      </w:pPr>
    </w:p>
    <w:p w14:paraId="2D5A29C1">
      <w:pPr>
        <w:jc w:val="center"/>
        <w:rPr>
          <w:rFonts w:ascii="Times New Roman" w:hAnsi="Times New Roman" w:eastAsia="黑体" w:cs="Times New Roman"/>
          <w:sz w:val="28"/>
          <w:szCs w:val="28"/>
        </w:rPr>
      </w:pPr>
    </w:p>
    <w:p w14:paraId="1927EDC2">
      <w:pPr>
        <w:jc w:val="center"/>
        <w:rPr>
          <w:rFonts w:ascii="Times New Roman" w:hAnsi="Times New Roman" w:eastAsia="黑体" w:cs="Times New Roman"/>
          <w:sz w:val="28"/>
          <w:szCs w:val="28"/>
        </w:rPr>
      </w:pPr>
    </w:p>
    <w:p w14:paraId="1AA996BB">
      <w:pPr>
        <w:jc w:val="center"/>
        <w:rPr>
          <w:rFonts w:ascii="Times New Roman" w:hAnsi="Times New Roman" w:eastAsia="黑体" w:cs="Times New Roman"/>
          <w:sz w:val="28"/>
          <w:szCs w:val="28"/>
        </w:rPr>
      </w:pPr>
    </w:p>
    <w:p w14:paraId="5C673B48">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8CD0E87">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6340DA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9F8705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D9B392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怀化市公共资源交易中心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4F26D4CB">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1AE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D18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50FECE3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DE0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C3A8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EB6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ED9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5829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A12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940355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A229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A635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246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313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E702B">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637B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E13172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A865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B3E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04A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C3FF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FE8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C22A3">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2210.36</w:t>
            </w:r>
          </w:p>
        </w:tc>
      </w:tr>
      <w:tr w14:paraId="3F3B69D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D42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A19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E4E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F24F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E57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8652">
            <w:pPr>
              <w:widowControl/>
              <w:jc w:val="right"/>
              <w:textAlignment w:val="center"/>
              <w:rPr>
                <w:rFonts w:hint="eastAsia" w:ascii="Times New Roman" w:hAnsi="Times New Roman" w:eastAsia="仿宋_GB2312" w:cs="Times New Roman"/>
                <w:color w:val="000000"/>
                <w:kern w:val="0"/>
                <w:sz w:val="22"/>
                <w:lang w:bidi="ar"/>
              </w:rPr>
            </w:pPr>
          </w:p>
        </w:tc>
      </w:tr>
      <w:tr w14:paraId="4BA06D4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29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D68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31E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C2A3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4F1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3E749">
            <w:pPr>
              <w:widowControl/>
              <w:jc w:val="right"/>
              <w:textAlignment w:val="center"/>
              <w:rPr>
                <w:rFonts w:hint="eastAsia" w:ascii="Times New Roman" w:hAnsi="Times New Roman" w:eastAsia="仿宋_GB2312" w:cs="Times New Roman"/>
                <w:color w:val="000000"/>
                <w:kern w:val="0"/>
                <w:sz w:val="22"/>
                <w:lang w:bidi="ar"/>
              </w:rPr>
            </w:pPr>
          </w:p>
        </w:tc>
      </w:tr>
      <w:tr w14:paraId="65DABA0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9E4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57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F41C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B6C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967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819E">
            <w:pPr>
              <w:widowControl/>
              <w:jc w:val="right"/>
              <w:textAlignment w:val="center"/>
              <w:rPr>
                <w:rFonts w:hint="eastAsia" w:ascii="Times New Roman" w:hAnsi="Times New Roman" w:eastAsia="仿宋_GB2312" w:cs="Times New Roman"/>
                <w:color w:val="000000"/>
                <w:kern w:val="0"/>
                <w:sz w:val="22"/>
                <w:lang w:bidi="ar"/>
              </w:rPr>
            </w:pPr>
          </w:p>
        </w:tc>
      </w:tr>
      <w:tr w14:paraId="1B81D6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6C70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56B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4F0F5">
            <w:pPr>
              <w:widowControl/>
              <w:jc w:val="righ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2210.36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BDE5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0F1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6A10E">
            <w:pPr>
              <w:widowControl/>
              <w:jc w:val="right"/>
              <w:textAlignment w:val="center"/>
              <w:rPr>
                <w:rFonts w:hint="eastAsia" w:ascii="Times New Roman" w:hAnsi="Times New Roman" w:eastAsia="仿宋_GB2312" w:cs="Times New Roman"/>
                <w:color w:val="000000"/>
                <w:kern w:val="0"/>
                <w:sz w:val="22"/>
                <w:lang w:bidi="ar"/>
              </w:rPr>
            </w:pPr>
          </w:p>
        </w:tc>
      </w:tr>
      <w:tr w14:paraId="300C76B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0A2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241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A2AB">
            <w:pPr>
              <w:widowControl/>
              <w:jc w:val="righ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86A3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CB7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BA292">
            <w:pPr>
              <w:widowControl/>
              <w:jc w:val="right"/>
              <w:textAlignment w:val="center"/>
              <w:rPr>
                <w:rFonts w:hint="eastAsia" w:ascii="Times New Roman" w:hAnsi="Times New Roman" w:eastAsia="仿宋_GB2312" w:cs="Times New Roman"/>
                <w:color w:val="000000"/>
                <w:kern w:val="0"/>
                <w:sz w:val="22"/>
                <w:lang w:bidi="ar"/>
              </w:rPr>
            </w:pPr>
          </w:p>
        </w:tc>
      </w:tr>
      <w:tr w14:paraId="1187F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3A4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1D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3136E">
            <w:pPr>
              <w:widowControl/>
              <w:jc w:val="righ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F2C3">
            <w:pPr>
              <w:widowControl/>
              <w:jc w:val="left"/>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A42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27A3">
            <w:pPr>
              <w:widowControl/>
              <w:jc w:val="right"/>
              <w:textAlignment w:val="center"/>
              <w:rPr>
                <w:rFonts w:hint="eastAsia" w:ascii="Times New Roman" w:hAnsi="Times New Roman" w:eastAsia="仿宋_GB2312" w:cs="Times New Roman"/>
                <w:color w:val="000000"/>
                <w:kern w:val="0"/>
                <w:sz w:val="22"/>
                <w:lang w:bidi="ar"/>
              </w:rPr>
            </w:pPr>
          </w:p>
        </w:tc>
      </w:tr>
      <w:tr w14:paraId="1C10620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473E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889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EDCF">
            <w:pPr>
              <w:widowControl/>
              <w:jc w:val="righ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C6C1">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F41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BA9A5">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0.22</w:t>
            </w:r>
          </w:p>
        </w:tc>
      </w:tr>
      <w:tr w14:paraId="7999C14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C103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1EB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B3627">
            <w:pPr>
              <w:widowControl/>
              <w:jc w:val="righ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0C4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5D2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ADCF">
            <w:pPr>
              <w:widowControl/>
              <w:jc w:val="right"/>
              <w:textAlignment w:val="center"/>
              <w:rPr>
                <w:rFonts w:hint="eastAsia" w:ascii="Times New Roman" w:hAnsi="Times New Roman" w:eastAsia="仿宋_GB2312" w:cs="Times New Roman"/>
                <w:color w:val="000000"/>
                <w:kern w:val="0"/>
                <w:sz w:val="22"/>
                <w:lang w:bidi="ar"/>
              </w:rPr>
            </w:pPr>
          </w:p>
        </w:tc>
      </w:tr>
      <w:tr w14:paraId="3C9185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E935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8E538">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A8B2">
            <w:pPr>
              <w:widowControl/>
              <w:jc w:val="righ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0A8C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2A4BC">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D971E">
            <w:pPr>
              <w:widowControl/>
              <w:jc w:val="right"/>
              <w:textAlignment w:val="center"/>
              <w:rPr>
                <w:rFonts w:hint="eastAsia" w:ascii="Times New Roman" w:hAnsi="Times New Roman" w:eastAsia="仿宋_GB2312" w:cs="Times New Roman"/>
                <w:color w:val="000000"/>
                <w:kern w:val="0"/>
                <w:sz w:val="22"/>
                <w:lang w:bidi="ar"/>
              </w:rPr>
            </w:pPr>
          </w:p>
        </w:tc>
      </w:tr>
      <w:tr w14:paraId="5FCAC3C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2A0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65D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EA2B">
            <w:pPr>
              <w:widowControl/>
              <w:jc w:val="righ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2210.36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EF2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E644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B813B">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2210.</w:t>
            </w:r>
            <w:r>
              <w:rPr>
                <w:rFonts w:hint="eastAsia" w:ascii="Times New Roman" w:hAnsi="Times New Roman" w:eastAsia="仿宋_GB2312" w:cs="Times New Roman"/>
                <w:color w:val="000000"/>
                <w:kern w:val="0"/>
                <w:sz w:val="22"/>
                <w:lang w:val="en-US" w:eastAsia="zh-CN" w:bidi="ar"/>
              </w:rPr>
              <w:t>58</w:t>
            </w:r>
          </w:p>
        </w:tc>
      </w:tr>
      <w:tr w14:paraId="193B32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20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A0B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9F42">
            <w:pPr>
              <w:widowControl/>
              <w:jc w:val="right"/>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32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8DD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5213">
            <w:pPr>
              <w:widowControl/>
              <w:jc w:val="right"/>
              <w:textAlignment w:val="center"/>
              <w:rPr>
                <w:rFonts w:hint="eastAsia" w:ascii="Times New Roman" w:hAnsi="Times New Roman" w:eastAsia="仿宋_GB2312" w:cs="Times New Roman"/>
                <w:color w:val="000000"/>
                <w:kern w:val="0"/>
                <w:sz w:val="22"/>
                <w:lang w:bidi="ar"/>
              </w:rPr>
            </w:pPr>
          </w:p>
        </w:tc>
      </w:tr>
      <w:tr w14:paraId="2F5C6B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538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6404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0827">
            <w:pPr>
              <w:widowControl/>
              <w:jc w:val="righ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EA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E9B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FFF1">
            <w:pPr>
              <w:widowControl/>
              <w:jc w:val="right"/>
              <w:textAlignment w:val="center"/>
              <w:rPr>
                <w:rFonts w:hint="eastAsia" w:ascii="Times New Roman" w:hAnsi="Times New Roman" w:eastAsia="仿宋_GB2312" w:cs="Times New Roman"/>
                <w:color w:val="000000"/>
                <w:kern w:val="0"/>
                <w:sz w:val="22"/>
                <w:lang w:bidi="ar"/>
              </w:rPr>
            </w:pPr>
          </w:p>
        </w:tc>
      </w:tr>
      <w:tr w14:paraId="416A3D3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BBE4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D43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A59E7">
            <w:pPr>
              <w:widowControl/>
              <w:jc w:val="right"/>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bidi="ar"/>
              </w:rPr>
              <w:t>2210.</w:t>
            </w:r>
            <w:r>
              <w:rPr>
                <w:rFonts w:hint="eastAsia" w:ascii="Times New Roman" w:hAnsi="Times New Roman" w:eastAsia="仿宋_GB2312" w:cs="Times New Roman"/>
                <w:color w:val="000000"/>
                <w:kern w:val="0"/>
                <w:sz w:val="22"/>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17D3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35C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C8F49">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2210.</w:t>
            </w:r>
            <w:r>
              <w:rPr>
                <w:rFonts w:hint="eastAsia" w:ascii="Times New Roman" w:hAnsi="Times New Roman" w:eastAsia="仿宋_GB2312" w:cs="Times New Roman"/>
                <w:color w:val="000000"/>
                <w:kern w:val="0"/>
                <w:sz w:val="22"/>
                <w:lang w:val="en-US" w:eastAsia="zh-CN" w:bidi="ar"/>
              </w:rPr>
              <w:t>59</w:t>
            </w:r>
          </w:p>
        </w:tc>
      </w:tr>
    </w:tbl>
    <w:p w14:paraId="0B426B21">
      <w:pPr>
        <w:widowControl/>
        <w:jc w:val="left"/>
        <w:textAlignment w:val="center"/>
        <w:rPr>
          <w:rFonts w:ascii="Times New Roman" w:hAnsi="Times New Roman" w:eastAsia="宋体" w:cs="Times New Roman"/>
          <w:color w:val="000000"/>
          <w:kern w:val="0"/>
          <w:sz w:val="24"/>
          <w:szCs w:val="24"/>
          <w:lang w:bidi="ar"/>
        </w:rPr>
      </w:pPr>
    </w:p>
    <w:p w14:paraId="5CBEBC75">
      <w:pPr>
        <w:rPr>
          <w:rFonts w:ascii="Times New Roman" w:hAnsi="Times New Roman" w:eastAsia="华文中宋" w:cs="Times New Roman"/>
          <w:color w:val="000000"/>
          <w:sz w:val="32"/>
          <w:szCs w:val="32"/>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582D56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8F11E0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FA0446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CC53B7F">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怀化市公共资源交易中心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2E6110E">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41345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1D449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1C201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FCAAB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6E76D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2A88A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3A48A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D7415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49598C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7ED8E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3FC1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3E1373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EF180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F5FCC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40F8C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5887E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69228FA">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56F6678">
            <w:pPr>
              <w:rPr>
                <w:rFonts w:ascii="Times New Roman" w:hAnsi="Times New Roman" w:eastAsia="仿宋_GB2312" w:cs="Times New Roman"/>
                <w:sz w:val="24"/>
                <w:szCs w:val="24"/>
              </w:rPr>
            </w:pPr>
          </w:p>
        </w:tc>
      </w:tr>
      <w:tr w14:paraId="397E6AD1">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1065AB7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E90EF6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DFAAA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6D3EBD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5859A7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62EA08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B5AD39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B052EA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AEAE0A5">
            <w:pPr>
              <w:rPr>
                <w:rFonts w:ascii="Times New Roman" w:hAnsi="Times New Roman" w:eastAsia="仿宋_GB2312" w:cs="Times New Roman"/>
                <w:sz w:val="24"/>
                <w:szCs w:val="24"/>
              </w:rPr>
            </w:pPr>
          </w:p>
        </w:tc>
      </w:tr>
      <w:tr w14:paraId="2D64E46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BC553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425C0E">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F41460">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901216">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6EA982">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8F6E5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F00EA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6D01F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C2F76E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107E5E">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837FB4">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2210.36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C9EA40">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5B04C7">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F5339A">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2210.36</w:t>
            </w: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A15D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9F35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0775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B09573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750F54">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B1C878">
            <w:pPr>
              <w:rPr>
                <w:rFonts w:ascii="Times New Roman" w:hAnsi="Times New Roman" w:eastAsia="仿宋_GB2312" w:cs="Times New Roman"/>
                <w:sz w:val="24"/>
                <w:szCs w:val="24"/>
              </w:rPr>
            </w:pPr>
            <w:r>
              <w:rPr>
                <w:rFonts w:hint="eastAsia" w:ascii="Times New Roman" w:hAnsi="Times New Roman" w:eastAsia="仿宋_GB2312" w:cs="Times New Roma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DE5075">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2210.36</w:t>
            </w: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4B12CB">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2C6F45">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DF0C2A">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2210.36</w:t>
            </w: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C265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84A2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EA18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6ABDC1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3636A5">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19F777">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E16EE">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2210.36</w:t>
            </w: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06585F">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00E8C">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138949">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2210.36</w:t>
            </w: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583A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B5E7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98A1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D489CB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3FC560">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2019999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E14846">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44537F">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2210.36</w:t>
            </w: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C0E36F">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EFFCEE">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6639C">
            <w:pPr>
              <w:widowControl/>
              <w:jc w:val="righ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2210.36</w:t>
            </w:r>
            <w:r>
              <w:rPr>
                <w:rFonts w:hint="eastAsia" w:ascii="Times New Roman" w:hAnsi="Times New Roman" w:eastAsia="仿宋_GB2312" w:cs="Times New Roman"/>
                <w:color w:val="000000"/>
                <w:kern w:val="0"/>
                <w:sz w:val="22"/>
                <w:lang w:bidi="ar"/>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2117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21B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0BB8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68E2E0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CCA826">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218A8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B2F88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9DB7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13A1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652E7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FB0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83B4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169ED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389A0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AB5F1E">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45AA90">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3E6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F9B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9AF8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A2A22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6777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B292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3DE5C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995B6C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12506D">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661B9F">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B5E67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FB7D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980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9BD01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5F8A2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C5707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1B26E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1AF4FCD0">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2087997">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11D03CD9">
      <w:pPr>
        <w:widowControl/>
        <w:jc w:val="center"/>
        <w:textAlignment w:val="center"/>
        <w:rPr>
          <w:rFonts w:ascii="Times New Roman" w:hAnsi="Times New Roman" w:eastAsia="黑体" w:cs="Times New Roman"/>
          <w:color w:val="000000"/>
          <w:kern w:val="0"/>
          <w:sz w:val="32"/>
          <w:szCs w:val="32"/>
          <w:lang w:bidi="ar"/>
        </w:rPr>
      </w:pPr>
    </w:p>
    <w:p w14:paraId="0442AC8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44684A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4DC28A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怀化市公共资源交易中心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2206"/>
        <w:gridCol w:w="2863"/>
        <w:gridCol w:w="1663"/>
        <w:gridCol w:w="1222"/>
        <w:gridCol w:w="1251"/>
        <w:gridCol w:w="1407"/>
        <w:gridCol w:w="1114"/>
        <w:gridCol w:w="2483"/>
      </w:tblGrid>
      <w:tr w14:paraId="6C9A9569">
        <w:tblPrEx>
          <w:tblCellMar>
            <w:top w:w="0" w:type="dxa"/>
            <w:left w:w="108" w:type="dxa"/>
            <w:bottom w:w="0" w:type="dxa"/>
            <w:right w:w="108" w:type="dxa"/>
          </w:tblCellMar>
        </w:tblPrEx>
        <w:trPr>
          <w:trHeight w:val="595" w:hRule="atLeast"/>
          <w:jc w:val="center"/>
        </w:trPr>
        <w:tc>
          <w:tcPr>
            <w:tcW w:w="178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824739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8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16B6F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3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978CA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4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8BAAC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9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508FE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9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3FE5E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7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54954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0507717">
        <w:tblPrEx>
          <w:tblCellMar>
            <w:top w:w="0" w:type="dxa"/>
            <w:left w:w="108" w:type="dxa"/>
            <w:bottom w:w="0" w:type="dxa"/>
            <w:right w:w="108" w:type="dxa"/>
          </w:tblCellMar>
        </w:tblPrEx>
        <w:trPr>
          <w:trHeight w:val="312" w:hRule="exact"/>
          <w:jc w:val="center"/>
        </w:trPr>
        <w:tc>
          <w:tcPr>
            <w:tcW w:w="77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F83730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007" w:type="pct"/>
            <w:vMerge w:val="restart"/>
            <w:tcBorders>
              <w:top w:val="nil"/>
              <w:left w:val="single" w:color="auto" w:sz="4" w:space="0"/>
              <w:bottom w:val="single" w:color="auto" w:sz="4" w:space="0"/>
              <w:right w:val="single" w:color="auto" w:sz="4" w:space="0"/>
            </w:tcBorders>
            <w:shd w:val="clear" w:color="000000" w:fill="FFFFFF"/>
            <w:vAlign w:val="center"/>
          </w:tcPr>
          <w:p w14:paraId="77272C4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85" w:type="pct"/>
            <w:vMerge w:val="continue"/>
            <w:tcBorders>
              <w:top w:val="single" w:color="auto" w:sz="4" w:space="0"/>
              <w:left w:val="single" w:color="auto" w:sz="4" w:space="0"/>
              <w:bottom w:val="single" w:color="auto" w:sz="4" w:space="0"/>
              <w:right w:val="single" w:color="auto" w:sz="4" w:space="0"/>
            </w:tcBorders>
            <w:vAlign w:val="center"/>
          </w:tcPr>
          <w:p w14:paraId="5E925EC9">
            <w:pPr>
              <w:widowControl/>
              <w:jc w:val="left"/>
              <w:rPr>
                <w:rFonts w:ascii="Times New Roman" w:hAnsi="Times New Roman" w:eastAsia="仿宋_GB2312" w:cs="Times New Roman"/>
                <w:b/>
                <w:bCs/>
                <w:kern w:val="0"/>
                <w:sz w:val="24"/>
                <w:szCs w:val="24"/>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121C8EB0">
            <w:pPr>
              <w:widowControl/>
              <w:jc w:val="left"/>
              <w:rPr>
                <w:rFonts w:ascii="Times New Roman" w:hAnsi="Times New Roman" w:eastAsia="仿宋_GB2312" w:cs="Times New Roman"/>
                <w:b/>
                <w:bCs/>
                <w:kern w:val="0"/>
                <w:sz w:val="24"/>
                <w:szCs w:val="24"/>
              </w:rPr>
            </w:pPr>
          </w:p>
        </w:tc>
        <w:tc>
          <w:tcPr>
            <w:tcW w:w="440" w:type="pct"/>
            <w:vMerge w:val="continue"/>
            <w:tcBorders>
              <w:top w:val="single" w:color="auto" w:sz="4" w:space="0"/>
              <w:left w:val="single" w:color="auto" w:sz="4" w:space="0"/>
              <w:bottom w:val="single" w:color="auto" w:sz="4" w:space="0"/>
              <w:right w:val="single" w:color="auto" w:sz="4" w:space="0"/>
            </w:tcBorders>
            <w:vAlign w:val="center"/>
          </w:tcPr>
          <w:p w14:paraId="402ED62C">
            <w:pPr>
              <w:widowControl/>
              <w:jc w:val="left"/>
              <w:rPr>
                <w:rFonts w:ascii="Times New Roman" w:hAnsi="Times New Roman" w:eastAsia="仿宋_GB2312" w:cs="Times New Roman"/>
                <w:b/>
                <w:bCs/>
                <w:kern w:val="0"/>
                <w:sz w:val="24"/>
                <w:szCs w:val="24"/>
              </w:rPr>
            </w:pPr>
          </w:p>
        </w:tc>
        <w:tc>
          <w:tcPr>
            <w:tcW w:w="495" w:type="pct"/>
            <w:vMerge w:val="continue"/>
            <w:tcBorders>
              <w:top w:val="single" w:color="auto" w:sz="4" w:space="0"/>
              <w:left w:val="single" w:color="auto" w:sz="4" w:space="0"/>
              <w:bottom w:val="single" w:color="auto" w:sz="4" w:space="0"/>
              <w:right w:val="single" w:color="auto" w:sz="4" w:space="0"/>
            </w:tcBorders>
            <w:vAlign w:val="center"/>
          </w:tcPr>
          <w:p w14:paraId="625953CF">
            <w:pPr>
              <w:widowControl/>
              <w:jc w:val="left"/>
              <w:rPr>
                <w:rFonts w:ascii="Times New Roman" w:hAnsi="Times New Roman" w:eastAsia="仿宋_GB2312" w:cs="Times New Roman"/>
                <w:b/>
                <w:bCs/>
                <w:kern w:val="0"/>
                <w:sz w:val="24"/>
                <w:szCs w:val="24"/>
              </w:rPr>
            </w:pPr>
          </w:p>
        </w:tc>
        <w:tc>
          <w:tcPr>
            <w:tcW w:w="392" w:type="pct"/>
            <w:vMerge w:val="continue"/>
            <w:tcBorders>
              <w:top w:val="single" w:color="auto" w:sz="4" w:space="0"/>
              <w:left w:val="single" w:color="auto" w:sz="4" w:space="0"/>
              <w:bottom w:val="single" w:color="auto" w:sz="4" w:space="0"/>
              <w:right w:val="single" w:color="auto" w:sz="4" w:space="0"/>
            </w:tcBorders>
            <w:vAlign w:val="center"/>
          </w:tcPr>
          <w:p w14:paraId="0C9957D4">
            <w:pPr>
              <w:widowControl/>
              <w:jc w:val="left"/>
              <w:rPr>
                <w:rFonts w:ascii="Times New Roman" w:hAnsi="Times New Roman" w:eastAsia="仿宋_GB2312" w:cs="Times New Roman"/>
                <w:b/>
                <w:bCs/>
                <w:kern w:val="0"/>
                <w:sz w:val="24"/>
                <w:szCs w:val="24"/>
              </w:rPr>
            </w:pPr>
          </w:p>
        </w:tc>
        <w:tc>
          <w:tcPr>
            <w:tcW w:w="873" w:type="pct"/>
            <w:vMerge w:val="continue"/>
            <w:tcBorders>
              <w:top w:val="single" w:color="auto" w:sz="4" w:space="0"/>
              <w:left w:val="single" w:color="auto" w:sz="4" w:space="0"/>
              <w:bottom w:val="single" w:color="auto" w:sz="4" w:space="0"/>
              <w:right w:val="single" w:color="auto" w:sz="4" w:space="0"/>
            </w:tcBorders>
            <w:vAlign w:val="center"/>
          </w:tcPr>
          <w:p w14:paraId="525DA686">
            <w:pPr>
              <w:widowControl/>
              <w:jc w:val="left"/>
              <w:rPr>
                <w:rFonts w:ascii="Times New Roman" w:hAnsi="Times New Roman" w:eastAsia="仿宋_GB2312" w:cs="Times New Roman"/>
                <w:b/>
                <w:bCs/>
                <w:kern w:val="0"/>
                <w:sz w:val="24"/>
                <w:szCs w:val="24"/>
              </w:rPr>
            </w:pPr>
          </w:p>
        </w:tc>
      </w:tr>
      <w:tr w14:paraId="66C85200">
        <w:tblPrEx>
          <w:tblCellMar>
            <w:top w:w="0" w:type="dxa"/>
            <w:left w:w="108" w:type="dxa"/>
            <w:bottom w:w="0" w:type="dxa"/>
            <w:right w:w="108" w:type="dxa"/>
          </w:tblCellMar>
        </w:tblPrEx>
        <w:trPr>
          <w:trHeight w:val="595" w:hRule="atLeast"/>
          <w:jc w:val="center"/>
        </w:trPr>
        <w:tc>
          <w:tcPr>
            <w:tcW w:w="776" w:type="pct"/>
            <w:vMerge w:val="continue"/>
            <w:tcBorders>
              <w:top w:val="single" w:color="auto" w:sz="4" w:space="0"/>
              <w:left w:val="single" w:color="auto" w:sz="4" w:space="0"/>
              <w:bottom w:val="single" w:color="auto" w:sz="4" w:space="0"/>
              <w:right w:val="single" w:color="auto" w:sz="4" w:space="0"/>
            </w:tcBorders>
            <w:vAlign w:val="center"/>
          </w:tcPr>
          <w:p w14:paraId="03536E18">
            <w:pPr>
              <w:widowControl/>
              <w:jc w:val="left"/>
              <w:rPr>
                <w:rFonts w:ascii="Times New Roman" w:hAnsi="Times New Roman" w:eastAsia="仿宋_GB2312" w:cs="Times New Roman"/>
                <w:kern w:val="0"/>
                <w:sz w:val="24"/>
                <w:szCs w:val="24"/>
              </w:rPr>
            </w:pPr>
          </w:p>
        </w:tc>
        <w:tc>
          <w:tcPr>
            <w:tcW w:w="1007" w:type="pct"/>
            <w:vMerge w:val="continue"/>
            <w:tcBorders>
              <w:top w:val="nil"/>
              <w:left w:val="single" w:color="auto" w:sz="4" w:space="0"/>
              <w:bottom w:val="single" w:color="auto" w:sz="4" w:space="0"/>
              <w:right w:val="single" w:color="auto" w:sz="4" w:space="0"/>
            </w:tcBorders>
            <w:vAlign w:val="center"/>
          </w:tcPr>
          <w:p w14:paraId="251F028B">
            <w:pPr>
              <w:widowControl/>
              <w:jc w:val="left"/>
              <w:rPr>
                <w:rFonts w:ascii="Times New Roman" w:hAnsi="Times New Roman" w:eastAsia="仿宋_GB2312" w:cs="Times New Roman"/>
                <w:kern w:val="0"/>
                <w:sz w:val="24"/>
                <w:szCs w:val="24"/>
              </w:rPr>
            </w:pPr>
          </w:p>
        </w:tc>
        <w:tc>
          <w:tcPr>
            <w:tcW w:w="585" w:type="pct"/>
            <w:vMerge w:val="continue"/>
            <w:tcBorders>
              <w:top w:val="single" w:color="auto" w:sz="4" w:space="0"/>
              <w:left w:val="single" w:color="auto" w:sz="4" w:space="0"/>
              <w:bottom w:val="single" w:color="auto" w:sz="4" w:space="0"/>
              <w:right w:val="single" w:color="auto" w:sz="4" w:space="0"/>
            </w:tcBorders>
            <w:vAlign w:val="center"/>
          </w:tcPr>
          <w:p w14:paraId="37BFC3B1">
            <w:pPr>
              <w:widowControl/>
              <w:jc w:val="left"/>
              <w:rPr>
                <w:rFonts w:ascii="Times New Roman" w:hAnsi="Times New Roman" w:eastAsia="仿宋_GB2312" w:cs="Times New Roman"/>
                <w:kern w:val="0"/>
                <w:sz w:val="24"/>
                <w:szCs w:val="24"/>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0AF240B7">
            <w:pPr>
              <w:widowControl/>
              <w:jc w:val="left"/>
              <w:rPr>
                <w:rFonts w:ascii="Times New Roman" w:hAnsi="Times New Roman" w:eastAsia="仿宋_GB2312" w:cs="Times New Roman"/>
                <w:kern w:val="0"/>
                <w:sz w:val="24"/>
                <w:szCs w:val="24"/>
              </w:rPr>
            </w:pPr>
          </w:p>
        </w:tc>
        <w:tc>
          <w:tcPr>
            <w:tcW w:w="440" w:type="pct"/>
            <w:vMerge w:val="continue"/>
            <w:tcBorders>
              <w:top w:val="single" w:color="auto" w:sz="4" w:space="0"/>
              <w:left w:val="single" w:color="auto" w:sz="4" w:space="0"/>
              <w:bottom w:val="single" w:color="auto" w:sz="4" w:space="0"/>
              <w:right w:val="single" w:color="auto" w:sz="4" w:space="0"/>
            </w:tcBorders>
            <w:vAlign w:val="center"/>
          </w:tcPr>
          <w:p w14:paraId="7EBD5F0B">
            <w:pPr>
              <w:widowControl/>
              <w:jc w:val="left"/>
              <w:rPr>
                <w:rFonts w:ascii="Times New Roman" w:hAnsi="Times New Roman" w:eastAsia="仿宋_GB2312" w:cs="Times New Roman"/>
                <w:kern w:val="0"/>
                <w:sz w:val="24"/>
                <w:szCs w:val="24"/>
              </w:rPr>
            </w:pPr>
          </w:p>
        </w:tc>
        <w:tc>
          <w:tcPr>
            <w:tcW w:w="495" w:type="pct"/>
            <w:vMerge w:val="continue"/>
            <w:tcBorders>
              <w:top w:val="single" w:color="auto" w:sz="4" w:space="0"/>
              <w:left w:val="single" w:color="auto" w:sz="4" w:space="0"/>
              <w:bottom w:val="single" w:color="auto" w:sz="4" w:space="0"/>
              <w:right w:val="single" w:color="auto" w:sz="4" w:space="0"/>
            </w:tcBorders>
            <w:vAlign w:val="center"/>
          </w:tcPr>
          <w:p w14:paraId="4EEAD381">
            <w:pPr>
              <w:widowControl/>
              <w:jc w:val="left"/>
              <w:rPr>
                <w:rFonts w:ascii="Times New Roman" w:hAnsi="Times New Roman" w:eastAsia="仿宋_GB2312" w:cs="Times New Roman"/>
                <w:kern w:val="0"/>
                <w:sz w:val="24"/>
                <w:szCs w:val="24"/>
              </w:rPr>
            </w:pPr>
          </w:p>
        </w:tc>
        <w:tc>
          <w:tcPr>
            <w:tcW w:w="392" w:type="pct"/>
            <w:vMerge w:val="continue"/>
            <w:tcBorders>
              <w:top w:val="single" w:color="auto" w:sz="4" w:space="0"/>
              <w:left w:val="single" w:color="auto" w:sz="4" w:space="0"/>
              <w:bottom w:val="single" w:color="auto" w:sz="4" w:space="0"/>
              <w:right w:val="single" w:color="auto" w:sz="4" w:space="0"/>
            </w:tcBorders>
            <w:vAlign w:val="center"/>
          </w:tcPr>
          <w:p w14:paraId="6A4D649D">
            <w:pPr>
              <w:widowControl/>
              <w:jc w:val="left"/>
              <w:rPr>
                <w:rFonts w:ascii="Times New Roman" w:hAnsi="Times New Roman" w:eastAsia="仿宋_GB2312" w:cs="Times New Roman"/>
                <w:kern w:val="0"/>
                <w:sz w:val="24"/>
                <w:szCs w:val="24"/>
              </w:rPr>
            </w:pPr>
          </w:p>
        </w:tc>
        <w:tc>
          <w:tcPr>
            <w:tcW w:w="873" w:type="pct"/>
            <w:vMerge w:val="continue"/>
            <w:tcBorders>
              <w:top w:val="single" w:color="auto" w:sz="4" w:space="0"/>
              <w:left w:val="single" w:color="auto" w:sz="4" w:space="0"/>
              <w:bottom w:val="single" w:color="auto" w:sz="4" w:space="0"/>
              <w:right w:val="single" w:color="auto" w:sz="4" w:space="0"/>
            </w:tcBorders>
            <w:vAlign w:val="center"/>
          </w:tcPr>
          <w:p w14:paraId="02EC6AB0">
            <w:pPr>
              <w:widowControl/>
              <w:jc w:val="left"/>
              <w:rPr>
                <w:rFonts w:ascii="Times New Roman" w:hAnsi="Times New Roman" w:eastAsia="仿宋_GB2312" w:cs="Times New Roman"/>
                <w:kern w:val="0"/>
                <w:sz w:val="24"/>
                <w:szCs w:val="24"/>
              </w:rPr>
            </w:pPr>
          </w:p>
        </w:tc>
      </w:tr>
      <w:tr w14:paraId="3469DF88">
        <w:tblPrEx>
          <w:tblCellMar>
            <w:top w:w="0" w:type="dxa"/>
            <w:left w:w="108" w:type="dxa"/>
            <w:bottom w:w="0" w:type="dxa"/>
            <w:right w:w="108" w:type="dxa"/>
          </w:tblCellMar>
        </w:tblPrEx>
        <w:trPr>
          <w:trHeight w:val="595" w:hRule="atLeast"/>
          <w:jc w:val="center"/>
        </w:trPr>
        <w:tc>
          <w:tcPr>
            <w:tcW w:w="178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8F5E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85" w:type="pct"/>
            <w:tcBorders>
              <w:top w:val="nil"/>
              <w:left w:val="nil"/>
              <w:bottom w:val="single" w:color="auto" w:sz="4" w:space="0"/>
              <w:right w:val="single" w:color="auto" w:sz="4" w:space="0"/>
            </w:tcBorders>
            <w:shd w:val="clear" w:color="000000" w:fill="FFFFFF"/>
            <w:noWrap/>
            <w:vAlign w:val="center"/>
          </w:tcPr>
          <w:p w14:paraId="536356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30" w:type="pct"/>
            <w:tcBorders>
              <w:top w:val="nil"/>
              <w:left w:val="nil"/>
              <w:bottom w:val="single" w:color="auto" w:sz="4" w:space="0"/>
              <w:right w:val="single" w:color="auto" w:sz="4" w:space="0"/>
            </w:tcBorders>
            <w:shd w:val="clear" w:color="000000" w:fill="FFFFFF"/>
            <w:noWrap/>
            <w:vAlign w:val="center"/>
          </w:tcPr>
          <w:p w14:paraId="727BFA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40" w:type="pct"/>
            <w:tcBorders>
              <w:top w:val="nil"/>
              <w:left w:val="nil"/>
              <w:bottom w:val="single" w:color="auto" w:sz="4" w:space="0"/>
              <w:right w:val="single" w:color="auto" w:sz="4" w:space="0"/>
            </w:tcBorders>
            <w:shd w:val="clear" w:color="000000" w:fill="FFFFFF"/>
            <w:noWrap/>
            <w:vAlign w:val="center"/>
          </w:tcPr>
          <w:p w14:paraId="3D9887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95" w:type="pct"/>
            <w:tcBorders>
              <w:top w:val="nil"/>
              <w:left w:val="nil"/>
              <w:bottom w:val="single" w:color="auto" w:sz="4" w:space="0"/>
              <w:right w:val="single" w:color="auto" w:sz="4" w:space="0"/>
            </w:tcBorders>
            <w:shd w:val="clear" w:color="000000" w:fill="FFFFFF"/>
            <w:noWrap/>
            <w:vAlign w:val="center"/>
          </w:tcPr>
          <w:p w14:paraId="04AE19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92" w:type="pct"/>
            <w:tcBorders>
              <w:top w:val="nil"/>
              <w:left w:val="nil"/>
              <w:bottom w:val="single" w:color="auto" w:sz="4" w:space="0"/>
              <w:right w:val="single" w:color="auto" w:sz="4" w:space="0"/>
            </w:tcBorders>
            <w:shd w:val="clear" w:color="000000" w:fill="FFFFFF"/>
            <w:noWrap/>
            <w:vAlign w:val="center"/>
          </w:tcPr>
          <w:p w14:paraId="19EBE8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73" w:type="pct"/>
            <w:tcBorders>
              <w:top w:val="nil"/>
              <w:left w:val="nil"/>
              <w:bottom w:val="single" w:color="auto" w:sz="4" w:space="0"/>
              <w:right w:val="single" w:color="auto" w:sz="4" w:space="0"/>
            </w:tcBorders>
            <w:shd w:val="clear" w:color="000000" w:fill="FFFFFF"/>
            <w:noWrap/>
            <w:vAlign w:val="center"/>
          </w:tcPr>
          <w:p w14:paraId="4694573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47D7F79">
        <w:tblPrEx>
          <w:tblCellMar>
            <w:top w:w="0" w:type="dxa"/>
            <w:left w:w="108" w:type="dxa"/>
            <w:bottom w:w="0" w:type="dxa"/>
            <w:right w:w="108" w:type="dxa"/>
          </w:tblCellMar>
        </w:tblPrEx>
        <w:trPr>
          <w:trHeight w:val="595" w:hRule="atLeast"/>
          <w:jc w:val="center"/>
        </w:trPr>
        <w:tc>
          <w:tcPr>
            <w:tcW w:w="178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1E48F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85" w:type="pct"/>
            <w:tcBorders>
              <w:top w:val="nil"/>
              <w:left w:val="nil"/>
              <w:bottom w:val="single" w:color="auto" w:sz="4" w:space="0"/>
              <w:right w:val="single" w:color="auto" w:sz="4" w:space="0"/>
            </w:tcBorders>
            <w:shd w:val="clear" w:color="auto" w:fill="auto"/>
            <w:noWrap/>
            <w:vAlign w:val="center"/>
          </w:tcPr>
          <w:p w14:paraId="34779C8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2210.59</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47625F2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1403.71</w:t>
            </w: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1D7015F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806.87</w:t>
            </w:r>
            <w:r>
              <w:rPr>
                <w:rFonts w:ascii="Times New Roman" w:hAnsi="Times New Roman" w:eastAsia="仿宋_GB2312" w:cs="Times New Roman"/>
                <w:kern w:val="0"/>
                <w:sz w:val="24"/>
                <w:szCs w:val="24"/>
              </w:rPr>
              <w:t>　</w:t>
            </w:r>
          </w:p>
        </w:tc>
        <w:tc>
          <w:tcPr>
            <w:tcW w:w="495" w:type="pct"/>
            <w:tcBorders>
              <w:top w:val="nil"/>
              <w:left w:val="nil"/>
              <w:bottom w:val="single" w:color="auto" w:sz="4" w:space="0"/>
              <w:right w:val="single" w:color="auto" w:sz="4" w:space="0"/>
            </w:tcBorders>
            <w:shd w:val="clear" w:color="auto" w:fill="auto"/>
            <w:noWrap/>
            <w:vAlign w:val="center"/>
          </w:tcPr>
          <w:p w14:paraId="383B216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14:paraId="5E9D028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3" w:type="pct"/>
            <w:tcBorders>
              <w:top w:val="nil"/>
              <w:left w:val="nil"/>
              <w:bottom w:val="single" w:color="auto" w:sz="4" w:space="0"/>
              <w:right w:val="single" w:color="auto" w:sz="4" w:space="0"/>
            </w:tcBorders>
            <w:shd w:val="clear" w:color="auto" w:fill="auto"/>
            <w:noWrap/>
            <w:vAlign w:val="center"/>
          </w:tcPr>
          <w:p w14:paraId="202E3B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E5C2192">
        <w:tblPrEx>
          <w:tblCellMar>
            <w:top w:w="0" w:type="dxa"/>
            <w:left w:w="108" w:type="dxa"/>
            <w:bottom w:w="0" w:type="dxa"/>
            <w:right w:w="108" w:type="dxa"/>
          </w:tblCellMar>
        </w:tblPrEx>
        <w:trPr>
          <w:trHeight w:val="595" w:hRule="atLeast"/>
          <w:jc w:val="center"/>
        </w:trPr>
        <w:tc>
          <w:tcPr>
            <w:tcW w:w="77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6CE9D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201</w:t>
            </w:r>
          </w:p>
        </w:tc>
        <w:tc>
          <w:tcPr>
            <w:tcW w:w="1007" w:type="pct"/>
            <w:tcBorders>
              <w:top w:val="nil"/>
              <w:left w:val="nil"/>
              <w:bottom w:val="single" w:color="auto" w:sz="4" w:space="0"/>
              <w:right w:val="single" w:color="auto" w:sz="4" w:space="0"/>
            </w:tcBorders>
            <w:shd w:val="clear" w:color="000000" w:fill="FFFFFF"/>
            <w:noWrap/>
            <w:vAlign w:val="center"/>
          </w:tcPr>
          <w:p w14:paraId="6F21733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一般公共服务支出</w:t>
            </w:r>
          </w:p>
        </w:tc>
        <w:tc>
          <w:tcPr>
            <w:tcW w:w="585" w:type="pct"/>
            <w:tcBorders>
              <w:top w:val="nil"/>
              <w:left w:val="nil"/>
              <w:bottom w:val="single" w:color="auto" w:sz="4" w:space="0"/>
              <w:right w:val="single" w:color="auto" w:sz="4" w:space="0"/>
            </w:tcBorders>
            <w:shd w:val="clear" w:color="auto" w:fill="auto"/>
            <w:noWrap/>
            <w:vAlign w:val="center"/>
          </w:tcPr>
          <w:p w14:paraId="602FA21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2210.36</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51DA91E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1403.49</w:t>
            </w: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456A141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806.87</w:t>
            </w:r>
            <w:r>
              <w:rPr>
                <w:rFonts w:ascii="Times New Roman" w:hAnsi="Times New Roman" w:eastAsia="仿宋_GB2312" w:cs="Times New Roman"/>
                <w:kern w:val="0"/>
                <w:sz w:val="24"/>
                <w:szCs w:val="24"/>
              </w:rPr>
              <w:t>　</w:t>
            </w:r>
          </w:p>
        </w:tc>
        <w:tc>
          <w:tcPr>
            <w:tcW w:w="495" w:type="pct"/>
            <w:tcBorders>
              <w:top w:val="nil"/>
              <w:left w:val="nil"/>
              <w:bottom w:val="single" w:color="auto" w:sz="4" w:space="0"/>
              <w:right w:val="single" w:color="auto" w:sz="4" w:space="0"/>
            </w:tcBorders>
            <w:shd w:val="clear" w:color="auto" w:fill="auto"/>
            <w:noWrap/>
            <w:vAlign w:val="center"/>
          </w:tcPr>
          <w:p w14:paraId="646918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14:paraId="2224691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3" w:type="pct"/>
            <w:tcBorders>
              <w:top w:val="nil"/>
              <w:left w:val="nil"/>
              <w:bottom w:val="single" w:color="auto" w:sz="4" w:space="0"/>
              <w:right w:val="single" w:color="auto" w:sz="4" w:space="0"/>
            </w:tcBorders>
            <w:shd w:val="clear" w:color="auto" w:fill="auto"/>
            <w:noWrap/>
            <w:vAlign w:val="center"/>
          </w:tcPr>
          <w:p w14:paraId="1441ABC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0A4884C">
        <w:tblPrEx>
          <w:tblCellMar>
            <w:top w:w="0" w:type="dxa"/>
            <w:left w:w="108" w:type="dxa"/>
            <w:bottom w:w="0" w:type="dxa"/>
            <w:right w:w="108" w:type="dxa"/>
          </w:tblCellMar>
        </w:tblPrEx>
        <w:trPr>
          <w:trHeight w:val="595" w:hRule="atLeast"/>
          <w:jc w:val="center"/>
        </w:trPr>
        <w:tc>
          <w:tcPr>
            <w:tcW w:w="77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E0330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20199</w:t>
            </w:r>
          </w:p>
        </w:tc>
        <w:tc>
          <w:tcPr>
            <w:tcW w:w="1007" w:type="pct"/>
            <w:tcBorders>
              <w:top w:val="nil"/>
              <w:left w:val="nil"/>
              <w:bottom w:val="single" w:color="auto" w:sz="4" w:space="0"/>
              <w:right w:val="single" w:color="auto" w:sz="4" w:space="0"/>
            </w:tcBorders>
            <w:shd w:val="clear" w:color="000000" w:fill="FFFFFF"/>
            <w:noWrap/>
            <w:vAlign w:val="center"/>
          </w:tcPr>
          <w:p w14:paraId="533F2DF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其他一般公共服务支出</w:t>
            </w:r>
          </w:p>
        </w:tc>
        <w:tc>
          <w:tcPr>
            <w:tcW w:w="585" w:type="pct"/>
            <w:tcBorders>
              <w:top w:val="nil"/>
              <w:left w:val="nil"/>
              <w:bottom w:val="single" w:color="auto" w:sz="4" w:space="0"/>
              <w:right w:val="single" w:color="auto" w:sz="4" w:space="0"/>
            </w:tcBorders>
            <w:shd w:val="clear" w:color="auto" w:fill="auto"/>
            <w:noWrap/>
            <w:vAlign w:val="center"/>
          </w:tcPr>
          <w:p w14:paraId="12A1077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2210.36</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7D7DF0E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1403.49</w:t>
            </w: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244C1FF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806.87</w:t>
            </w:r>
            <w:r>
              <w:rPr>
                <w:rFonts w:ascii="Times New Roman" w:hAnsi="Times New Roman" w:eastAsia="仿宋_GB2312" w:cs="Times New Roman"/>
                <w:kern w:val="0"/>
                <w:sz w:val="24"/>
                <w:szCs w:val="24"/>
              </w:rPr>
              <w:t>　</w:t>
            </w:r>
          </w:p>
        </w:tc>
        <w:tc>
          <w:tcPr>
            <w:tcW w:w="495" w:type="pct"/>
            <w:tcBorders>
              <w:top w:val="nil"/>
              <w:left w:val="nil"/>
              <w:bottom w:val="single" w:color="auto" w:sz="4" w:space="0"/>
              <w:right w:val="single" w:color="auto" w:sz="4" w:space="0"/>
            </w:tcBorders>
            <w:shd w:val="clear" w:color="auto" w:fill="auto"/>
            <w:noWrap/>
            <w:vAlign w:val="center"/>
          </w:tcPr>
          <w:p w14:paraId="1286FA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14:paraId="4F46E37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3" w:type="pct"/>
            <w:tcBorders>
              <w:top w:val="nil"/>
              <w:left w:val="nil"/>
              <w:bottom w:val="single" w:color="auto" w:sz="4" w:space="0"/>
              <w:right w:val="single" w:color="auto" w:sz="4" w:space="0"/>
            </w:tcBorders>
            <w:shd w:val="clear" w:color="auto" w:fill="auto"/>
            <w:noWrap/>
            <w:vAlign w:val="center"/>
          </w:tcPr>
          <w:p w14:paraId="6AB9E7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8500BFA">
        <w:tblPrEx>
          <w:tblCellMar>
            <w:top w:w="0" w:type="dxa"/>
            <w:left w:w="108" w:type="dxa"/>
            <w:bottom w:w="0" w:type="dxa"/>
            <w:right w:w="108" w:type="dxa"/>
          </w:tblCellMar>
        </w:tblPrEx>
        <w:trPr>
          <w:trHeight w:val="595" w:hRule="atLeast"/>
          <w:jc w:val="center"/>
        </w:trPr>
        <w:tc>
          <w:tcPr>
            <w:tcW w:w="77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82B05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2019999</w:t>
            </w:r>
          </w:p>
        </w:tc>
        <w:tc>
          <w:tcPr>
            <w:tcW w:w="1007" w:type="pct"/>
            <w:tcBorders>
              <w:top w:val="nil"/>
              <w:left w:val="nil"/>
              <w:bottom w:val="single" w:color="auto" w:sz="4" w:space="0"/>
              <w:right w:val="single" w:color="auto" w:sz="4" w:space="0"/>
            </w:tcBorders>
            <w:shd w:val="clear" w:color="000000" w:fill="FFFFFF"/>
            <w:noWrap/>
            <w:vAlign w:val="center"/>
          </w:tcPr>
          <w:p w14:paraId="5573079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其他一般公共服务支出</w:t>
            </w:r>
          </w:p>
        </w:tc>
        <w:tc>
          <w:tcPr>
            <w:tcW w:w="585" w:type="pct"/>
            <w:tcBorders>
              <w:top w:val="nil"/>
              <w:left w:val="nil"/>
              <w:bottom w:val="single" w:color="auto" w:sz="4" w:space="0"/>
              <w:right w:val="single" w:color="auto" w:sz="4" w:space="0"/>
            </w:tcBorders>
            <w:shd w:val="clear" w:color="auto" w:fill="auto"/>
            <w:noWrap/>
            <w:vAlign w:val="center"/>
          </w:tcPr>
          <w:p w14:paraId="28EB11A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2210.36</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3FABC88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1403.49</w:t>
            </w: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4195DE1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806.87</w:t>
            </w:r>
            <w:r>
              <w:rPr>
                <w:rFonts w:ascii="Times New Roman" w:hAnsi="Times New Roman" w:eastAsia="仿宋_GB2312" w:cs="Times New Roman"/>
                <w:kern w:val="0"/>
                <w:sz w:val="24"/>
                <w:szCs w:val="24"/>
              </w:rPr>
              <w:t>　</w:t>
            </w:r>
          </w:p>
        </w:tc>
        <w:tc>
          <w:tcPr>
            <w:tcW w:w="495" w:type="pct"/>
            <w:tcBorders>
              <w:top w:val="nil"/>
              <w:left w:val="nil"/>
              <w:bottom w:val="single" w:color="auto" w:sz="4" w:space="0"/>
              <w:right w:val="single" w:color="auto" w:sz="4" w:space="0"/>
            </w:tcBorders>
            <w:shd w:val="clear" w:color="auto" w:fill="auto"/>
            <w:noWrap/>
            <w:vAlign w:val="center"/>
          </w:tcPr>
          <w:p w14:paraId="786E20F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14:paraId="58E16C7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3" w:type="pct"/>
            <w:tcBorders>
              <w:top w:val="nil"/>
              <w:left w:val="nil"/>
              <w:bottom w:val="single" w:color="auto" w:sz="4" w:space="0"/>
              <w:right w:val="single" w:color="auto" w:sz="4" w:space="0"/>
            </w:tcBorders>
            <w:shd w:val="clear" w:color="auto" w:fill="auto"/>
            <w:noWrap/>
            <w:vAlign w:val="center"/>
          </w:tcPr>
          <w:p w14:paraId="04B8947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B3243B7">
        <w:tblPrEx>
          <w:tblCellMar>
            <w:top w:w="0" w:type="dxa"/>
            <w:left w:w="108" w:type="dxa"/>
            <w:bottom w:w="0" w:type="dxa"/>
            <w:right w:w="108" w:type="dxa"/>
          </w:tblCellMar>
        </w:tblPrEx>
        <w:trPr>
          <w:trHeight w:val="595" w:hRule="atLeast"/>
          <w:jc w:val="center"/>
        </w:trPr>
        <w:tc>
          <w:tcPr>
            <w:tcW w:w="77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CE04EB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229</w:t>
            </w:r>
          </w:p>
        </w:tc>
        <w:tc>
          <w:tcPr>
            <w:tcW w:w="1007" w:type="pct"/>
            <w:tcBorders>
              <w:top w:val="nil"/>
              <w:left w:val="nil"/>
              <w:bottom w:val="single" w:color="auto" w:sz="4" w:space="0"/>
              <w:right w:val="single" w:color="auto" w:sz="4" w:space="0"/>
            </w:tcBorders>
            <w:shd w:val="clear" w:color="000000" w:fill="FFFFFF"/>
            <w:noWrap/>
            <w:vAlign w:val="center"/>
          </w:tcPr>
          <w:p w14:paraId="16D7331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其他支出</w:t>
            </w:r>
          </w:p>
        </w:tc>
        <w:tc>
          <w:tcPr>
            <w:tcW w:w="585" w:type="pct"/>
            <w:tcBorders>
              <w:top w:val="nil"/>
              <w:left w:val="nil"/>
              <w:bottom w:val="single" w:color="auto" w:sz="4" w:space="0"/>
              <w:right w:val="single" w:color="auto" w:sz="4" w:space="0"/>
            </w:tcBorders>
            <w:shd w:val="clear" w:color="auto" w:fill="auto"/>
            <w:noWrap/>
            <w:vAlign w:val="center"/>
          </w:tcPr>
          <w:p w14:paraId="6729963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0.22</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5B278D2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0.22</w:t>
            </w: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78D549D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5" w:type="pct"/>
            <w:tcBorders>
              <w:top w:val="nil"/>
              <w:left w:val="nil"/>
              <w:bottom w:val="single" w:color="auto" w:sz="4" w:space="0"/>
              <w:right w:val="single" w:color="auto" w:sz="4" w:space="0"/>
            </w:tcBorders>
            <w:shd w:val="clear" w:color="auto" w:fill="auto"/>
            <w:noWrap/>
            <w:vAlign w:val="center"/>
          </w:tcPr>
          <w:p w14:paraId="4138AC5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14:paraId="7EA294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3" w:type="pct"/>
            <w:tcBorders>
              <w:top w:val="nil"/>
              <w:left w:val="nil"/>
              <w:bottom w:val="single" w:color="auto" w:sz="4" w:space="0"/>
              <w:right w:val="single" w:color="auto" w:sz="4" w:space="0"/>
            </w:tcBorders>
            <w:shd w:val="clear" w:color="auto" w:fill="auto"/>
            <w:noWrap/>
            <w:vAlign w:val="center"/>
          </w:tcPr>
          <w:p w14:paraId="2CF339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2923613">
        <w:tblPrEx>
          <w:tblCellMar>
            <w:top w:w="0" w:type="dxa"/>
            <w:left w:w="108" w:type="dxa"/>
            <w:bottom w:w="0" w:type="dxa"/>
            <w:right w:w="108" w:type="dxa"/>
          </w:tblCellMar>
        </w:tblPrEx>
        <w:trPr>
          <w:trHeight w:val="595" w:hRule="atLeast"/>
          <w:jc w:val="center"/>
        </w:trPr>
        <w:tc>
          <w:tcPr>
            <w:tcW w:w="77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21AAC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22999</w:t>
            </w:r>
          </w:p>
        </w:tc>
        <w:tc>
          <w:tcPr>
            <w:tcW w:w="1007" w:type="pct"/>
            <w:tcBorders>
              <w:top w:val="nil"/>
              <w:left w:val="nil"/>
              <w:bottom w:val="single" w:color="auto" w:sz="4" w:space="0"/>
              <w:right w:val="single" w:color="auto" w:sz="4" w:space="0"/>
            </w:tcBorders>
            <w:shd w:val="clear" w:color="000000" w:fill="FFFFFF"/>
            <w:noWrap/>
            <w:vAlign w:val="center"/>
          </w:tcPr>
          <w:p w14:paraId="4290873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其他支出</w:t>
            </w:r>
          </w:p>
        </w:tc>
        <w:tc>
          <w:tcPr>
            <w:tcW w:w="585" w:type="pct"/>
            <w:tcBorders>
              <w:top w:val="nil"/>
              <w:left w:val="nil"/>
              <w:bottom w:val="single" w:color="auto" w:sz="4" w:space="0"/>
              <w:right w:val="single" w:color="auto" w:sz="4" w:space="0"/>
            </w:tcBorders>
            <w:shd w:val="clear" w:color="auto" w:fill="auto"/>
            <w:noWrap/>
            <w:vAlign w:val="center"/>
          </w:tcPr>
          <w:p w14:paraId="1D25628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0.22</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7C52539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0.22</w:t>
            </w: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078959D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5" w:type="pct"/>
            <w:tcBorders>
              <w:top w:val="nil"/>
              <w:left w:val="nil"/>
              <w:bottom w:val="single" w:color="auto" w:sz="4" w:space="0"/>
              <w:right w:val="single" w:color="auto" w:sz="4" w:space="0"/>
            </w:tcBorders>
            <w:shd w:val="clear" w:color="auto" w:fill="auto"/>
            <w:noWrap/>
            <w:vAlign w:val="center"/>
          </w:tcPr>
          <w:p w14:paraId="290C53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14:paraId="7FB66F8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3" w:type="pct"/>
            <w:tcBorders>
              <w:top w:val="nil"/>
              <w:left w:val="nil"/>
              <w:bottom w:val="single" w:color="auto" w:sz="4" w:space="0"/>
              <w:right w:val="single" w:color="auto" w:sz="4" w:space="0"/>
            </w:tcBorders>
            <w:shd w:val="clear" w:color="auto" w:fill="auto"/>
            <w:noWrap/>
            <w:vAlign w:val="center"/>
          </w:tcPr>
          <w:p w14:paraId="416DEE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6DF1A6C">
        <w:tblPrEx>
          <w:tblCellMar>
            <w:top w:w="0" w:type="dxa"/>
            <w:left w:w="108" w:type="dxa"/>
            <w:bottom w:w="0" w:type="dxa"/>
            <w:right w:w="108" w:type="dxa"/>
          </w:tblCellMar>
        </w:tblPrEx>
        <w:trPr>
          <w:trHeight w:val="595" w:hRule="atLeast"/>
          <w:jc w:val="center"/>
        </w:trPr>
        <w:tc>
          <w:tcPr>
            <w:tcW w:w="77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930B8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2299999</w:t>
            </w:r>
          </w:p>
        </w:tc>
        <w:tc>
          <w:tcPr>
            <w:tcW w:w="1007" w:type="pct"/>
            <w:tcBorders>
              <w:top w:val="nil"/>
              <w:left w:val="nil"/>
              <w:bottom w:val="single" w:color="auto" w:sz="4" w:space="0"/>
              <w:right w:val="single" w:color="auto" w:sz="4" w:space="0"/>
            </w:tcBorders>
            <w:shd w:val="clear" w:color="000000" w:fill="FFFFFF"/>
            <w:noWrap/>
            <w:vAlign w:val="center"/>
          </w:tcPr>
          <w:p w14:paraId="0DA684F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其他支出</w:t>
            </w:r>
          </w:p>
        </w:tc>
        <w:tc>
          <w:tcPr>
            <w:tcW w:w="585" w:type="pct"/>
            <w:tcBorders>
              <w:top w:val="nil"/>
              <w:left w:val="nil"/>
              <w:bottom w:val="single" w:color="auto" w:sz="4" w:space="0"/>
              <w:right w:val="single" w:color="auto" w:sz="4" w:space="0"/>
            </w:tcBorders>
            <w:shd w:val="clear" w:color="auto" w:fill="auto"/>
            <w:noWrap/>
            <w:vAlign w:val="center"/>
          </w:tcPr>
          <w:p w14:paraId="4648F58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0.22</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217C59D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0.22</w:t>
            </w: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0D32FB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5" w:type="pct"/>
            <w:tcBorders>
              <w:top w:val="nil"/>
              <w:left w:val="nil"/>
              <w:bottom w:val="single" w:color="auto" w:sz="4" w:space="0"/>
              <w:right w:val="single" w:color="auto" w:sz="4" w:space="0"/>
            </w:tcBorders>
            <w:shd w:val="clear" w:color="auto" w:fill="auto"/>
            <w:noWrap/>
            <w:vAlign w:val="center"/>
          </w:tcPr>
          <w:p w14:paraId="5C4E4B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14:paraId="7E2CFF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3" w:type="pct"/>
            <w:tcBorders>
              <w:top w:val="nil"/>
              <w:left w:val="nil"/>
              <w:bottom w:val="single" w:color="auto" w:sz="4" w:space="0"/>
              <w:right w:val="single" w:color="auto" w:sz="4" w:space="0"/>
            </w:tcBorders>
            <w:shd w:val="clear" w:color="auto" w:fill="auto"/>
            <w:noWrap/>
            <w:vAlign w:val="center"/>
          </w:tcPr>
          <w:p w14:paraId="56AF6B6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58581232">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9B95A2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CCB1602">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B50C3D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996659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7C2814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怀化市公共资源交易中心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696"/>
        <w:gridCol w:w="2636"/>
        <w:gridCol w:w="616"/>
        <w:gridCol w:w="696"/>
        <w:gridCol w:w="1678"/>
        <w:gridCol w:w="1815"/>
        <w:gridCol w:w="1951"/>
      </w:tblGrid>
      <w:tr w14:paraId="47BA652E">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0BB98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26CE4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65A06B3">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D633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5D1816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A4F610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14CC1D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BA7161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280DF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0EAEEC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7FC08F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69A786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0E1334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F36C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0AB41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980AA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FA59A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B2EBE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78C182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193FC6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106A1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6C5EB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741DF3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FD1D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2129D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317306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AFD24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1464E8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53960A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F0F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51A0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44AE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1C64F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D01C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86A88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514A64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6337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A36B4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6B5C98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065D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C156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8500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97DED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FB9B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FA776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12FB4BB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3232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46C7AF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CE815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E79E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8D59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4F194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DBC78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449A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D906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07ADD51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109FE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9CC41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2A8C92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5521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8A7F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A3382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28107C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74652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AE15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0D772B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3435B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0A598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03D38F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7E64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1B2A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CD7B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2E01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225E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AB7F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1EA229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657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B0141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22D720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8818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5FC7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9BB77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02009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ED5D9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14FD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4B909CC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8F7F4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6BDF84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527D5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BAC5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9954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3CF1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F434F3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7B5FE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D0DC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EBA09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D9C36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FEF2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108517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97EA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E6A6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F6C6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90EABF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44F4E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59D5A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1967C95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E5E70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1C87D3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5336A1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9D48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C866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7E78A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D4C485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30F2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E8727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CD640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C8E9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14547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45CAFF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57B7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8BC6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2247A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65F12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760A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4FB20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74253C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2BD92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588A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26B13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84DA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AFD9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B625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1BD685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440A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0B442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F0B53D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1D617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5F1D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5D706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082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D337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23EB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5864C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7DCE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413E9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44802A6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842B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F929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6B26D0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B145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C68D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FD4E7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178228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656CA2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03D85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2808609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B284DA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9F6E2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1487FD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034BE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50C8F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FC646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6D9C969D">
      <w:pPr>
        <w:widowControl/>
        <w:jc w:val="left"/>
        <w:rPr>
          <w:rFonts w:ascii="Times New Roman" w:hAnsi="Times New Roman" w:eastAsia="仿宋_GB2312" w:cs="Times New Roman"/>
          <w:spacing w:val="-6"/>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9CC988D">
      <w:pPr>
        <w:widowControl/>
        <w:jc w:val="left"/>
        <w:rPr>
          <w:rFonts w:ascii="Times New Roman" w:hAnsi="Times New Roman" w:eastAsia="仿宋_GB2312" w:cs="Times New Roman"/>
          <w:spacing w:val="-6"/>
          <w:kern w:val="0"/>
          <w:sz w:val="24"/>
          <w:szCs w:val="24"/>
        </w:rPr>
      </w:pPr>
      <w:r>
        <w:rPr>
          <w:rFonts w:hint="eastAsia" w:ascii="Times New Roman" w:hAnsi="Times New Roman" w:eastAsia="仿宋_GB2312" w:cs="Times New Roman"/>
          <w:b/>
          <w:bCs/>
          <w:spacing w:val="-6"/>
          <w:kern w:val="0"/>
          <w:sz w:val="24"/>
          <w:szCs w:val="24"/>
        </w:rPr>
        <w:t>说明：</w:t>
      </w:r>
      <w:r>
        <w:rPr>
          <w:rFonts w:hint="eastAsia" w:ascii="Times New Roman" w:hAnsi="Times New Roman" w:eastAsia="仿宋_GB2312" w:cs="Times New Roman"/>
          <w:b/>
          <w:bCs/>
          <w:spacing w:val="-6"/>
          <w:kern w:val="0"/>
          <w:sz w:val="24"/>
          <w:szCs w:val="24"/>
          <w:lang w:val="en-US" w:eastAsia="zh-CN"/>
        </w:rPr>
        <w:t>本</w:t>
      </w:r>
      <w:r>
        <w:rPr>
          <w:rFonts w:hint="eastAsia" w:ascii="Times New Roman" w:hAnsi="Times New Roman" w:eastAsia="仿宋_GB2312" w:cs="Times New Roman"/>
          <w:b/>
          <w:bCs/>
          <w:spacing w:val="-6"/>
          <w:kern w:val="0"/>
          <w:sz w:val="24"/>
          <w:szCs w:val="24"/>
        </w:rPr>
        <w:t>单位没有</w:t>
      </w:r>
      <w:r>
        <w:rPr>
          <w:rFonts w:ascii="Times New Roman" w:hAnsi="Times New Roman" w:eastAsia="仿宋_GB2312" w:cs="Times New Roman"/>
          <w:b/>
          <w:bCs/>
          <w:spacing w:val="-6"/>
          <w:kern w:val="0"/>
          <w:sz w:val="24"/>
          <w:szCs w:val="24"/>
        </w:rPr>
        <w:t>一般公共预算</w:t>
      </w:r>
      <w:r>
        <w:rPr>
          <w:rFonts w:hint="eastAsia" w:ascii="Times New Roman" w:hAnsi="Times New Roman" w:eastAsia="仿宋_GB2312" w:cs="Times New Roman"/>
          <w:b/>
          <w:bCs/>
          <w:spacing w:val="-6"/>
          <w:kern w:val="0"/>
          <w:sz w:val="24"/>
          <w:szCs w:val="24"/>
        </w:rPr>
        <w:t>财政拨款收入，也没有使用</w:t>
      </w:r>
      <w:r>
        <w:rPr>
          <w:rFonts w:hint="eastAsia" w:ascii="Times New Roman" w:hAnsi="Times New Roman" w:eastAsia="仿宋_GB2312" w:cs="Times New Roman"/>
          <w:b/>
          <w:bCs/>
          <w:spacing w:val="-6"/>
          <w:kern w:val="0"/>
          <w:sz w:val="24"/>
          <w:szCs w:val="24"/>
          <w:lang w:val="en-US" w:eastAsia="zh-CN"/>
        </w:rPr>
        <w:t>一般</w:t>
      </w:r>
      <w:r>
        <w:rPr>
          <w:rFonts w:ascii="Times New Roman" w:hAnsi="Times New Roman" w:eastAsia="仿宋_GB2312" w:cs="Times New Roman"/>
          <w:b/>
          <w:bCs/>
          <w:spacing w:val="-6"/>
          <w:kern w:val="0"/>
          <w:sz w:val="24"/>
          <w:szCs w:val="24"/>
        </w:rPr>
        <w:t>公共预算</w:t>
      </w:r>
      <w:r>
        <w:rPr>
          <w:rFonts w:hint="eastAsia" w:ascii="Times New Roman" w:hAnsi="Times New Roman" w:eastAsia="仿宋_GB2312" w:cs="Times New Roman"/>
          <w:b/>
          <w:bCs/>
          <w:spacing w:val="-6"/>
          <w:kern w:val="0"/>
          <w:sz w:val="24"/>
          <w:szCs w:val="24"/>
        </w:rPr>
        <w:t>财政拨款收入支出，故本表无数据。</w:t>
      </w:r>
    </w:p>
    <w:p w14:paraId="7262E025">
      <w:pPr>
        <w:pStyle w:val="8"/>
      </w:pPr>
    </w:p>
    <w:p w14:paraId="6E97EDE4">
      <w:pPr>
        <w:widowControl/>
        <w:jc w:val="center"/>
        <w:rPr>
          <w:rFonts w:ascii="Times New Roman" w:hAnsi="Times New Roman" w:eastAsia="方正小标宋_GBK" w:cs="Times New Roman"/>
          <w:kern w:val="0"/>
          <w:sz w:val="36"/>
          <w:szCs w:val="36"/>
        </w:rPr>
      </w:pPr>
    </w:p>
    <w:p w14:paraId="55A38FB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1568E4B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怀化市公共资源交易中心</w:t>
      </w:r>
      <w:r>
        <w:rPr>
          <w:rFonts w:ascii="Times New Roman" w:hAnsi="Times New Roman" w:eastAsia="仿宋_GB2312" w:cs="Times New Roman"/>
          <w:color w:val="000000"/>
          <w:kern w:val="0"/>
          <w:szCs w:val="21"/>
        </w:rPr>
        <w:t xml:space="preserve">                                                                              公开05表</w:t>
      </w:r>
    </w:p>
    <w:p w14:paraId="330E849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15E3B87">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DE0E52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15D6E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0385518">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461B7B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4FD85A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FDB61C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8E16C3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960796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57A26B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DA2A1B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DBF5A4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7A59BC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3136E7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5E3CC6C">
            <w:pPr>
              <w:widowControl/>
              <w:jc w:val="left"/>
              <w:rPr>
                <w:rFonts w:ascii="Times New Roman" w:hAnsi="Times New Roman" w:eastAsia="仿宋_GB2312" w:cs="Times New Roman"/>
                <w:kern w:val="0"/>
                <w:szCs w:val="21"/>
              </w:rPr>
            </w:pPr>
          </w:p>
        </w:tc>
      </w:tr>
      <w:tr w14:paraId="2D6B28BB">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8AFC9F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9C3A15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A05465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9BABBD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A98ADDD">
            <w:pPr>
              <w:widowControl/>
              <w:jc w:val="left"/>
              <w:rPr>
                <w:rFonts w:ascii="Times New Roman" w:hAnsi="Times New Roman" w:eastAsia="仿宋_GB2312" w:cs="Times New Roman"/>
                <w:kern w:val="0"/>
                <w:szCs w:val="21"/>
              </w:rPr>
            </w:pPr>
          </w:p>
        </w:tc>
      </w:tr>
      <w:tr w14:paraId="13AC261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9AE1A4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ABEE1A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0599E1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2680B1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DC18F1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2B09EA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81AA56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710B881F">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FED600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64B234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A32A1C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21E437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7C20FF5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346E159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E3499D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64A267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0EABF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656E24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78AB8BE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760D62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6A6B21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BFCEC0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88F8C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62233B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6D5DF88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BB34CD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629832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99A30C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738597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B90348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7F03F30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A5FD0A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0725A1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513F6A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9EF63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70B6A46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54231C5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4D7C07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94F617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952BF6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B44828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2D0EFE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64C6E11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4CA4CAD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4DD54A5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40DA375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5677A62">
      <w:pPr>
        <w:pStyle w:val="8"/>
      </w:pPr>
    </w:p>
    <w:p w14:paraId="5E5C6326">
      <w:pPr>
        <w:pStyle w:val="8"/>
      </w:pPr>
    </w:p>
    <w:p w14:paraId="7876E9D7">
      <w:pPr>
        <w:widowControl/>
        <w:spacing w:before="120"/>
        <w:jc w:val="left"/>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rPr>
        <w:t>说明：我单位没有一般公共预算财政拨款支出，故本表无数据。</w:t>
      </w:r>
    </w:p>
    <w:p w14:paraId="3620215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DB198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5D77747">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怀化市公共资源交易中心</w:t>
      </w:r>
      <w:r>
        <w:rPr>
          <w:rFonts w:ascii="Times New Roman" w:hAnsi="Times New Roman" w:eastAsia="仿宋_GB2312" w:cs="Times New Roman"/>
          <w:color w:val="000000"/>
          <w:kern w:val="0"/>
          <w:szCs w:val="21"/>
        </w:rPr>
        <w:t xml:space="preserve">                                                                                               公开06表</w:t>
      </w:r>
    </w:p>
    <w:p w14:paraId="7F767A4F">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AC4931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359260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B8AB9E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2D4518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4D5864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5E0F31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8C02B5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98B890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485A85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7262D8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33275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34F6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03B26A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9EA85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0DFF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98904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1F0D5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66826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8DEC5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EDBE3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5EEA9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ECB2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71EB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5E035B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2AB6B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6D2F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7D2329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9EB8F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F5503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62AB8C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DB97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091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0FE79B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62660B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EAA84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7642CB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7F626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3A75E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11E1C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3EAB4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9EFE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CF9A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42C0A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E9F59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09079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E7E7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33B99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35E9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FEB5D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3F9B7B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35BB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FD92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449CE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0282B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7BA3F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210D7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BD2D9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AFC8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3F0DC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0C6270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4B4E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8C6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474A93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624B7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5598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D919C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ADA5C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CE3F9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0E31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E4585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63A5C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2FA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781F51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20A46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C3250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0F14F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3AAA27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86B21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02FE85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61ABE5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8E5F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44B0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ADB8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9F52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BF738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55141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899B1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23A70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78728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BDBF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E562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B448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0C965B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889D2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42F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4319C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D1CCE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669F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4B22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F758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60F28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9BA4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7E2DA3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5AD5D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AA597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7439A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30A9F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72EB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A5D5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DE34A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C323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9DF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3D919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2EC8BF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B52D2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4EDD38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046E9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F62AB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19849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43CBB8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1120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765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325CC0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066BB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A009E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5F3E2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8A2CD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6E571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7D6EE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133DD6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09BE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C451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6413E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3CDDA2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9991D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6394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DA8DF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4FF36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445D6D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CF477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5075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C5C2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31721D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56D9CE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BBF98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E2FD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5A072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6235D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46C2C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80B96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FE5F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99BE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CB8DC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6FB30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2CD1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B30E4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FF49F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B619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5ABE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8EC7D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CCD5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27F6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1D116E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BBD7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8760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128FF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4FBC6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31D9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4CD01E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88998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874F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B18D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9479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CF33D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7FE4C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DFBFA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98B7F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E0AA7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0CA97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A0F07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6A81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2E56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77CFF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79E58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64CCB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71FB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36CDA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2721D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6A3E0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B1550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4DE0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1E8D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5B64BB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6F806A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0345B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50255B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044C5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E3244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EA9CE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C8DFF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592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7F5F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0A3EBB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A2CC7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15C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E70C4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6AF58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F1454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1736F9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30E7B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E6B6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8B43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2CD8A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4FF4E8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2CFD5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DC7E9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55BF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71C6E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876C3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DBFFE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28AA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C5DC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306A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519563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03B18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47225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60C3F5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9A0E4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74786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59085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370AC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F0DF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5D90E3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ADEAB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B689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9B4A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1FB48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EA0BA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163D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FA6F7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E242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61F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4F1AB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405A9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25F1A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47A79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BC451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9C89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105D5F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919D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4251602">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10C61D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967E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855BDC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22F0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5ADC849">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25A80C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33D5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E3315B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170D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5A0A025">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47565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B8E80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0EEB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8E4E2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0676E7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4AFA0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681492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74BA81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DC3B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3F687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8C379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2373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1D00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D3B3A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3ABD6E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B3F7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E5A36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4926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3A2D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23815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7F0038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5081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3AF1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734EB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0F8FE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7470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2367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7FA2E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8FF47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14EBB7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AB1C8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CA5E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1359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31B77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BDEA9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49CD9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74FE1D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70CD0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F359B1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483874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56E12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0DB813">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07FFFE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7BA91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FDF725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C7FC9D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r>
    </w:tbl>
    <w:p w14:paraId="248D476B">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r>
        <w:rPr>
          <w:rFonts w:ascii="Times New Roman" w:hAnsi="Times New Roman" w:eastAsia="仿宋_GB2312" w:cs="Times New Roman"/>
          <w:b/>
          <w:bCs/>
          <w:color w:val="000000"/>
          <w:kern w:val="0"/>
          <w:szCs w:val="24"/>
        </w:rPr>
        <w:t>说明：我单位没有一般公共预算财政拨款基本支出，故本表无数据。</w:t>
      </w:r>
    </w:p>
    <w:p w14:paraId="20C63BA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2AC3FE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DF4AC4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3BCF82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怀化市公共资源交易中心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5813E3D">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9247E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253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A44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63CC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5F55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6A626B0">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8C7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C72A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46E4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02C2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9ED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0B25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60E0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743AE">
            <w:pPr>
              <w:widowControl/>
              <w:jc w:val="center"/>
              <w:rPr>
                <w:rFonts w:ascii="Times New Roman" w:hAnsi="Times New Roman" w:eastAsia="仿宋_GB2312" w:cs="Times New Roman"/>
                <w:color w:val="000000"/>
                <w:sz w:val="24"/>
                <w:szCs w:val="24"/>
              </w:rPr>
            </w:pPr>
          </w:p>
        </w:tc>
      </w:tr>
      <w:tr w14:paraId="0904F177">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880D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9C5A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A454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C32F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CDEE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F3B2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247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40D8F">
            <w:pPr>
              <w:jc w:val="center"/>
              <w:rPr>
                <w:rFonts w:ascii="Times New Roman" w:hAnsi="Times New Roman" w:eastAsia="仿宋_GB2312" w:cs="Times New Roman"/>
                <w:color w:val="000000"/>
                <w:sz w:val="24"/>
                <w:szCs w:val="24"/>
              </w:rPr>
            </w:pPr>
          </w:p>
        </w:tc>
      </w:tr>
      <w:tr w14:paraId="4EA1B85B">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6910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FEB2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8556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1D69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A9A4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2D6D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2F47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E7E5F">
            <w:pPr>
              <w:jc w:val="center"/>
              <w:rPr>
                <w:rFonts w:ascii="Times New Roman" w:hAnsi="Times New Roman" w:eastAsia="仿宋_GB2312" w:cs="Times New Roman"/>
                <w:color w:val="000000"/>
                <w:sz w:val="24"/>
                <w:szCs w:val="24"/>
              </w:rPr>
            </w:pPr>
          </w:p>
        </w:tc>
      </w:tr>
      <w:tr w14:paraId="1FB7701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9AD0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AA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A8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24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336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258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862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96166D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604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3AF3">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0C8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F2BC">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BBB5">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B08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A89F">
            <w:pPr>
              <w:jc w:val="center"/>
              <w:rPr>
                <w:rFonts w:ascii="Times New Roman" w:hAnsi="Times New Roman" w:eastAsia="仿宋_GB2312" w:cs="Times New Roman"/>
                <w:color w:val="000000"/>
                <w:sz w:val="24"/>
                <w:szCs w:val="24"/>
              </w:rPr>
            </w:pPr>
          </w:p>
        </w:tc>
      </w:tr>
      <w:tr w14:paraId="40BC61F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010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28C1">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9E8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AE8C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227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88F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CB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E949">
            <w:pPr>
              <w:rPr>
                <w:rFonts w:ascii="Times New Roman" w:hAnsi="Times New Roman" w:eastAsia="仿宋_GB2312" w:cs="Times New Roman"/>
                <w:color w:val="000000"/>
                <w:sz w:val="24"/>
                <w:szCs w:val="24"/>
              </w:rPr>
            </w:pPr>
          </w:p>
        </w:tc>
      </w:tr>
      <w:tr w14:paraId="5037D8E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FD7D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454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287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6D3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0AE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E36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90B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83F6">
            <w:pPr>
              <w:rPr>
                <w:rFonts w:ascii="Times New Roman" w:hAnsi="Times New Roman" w:eastAsia="仿宋_GB2312" w:cs="Times New Roman"/>
                <w:color w:val="000000"/>
                <w:sz w:val="24"/>
                <w:szCs w:val="24"/>
              </w:rPr>
            </w:pPr>
          </w:p>
        </w:tc>
      </w:tr>
      <w:tr w14:paraId="68C5343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031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E79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01E1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095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DE6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FA2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9D9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7E9D">
            <w:pPr>
              <w:rPr>
                <w:rFonts w:ascii="Times New Roman" w:hAnsi="Times New Roman" w:eastAsia="仿宋_GB2312" w:cs="Times New Roman"/>
                <w:color w:val="000000"/>
                <w:sz w:val="24"/>
                <w:szCs w:val="24"/>
              </w:rPr>
            </w:pPr>
          </w:p>
        </w:tc>
      </w:tr>
      <w:tr w14:paraId="3431A2A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70C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01C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CFA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4BB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C3D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D83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DD6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EC37">
            <w:pPr>
              <w:rPr>
                <w:rFonts w:ascii="Times New Roman" w:hAnsi="Times New Roman" w:eastAsia="仿宋_GB2312" w:cs="Times New Roman"/>
                <w:color w:val="000000"/>
                <w:sz w:val="24"/>
                <w:szCs w:val="24"/>
              </w:rPr>
            </w:pPr>
          </w:p>
        </w:tc>
      </w:tr>
      <w:tr w14:paraId="5DF04EA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58C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B6F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400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A6C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1C8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D3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B4C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716D">
            <w:pPr>
              <w:rPr>
                <w:rFonts w:ascii="Times New Roman" w:hAnsi="Times New Roman" w:eastAsia="仿宋_GB2312" w:cs="Times New Roman"/>
                <w:color w:val="000000"/>
                <w:sz w:val="24"/>
                <w:szCs w:val="24"/>
              </w:rPr>
            </w:pPr>
          </w:p>
        </w:tc>
      </w:tr>
      <w:tr w14:paraId="688C227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81E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9F3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BB2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0B2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936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7DC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89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7AB7">
            <w:pPr>
              <w:rPr>
                <w:rFonts w:ascii="Times New Roman" w:hAnsi="Times New Roman" w:eastAsia="仿宋_GB2312" w:cs="Times New Roman"/>
                <w:color w:val="000000"/>
                <w:sz w:val="24"/>
                <w:szCs w:val="24"/>
              </w:rPr>
            </w:pPr>
          </w:p>
        </w:tc>
      </w:tr>
    </w:tbl>
    <w:p w14:paraId="459A207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759189B">
      <w:pPr>
        <w:widowControl/>
        <w:jc w:val="left"/>
        <w:textAlignment w:val="center"/>
        <w:rPr>
          <w:rFonts w:ascii="Times New Roman" w:hAnsi="Times New Roman" w:eastAsia="仿宋_GB2312" w:cs="Times New Roman"/>
          <w:color w:val="000000"/>
          <w:kern w:val="0"/>
          <w:sz w:val="24"/>
          <w:szCs w:val="24"/>
          <w:lang w:bidi="ar"/>
        </w:rPr>
      </w:pPr>
    </w:p>
    <w:p w14:paraId="09F0329A">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4CEF10D3">
      <w:pPr>
        <w:widowControl/>
        <w:jc w:val="center"/>
        <w:rPr>
          <w:rFonts w:ascii="Times New Roman" w:hAnsi="Times New Roman" w:eastAsia="方正小标宋_GBK" w:cs="Times New Roman"/>
          <w:color w:val="000000"/>
          <w:kern w:val="0"/>
          <w:sz w:val="36"/>
          <w:szCs w:val="36"/>
        </w:rPr>
      </w:pPr>
    </w:p>
    <w:p w14:paraId="30AB7E54">
      <w:pPr>
        <w:widowControl/>
        <w:spacing w:line="400" w:lineRule="exact"/>
        <w:textAlignment w:val="center"/>
        <w:rPr>
          <w:rFonts w:ascii="Times New Roman" w:hAnsi="Times New Roman" w:eastAsia="黑体" w:cs="Times New Roman"/>
          <w:color w:val="000000"/>
          <w:kern w:val="0"/>
          <w:sz w:val="36"/>
          <w:szCs w:val="36"/>
          <w:lang w:bidi="ar"/>
        </w:rPr>
      </w:pPr>
    </w:p>
    <w:p w14:paraId="401389F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B58BF9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0A73227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怀化市公共资源交易中心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B02364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B5BC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AEE2D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257A51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4065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66E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D4AB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4295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067E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0415D3C">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B2DC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4B55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9912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5C54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40FCC">
            <w:pPr>
              <w:jc w:val="center"/>
              <w:rPr>
                <w:rFonts w:ascii="Times New Roman" w:hAnsi="Times New Roman" w:eastAsia="仿宋_GB2312" w:cs="Times New Roman"/>
                <w:color w:val="000000"/>
                <w:sz w:val="24"/>
                <w:szCs w:val="24"/>
              </w:rPr>
            </w:pPr>
          </w:p>
        </w:tc>
      </w:tr>
      <w:tr w14:paraId="310874F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4907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0752A">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6673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88EA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772DA">
            <w:pPr>
              <w:jc w:val="center"/>
              <w:rPr>
                <w:rFonts w:ascii="Times New Roman" w:hAnsi="Times New Roman" w:eastAsia="仿宋_GB2312" w:cs="Times New Roman"/>
                <w:color w:val="000000"/>
                <w:sz w:val="24"/>
                <w:szCs w:val="24"/>
              </w:rPr>
            </w:pPr>
          </w:p>
        </w:tc>
      </w:tr>
      <w:tr w14:paraId="125DACE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86C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649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F1C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348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F5B697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098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FCEB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52D2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CDE64">
            <w:pPr>
              <w:jc w:val="center"/>
              <w:rPr>
                <w:rFonts w:ascii="Times New Roman" w:hAnsi="Times New Roman" w:eastAsia="仿宋_GB2312" w:cs="Times New Roman"/>
                <w:color w:val="000000"/>
                <w:sz w:val="24"/>
                <w:szCs w:val="24"/>
              </w:rPr>
            </w:pPr>
          </w:p>
        </w:tc>
      </w:tr>
      <w:tr w14:paraId="7D15CF1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0759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4F74D">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F8E2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4401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904B6">
            <w:pPr>
              <w:rPr>
                <w:rFonts w:ascii="Times New Roman" w:hAnsi="Times New Roman" w:eastAsia="仿宋_GB2312" w:cs="Times New Roman"/>
                <w:color w:val="000000"/>
                <w:sz w:val="24"/>
                <w:szCs w:val="24"/>
              </w:rPr>
            </w:pPr>
          </w:p>
        </w:tc>
      </w:tr>
      <w:tr w14:paraId="2A76C11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4B0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1A30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4469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6279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64DCE">
            <w:pPr>
              <w:rPr>
                <w:rFonts w:ascii="Times New Roman" w:hAnsi="Times New Roman" w:eastAsia="仿宋_GB2312" w:cs="Times New Roman"/>
                <w:color w:val="000000"/>
                <w:sz w:val="24"/>
                <w:szCs w:val="24"/>
              </w:rPr>
            </w:pPr>
          </w:p>
        </w:tc>
      </w:tr>
      <w:tr w14:paraId="159D5BE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8457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616D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FA08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21F1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578DF">
            <w:pPr>
              <w:rPr>
                <w:rFonts w:ascii="Times New Roman" w:hAnsi="Times New Roman" w:eastAsia="宋体" w:cs="Times New Roman"/>
                <w:color w:val="000000"/>
                <w:sz w:val="24"/>
                <w:szCs w:val="24"/>
              </w:rPr>
            </w:pPr>
          </w:p>
        </w:tc>
      </w:tr>
      <w:tr w14:paraId="143FD2E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86D8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BBA8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40E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3F3E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88167">
            <w:pPr>
              <w:rPr>
                <w:rFonts w:ascii="Times New Roman" w:hAnsi="Times New Roman" w:eastAsia="宋体" w:cs="Times New Roman"/>
                <w:color w:val="000000"/>
                <w:sz w:val="24"/>
                <w:szCs w:val="24"/>
              </w:rPr>
            </w:pPr>
          </w:p>
        </w:tc>
      </w:tr>
      <w:tr w14:paraId="10CEC12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899E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1E15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9E8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CD79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E1F1">
            <w:pPr>
              <w:rPr>
                <w:rFonts w:ascii="Times New Roman" w:hAnsi="Times New Roman" w:eastAsia="宋体" w:cs="Times New Roman"/>
                <w:color w:val="000000"/>
                <w:sz w:val="24"/>
                <w:szCs w:val="24"/>
              </w:rPr>
            </w:pPr>
          </w:p>
        </w:tc>
      </w:tr>
      <w:tr w14:paraId="4ED13F8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7E78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F4E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BA60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5132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06370">
            <w:pPr>
              <w:rPr>
                <w:rFonts w:ascii="Times New Roman" w:hAnsi="Times New Roman" w:eastAsia="宋体" w:cs="Times New Roman"/>
                <w:color w:val="000000"/>
                <w:sz w:val="24"/>
                <w:szCs w:val="24"/>
              </w:rPr>
            </w:pPr>
          </w:p>
        </w:tc>
      </w:tr>
    </w:tbl>
    <w:p w14:paraId="18649E1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F76BB3E">
      <w:pPr>
        <w:widowControl/>
        <w:jc w:val="left"/>
        <w:textAlignment w:val="center"/>
        <w:rPr>
          <w:rFonts w:ascii="Times New Roman" w:hAnsi="Times New Roman" w:eastAsia="宋体" w:cs="Times New Roman"/>
          <w:color w:val="000000"/>
          <w:kern w:val="0"/>
          <w:sz w:val="24"/>
          <w:szCs w:val="24"/>
          <w:lang w:bidi="ar"/>
        </w:rPr>
      </w:pPr>
    </w:p>
    <w:p w14:paraId="4AC660A0">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F4F12B2">
      <w:pPr>
        <w:widowControl/>
        <w:jc w:val="center"/>
        <w:rPr>
          <w:rFonts w:ascii="Times New Roman" w:hAnsi="Times New Roman" w:eastAsia="方正小标宋_GBK" w:cs="Times New Roman"/>
          <w:color w:val="000000"/>
          <w:kern w:val="0"/>
          <w:sz w:val="36"/>
          <w:szCs w:val="36"/>
        </w:rPr>
      </w:pPr>
    </w:p>
    <w:p w14:paraId="746DCFF2">
      <w:pPr>
        <w:pStyle w:val="8"/>
        <w:spacing w:line="400" w:lineRule="exact"/>
        <w:rPr>
          <w:rFonts w:ascii="Times New Roman" w:hAnsi="Times New Roman" w:eastAsia="华文中宋" w:cs="Times New Roman"/>
          <w:color w:val="000000"/>
          <w:kern w:val="0"/>
          <w:sz w:val="32"/>
          <w:szCs w:val="32"/>
          <w:lang w:bidi="ar"/>
        </w:rPr>
      </w:pPr>
    </w:p>
    <w:p w14:paraId="7E1DCDE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0EB368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D912B7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怀化市公共资源交易中心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38702A0">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8D03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5791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84F72D4">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C5B8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4831A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E2EF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8CA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98D5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1C2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1E4C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2C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2B241F7">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9DD91">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4ACEF">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0319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EF0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54C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EEA39">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2CCCA">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067ED">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F7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27F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070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44065">
            <w:pPr>
              <w:jc w:val="center"/>
              <w:rPr>
                <w:rFonts w:ascii="Times New Roman" w:hAnsi="Times New Roman" w:eastAsia="仿宋_GB2312" w:cs="Times New Roman"/>
                <w:color w:val="000000"/>
                <w:sz w:val="22"/>
              </w:rPr>
            </w:pPr>
          </w:p>
        </w:tc>
      </w:tr>
      <w:tr w14:paraId="2F9E7DC1">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12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2F2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95E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107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449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5C7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051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DAA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7F1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83D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622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A0C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2C2F35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60F6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4C4A3">
            <w:pPr>
              <w:jc w:val="right"/>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556EE">
            <w:pPr>
              <w:jc w:val="right"/>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9A364">
            <w:pPr>
              <w:jc w:val="right"/>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762F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2F30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F0C3E">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47909">
            <w:pPr>
              <w:jc w:val="right"/>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BF77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1.66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EACF7">
            <w:pPr>
              <w:jc w:val="right"/>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CC1C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0B4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0.53</w:t>
            </w:r>
          </w:p>
        </w:tc>
      </w:tr>
    </w:tbl>
    <w:p w14:paraId="1973761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51D1F0B">
      <w:pPr>
        <w:pStyle w:val="8"/>
      </w:pPr>
    </w:p>
    <w:p w14:paraId="6B7AF46D">
      <w:pPr>
        <w:autoSpaceDE w:val="0"/>
        <w:autoSpaceDN w:val="0"/>
        <w:adjustRightInd w:val="0"/>
        <w:ind w:left="315" w:leftChars="150"/>
        <w:jc w:val="left"/>
        <w:rPr>
          <w:rFonts w:ascii="Times New Roman" w:hAnsi="Times New Roman" w:eastAsia="宋体" w:cs="Times New Roman"/>
          <w:kern w:val="0"/>
          <w:sz w:val="24"/>
          <w:szCs w:val="24"/>
        </w:rPr>
      </w:pPr>
    </w:p>
    <w:p w14:paraId="3E3AFF16">
      <w:pPr>
        <w:autoSpaceDE w:val="0"/>
        <w:autoSpaceDN w:val="0"/>
        <w:adjustRightInd w:val="0"/>
        <w:ind w:left="315" w:leftChars="150"/>
        <w:jc w:val="left"/>
        <w:rPr>
          <w:rFonts w:ascii="Times New Roman" w:hAnsi="Times New Roman" w:eastAsia="宋体" w:cs="Times New Roman"/>
          <w:kern w:val="0"/>
          <w:sz w:val="24"/>
          <w:szCs w:val="24"/>
        </w:rPr>
      </w:pPr>
    </w:p>
    <w:p w14:paraId="01A073CF">
      <w:pPr>
        <w:autoSpaceDE w:val="0"/>
        <w:autoSpaceDN w:val="0"/>
        <w:adjustRightInd w:val="0"/>
        <w:ind w:left="315" w:leftChars="150"/>
        <w:jc w:val="left"/>
        <w:rPr>
          <w:rFonts w:ascii="Times New Roman" w:hAnsi="Times New Roman" w:eastAsia="宋体" w:cs="Times New Roman"/>
          <w:kern w:val="0"/>
          <w:sz w:val="24"/>
          <w:szCs w:val="24"/>
        </w:rPr>
      </w:pPr>
    </w:p>
    <w:p w14:paraId="0B15B06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6DE1603">
      <w:pPr>
        <w:pStyle w:val="13"/>
        <w:rPr>
          <w:rFonts w:ascii="Times New Roman" w:hAnsi="Times New Roman" w:cs="Times New Roman"/>
          <w:sz w:val="72"/>
          <w:szCs w:val="72"/>
        </w:rPr>
      </w:pPr>
    </w:p>
    <w:p w14:paraId="6C81ECD0">
      <w:pPr>
        <w:pStyle w:val="13"/>
        <w:rPr>
          <w:rFonts w:ascii="Times New Roman" w:hAnsi="Times New Roman" w:cs="Times New Roman"/>
          <w:sz w:val="72"/>
          <w:szCs w:val="72"/>
        </w:rPr>
      </w:pPr>
    </w:p>
    <w:p w14:paraId="74DE4061">
      <w:pPr>
        <w:pStyle w:val="13"/>
        <w:rPr>
          <w:rFonts w:ascii="Times New Roman" w:hAnsi="Times New Roman" w:cs="Times New Roman"/>
          <w:sz w:val="72"/>
          <w:szCs w:val="72"/>
        </w:rPr>
      </w:pPr>
    </w:p>
    <w:p w14:paraId="38BA2EF5">
      <w:pPr>
        <w:pStyle w:val="13"/>
        <w:jc w:val="center"/>
        <w:rPr>
          <w:rFonts w:ascii="Times New Roman" w:hAnsi="Times New Roman" w:cs="Times New Roman"/>
          <w:sz w:val="72"/>
          <w:szCs w:val="72"/>
        </w:rPr>
      </w:pPr>
    </w:p>
    <w:p w14:paraId="0727C558">
      <w:pPr>
        <w:pStyle w:val="13"/>
        <w:jc w:val="center"/>
        <w:rPr>
          <w:rFonts w:ascii="Times New Roman" w:hAnsi="Times New Roman" w:eastAsia="方正小标宋_GBK" w:cs="Times New Roman"/>
          <w:sz w:val="72"/>
          <w:szCs w:val="72"/>
        </w:rPr>
      </w:pPr>
    </w:p>
    <w:p w14:paraId="5E5D219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4892DD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18EDAE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087966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B4CAF5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2210.</w:t>
      </w:r>
      <w:r>
        <w:rPr>
          <w:rFonts w:hint="eastAsia" w:ascii="Times New Roman" w:hAnsi="Times New Roman" w:eastAsia="仿宋_GB2312" w:cs="Times New Roman"/>
          <w:sz w:val="32"/>
          <w:szCs w:val="32"/>
          <w:lang w:val="en-US" w:eastAsia="zh-CN"/>
        </w:rPr>
        <w:t>59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5.36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厉行勤俭节约</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压缩开支</w:t>
      </w:r>
      <w:r>
        <w:rPr>
          <w:rFonts w:hint="eastAsia" w:ascii="Times New Roman" w:hAnsi="Times New Roman" w:eastAsia="仿宋_GB2312" w:cs="Times New Roman"/>
          <w:sz w:val="32"/>
          <w:szCs w:val="32"/>
          <w:lang w:eastAsia="zh-CN"/>
        </w:rPr>
        <w:t>。</w:t>
      </w:r>
    </w:p>
    <w:p w14:paraId="1E81BDB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w:t>
      </w:r>
      <w:r>
        <w:rPr>
          <w:rFonts w:hint="eastAsia" w:ascii="Times New Roman" w:hAnsi="Times New Roman" w:eastAsia="仿宋_GB2312" w:cs="Times New Roman"/>
          <w:sz w:val="32"/>
          <w:szCs w:val="32"/>
          <w:highlight w:val="none"/>
          <w:lang w:eastAsia="zh-CN"/>
        </w:rPr>
        <w:t>用效率，合理保障公共交易平台一体化和营商环境评价等经费</w:t>
      </w:r>
      <w:r>
        <w:rPr>
          <w:rFonts w:hint="eastAsia" w:ascii="Times New Roman" w:hAnsi="Times New Roman" w:eastAsia="仿宋_GB2312" w:cs="Times New Roman"/>
          <w:sz w:val="32"/>
          <w:szCs w:val="32"/>
          <w:lang w:eastAsia="zh-CN"/>
        </w:rPr>
        <w:t>等重点支出，体现在有关支出科目中。</w:t>
      </w:r>
    </w:p>
    <w:p w14:paraId="1CB320D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FFE56C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highlight w:val="none"/>
        </w:rPr>
        <w:t>2210.</w:t>
      </w:r>
      <w:r>
        <w:rPr>
          <w:rFonts w:hint="eastAsia" w:ascii="Times New Roman" w:hAnsi="Times New Roman" w:eastAsia="仿宋_GB2312" w:cs="Times New Roman"/>
          <w:sz w:val="32"/>
          <w:szCs w:val="32"/>
          <w:highlight w:val="none"/>
          <w:lang w:val="en-US" w:eastAsia="zh-CN"/>
        </w:rPr>
        <w:t>36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2210.36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E3E32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1A4507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2210.59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1403.71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63.50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806.87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36.50%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75F4CE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4EFA98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无变动</w:t>
      </w:r>
      <w:r>
        <w:rPr>
          <w:rFonts w:hint="eastAsia" w:ascii="Times New Roman" w:hAnsi="Times New Roman" w:eastAsia="仿宋_GB2312" w:cs="Times New Roman"/>
          <w:sz w:val="32"/>
          <w:szCs w:val="32"/>
          <w:lang w:eastAsia="zh-CN"/>
        </w:rPr>
        <w:t>。</w:t>
      </w:r>
    </w:p>
    <w:p w14:paraId="4FA3FED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043774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FB5FB0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无变动。</w:t>
      </w:r>
    </w:p>
    <w:p w14:paraId="6C56B02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7B9D4D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年度本单位无一般公共预算财政拨款，因此无一般公共预算财政拨款支出。</w:t>
      </w:r>
    </w:p>
    <w:p w14:paraId="67C5C601">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427D34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061DC8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F392DD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w:t>
      </w:r>
    </w:p>
    <w:p w14:paraId="7F3484A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0F933E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E62E900">
      <w:pPr>
        <w:pStyle w:val="13"/>
        <w:numPr>
          <w:ilvl w:val="0"/>
          <w:numId w:val="1"/>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cs="Times New Roman"/>
          <w:bCs/>
          <w:sz w:val="32"/>
          <w:szCs w:val="32"/>
        </w:rPr>
        <w:t>财政拨款“三公”经费支出决算情况说明</w:t>
      </w:r>
    </w:p>
    <w:p w14:paraId="5E3F6EE2">
      <w:pPr>
        <w:pStyle w:val="13"/>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0713DFF">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36.50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12.75%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highlight w:val="none"/>
        </w:rPr>
        <w:t>厉行勤俭节约</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sz w:val="32"/>
          <w:szCs w:val="32"/>
          <w:highlight w:val="none"/>
        </w:rPr>
        <w:t>压缩“三公”经费，厉行勤俭节约</w:t>
      </w:r>
      <w:r>
        <w:rPr>
          <w:rFonts w:ascii="Times New Roman" w:hAnsi="Times New Roman" w:eastAsia="仿宋_GB2312" w:cs="Times New Roman"/>
          <w:sz w:val="32"/>
          <w:szCs w:val="32"/>
        </w:rPr>
        <w:t>。</w:t>
      </w:r>
    </w:p>
    <w:p w14:paraId="48E916E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BC48E18">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无变动</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p>
    <w:p w14:paraId="24DA500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33.20%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0.55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24.89%</w:t>
      </w:r>
      <w:r>
        <w:rPr>
          <w:rFonts w:ascii="Times New Roman" w:hAnsi="Times New Roman" w:eastAsia="仿宋_GB2312" w:cs="Times New Roman"/>
          <w:sz w:val="32"/>
          <w:szCs w:val="32"/>
        </w:rPr>
        <w:t>。其中：</w:t>
      </w:r>
    </w:p>
    <w:p w14:paraId="3B485FD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无变动。</w:t>
      </w:r>
    </w:p>
    <w:p w14:paraId="6AFBCF2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1.66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1.66</w:t>
      </w:r>
      <w:r>
        <w:rPr>
          <w:rFonts w:ascii="Times New Roman" w:hAnsi="Times New Roman" w:eastAsia="仿宋_GB2312" w:cs="Times New Roman"/>
          <w:sz w:val="32"/>
          <w:szCs w:val="32"/>
        </w:rPr>
        <w:t>万元，</w:t>
      </w:r>
    </w:p>
    <w:p w14:paraId="52BAC54B">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车辆年检费0.05万元、保险费用0.2万元、维修及保养费用1.41万元</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33.20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0.55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24.89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highlight w:val="none"/>
        </w:rPr>
        <w:t>压缩“三公”经费，厉行勤俭节约</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highlight w:val="none"/>
        </w:rPr>
        <w:t>压缩“三公”经费，厉行勤俭节约</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21A1091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53.00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76.67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highlight w:val="none"/>
        </w:rPr>
        <w:t>压缩“三公”经费，厉行勤俭节约</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highlight w:val="none"/>
          <w:lang w:val="en-US" w:eastAsia="zh-CN"/>
        </w:rPr>
        <w:t>本年度来访团数量增加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人次，</w:t>
      </w:r>
      <w:r>
        <w:rPr>
          <w:rFonts w:ascii="Times New Roman" w:hAnsi="Times New Roman" w:eastAsia="仿宋_GB2312" w:cs="Times New Roman"/>
          <w:sz w:val="32"/>
          <w:szCs w:val="32"/>
          <w:highlight w:val="none"/>
        </w:rPr>
        <w:t>发生的接待支出主</w:t>
      </w:r>
      <w:r>
        <w:rPr>
          <w:rFonts w:ascii="Times New Roman" w:hAnsi="Times New Roman" w:eastAsia="仿宋_GB2312" w:cs="Times New Roman"/>
          <w:sz w:val="32"/>
          <w:szCs w:val="32"/>
        </w:rPr>
        <w:t>要是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湖南省公共资源交易中心6人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来我单位</w:t>
      </w:r>
      <w:r>
        <w:rPr>
          <w:rFonts w:hint="eastAsia" w:ascii="Times New Roman" w:hAnsi="Times New Roman" w:eastAsia="仿宋_GB2312" w:cs="Times New Roman"/>
          <w:sz w:val="32"/>
          <w:szCs w:val="32"/>
        </w:rPr>
        <w:t>学习交流</w:t>
      </w:r>
      <w:r>
        <w:rPr>
          <w:rFonts w:hint="eastAsia" w:ascii="Times New Roman" w:hAnsi="Times New Roman" w:eastAsia="仿宋_GB2312" w:cs="Times New Roman"/>
          <w:sz w:val="32"/>
          <w:szCs w:val="32"/>
          <w:lang w:eastAsia="zh-CN"/>
        </w:rPr>
        <w:t>；湘潭市公共资源交易中心4人，</w:t>
      </w:r>
      <w:r>
        <w:rPr>
          <w:rFonts w:hint="eastAsia" w:ascii="Times New Roman" w:hAnsi="Times New Roman" w:eastAsia="仿宋_GB2312" w:cs="Times New Roman"/>
          <w:sz w:val="32"/>
          <w:szCs w:val="32"/>
          <w:lang w:val="en-US" w:eastAsia="zh-CN"/>
        </w:rPr>
        <w:t>来我单位</w:t>
      </w:r>
      <w:r>
        <w:rPr>
          <w:rFonts w:hint="eastAsia" w:ascii="Times New Roman" w:hAnsi="Times New Roman" w:eastAsia="仿宋_GB2312" w:cs="Times New Roman"/>
          <w:sz w:val="32"/>
          <w:szCs w:val="32"/>
          <w:lang w:eastAsia="zh-CN"/>
        </w:rPr>
        <w:t>学习交流；永州公共资源交易中心11人，</w:t>
      </w:r>
      <w:r>
        <w:rPr>
          <w:rFonts w:hint="eastAsia" w:ascii="Times New Roman" w:hAnsi="Times New Roman" w:eastAsia="仿宋_GB2312" w:cs="Times New Roman"/>
          <w:sz w:val="32"/>
          <w:szCs w:val="32"/>
          <w:lang w:val="en-US" w:eastAsia="zh-CN"/>
        </w:rPr>
        <w:t>来我单位</w:t>
      </w:r>
      <w:r>
        <w:rPr>
          <w:rFonts w:hint="eastAsia" w:ascii="Times New Roman" w:hAnsi="Times New Roman" w:eastAsia="仿宋_GB2312" w:cs="Times New Roman"/>
          <w:sz w:val="32"/>
          <w:szCs w:val="32"/>
          <w:lang w:eastAsia="zh-CN"/>
        </w:rPr>
        <w:t>学习交流；宣恩县公共资源交易中心3人，</w:t>
      </w:r>
      <w:r>
        <w:rPr>
          <w:rFonts w:hint="eastAsia" w:ascii="Times New Roman" w:hAnsi="Times New Roman" w:eastAsia="仿宋_GB2312" w:cs="Times New Roman"/>
          <w:sz w:val="32"/>
          <w:szCs w:val="32"/>
          <w:lang w:val="en-US" w:eastAsia="zh-CN"/>
        </w:rPr>
        <w:t>来我单位</w:t>
      </w:r>
      <w:r>
        <w:rPr>
          <w:rFonts w:hint="eastAsia" w:ascii="Times New Roman" w:hAnsi="Times New Roman" w:eastAsia="仿宋_GB2312" w:cs="Times New Roman"/>
          <w:sz w:val="32"/>
          <w:szCs w:val="32"/>
          <w:lang w:eastAsia="zh-CN"/>
        </w:rPr>
        <w:t>考察学习；遵义市公共资源交易中心3人，</w:t>
      </w:r>
      <w:r>
        <w:rPr>
          <w:rFonts w:hint="eastAsia" w:ascii="Times New Roman" w:hAnsi="Times New Roman" w:eastAsia="仿宋_GB2312" w:cs="Times New Roman"/>
          <w:sz w:val="32"/>
          <w:szCs w:val="32"/>
          <w:lang w:val="en-US" w:eastAsia="zh-CN"/>
        </w:rPr>
        <w:t>来我单位</w:t>
      </w:r>
      <w:r>
        <w:rPr>
          <w:rFonts w:hint="eastAsia" w:ascii="Times New Roman" w:hAnsi="Times New Roman" w:eastAsia="仿宋_GB2312" w:cs="Times New Roman"/>
          <w:sz w:val="32"/>
          <w:szCs w:val="32"/>
          <w:lang w:eastAsia="zh-CN"/>
        </w:rPr>
        <w:t>考察学习；郴州市公共资源交易中心3人，</w:t>
      </w:r>
      <w:r>
        <w:rPr>
          <w:rFonts w:hint="eastAsia" w:ascii="Times New Roman" w:hAnsi="Times New Roman" w:eastAsia="仿宋_GB2312" w:cs="Times New Roman"/>
          <w:sz w:val="32"/>
          <w:szCs w:val="32"/>
          <w:lang w:val="en-US" w:eastAsia="zh-CN"/>
        </w:rPr>
        <w:t>来我单位</w:t>
      </w:r>
      <w:r>
        <w:rPr>
          <w:rFonts w:hint="eastAsia" w:ascii="Times New Roman" w:hAnsi="Times New Roman" w:eastAsia="仿宋_GB2312" w:cs="Times New Roman"/>
          <w:sz w:val="32"/>
          <w:szCs w:val="32"/>
          <w:lang w:eastAsia="zh-CN"/>
        </w:rPr>
        <w:t>学习考察。</w:t>
      </w:r>
    </w:p>
    <w:p w14:paraId="26DEE6F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86E2F2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本单位没有政府性基金收入，也没有使用政府性基金安排的支出。</w:t>
      </w:r>
    </w:p>
    <w:p w14:paraId="41695A2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6E9E46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主要原因是：本部门不属于行政单位和参照公务员管理事业单位。</w:t>
      </w:r>
    </w:p>
    <w:p w14:paraId="4235E80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761B99D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CA50FF6">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5.36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全省“机器管招投标”业务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培训费2.42万元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用于参加人事管理综合能力培训，人数1人，培训费0.28万元；用于参加2025（第十届）交易改革创新会培训，人数3人，培训费0.54万元；用于参加2025年度省政府采购业务培训，人数1人，培训费0.1万元；</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rPr>
        <w:t>事业单位</w:t>
      </w:r>
      <w:r>
        <w:rPr>
          <w:rFonts w:hint="eastAsia" w:ascii="Times New Roman" w:hAnsi="Times New Roman" w:eastAsia="仿宋_GB2312" w:cs="Times New Roman"/>
          <w:sz w:val="32"/>
          <w:szCs w:val="32"/>
          <w:lang w:eastAsia="zh-CN"/>
        </w:rPr>
        <w:t>工作人员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113</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，培训费</w:t>
      </w:r>
      <w:r>
        <w:rPr>
          <w:rFonts w:hint="eastAsia" w:ascii="Times New Roman" w:hAnsi="Times New Roman" w:eastAsia="仿宋_GB2312" w:cs="Times New Roman"/>
          <w:sz w:val="32"/>
          <w:szCs w:val="32"/>
          <w:lang w:val="en-US" w:eastAsia="zh-CN"/>
        </w:rPr>
        <w:t>2.02万元；无</w:t>
      </w:r>
      <w:r>
        <w:rPr>
          <w:rFonts w:ascii="Times New Roman" w:hAnsi="Times New Roman" w:eastAsia="仿宋_GB2312" w:cs="Times New Roman"/>
          <w:sz w:val="32"/>
          <w:szCs w:val="32"/>
        </w:rPr>
        <w:t>举办节庆、晚会、论坛、赛事活动开支。</w:t>
      </w:r>
    </w:p>
    <w:p w14:paraId="1739311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64B51F1">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199.9</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199.9</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153.3</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76.70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153.3</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sz w:val="32"/>
          <w:szCs w:val="32"/>
          <w:lang w:val="en-US" w:eastAsia="zh-CN"/>
        </w:rPr>
        <w:t>76.70</w:t>
      </w:r>
      <w:r>
        <w:rPr>
          <w:rFonts w:ascii="Times New Roman" w:hAnsi="Times New Roman" w:eastAsia="仿宋_GB2312" w:cs="Times New Roman"/>
          <w:color w:val="auto"/>
          <w:sz w:val="32"/>
          <w:szCs w:val="32"/>
        </w:rPr>
        <w:t>%。</w:t>
      </w:r>
    </w:p>
    <w:p w14:paraId="09524442">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1D5B131">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rPr>
        <w:t>单位公务活动用车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5AA4C2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09364B8">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rPr>
        <w:t>2210.59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806.87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36.50%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公共交易平台一体化和营商环境评价等经费</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rPr>
        <w:t>806.87</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7003A1D1">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2643.36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2210.59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83.63%</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98.36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p>
    <w:p w14:paraId="64B969D1">
      <w:pPr>
        <w:overflowPunct w:val="0"/>
        <w:spacing w:line="600" w:lineRule="exact"/>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rPr>
        <w:t>2025</w:t>
      </w:r>
      <w:r>
        <w:rPr>
          <w:rFonts w:hint="eastAsia" w:ascii="Times New Roman" w:hAnsi="Times New Roman" w:eastAsia="仿宋_GB2312" w:cs="Times New Roman"/>
          <w:kern w:val="0"/>
          <w:sz w:val="32"/>
          <w:szCs w:val="32"/>
          <w:lang w:val="en-US" w:eastAsia="zh-CN"/>
        </w:rPr>
        <w:t>年以来，怀化</w:t>
      </w:r>
      <w:r>
        <w:rPr>
          <w:rFonts w:hint="eastAsia" w:ascii="Times New Roman" w:hAnsi="Times New Roman" w:eastAsia="仿宋_GB2312" w:cs="Times New Roman"/>
          <w:kern w:val="0"/>
          <w:sz w:val="32"/>
          <w:szCs w:val="32"/>
        </w:rPr>
        <w:t>市公共资源交易中心坚持以习近平新时代中国特色社会主义思想为指导，深入贯彻党的二十大</w:t>
      </w:r>
      <w:r>
        <w:rPr>
          <w:rFonts w:hint="eastAsia" w:ascii="Times New Roman" w:hAnsi="Times New Roman" w:eastAsia="仿宋_GB2312" w:cs="Times New Roman"/>
          <w:kern w:val="0"/>
          <w:sz w:val="32"/>
          <w:szCs w:val="32"/>
          <w:lang w:eastAsia="zh-CN"/>
        </w:rPr>
        <w:t>和二十届三中、四中全会</w:t>
      </w:r>
      <w:r>
        <w:rPr>
          <w:rFonts w:hint="eastAsia" w:ascii="Times New Roman" w:hAnsi="Times New Roman" w:eastAsia="仿宋_GB2312" w:cs="Times New Roman"/>
          <w:kern w:val="0"/>
          <w:sz w:val="32"/>
          <w:szCs w:val="32"/>
        </w:rPr>
        <w:t>精神，全面落实省委</w:t>
      </w:r>
      <w:r>
        <w:rPr>
          <w:rFonts w:hint="eastAsia" w:ascii="Times New Roman" w:hAnsi="Times New Roman" w:eastAsia="仿宋_GB2312" w:cs="Times New Roman"/>
          <w:kern w:val="0"/>
          <w:sz w:val="32"/>
          <w:szCs w:val="32"/>
          <w:lang w:eastAsia="zh-CN"/>
        </w:rPr>
        <w:t>省政府</w:t>
      </w:r>
      <w:r>
        <w:rPr>
          <w:rFonts w:hint="eastAsia" w:ascii="Times New Roman" w:hAnsi="Times New Roman" w:eastAsia="仿宋_GB2312" w:cs="Times New Roman"/>
          <w:kern w:val="0"/>
          <w:sz w:val="32"/>
          <w:szCs w:val="32"/>
        </w:rPr>
        <w:t>、市委</w:t>
      </w:r>
      <w:r>
        <w:rPr>
          <w:rFonts w:hint="eastAsia" w:ascii="Times New Roman" w:hAnsi="Times New Roman" w:eastAsia="仿宋_GB2312" w:cs="Times New Roman"/>
          <w:kern w:val="0"/>
          <w:sz w:val="32"/>
          <w:szCs w:val="32"/>
          <w:lang w:eastAsia="zh-CN"/>
        </w:rPr>
        <w:t>市政府</w:t>
      </w:r>
      <w:r>
        <w:rPr>
          <w:rFonts w:hint="eastAsia" w:ascii="Times New Roman" w:hAnsi="Times New Roman" w:eastAsia="仿宋_GB2312" w:cs="Times New Roman"/>
          <w:kern w:val="0"/>
          <w:sz w:val="32"/>
          <w:szCs w:val="32"/>
        </w:rPr>
        <w:t>决策部署，紧紧围绕</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建设阳光、诚信、安全、高效、人民满意的公共资源交易平台</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服务</w:t>
      </w:r>
      <w:r>
        <w:rPr>
          <w:rFonts w:hint="eastAsia" w:ascii="Times New Roman" w:hAnsi="Times New Roman" w:eastAsia="仿宋_GB2312" w:cs="Times New Roman"/>
          <w:kern w:val="0"/>
          <w:sz w:val="32"/>
          <w:szCs w:val="32"/>
          <w:lang w:eastAsia="zh-CN"/>
        </w:rPr>
        <w:t>目标</w:t>
      </w:r>
      <w:r>
        <w:rPr>
          <w:rFonts w:hint="eastAsia" w:ascii="Times New Roman" w:hAnsi="Times New Roman" w:eastAsia="仿宋_GB2312" w:cs="Times New Roman"/>
          <w:kern w:val="0"/>
          <w:sz w:val="32"/>
          <w:szCs w:val="32"/>
        </w:rPr>
        <w:t>，以党建为引领，以改革为动力，以科技为支撑，实现了交易服务质效的全面提升</w:t>
      </w:r>
      <w:r>
        <w:rPr>
          <w:rFonts w:hint="eastAsia" w:ascii="Times New Roman" w:hAnsi="Times New Roman" w:eastAsia="仿宋_GB2312" w:cs="Times New Roman"/>
          <w:kern w:val="0"/>
          <w:sz w:val="32"/>
          <w:szCs w:val="32"/>
          <w:lang w:eastAsia="zh-CN"/>
        </w:rPr>
        <w:t>。</w:t>
      </w:r>
    </w:p>
    <w:p w14:paraId="7C80D3E4">
      <w:pPr>
        <w:overflowPunct w:val="0"/>
        <w:spacing w:line="600" w:lineRule="exact"/>
        <w:ind w:firstLine="640" w:firstLineChars="200"/>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2025</w:t>
      </w:r>
      <w:r>
        <w:rPr>
          <w:rFonts w:hint="eastAsia" w:ascii="Times New Roman" w:hAnsi="Times New Roman" w:eastAsia="仿宋_GB2312" w:cs="Times New Roman"/>
          <w:kern w:val="0"/>
          <w:sz w:val="32"/>
          <w:szCs w:val="32"/>
          <w:lang w:val="en-US" w:eastAsia="zh-CN"/>
        </w:rPr>
        <w:t>年全市完成公共资源进场交易项目1795宗，同比增长17.01%；交易总额294.92亿元，同比增长0.40%；增收资金4970.67万元，节约资金24.15亿元，交易总额位列全省14个市州第2，再创历史新高，为全市高水平开放高质量发展贡献力量。</w:t>
      </w:r>
    </w:p>
    <w:p w14:paraId="32575FA0">
      <w:pPr>
        <w:pStyle w:val="13"/>
        <w:overflowPunct w:val="0"/>
        <w:autoSpaceDE/>
        <w:autoSpaceDN/>
        <w:spacing w:line="600" w:lineRule="exact"/>
        <w:ind w:firstLine="640" w:firstLineChars="200"/>
        <w:jc w:val="both"/>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楷体_GB2312" w:cs="Times New Roman"/>
          <w:b/>
          <w:bCs/>
          <w:color w:val="auto"/>
          <w:kern w:val="2"/>
          <w:sz w:val="32"/>
          <w:szCs w:val="32"/>
        </w:rPr>
        <w:t>。</w:t>
      </w:r>
      <w:r>
        <w:rPr>
          <w:rFonts w:hint="eastAsia" w:ascii="Times New Roman" w:hAnsi="Times New Roman" w:eastAsia="仿宋_GB2312" w:cs="Times New Roman"/>
          <w:color w:val="auto"/>
          <w:sz w:val="32"/>
          <w:szCs w:val="32"/>
          <w:lang w:val="en-US" w:eastAsia="zh-CN"/>
        </w:rPr>
        <w:t>本单位将</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w:t>
      </w:r>
      <w:r>
        <w:rPr>
          <w:rFonts w:hint="eastAsia" w:ascii="Times New Roman" w:hAnsi="Times New Roman" w:eastAsia="仿宋_GB2312" w:cs="Times New Roman"/>
          <w:color w:val="auto"/>
          <w:sz w:val="32"/>
          <w:szCs w:val="32"/>
          <w:lang w:val="en-US" w:eastAsia="zh-CN"/>
        </w:rPr>
        <w:t>作为</w:t>
      </w:r>
      <w:r>
        <w:rPr>
          <w:rFonts w:ascii="Times New Roman" w:hAnsi="Times New Roman" w:eastAsia="仿宋_GB2312" w:cs="Times New Roman"/>
          <w:color w:val="auto"/>
          <w:sz w:val="32"/>
          <w:szCs w:val="32"/>
        </w:rPr>
        <w:t>对本部门年度预算安排，支出结构调整，资金管理，制度建设等方面结果运用</w:t>
      </w:r>
      <w:r>
        <w:rPr>
          <w:rFonts w:hint="eastAsia" w:ascii="Times New Roman" w:hAnsi="Times New Roman" w:eastAsia="仿宋_GB2312" w:cs="Times New Roman"/>
          <w:color w:val="auto"/>
          <w:sz w:val="32"/>
          <w:szCs w:val="32"/>
        </w:rPr>
        <w:t>的重要依据，进一步提升财政资源配置效率和资金使用效益。</w:t>
      </w:r>
    </w:p>
    <w:p w14:paraId="36330262">
      <w:pPr>
        <w:pStyle w:val="13"/>
        <w:jc w:val="center"/>
        <w:rPr>
          <w:rFonts w:ascii="Times New Roman" w:hAnsi="Times New Roman" w:cs="Times New Roman"/>
          <w:sz w:val="72"/>
          <w:szCs w:val="72"/>
        </w:rPr>
      </w:pPr>
    </w:p>
    <w:p w14:paraId="3B3C493C">
      <w:pPr>
        <w:pStyle w:val="13"/>
        <w:jc w:val="center"/>
        <w:rPr>
          <w:rFonts w:ascii="Times New Roman" w:hAnsi="Times New Roman" w:cs="Times New Roman"/>
          <w:sz w:val="72"/>
          <w:szCs w:val="72"/>
        </w:rPr>
      </w:pPr>
    </w:p>
    <w:p w14:paraId="6ABB48DA">
      <w:pPr>
        <w:pStyle w:val="13"/>
        <w:jc w:val="center"/>
        <w:rPr>
          <w:rFonts w:ascii="Times New Roman" w:hAnsi="Times New Roman" w:cs="Times New Roman"/>
          <w:sz w:val="72"/>
          <w:szCs w:val="72"/>
        </w:rPr>
      </w:pPr>
    </w:p>
    <w:p w14:paraId="361861D4">
      <w:pPr>
        <w:pStyle w:val="13"/>
        <w:jc w:val="center"/>
        <w:rPr>
          <w:rFonts w:ascii="Times New Roman" w:hAnsi="Times New Roman" w:cs="Times New Roman"/>
          <w:sz w:val="72"/>
          <w:szCs w:val="72"/>
        </w:rPr>
      </w:pPr>
    </w:p>
    <w:p w14:paraId="0176E6B0">
      <w:pPr>
        <w:pStyle w:val="13"/>
        <w:jc w:val="center"/>
        <w:rPr>
          <w:rFonts w:ascii="Times New Roman" w:hAnsi="Times New Roman" w:cs="Times New Roman"/>
          <w:sz w:val="72"/>
          <w:szCs w:val="72"/>
        </w:rPr>
      </w:pPr>
    </w:p>
    <w:p w14:paraId="06E069EB">
      <w:pPr>
        <w:pStyle w:val="13"/>
        <w:jc w:val="center"/>
        <w:rPr>
          <w:rFonts w:ascii="Times New Roman" w:hAnsi="Times New Roman" w:cs="Times New Roman"/>
          <w:sz w:val="72"/>
          <w:szCs w:val="72"/>
        </w:rPr>
      </w:pPr>
    </w:p>
    <w:p w14:paraId="4A0394D9">
      <w:pPr>
        <w:pStyle w:val="13"/>
        <w:jc w:val="center"/>
        <w:rPr>
          <w:rFonts w:ascii="Times New Roman" w:hAnsi="Times New Roman" w:cs="Times New Roman"/>
          <w:sz w:val="72"/>
          <w:szCs w:val="72"/>
        </w:rPr>
      </w:pPr>
    </w:p>
    <w:p w14:paraId="2FDF370D">
      <w:pPr>
        <w:pStyle w:val="13"/>
        <w:jc w:val="center"/>
        <w:rPr>
          <w:rFonts w:ascii="Times New Roman" w:hAnsi="Times New Roman" w:cs="Times New Roman"/>
          <w:sz w:val="72"/>
          <w:szCs w:val="72"/>
        </w:rPr>
      </w:pPr>
    </w:p>
    <w:p w14:paraId="0B2900D1">
      <w:pPr>
        <w:pStyle w:val="13"/>
        <w:jc w:val="center"/>
        <w:rPr>
          <w:rFonts w:ascii="Times New Roman" w:hAnsi="Times New Roman" w:cs="Times New Roman"/>
          <w:sz w:val="72"/>
          <w:szCs w:val="72"/>
        </w:rPr>
      </w:pPr>
    </w:p>
    <w:p w14:paraId="246E26E2">
      <w:pPr>
        <w:pStyle w:val="13"/>
        <w:jc w:val="both"/>
        <w:rPr>
          <w:rFonts w:ascii="Times New Roman" w:hAnsi="Times New Roman" w:cs="Times New Roman"/>
          <w:sz w:val="72"/>
          <w:szCs w:val="72"/>
        </w:rPr>
      </w:pPr>
    </w:p>
    <w:p w14:paraId="090F573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F871536">
      <w:pPr>
        <w:widowControl/>
        <w:jc w:val="left"/>
        <w:rPr>
          <w:rFonts w:ascii="Times New Roman" w:hAnsi="Times New Roman" w:cs="Times New Roman"/>
          <w:color w:val="000000"/>
          <w:kern w:val="0"/>
          <w:sz w:val="32"/>
          <w:szCs w:val="32"/>
        </w:rPr>
      </w:pPr>
    </w:p>
    <w:p w14:paraId="62A897FE">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一、财政拨款收入：指单位本年度从市级财政部门取得的财政拨款。</w:t>
      </w:r>
    </w:p>
    <w:p w14:paraId="55B76D34">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二、上级补助收入：指事业单位从主管部门和上级单位取得的非财政补助收入。</w:t>
      </w:r>
    </w:p>
    <w:p w14:paraId="37D667AE">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三、事业收入：指事业单位开展专业业务活动及其辅助活动取得的收入，事业单位收到的财政专户实际核拨的教育收费等资金在此反映。</w:t>
      </w:r>
    </w:p>
    <w:p w14:paraId="3887C643">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四、经营收入：指事业单位在专业业务活动及其辅助活动之外开展非独立核算经营活动取得的收入。</w:t>
      </w:r>
    </w:p>
    <w:p w14:paraId="5C7862DB">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五、附属单位缴款：指事业单位附属独立核算单位按照有关规定上缴的收入。</w:t>
      </w:r>
    </w:p>
    <w:p w14:paraId="3DD702B3">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六、其他收入：指单位取得的除上述“财政拨款收入”、“事业收入”、“经营收入”等以外的各项收入。</w:t>
      </w:r>
    </w:p>
    <w:p w14:paraId="6D1BB11A">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七、用事业基金弥补收支差额：指事业单位用事业基金弥补当年收支差额的数额。</w:t>
      </w:r>
    </w:p>
    <w:p w14:paraId="09CA8A0D">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八、年初结转和结余：指单位上年结转本年使用的基本支出结转、项目支出结转和结余和经营结余。</w:t>
      </w:r>
    </w:p>
    <w:p w14:paraId="0165346B">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九、一般公共服务（类）人大事务（款）行政运行（项）：指人大常委会办公厅用于保障机构正常运行、开展日常工作的基本支出。</w:t>
      </w:r>
    </w:p>
    <w:p w14:paraId="4F4B97B4">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十、结余分配：指事业单位按规定对非财政补助结余资金提取的职工福利基金、事业基金和缴纳的所得税，以及减少单位按规定应缴回的基本建设竣工项目结余资金。</w:t>
      </w:r>
    </w:p>
    <w:p w14:paraId="5CEBE525">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十一、年末结转和结余资金：指本年度或以前年度预算安排、因客观条件发生变化无法按原计划实施，需要延迟到以后年度按有关规定继续使用的资金。</w:t>
      </w:r>
    </w:p>
    <w:p w14:paraId="20D175A6">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十二、基本支出：指为保障机构正常运转、完成日常工作任务而发生的人员支出和公用支出。</w:t>
      </w:r>
    </w:p>
    <w:p w14:paraId="5078A7A3">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十三、项目支出：指在基本支出之外为完成特定的行政任务或事业发展目标所发生的支出。</w:t>
      </w:r>
    </w:p>
    <w:p w14:paraId="0672F241">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十四、上缴上级支出：指事业单位按照财政部门和主管部门的规定上缴上级单位的支出。十五、经营支出：指事业单位在专业业务活动及其辅助活动之外开展非独立核算经营活动发生的支出。</w:t>
      </w:r>
    </w:p>
    <w:p w14:paraId="11E34F69">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十五、经营支出：指事业单位在专业业务活动及其辅助活动之外开展非独立核算经营活动发生的支出。</w:t>
      </w:r>
    </w:p>
    <w:p w14:paraId="1D70A619">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十六、对附属单位补助支出：指事业单位用财政补助收入之外的收入对附属单位补助发生的支出。</w:t>
      </w:r>
    </w:p>
    <w:p w14:paraId="626B2EBA">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七、“三公”经费：指市级部门用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3397D7CF">
      <w:pPr>
        <w:pStyle w:val="13"/>
        <w:jc w:val="center"/>
        <w:rPr>
          <w:rFonts w:ascii="Times New Roman" w:hAnsi="Times New Roman" w:cs="Times New Roman"/>
          <w:sz w:val="72"/>
          <w:szCs w:val="72"/>
        </w:rPr>
      </w:pPr>
    </w:p>
    <w:p w14:paraId="744FB660">
      <w:pPr>
        <w:pStyle w:val="13"/>
        <w:jc w:val="center"/>
        <w:rPr>
          <w:rFonts w:ascii="Times New Roman" w:hAnsi="Times New Roman" w:cs="Times New Roman"/>
          <w:sz w:val="72"/>
          <w:szCs w:val="72"/>
        </w:rPr>
      </w:pPr>
    </w:p>
    <w:p w14:paraId="2458C5E3">
      <w:pPr>
        <w:pStyle w:val="13"/>
        <w:jc w:val="center"/>
        <w:rPr>
          <w:rFonts w:ascii="Times New Roman" w:hAnsi="Times New Roman" w:cs="Times New Roman"/>
          <w:sz w:val="72"/>
          <w:szCs w:val="72"/>
        </w:rPr>
      </w:pPr>
    </w:p>
    <w:p w14:paraId="67B2B1D6">
      <w:pPr>
        <w:pStyle w:val="13"/>
        <w:jc w:val="center"/>
        <w:rPr>
          <w:rFonts w:ascii="Times New Roman" w:hAnsi="Times New Roman" w:cs="Times New Roman"/>
          <w:sz w:val="72"/>
          <w:szCs w:val="72"/>
        </w:rPr>
      </w:pPr>
    </w:p>
    <w:p w14:paraId="1AE2912A">
      <w:pPr>
        <w:pStyle w:val="13"/>
        <w:jc w:val="center"/>
        <w:rPr>
          <w:rFonts w:ascii="Times New Roman" w:hAnsi="Times New Roman" w:cs="Times New Roman"/>
          <w:sz w:val="72"/>
          <w:szCs w:val="72"/>
        </w:rPr>
      </w:pPr>
    </w:p>
    <w:p w14:paraId="00F17F27">
      <w:pPr>
        <w:pStyle w:val="13"/>
        <w:jc w:val="center"/>
        <w:rPr>
          <w:rFonts w:ascii="Times New Roman" w:hAnsi="Times New Roman" w:cs="Times New Roman"/>
          <w:sz w:val="72"/>
          <w:szCs w:val="72"/>
        </w:rPr>
      </w:pPr>
    </w:p>
    <w:p w14:paraId="62033473">
      <w:pPr>
        <w:pStyle w:val="13"/>
        <w:jc w:val="center"/>
        <w:rPr>
          <w:rFonts w:ascii="Times New Roman" w:hAnsi="Times New Roman" w:cs="Times New Roman"/>
          <w:sz w:val="72"/>
          <w:szCs w:val="72"/>
        </w:rPr>
      </w:pPr>
    </w:p>
    <w:p w14:paraId="7E4478AF">
      <w:pPr>
        <w:pStyle w:val="13"/>
        <w:jc w:val="both"/>
        <w:rPr>
          <w:rFonts w:ascii="Times New Roman" w:hAnsi="Times New Roman" w:cs="Times New Roman"/>
          <w:sz w:val="72"/>
          <w:szCs w:val="72"/>
        </w:rPr>
      </w:pPr>
    </w:p>
    <w:p w14:paraId="3D49D75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B7044CE">
      <w:pPr>
        <w:rPr>
          <w:rFonts w:ascii="Times New Roman" w:hAnsi="Times New Roman" w:cs="Times New Roman"/>
          <w:sz w:val="72"/>
          <w:szCs w:val="72"/>
        </w:rPr>
      </w:pPr>
    </w:p>
    <w:p w14:paraId="5B142A48">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16C4328F">
      <w:pPr>
        <w:pStyle w:val="13"/>
        <w:spacing w:line="600" w:lineRule="exact"/>
        <w:ind w:firstLine="640" w:firstLineChars="200"/>
        <w:rPr>
          <w:rFonts w:ascii="Times New Roman" w:hAnsi="Times New Roman" w:eastAsia="仿宋_GB2312" w:cs="Times New Roman"/>
          <w:sz w:val="32"/>
          <w:szCs w:val="32"/>
        </w:rPr>
      </w:pPr>
    </w:p>
    <w:p w14:paraId="498C5F75">
      <w:pPr>
        <w:pStyle w:val="13"/>
        <w:jc w:val="center"/>
        <w:rPr>
          <w:rFonts w:ascii="Times New Roman" w:hAnsi="Times New Roman" w:cs="Times New Roman"/>
          <w:sz w:val="72"/>
          <w:szCs w:val="72"/>
        </w:rPr>
      </w:pPr>
    </w:p>
    <w:p w14:paraId="0040D839">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4626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760BC">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B1E0F">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D3E64">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EC5B42">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8EC5B42">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402979"/>
    <w:multiLevelType w:val="singleLevel"/>
    <w:tmpl w:val="5A40297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79546C"/>
    <w:rsid w:val="035D3297"/>
    <w:rsid w:val="04E85937"/>
    <w:rsid w:val="073F52DC"/>
    <w:rsid w:val="07BB058C"/>
    <w:rsid w:val="0869448C"/>
    <w:rsid w:val="08915791"/>
    <w:rsid w:val="089B3D79"/>
    <w:rsid w:val="0AD35565"/>
    <w:rsid w:val="0B5D7BAD"/>
    <w:rsid w:val="0EEE0C5B"/>
    <w:rsid w:val="11BD7030"/>
    <w:rsid w:val="139C0647"/>
    <w:rsid w:val="14563F45"/>
    <w:rsid w:val="148368D6"/>
    <w:rsid w:val="14D40EDF"/>
    <w:rsid w:val="161976AB"/>
    <w:rsid w:val="18401CE3"/>
    <w:rsid w:val="18B5434C"/>
    <w:rsid w:val="18F02060"/>
    <w:rsid w:val="194F6D87"/>
    <w:rsid w:val="19D526F3"/>
    <w:rsid w:val="1C490BC2"/>
    <w:rsid w:val="1D97DEFF"/>
    <w:rsid w:val="1DFF72E5"/>
    <w:rsid w:val="1E254D60"/>
    <w:rsid w:val="1EFC6F07"/>
    <w:rsid w:val="207716FF"/>
    <w:rsid w:val="207B2B57"/>
    <w:rsid w:val="20EA0BE3"/>
    <w:rsid w:val="2146164C"/>
    <w:rsid w:val="21F030D1"/>
    <w:rsid w:val="223E17E0"/>
    <w:rsid w:val="25825A58"/>
    <w:rsid w:val="26485289"/>
    <w:rsid w:val="286C7DB4"/>
    <w:rsid w:val="28F65471"/>
    <w:rsid w:val="293D4EFC"/>
    <w:rsid w:val="2B8509FC"/>
    <w:rsid w:val="2CAA0A5A"/>
    <w:rsid w:val="2D32459D"/>
    <w:rsid w:val="2F481666"/>
    <w:rsid w:val="2FDF85B8"/>
    <w:rsid w:val="2FFFEE04"/>
    <w:rsid w:val="32305EA0"/>
    <w:rsid w:val="3281224F"/>
    <w:rsid w:val="34A573AB"/>
    <w:rsid w:val="34DF85B0"/>
    <w:rsid w:val="36EF57B6"/>
    <w:rsid w:val="38571B96"/>
    <w:rsid w:val="38CE3C99"/>
    <w:rsid w:val="398443D3"/>
    <w:rsid w:val="3B1F6977"/>
    <w:rsid w:val="3B8F36BC"/>
    <w:rsid w:val="3CBE3092"/>
    <w:rsid w:val="3CEC3CEA"/>
    <w:rsid w:val="3E611186"/>
    <w:rsid w:val="3F773125"/>
    <w:rsid w:val="429F1251"/>
    <w:rsid w:val="456A0921"/>
    <w:rsid w:val="45947D37"/>
    <w:rsid w:val="46211F30"/>
    <w:rsid w:val="47AE0F4E"/>
    <w:rsid w:val="47F50063"/>
    <w:rsid w:val="491FF225"/>
    <w:rsid w:val="492F7954"/>
    <w:rsid w:val="4E640BBD"/>
    <w:rsid w:val="4F840831"/>
    <w:rsid w:val="4FB524F9"/>
    <w:rsid w:val="4FFD214C"/>
    <w:rsid w:val="52102850"/>
    <w:rsid w:val="52F06A9B"/>
    <w:rsid w:val="531E6426"/>
    <w:rsid w:val="5490727E"/>
    <w:rsid w:val="56290384"/>
    <w:rsid w:val="5777D4F5"/>
    <w:rsid w:val="59477A28"/>
    <w:rsid w:val="59DD8326"/>
    <w:rsid w:val="5A1B4AF4"/>
    <w:rsid w:val="5AD12146"/>
    <w:rsid w:val="5B055025"/>
    <w:rsid w:val="5C183CE3"/>
    <w:rsid w:val="5DEF592A"/>
    <w:rsid w:val="5E3E6996"/>
    <w:rsid w:val="5E9E3624"/>
    <w:rsid w:val="5FC6BB1E"/>
    <w:rsid w:val="5FDA4613"/>
    <w:rsid w:val="5FF720F1"/>
    <w:rsid w:val="60397415"/>
    <w:rsid w:val="608368E3"/>
    <w:rsid w:val="60986CE4"/>
    <w:rsid w:val="629D1622"/>
    <w:rsid w:val="64222882"/>
    <w:rsid w:val="6535464F"/>
    <w:rsid w:val="662A6A78"/>
    <w:rsid w:val="67F46C71"/>
    <w:rsid w:val="67FF5C0B"/>
    <w:rsid w:val="69126921"/>
    <w:rsid w:val="6CF0229F"/>
    <w:rsid w:val="6D7F3FFA"/>
    <w:rsid w:val="6EFC0924"/>
    <w:rsid w:val="6F00654F"/>
    <w:rsid w:val="6FB74722"/>
    <w:rsid w:val="6FC26D8C"/>
    <w:rsid w:val="6FEF8B7E"/>
    <w:rsid w:val="707029DF"/>
    <w:rsid w:val="71A6591B"/>
    <w:rsid w:val="71AC68C5"/>
    <w:rsid w:val="72B648F6"/>
    <w:rsid w:val="73040366"/>
    <w:rsid w:val="73185DDE"/>
    <w:rsid w:val="737D59BA"/>
    <w:rsid w:val="74221778"/>
    <w:rsid w:val="751F2C26"/>
    <w:rsid w:val="77514BED"/>
    <w:rsid w:val="77C37683"/>
    <w:rsid w:val="79140DD9"/>
    <w:rsid w:val="79D19834"/>
    <w:rsid w:val="79FF515B"/>
    <w:rsid w:val="7BF549BF"/>
    <w:rsid w:val="7C7C270C"/>
    <w:rsid w:val="7DF52776"/>
    <w:rsid w:val="7E714CEC"/>
    <w:rsid w:val="7E9E1962"/>
    <w:rsid w:val="7E9F11B4"/>
    <w:rsid w:val="7EE15132"/>
    <w:rsid w:val="7F37EC1E"/>
    <w:rsid w:val="7F6D0B47"/>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7D568C6"/>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widowControl w:val="0"/>
      <w:spacing w:before="340" w:beforeLines="0" w:after="330" w:afterLines="0" w:line="576" w:lineRule="auto"/>
      <w:outlineLvl w:val="0"/>
    </w:pPr>
    <w:rPr>
      <w:b/>
      <w:bCs/>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303</Words>
  <Characters>306</Characters>
  <Lines>69</Lines>
  <Paragraphs>19</Paragraphs>
  <TotalTime>1</TotalTime>
  <ScaleCrop>false</ScaleCrop>
  <LinksUpToDate>false</LinksUpToDate>
  <CharactersWithSpaces>311</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2026-10-15T16:14:59Z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eyJoZGlkIjoiOTcyMzc3Y2M0MzI3OWU2Mzk1MzhmMDAxMmVkNmIzZTAiLCJ1c2VySWQiOiIxMTgxODcyMTY4In0=</vt:lpwstr>
  </property>
</Properties>
</file>