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E456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附件5</w:t>
      </w:r>
    </w:p>
    <w:p w14:paraId="4F84AB8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6A1E9BA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5CA62D3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475C70F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2025年度怀化仲裁委员会秘书处整体支出</w:t>
      </w:r>
    </w:p>
    <w:p w14:paraId="60D439C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18B65E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绩效自评报告</w:t>
      </w:r>
    </w:p>
    <w:p w14:paraId="0D2A2E7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3EAFF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3565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A140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37FB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73F3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8682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40337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DA7A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7A78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F4C5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DFB5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</w:p>
    <w:p w14:paraId="73E1F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E143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115D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        单位名称（盖章）：</w:t>
      </w:r>
    </w:p>
    <w:p w14:paraId="27C34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F3C5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BFEC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FA03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0CF0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21B1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</w:rPr>
        <w:t>根据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  <w:lang w:eastAsia="zh-CN"/>
        </w:rPr>
        <w:t>《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  <w:lang w:val="en-US" w:eastAsia="zh-CN"/>
        </w:rPr>
        <w:t>怀化市财政局关于开展2025年度市级预算部门绩效自评和部门评价的通知》（怀财绩〔2026〕36号）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</w:rPr>
        <w:t>的文件精神，我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  <w:lang w:val="en-US" w:eastAsia="zh-CN"/>
        </w:rPr>
        <w:t>怀化仲裁委员会秘书处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</w:rPr>
        <w:t>对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  <w:lang w:val="en-US" w:eastAsia="zh-CN"/>
        </w:rPr>
        <w:t>2025年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</w:rPr>
        <w:t>整体支出进行了绩效评价，现报告如下:</w:t>
      </w:r>
    </w:p>
    <w:p w14:paraId="596006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部门概况</w:t>
      </w:r>
    </w:p>
    <w:p w14:paraId="18EB4347">
      <w:pPr>
        <w:pStyle w:val="5"/>
        <w:widowControl/>
        <w:shd w:val="clear" w:color="auto" w:fill="FFFFFF"/>
        <w:snapToGrid w:val="0"/>
        <w:spacing w:beforeAutospacing="0" w:afterAutospacing="0" w:line="520" w:lineRule="exact"/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</w:pPr>
      <w:r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  <w:t>（一）机构设置情况</w:t>
      </w:r>
    </w:p>
    <w:p w14:paraId="03060D48">
      <w:pPr>
        <w:pStyle w:val="5"/>
        <w:widowControl/>
        <w:numPr>
          <w:ilvl w:val="0"/>
          <w:numId w:val="0"/>
        </w:numPr>
        <w:shd w:val="clear" w:color="auto" w:fill="FFFFFF"/>
        <w:snapToGrid w:val="0"/>
        <w:spacing w:beforeAutospacing="0" w:afterAutospacing="0" w:line="520" w:lineRule="exact"/>
        <w:ind w:right="0" w:rightChars="0" w:firstLine="640" w:firstLineChars="200"/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3D3D3D"/>
          <w:sz w:val="32"/>
          <w:szCs w:val="32"/>
          <w:shd w:val="clear" w:color="auto" w:fill="FFFFFF"/>
        </w:rPr>
        <w:t>本单位为怀化市司法局所属二级</w:t>
      </w:r>
      <w:r>
        <w:rPr>
          <w:rFonts w:hint="eastAsia" w:ascii="仿宋" w:hAnsi="仿宋" w:eastAsia="仿宋" w:cs="仿宋"/>
          <w:color w:val="3D3D3D"/>
          <w:spacing w:val="14"/>
          <w:sz w:val="32"/>
          <w:szCs w:val="32"/>
          <w:shd w:val="clear" w:color="auto" w:fill="FFFFFF"/>
        </w:rPr>
        <w:t>预算单位，内设科室为：办公室、</w:t>
      </w:r>
      <w:r>
        <w:rPr>
          <w:rFonts w:hint="eastAsia" w:ascii="仿宋" w:hAnsi="仿宋" w:eastAsia="仿宋" w:cs="仿宋"/>
          <w:color w:val="3D3D3D"/>
          <w:spacing w:val="14"/>
          <w:sz w:val="32"/>
          <w:szCs w:val="32"/>
          <w:shd w:val="clear" w:color="auto" w:fill="FFFFFF"/>
          <w:lang w:eastAsia="zh-CN"/>
        </w:rPr>
        <w:t>办案</w:t>
      </w:r>
      <w:r>
        <w:rPr>
          <w:rFonts w:hint="eastAsia" w:ascii="仿宋" w:hAnsi="仿宋" w:eastAsia="仿宋" w:cs="仿宋"/>
          <w:color w:val="3D3D3D"/>
          <w:spacing w:val="14"/>
          <w:sz w:val="32"/>
          <w:szCs w:val="32"/>
          <w:shd w:val="clear" w:color="auto" w:fill="FFFFFF"/>
        </w:rPr>
        <w:t>室。</w:t>
      </w:r>
    </w:p>
    <w:p w14:paraId="6F20DE9E">
      <w:pPr>
        <w:pStyle w:val="5"/>
        <w:widowControl/>
        <w:numPr>
          <w:ilvl w:val="0"/>
          <w:numId w:val="2"/>
        </w:numPr>
        <w:shd w:val="clear" w:color="auto" w:fill="FFFFFF"/>
        <w:snapToGrid w:val="0"/>
        <w:spacing w:beforeAutospacing="0" w:afterAutospacing="0" w:line="520" w:lineRule="exact"/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</w:pPr>
      <w:r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  <w:t>人员编制情况</w:t>
      </w:r>
    </w:p>
    <w:p w14:paraId="01AF7FEC">
      <w:pPr>
        <w:pStyle w:val="5"/>
        <w:widowControl/>
        <w:numPr>
          <w:ilvl w:val="0"/>
          <w:numId w:val="0"/>
        </w:numPr>
        <w:shd w:val="clear" w:color="auto" w:fill="FFFFFF"/>
        <w:snapToGrid w:val="0"/>
        <w:spacing w:beforeAutospacing="0" w:afterAutospacing="0" w:line="520" w:lineRule="exact"/>
        <w:ind w:right="0" w:rightChars="0" w:firstLine="592" w:firstLineChars="200"/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Times New Roman"/>
          <w:spacing w:val="-2"/>
          <w:sz w:val="30"/>
          <w:szCs w:val="30"/>
          <w:lang w:val="en-US" w:eastAsia="zh-CN"/>
        </w:rPr>
        <w:t>仲裁委员会秘书处</w:t>
      </w:r>
      <w:r>
        <w:rPr>
          <w:rFonts w:hint="eastAsia" w:ascii="仿宋" w:hAnsi="仿宋" w:eastAsia="仿宋" w:cs="Times New Roman"/>
          <w:spacing w:val="-2"/>
          <w:kern w:val="2"/>
          <w:sz w:val="30"/>
          <w:szCs w:val="30"/>
          <w:lang w:val="en-US" w:eastAsia="zh-CN" w:bidi="ar-SA"/>
        </w:rPr>
        <w:t>现有编制13人，2025年末实有人数13人。</w:t>
      </w:r>
    </w:p>
    <w:p w14:paraId="3415C269">
      <w:pPr>
        <w:pStyle w:val="5"/>
        <w:widowControl/>
        <w:numPr>
          <w:ilvl w:val="0"/>
          <w:numId w:val="2"/>
        </w:numPr>
        <w:shd w:val="clear" w:color="auto" w:fill="FFFFFF"/>
        <w:snapToGrid w:val="0"/>
        <w:spacing w:beforeAutospacing="0" w:afterAutospacing="0" w:line="520" w:lineRule="exact"/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</w:pPr>
      <w:r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  <w:t>主要职能职责</w:t>
      </w:r>
    </w:p>
    <w:p w14:paraId="6A2939E5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Times New Roman"/>
          <w:spacing w:val="-2"/>
          <w:sz w:val="30"/>
          <w:szCs w:val="30"/>
        </w:rPr>
      </w:pPr>
      <w:r>
        <w:rPr>
          <w:rFonts w:hint="eastAsia" w:ascii="楷体_GB2312" w:eastAsia="楷体_GB2312" w:cs="楷体_GB2312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Times New Roman"/>
          <w:spacing w:val="-2"/>
          <w:sz w:val="30"/>
          <w:szCs w:val="30"/>
        </w:rPr>
        <w:t>主要职能。</w:t>
      </w:r>
    </w:p>
    <w:p w14:paraId="6F393946">
      <w:pPr>
        <w:widowControl/>
        <w:shd w:val="clear" w:color="auto" w:fill="FFFFFF"/>
        <w:spacing w:line="600" w:lineRule="atLeast"/>
        <w:ind w:firstLine="640"/>
        <w:rPr>
          <w:rFonts w:hint="default" w:ascii="仿宋" w:hAnsi="仿宋" w:eastAsia="仿宋" w:cs="Times New Roman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pacing w:val="-2"/>
          <w:sz w:val="30"/>
          <w:szCs w:val="30"/>
          <w:lang w:val="en-US" w:eastAsia="zh-CN"/>
        </w:rPr>
        <w:t>（1）接待咨询，做好受理案件的有关工作；</w:t>
      </w:r>
    </w:p>
    <w:p w14:paraId="3A48261F">
      <w:pPr>
        <w:widowControl/>
        <w:shd w:val="clear" w:color="auto" w:fill="FFFFFF"/>
        <w:spacing w:line="600" w:lineRule="atLeast"/>
        <w:ind w:firstLine="640"/>
        <w:rPr>
          <w:rFonts w:hint="default" w:ascii="仿宋" w:hAnsi="仿宋" w:eastAsia="仿宋" w:cs="Times New Roman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pacing w:val="-2"/>
          <w:sz w:val="30"/>
          <w:szCs w:val="30"/>
          <w:lang w:val="en-US" w:eastAsia="zh-CN"/>
        </w:rPr>
        <w:t>（2）仲裁费用的收取和管理；</w:t>
      </w:r>
    </w:p>
    <w:p w14:paraId="31E019E7">
      <w:pPr>
        <w:widowControl/>
        <w:shd w:val="clear" w:color="auto" w:fill="FFFFFF"/>
        <w:spacing w:line="600" w:lineRule="atLeast"/>
        <w:ind w:firstLine="640"/>
        <w:rPr>
          <w:rFonts w:hint="default" w:ascii="仿宋" w:hAnsi="仿宋" w:eastAsia="仿宋" w:cs="Times New Roman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pacing w:val="-2"/>
          <w:sz w:val="30"/>
          <w:szCs w:val="30"/>
          <w:lang w:val="en-US" w:eastAsia="zh-CN"/>
        </w:rPr>
        <w:t>（3）非仲裁庭调解案件的调解；</w:t>
      </w:r>
    </w:p>
    <w:p w14:paraId="136CFA33">
      <w:pPr>
        <w:widowControl/>
        <w:shd w:val="clear" w:color="auto" w:fill="FFFFFF"/>
        <w:spacing w:line="600" w:lineRule="atLeast"/>
        <w:ind w:firstLine="640"/>
        <w:rPr>
          <w:rFonts w:hint="default" w:ascii="仿宋" w:hAnsi="仿宋" w:eastAsia="仿宋" w:cs="Times New Roman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pacing w:val="-2"/>
          <w:sz w:val="30"/>
          <w:szCs w:val="30"/>
          <w:lang w:val="en-US" w:eastAsia="zh-CN"/>
        </w:rPr>
        <w:t>（4）仲裁庭开庭时指派记录人员；</w:t>
      </w:r>
    </w:p>
    <w:p w14:paraId="3F65912F">
      <w:pPr>
        <w:widowControl/>
        <w:shd w:val="clear" w:color="auto" w:fill="FFFFFF"/>
        <w:spacing w:line="600" w:lineRule="atLeast"/>
        <w:ind w:firstLine="640"/>
        <w:rPr>
          <w:rFonts w:hint="default" w:ascii="仿宋" w:hAnsi="仿宋" w:eastAsia="仿宋" w:cs="Times New Roman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pacing w:val="-2"/>
          <w:sz w:val="30"/>
          <w:szCs w:val="30"/>
          <w:lang w:val="en-US" w:eastAsia="zh-CN"/>
        </w:rPr>
        <w:t>（5）收受、送达、保管仲裁文件；</w:t>
      </w:r>
    </w:p>
    <w:p w14:paraId="76E60A53">
      <w:pPr>
        <w:widowControl/>
        <w:shd w:val="clear" w:color="auto" w:fill="FFFFFF"/>
        <w:spacing w:line="600" w:lineRule="atLeast"/>
        <w:ind w:firstLine="592" w:firstLineChars="200"/>
        <w:rPr>
          <w:rFonts w:hint="default" w:ascii="仿宋" w:hAnsi="仿宋" w:eastAsia="仿宋" w:cs="Times New Roman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pacing w:val="-2"/>
          <w:sz w:val="30"/>
          <w:szCs w:val="30"/>
          <w:lang w:val="en-US" w:eastAsia="zh-CN"/>
        </w:rPr>
        <w:t>（6）负责仲裁员培训、监督，提出仲裁员的增聘和解聘建议；</w:t>
      </w:r>
    </w:p>
    <w:p w14:paraId="08EA0B2F">
      <w:pPr>
        <w:widowControl/>
        <w:shd w:val="clear" w:color="auto" w:fill="FFFFFF"/>
        <w:spacing w:line="600" w:lineRule="atLeast"/>
        <w:ind w:firstLine="592" w:firstLineChars="200"/>
        <w:rPr>
          <w:rFonts w:hint="default" w:ascii="仿宋" w:hAnsi="仿宋" w:eastAsia="仿宋" w:cs="Times New Roman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pacing w:val="-2"/>
          <w:sz w:val="30"/>
          <w:szCs w:val="30"/>
          <w:lang w:val="en-US" w:eastAsia="zh-CN"/>
        </w:rPr>
        <w:t>（7）负责仲裁秘书等事务性工作人员的聘用和解聘；</w:t>
      </w:r>
    </w:p>
    <w:p w14:paraId="6E27D7CC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Times New Roman"/>
          <w:spacing w:val="-2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pacing w:val="-2"/>
          <w:sz w:val="30"/>
          <w:szCs w:val="30"/>
          <w:lang w:val="en-US" w:eastAsia="zh-CN"/>
        </w:rPr>
        <w:t>（8）其他由本会交办的事项。</w:t>
      </w:r>
    </w:p>
    <w:p w14:paraId="2D42BCA9">
      <w:pPr>
        <w:pStyle w:val="5"/>
        <w:widowControl/>
        <w:shd w:val="clear" w:color="auto" w:fill="FFFFFF"/>
        <w:snapToGrid w:val="0"/>
        <w:spacing w:beforeAutospacing="0" w:afterAutospacing="0" w:line="520" w:lineRule="exact"/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</w:pPr>
      <w:r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  <w:t>（四）绩效目标设定情况</w:t>
      </w:r>
    </w:p>
    <w:p w14:paraId="6DDEA2E8">
      <w:pPr>
        <w:numPr>
          <w:ilvl w:val="0"/>
          <w:numId w:val="0"/>
        </w:numPr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目标1：以案源拓展为工作重点，主动与相关机构部门联系，争取在知识产权、金融合同纠纷等方面取得零的突破。</w:t>
      </w:r>
    </w:p>
    <w:p w14:paraId="3A567679">
      <w:pPr>
        <w:numPr>
          <w:ilvl w:val="0"/>
          <w:numId w:val="0"/>
        </w:numPr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目标2：进一步加大对仲裁员的培训考核力度，健全仲裁员奖惩办法，不断提升仲裁员的办案能力。</w:t>
      </w:r>
    </w:p>
    <w:p w14:paraId="27298F1C">
      <w:pPr>
        <w:numPr>
          <w:ilvl w:val="0"/>
          <w:numId w:val="0"/>
        </w:numPr>
        <w:ind w:firstLine="600" w:firstLineChars="200"/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目标3：以修改后的《仲裁法》为基础，对我委现有的规则进行检视修改，更有利于发挥仲裁“高效快捷”的优势，让仲裁更好地服务当地经济社会发展。</w:t>
      </w:r>
    </w:p>
    <w:p w14:paraId="55E38B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20" w:firstLineChars="1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（二）部门（单位）整体支出规模、使用方向和主要内容、涉及范围等。</w:t>
      </w:r>
    </w:p>
    <w:p w14:paraId="546003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30" w:firstLineChars="300"/>
        <w:textAlignment w:val="auto"/>
        <w:rPr>
          <w:rFonts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1、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整体支出规模</w:t>
      </w:r>
    </w:p>
    <w:p w14:paraId="1F0709D8">
      <w:pPr>
        <w:pStyle w:val="6"/>
        <w:ind w:firstLine="600"/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根据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eastAsia="zh-CN"/>
        </w:rPr>
        <w:t>《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怀化市财政局关于批复下达202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年市直部门预算的通知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eastAsia="zh-CN"/>
        </w:rPr>
        <w:t>》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（怀财预〔2025〕4号）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仲裁委员会秘书处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本年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财政拨款预算收入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180</w:t>
      </w:r>
      <w:r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/>
        </w:rPr>
        <w:t>.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76万元，本年决算支出298</w:t>
      </w:r>
      <w:r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/>
        </w:rPr>
        <w:t>.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8</w:t>
      </w:r>
      <w:r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/>
        </w:rPr>
        <w:t>5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万元，预算执行率</w:t>
      </w:r>
      <w:r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/>
        </w:rPr>
        <w:t>165.33%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。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预算执行率较高的主要原因是因专户管理的非税收入拨款95万元未纳入年初预算，后做预算调增。</w:t>
      </w:r>
    </w:p>
    <w:p w14:paraId="0D2CE719">
      <w:pPr>
        <w:pStyle w:val="6"/>
        <w:ind w:firstLine="600"/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2、使用方向和主要内容、涉及范围</w:t>
      </w:r>
    </w:p>
    <w:p w14:paraId="230B393F">
      <w:pPr>
        <w:pStyle w:val="6"/>
        <w:ind w:firstLine="600"/>
        <w:rPr>
          <w:rFonts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年本年决算支出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298</w:t>
      </w:r>
      <w:r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/>
        </w:rPr>
        <w:t>.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</w:rPr>
        <w:t>8</w:t>
      </w:r>
      <w:r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/>
        </w:rPr>
        <w:t>5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万元，其中：用于基本支出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203</w:t>
      </w:r>
      <w:r>
        <w:rPr>
          <w:rFonts w:hint="default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9</w:t>
      </w:r>
      <w:r>
        <w:rPr>
          <w:rFonts w:hint="default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万元，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主要用于基本工资、津贴补贴、奖金、机关事业单位基本养老保险缴费、职工基本医疗保险缴费、住房公积金等人员经费支出196.33万元；用于办公费、差旅费、维修（护）费、培训费、工会经费等公用经费支出7.58万元。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项目支出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94</w:t>
      </w:r>
      <w:r>
        <w:rPr>
          <w:rFonts w:hint="default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93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万元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为仲裁工作经费。</w:t>
      </w:r>
    </w:p>
    <w:p w14:paraId="20E8B3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A9F692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一般公共预算支出情况</w:t>
      </w:r>
    </w:p>
    <w:p w14:paraId="4FF1E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（一）基本支出</w:t>
      </w:r>
    </w:p>
    <w:p w14:paraId="5A708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default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 w:bidi="ar"/>
        </w:rPr>
        <w:t>1、</w:t>
      </w:r>
      <w:r>
        <w:rPr>
          <w:rFonts w:hint="default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 w:bidi="ar"/>
        </w:rPr>
        <w:t>基本支出的主要用途、范围</w:t>
      </w:r>
    </w:p>
    <w:p w14:paraId="0EB1CF9C">
      <w:pPr>
        <w:pStyle w:val="5"/>
        <w:widowControl/>
        <w:shd w:val="clear" w:color="auto" w:fill="FFFFFF"/>
        <w:spacing w:beforeAutospacing="0" w:afterAutospacing="0" w:line="504" w:lineRule="atLeast"/>
        <w:ind w:firstLine="600" w:firstLineChars="200"/>
        <w:rPr>
          <w:rFonts w:hint="eastAsia" w:ascii="仿宋" w:hAnsi="仿宋" w:eastAsia="仿宋" w:cs="仿宋"/>
          <w:color w:val="auto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</w:rPr>
        <w:t>年本单位基本支出决算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  <w:lang w:val="en-US" w:eastAsia="zh-CN"/>
        </w:rPr>
        <w:t>数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203</w:t>
      </w:r>
      <w:r>
        <w:rPr>
          <w:rFonts w:hint="default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9</w:t>
      </w:r>
      <w:r>
        <w:rPr>
          <w:rFonts w:hint="default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</w:rPr>
        <w:t>万元，其中：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  <w:lang w:val="en-US" w:eastAsia="zh-CN"/>
        </w:rPr>
        <w:t>人员经费支出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196.33万元，用于基本工资、津贴补贴、奖金支出142.85万元、伙食补助费支出4.49万元、机关事业单位基本养老保险缴费支出14.7万元、职工基本医疗保险缴费支出7.63万元，其他社会保障缴费支出8.09万元、住房公积金支出15.87万元</w:t>
      </w:r>
      <w:r>
        <w:rPr>
          <w:rFonts w:hint="eastAsia" w:ascii="仿宋" w:hAnsi="仿宋" w:eastAsia="仿宋" w:cs="仿宋"/>
          <w:color w:val="494949"/>
          <w:sz w:val="30"/>
          <w:szCs w:val="30"/>
          <w:shd w:val="clear" w:color="auto" w:fill="FFFFFF"/>
          <w:lang w:val="en-US" w:eastAsia="zh-CN"/>
        </w:rPr>
        <w:t>；公用经费支出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7.58万元，主要用于办公费支出2.22万元、差旅费支出0.59万元、维修（护）费支出0.47万元、培训费支出0.43万元、工会经费支出1.52万元、福利费支出1.99万元、其他商品和服务支出0.36万元。</w:t>
      </w:r>
    </w:p>
    <w:p w14:paraId="0B36B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 w:bidi="ar"/>
        </w:rPr>
        <w:t>2、</w:t>
      </w:r>
      <w:r>
        <w:rPr>
          <w:rFonts w:hint="default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 w:bidi="ar"/>
        </w:rPr>
        <w:t>“三公”经费的使用和管理</w:t>
      </w:r>
    </w:p>
    <w:p w14:paraId="7DEEE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 w:bidi="ar"/>
        </w:rPr>
        <w:t>本单位2025年无</w:t>
      </w:r>
      <w:r>
        <w:rPr>
          <w:rFonts w:hint="default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 w:bidi="ar"/>
        </w:rPr>
        <w:t>“三公”经费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 w:bidi="ar"/>
        </w:rPr>
        <w:t>支出。</w:t>
      </w:r>
    </w:p>
    <w:p w14:paraId="5AC23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（二）项目支出</w:t>
      </w:r>
    </w:p>
    <w:p w14:paraId="64C77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1、项目资金（包括财政资金、自筹资金等）安排落实、总投入等情况分析。</w:t>
      </w:r>
    </w:p>
    <w:p w14:paraId="63FF5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2025年本单位项目支出年初追加预算95万元，2025年项目支出决算数94</w:t>
      </w:r>
      <w:r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93万元，执行率99.93%。</w:t>
      </w:r>
    </w:p>
    <w:p w14:paraId="7533A95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项目资金（主要指财政资金）实际使用情况分析。</w:t>
      </w:r>
    </w:p>
    <w:p w14:paraId="718310CD">
      <w:pPr>
        <w:pStyle w:val="6"/>
        <w:ind w:firstLine="600"/>
        <w:rPr>
          <w:rFonts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2025年本单位无一般公共预算财政拨款项目支出，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eastAsia="zh-CN"/>
        </w:rPr>
        <w:t>纳入专户管理的非税收入拨款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支出94.93万元，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主要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用于临聘人员工资、社会保障缴费、公积金等支出2.07万元、办公费6.15万元、邮电费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shd w:val="clear" w:color="auto" w:fill="FFFFFF"/>
          <w:lang w:val="en-US" w:eastAsia="zh-CN"/>
        </w:rPr>
        <w:t>1.26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万元、印刷费0.38万元、差旅费0.62万元、劳务费51.93万元、维修（护）费17.07万元、委托业务费3.64万元、工会经费9.36万元，福利费0.24万元、办公设备购置2.21万元等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</w:rPr>
        <w:t>。</w:t>
      </w:r>
    </w:p>
    <w:p w14:paraId="000DDEE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00" w:firstLineChars="200"/>
        <w:textAlignment w:val="auto"/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项目资金管理情况分析，主要包括管理制度、办法的制订及执行情况。</w:t>
      </w:r>
    </w:p>
    <w:p w14:paraId="70ADB5BE">
      <w:pPr>
        <w:jc w:val="left"/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本单位制定了《收支业务管理办法》，制度中规定在项目资金管理上，要求项目实施规范，申报材料客观真实、每笔项目支出都做到按照程序进行审批，对于项目的重大资金安排或重要事项，实行集体决策确定，确保项目资金使用高效。</w:t>
      </w:r>
    </w:p>
    <w:p w14:paraId="2FB9A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三、项目组织实施情况</w:t>
      </w:r>
    </w:p>
    <w:p w14:paraId="0EE25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（一）项目组织情况分析，主要包括项目招投标、调整、竣工验收等情况。</w:t>
      </w:r>
    </w:p>
    <w:p w14:paraId="19512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shd w:val="clear" w:color="auto" w:fill="FFFFFF"/>
          <w:lang w:val="en-US" w:eastAsia="zh-CN"/>
        </w:rPr>
        <w:t>根据怀化市财政局关于印发《怀化市政府采购限额标准（2022年版）》的通知（怀财购〔2022〕52号）的规定制定本单位《政府采购管理办法》，满足怀财购(2022)52号通知中“市级集中采购和分散采购限额标准为:货物项目采购预算金额40万元以上;服务项目采购预算金额40万元以上;工程项目采购预算金额60万元以上”；“政府集中采购目录以外的、限额标准以上的分散采购项目”按照怀财购(2022)52号执行。政府集中采购目录以外的、限额标准以下的分散采购项目，严格按照《湖南省政府采购电子卖场管理办法》及政府采购内控要求执行。</w:t>
      </w:r>
    </w:p>
    <w:p w14:paraId="0235E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shd w:val="clear" w:color="auto" w:fill="FFFFFF"/>
          <w:lang w:val="en-US" w:eastAsia="zh-CN"/>
        </w:rPr>
        <w:t>由本单位成立项目验收小组，负责对项目实施内容、目标，项目完成质量等按照相关规定完成验收。</w:t>
      </w:r>
    </w:p>
    <w:p w14:paraId="359F5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shd w:val="clear" w:color="auto" w:fill="FFFFFF"/>
          <w:lang w:val="en-US" w:eastAsia="zh-CN"/>
        </w:rPr>
        <w:t>（二）项目管理情况分析</w:t>
      </w:r>
    </w:p>
    <w:p w14:paraId="2EF7F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shd w:val="clear" w:color="auto" w:fill="FFFFFF"/>
          <w:lang w:val="en-US" w:eastAsia="zh-CN"/>
        </w:rPr>
        <w:t>制定项目管理制度，建立“三重一大”决策机制。项目执行严格按照“三重一大”事项决策制度，做到事前有研究、事中事后有监督。在项目管理中，要求项目实施规范，申报材料客观真实、申报项目与有关规定相符。每笔项目支出都做到按照程序进行审批，对于项目的重大资金安排或重要事项，实行集体决策确定。</w:t>
      </w:r>
    </w:p>
    <w:p w14:paraId="7CF21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四、资产管理情况</w:t>
      </w:r>
    </w:p>
    <w:p w14:paraId="2A812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494949"/>
          <w:sz w:val="30"/>
          <w:szCs w:val="30"/>
          <w:highlight w:val="none"/>
          <w:shd w:val="clear" w:color="auto" w:fill="FFFFFF"/>
          <w:lang w:val="en-US" w:eastAsia="zh-CN"/>
        </w:rPr>
        <w:t>为了规范固定资产管理，实现固定资产优化配置，提高资产的使用效益，本单位制定了《固定资产管理制度》，所需购置的资产由需采购科室提出申请，报办公室按照《怀化市财政局关于调整&lt;怀化市市级行政事业单位通用办公设备和办公家具配置限额标准&gt;的补充通知》（怀财资〔2020〕119号）、《怀化市财政局 怀化市机关事务管理局关于印发&lt;怀化市市直行政事业单位国有资产配置管理暂行办法&gt;&lt;怀化市市直行政事业单位国有资产处置管理暂行办法&gt;的通知》（怀财资〔2022〕136号）文件规定进行核实，汇总，经财务审核报领导批准后，制定下年度政府采购计划。办公室根据市财政局批复的政府采购年初预算，组织实施采购；单位资产实行专人管理，分配到个人使用的资产因使用人工作单位发生变化如调离、换岗或退休时，所配置的资产均需如实上交资产管理部门，做好资产设备的回收、变更登记。资产管理部门应认真核实，确保资产的安全完整；资产报废处置按照国有资产管理相关规定，需国有资产管理部门审批后办理处置；每年定期组织资产清查，对资产进行账实核对，做到账实相符、账账相符。</w:t>
      </w:r>
    </w:p>
    <w:p w14:paraId="5DCF85D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政府性基金预算支出情况</w:t>
      </w:r>
    </w:p>
    <w:p w14:paraId="2CF741DA">
      <w:pPr>
        <w:pStyle w:val="2"/>
        <w:ind w:left="0" w:firstLine="600" w:firstLineChars="200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2025年本单位无政府性基金预算支出。</w:t>
      </w:r>
    </w:p>
    <w:p w14:paraId="2E189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六、国有资本经营预算支出情况</w:t>
      </w:r>
    </w:p>
    <w:p w14:paraId="580C89D9">
      <w:pPr>
        <w:pStyle w:val="2"/>
        <w:ind w:left="0" w:firstLine="600" w:firstLineChars="200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2025年本单位无国有资本经营预算支出。</w:t>
      </w:r>
    </w:p>
    <w:p w14:paraId="284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736F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七、社会保险基金预算支出情况</w:t>
      </w:r>
    </w:p>
    <w:p w14:paraId="47B013AD">
      <w:pPr>
        <w:pStyle w:val="2"/>
        <w:ind w:left="0" w:firstLine="600" w:firstLineChars="200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2025年本单位</w:t>
      </w:r>
      <w:r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社会保险基金预算支出</w:t>
      </w: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。</w:t>
      </w:r>
    </w:p>
    <w:p w14:paraId="3F45A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八、部门整体支出绩效情况</w:t>
      </w:r>
    </w:p>
    <w:p w14:paraId="137FB021">
      <w:pPr>
        <w:pStyle w:val="5"/>
        <w:widowControl/>
        <w:shd w:val="clear" w:color="auto" w:fill="FFFFFF"/>
        <w:snapToGrid w:val="0"/>
        <w:spacing w:beforeAutospacing="0" w:afterAutospacing="0" w:line="520" w:lineRule="exact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  <w:t>（一）综合评价结论。</w:t>
      </w:r>
      <w:r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  <w:t>反映自评得分及评价等级。</w:t>
      </w:r>
    </w:p>
    <w:p w14:paraId="4D676999">
      <w:pPr>
        <w:pStyle w:val="5"/>
        <w:widowControl/>
        <w:shd w:val="clear" w:color="auto" w:fill="FFFFFF"/>
        <w:snapToGrid w:val="0"/>
        <w:spacing w:beforeAutospacing="0" w:afterAutospacing="0" w:line="520" w:lineRule="exact"/>
        <w:ind w:firstLine="600" w:firstLineChars="200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根据《怀化市财政局关于开展2025年度市级预算部门绩效自评和部门评价的通知》中整体支出绩效评价指标体系，对我单位2025年部门整体支出绩效开展了评价。2025年本单位整体支出达到预期目标，在计划时间内很好的完成各项指标，自评得分97分，评价等级优。</w:t>
      </w:r>
    </w:p>
    <w:p w14:paraId="05B1092B">
      <w:pPr>
        <w:pStyle w:val="5"/>
        <w:widowControl/>
        <w:numPr>
          <w:ilvl w:val="0"/>
          <w:numId w:val="6"/>
        </w:numPr>
        <w:shd w:val="clear" w:color="auto" w:fill="FFFFFF"/>
        <w:snapToGrid w:val="0"/>
        <w:spacing w:beforeAutospacing="0" w:afterAutospacing="0" w:line="520" w:lineRule="exact"/>
        <w:rPr>
          <w:rFonts w:asci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运行成本</w:t>
      </w:r>
      <w:r>
        <w:rPr>
          <w:rFonts w:ascii="楷体_GB2312" w:eastAsia="楷体_GB2312" w:cs="楷体_GB2312"/>
          <w:color w:val="000000"/>
          <w:sz w:val="32"/>
          <w:szCs w:val="32"/>
          <w:shd w:val="clear" w:color="auto" w:fill="FFFFFF"/>
        </w:rPr>
        <w:t>。</w:t>
      </w:r>
    </w:p>
    <w:p w14:paraId="3E84A2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1、财政供应人员配置控制率。2025年度编制人数13人，年末实际在岗在编人数13人，财政供养人员控制率100%。</w:t>
      </w:r>
    </w:p>
    <w:p w14:paraId="040944BE">
      <w:pPr>
        <w:pStyle w:val="6"/>
        <w:ind w:firstLine="600"/>
        <w:rPr>
          <w:rFonts w:hint="default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2、人员经费控制率。2025年度本单位人员经费支出决算数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shd w:val="clear" w:color="auto" w:fill="FFFFFF"/>
          <w:lang w:val="en-US" w:eastAsia="zh-CN"/>
        </w:rPr>
        <w:t>196.33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万元</w:t>
      </w: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，预算安排人员经费总额157.33万元，人员经费控制率124.79%，人员经费控制基本达到预期目标</w:t>
      </w:r>
      <w:r>
        <w:rPr>
          <w:rFonts w:hint="eastAsia" w:ascii="仿宋" w:hAnsi="仿宋" w:eastAsia="仿宋" w:cs="仿宋"/>
          <w:color w:val="494949"/>
          <w:kern w:val="0"/>
          <w:sz w:val="30"/>
          <w:szCs w:val="30"/>
          <w:shd w:val="clear" w:color="auto" w:fill="FFFFFF"/>
          <w:lang w:val="en-US" w:eastAsia="zh-CN"/>
        </w:rPr>
        <w:t>。</w:t>
      </w:r>
    </w:p>
    <w:p w14:paraId="532FEF5B">
      <w:pPr>
        <w:spacing w:line="640" w:lineRule="exact"/>
        <w:ind w:right="0" w:firstLine="600" w:firstLineChars="200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3、公用经费控制率。2025年度本单位日常公用经费支出决算数7.58万元，预算安排公用经费总额9.61万元，公用经费控制率78.88%，公用经费控制达到预期目标。</w:t>
      </w:r>
    </w:p>
    <w:p w14:paraId="7E5D846B">
      <w:pPr>
        <w:spacing w:line="640" w:lineRule="exact"/>
        <w:ind w:left="0" w:right="0" w:firstLine="632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4、“三公经费”控制率。“三公经费”实际支出数为0万元，预算安排0.2万元，“三公经费”控制率为100%。</w:t>
      </w:r>
      <w:bookmarkStart w:id="0" w:name="_GoBack"/>
      <w:bookmarkEnd w:id="0"/>
    </w:p>
    <w:p w14:paraId="02780BF4">
      <w:pPr>
        <w:pStyle w:val="4"/>
        <w:rPr>
          <w:rFonts w:hint="default" w:ascii="楷体_GB2312" w:eastAsia="楷体_GB2312" w:cs="楷体_GB2312" w:hAnsiTheme="minorHAnsi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（三）</w:t>
      </w:r>
      <w:r>
        <w:rPr>
          <w:rFonts w:hint="default" w:ascii="楷体_GB2312" w:eastAsia="楷体_GB2312" w:cs="楷体_GB2312" w:hAnsiTheme="minorHAnsi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管理效率</w:t>
      </w:r>
    </w:p>
    <w:p w14:paraId="210DD302">
      <w:pPr>
        <w:pStyle w:val="6"/>
        <w:ind w:left="0" w:leftChars="0" w:firstLine="600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1、在预算执行过程中及时完成日常会计核算和预算指标下达对账工作，了解预算执行进度，对执行进度较慢的预算，分析其滞后原因，对其必要性进行研判并做出合理调整，提高财政资金使用效益。</w:t>
      </w:r>
    </w:p>
    <w:p w14:paraId="2CCB7A61">
      <w:pPr>
        <w:spacing w:line="640" w:lineRule="exact"/>
        <w:ind w:left="0" w:right="0" w:firstLine="632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2、资金使用合规性。严格落实中央八项规定和有关公务支出标准。加强经费合法合规性审核和预算控制，严格按制度政策办事，资金使用合法合规，支出手续齐全，程序到位。</w:t>
      </w:r>
    </w:p>
    <w:p w14:paraId="5807AC06">
      <w:pPr>
        <w:widowControl/>
        <w:shd w:val="clear" w:color="auto" w:fill="FFFFFF"/>
        <w:spacing w:line="640" w:lineRule="exact"/>
        <w:ind w:left="0" w:right="0" w:firstLine="632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3、预决算信息公开性。真实准确编制部门预算和决算，按时上报基础数据资料。对上年度部门整体支出进行了绩效评价，在规定时限内按要求公开预决算。</w:t>
      </w:r>
    </w:p>
    <w:p w14:paraId="19F2C891">
      <w:pPr>
        <w:pStyle w:val="4"/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（四）</w:t>
      </w:r>
      <w:r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履职效能</w:t>
      </w:r>
    </w:p>
    <w:p w14:paraId="0F8A9C34">
      <w:pPr>
        <w:widowControl/>
        <w:shd w:val="clear" w:color="auto" w:fill="FFFFFF"/>
        <w:spacing w:line="640" w:lineRule="exact"/>
        <w:ind w:left="0" w:right="0" w:firstLine="632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对标年初部门整体绩效目标，细化三级考核目标，年初绩效目标完成良好。具体完成情况如下：</w:t>
      </w:r>
    </w:p>
    <w:p w14:paraId="14C49342">
      <w:pPr>
        <w:widowControl/>
        <w:shd w:val="clear" w:color="auto" w:fill="FFFFFF"/>
        <w:spacing w:line="640" w:lineRule="exact"/>
        <w:ind w:left="0" w:right="0" w:firstLine="632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1、按照省厅“千名仲裁员联千企”活动要求，共安排34名仲裁员联系企业43家，开展法律咨询160次，法治宣传12场，调处矛盾纠纷38件，开展法治体检23次，解决法律问题或防范风险123个。</w:t>
      </w:r>
    </w:p>
    <w:p w14:paraId="0A4BB9F0">
      <w:pPr>
        <w:widowControl/>
        <w:shd w:val="clear" w:color="auto" w:fill="FFFFFF"/>
        <w:spacing w:line="640" w:lineRule="exact"/>
        <w:ind w:left="0" w:right="0" w:firstLine="632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2、2025年共受理案件107件，受案标的额3.05亿元，结案95件，其中调解结案45件，调解率47.3%。</w:t>
      </w:r>
    </w:p>
    <w:p w14:paraId="130C5437">
      <w:pPr>
        <w:widowControl/>
        <w:shd w:val="clear" w:color="auto" w:fill="FFFFFF"/>
        <w:spacing w:line="640" w:lineRule="exact"/>
        <w:ind w:left="0" w:right="0" w:firstLine="632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3、在湖南（怀化）国际陆港法务区设立的仲裁庭已正式启用，及时为园区企业解决经济纠纷400余万元。</w:t>
      </w:r>
    </w:p>
    <w:p w14:paraId="7B98A8FF">
      <w:pPr>
        <w:pStyle w:val="4"/>
        <w:numPr>
          <w:ilvl w:val="0"/>
          <w:numId w:val="0"/>
        </w:numPr>
        <w:ind w:leftChars="200"/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（五）</w:t>
      </w:r>
      <w:r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社会效应</w:t>
      </w:r>
    </w:p>
    <w:p w14:paraId="1CDD8E56">
      <w:pPr>
        <w:pStyle w:val="5"/>
        <w:widowControl/>
        <w:shd w:val="clear" w:color="auto" w:fill="FFFFFF"/>
        <w:snapToGrid w:val="0"/>
        <w:spacing w:beforeAutospacing="0" w:afterAutospacing="0" w:line="520" w:lineRule="exact"/>
        <w:ind w:firstLine="600" w:firstLineChars="200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维护社会秩序和稳定，促进经济发展。</w:t>
      </w:r>
    </w:p>
    <w:p w14:paraId="59C2763E">
      <w:pPr>
        <w:numPr>
          <w:ilvl w:val="0"/>
          <w:numId w:val="7"/>
        </w:numPr>
        <w:ind w:left="450" w:leftChars="0" w:firstLine="0" w:firstLineChars="0"/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可持续发展能力</w:t>
      </w:r>
    </w:p>
    <w:p w14:paraId="28880E3F">
      <w:pPr>
        <w:pStyle w:val="5"/>
        <w:widowControl/>
        <w:shd w:val="clear" w:color="auto" w:fill="FFFFFF"/>
        <w:snapToGrid w:val="0"/>
        <w:spacing w:beforeAutospacing="0" w:afterAutospacing="0" w:line="520" w:lineRule="exact"/>
        <w:ind w:firstLine="600" w:firstLineChars="200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可持续提升公众知晓度和社会影响力，促进社会和谐稳定。仲裁作为一种有效的法律机制，为争议的解决提供了一个公正和高效的途径，是维护社会正义和秩序的重要保障，对于提高社会治理和促进经济发展具有不可替代的作用。</w:t>
      </w:r>
    </w:p>
    <w:p w14:paraId="04F0F894">
      <w:pPr>
        <w:numPr>
          <w:ilvl w:val="0"/>
          <w:numId w:val="7"/>
        </w:numPr>
        <w:ind w:left="450" w:leftChars="0" w:firstLine="0" w:firstLineChars="0"/>
        <w:rPr>
          <w:rFonts w:hint="default" w:ascii="仿宋" w:hAnsi="仿宋" w:eastAsia="仿宋" w:cs="仿宋"/>
          <w:b w:val="0"/>
          <w:bCs w:val="0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服务对象满意度</w:t>
      </w:r>
    </w:p>
    <w:p w14:paraId="120DC2D3">
      <w:pPr>
        <w:numPr>
          <w:ilvl w:val="0"/>
          <w:numId w:val="0"/>
        </w:numPr>
        <w:ind w:left="450" w:leftChars="0" w:firstLine="300" w:firstLineChars="100"/>
        <w:rPr>
          <w:rFonts w:hint="default" w:ascii="仿宋" w:hAnsi="仿宋" w:eastAsia="仿宋" w:cs="仿宋"/>
          <w:b w:val="0"/>
          <w:bCs w:val="0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社会公众及服务对象满意度达95%，完成年初目标。</w:t>
      </w:r>
    </w:p>
    <w:p w14:paraId="2BB46940">
      <w:pPr>
        <w:pStyle w:val="5"/>
        <w:widowControl/>
        <w:shd w:val="clear" w:color="auto" w:fill="FFFFFF"/>
        <w:snapToGrid w:val="0"/>
        <w:spacing w:beforeAutospacing="0" w:afterAutospacing="0" w:line="520" w:lineRule="exact"/>
        <w:ind w:firstLine="600" w:firstLineChars="200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</w:p>
    <w:p w14:paraId="1A414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九、存在的问题及原因分析</w:t>
      </w:r>
    </w:p>
    <w:p w14:paraId="278CF633">
      <w:pPr>
        <w:pStyle w:val="5"/>
        <w:widowControl/>
        <w:shd w:val="clear" w:color="auto" w:fill="FFFFFF"/>
        <w:snapToGrid w:val="0"/>
        <w:spacing w:beforeAutospacing="0" w:afterAutospacing="0" w:line="520" w:lineRule="exact"/>
        <w:ind w:firstLine="600" w:firstLineChars="200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绩效评价结果未充分运用在预算安排上，部分绩效指标及目标有待进一步细化和量化。</w:t>
      </w:r>
    </w:p>
    <w:p w14:paraId="7136B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十、下一步改进措施</w:t>
      </w:r>
    </w:p>
    <w:p w14:paraId="42ACDFCA">
      <w:pPr>
        <w:widowControl/>
        <w:shd w:val="clear" w:color="auto" w:fill="FFFFFF"/>
        <w:spacing w:line="640" w:lineRule="exact"/>
        <w:ind w:left="0" w:right="0" w:firstLine="632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1、科学合理地设置绩效指标</w:t>
      </w:r>
    </w:p>
    <w:p w14:paraId="2221C328">
      <w:pPr>
        <w:widowControl/>
        <w:shd w:val="clear" w:color="auto" w:fill="FFFFFF"/>
        <w:spacing w:line="640" w:lineRule="exact"/>
        <w:ind w:left="0" w:right="0" w:firstLine="632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强化资金使用和绩效目标管理意识，根据单位职能科学合理地设置绩效指标，提高预算绩效指标的针对性和可测性，充分发挥预算绩效目标管理的导向作用。</w:t>
      </w:r>
    </w:p>
    <w:p w14:paraId="5AF00CCC">
      <w:pPr>
        <w:widowControl/>
        <w:shd w:val="clear" w:color="auto" w:fill="FFFFFF"/>
        <w:spacing w:line="640" w:lineRule="exact"/>
        <w:ind w:left="0" w:right="0" w:firstLine="632"/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2、强化预算约束</w:t>
      </w:r>
    </w:p>
    <w:p w14:paraId="2FCFA2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规范资金使用范围，强化预算执行的严肃性。</w:t>
      </w:r>
    </w:p>
    <w:p w14:paraId="31F5F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14F6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十一、绩效自评结果拟应用和公开情况</w:t>
      </w:r>
    </w:p>
    <w:p w14:paraId="2E682AB8">
      <w:pPr>
        <w:widowControl/>
        <w:shd w:val="clear" w:color="auto" w:fill="FFFFFF"/>
        <w:spacing w:line="640" w:lineRule="exact"/>
        <w:ind w:left="0" w:right="0" w:firstLine="632"/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将绩效自评结果作为本单位完善制度和改进管理的重要依据，</w:t>
      </w:r>
      <w:r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根据绩效自评结果，对比设定目标和实际完成情况，及时调整工作重点</w:t>
      </w: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提高工作效率</w:t>
      </w: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根据绩效自评结果，制定发展计划，提高财政资金支出决策水平和管理水平。</w:t>
      </w:r>
    </w:p>
    <w:p w14:paraId="3E98B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0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ar-SA" w:eastAsia="zh-CN" w:bidi="ar-SA"/>
        </w:rPr>
        <w:t>本单位绩效</w:t>
      </w:r>
      <w:r>
        <w:rPr>
          <w:rFonts w:hint="default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en-US" w:eastAsia="zh-CN" w:bidi="ar-SA"/>
        </w:rPr>
        <w:t>自评结果</w:t>
      </w:r>
      <w:r>
        <w:rPr>
          <w:rFonts w:hint="eastAsia" w:ascii="仿宋" w:hAnsi="仿宋" w:eastAsia="仿宋" w:cs="仿宋"/>
          <w:color w:val="494949"/>
          <w:kern w:val="2"/>
          <w:sz w:val="30"/>
          <w:szCs w:val="30"/>
          <w:highlight w:val="none"/>
          <w:shd w:val="clear" w:color="auto" w:fill="FFFFFF"/>
          <w:lang w:val="ar-SA" w:eastAsia="zh-CN" w:bidi="ar-SA"/>
        </w:rPr>
        <w:t>已按财政相关要求及时公开。</w:t>
      </w:r>
    </w:p>
    <w:p w14:paraId="4E6E3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十二、其他需要说明的情况</w:t>
      </w:r>
    </w:p>
    <w:p w14:paraId="60000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无。</w:t>
      </w:r>
    </w:p>
    <w:p w14:paraId="12A8E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494B3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3747D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32DE4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7B7B8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49E93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16401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34BCD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04A07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63AB3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1BDBB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0098F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20C29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6ED43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50337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469C2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3C533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6EEE3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5BF7F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13341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14D00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1C583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7AA32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788A4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503060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永中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A538A1"/>
    <w:multiLevelType w:val="singleLevel"/>
    <w:tmpl w:val="EDA538A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E8D8EF9"/>
    <w:multiLevelType w:val="singleLevel"/>
    <w:tmpl w:val="FE8D8EF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0DEABF27"/>
    <w:multiLevelType w:val="singleLevel"/>
    <w:tmpl w:val="0DEABF27"/>
    <w:lvl w:ilvl="0" w:tentative="0">
      <w:start w:val="6"/>
      <w:numFmt w:val="chineseCounting"/>
      <w:suff w:val="nothing"/>
      <w:lvlText w:val="（%1）"/>
      <w:lvlJc w:val="left"/>
      <w:pPr>
        <w:ind w:left="450" w:leftChars="0" w:firstLine="0" w:firstLineChars="0"/>
      </w:pPr>
      <w:rPr>
        <w:rFonts w:hint="eastAsia"/>
      </w:rPr>
    </w:lvl>
  </w:abstractNum>
  <w:abstractNum w:abstractNumId="3">
    <w:nsid w:val="16CC12D0"/>
    <w:multiLevelType w:val="singleLevel"/>
    <w:tmpl w:val="16CC12D0"/>
    <w:lvl w:ilvl="0" w:tentative="0">
      <w:start w:val="2"/>
      <w:numFmt w:val="decimal"/>
      <w:suff w:val="nothing"/>
      <w:lvlText w:val="%1、"/>
      <w:lvlJc w:val="left"/>
    </w:lvl>
  </w:abstractNum>
  <w:abstractNum w:abstractNumId="4">
    <w:nsid w:val="2B7ABF8B"/>
    <w:multiLevelType w:val="singleLevel"/>
    <w:tmpl w:val="2B7ABF8B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F42CF28"/>
    <w:multiLevelType w:val="singleLevel"/>
    <w:tmpl w:val="5F42CF2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7E5CFE3E"/>
    <w:multiLevelType w:val="singleLevel"/>
    <w:tmpl w:val="7E5CFE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72E73"/>
    <w:rsid w:val="04572E73"/>
    <w:rsid w:val="0AD80CB7"/>
    <w:rsid w:val="0B31077C"/>
    <w:rsid w:val="15D519EA"/>
    <w:rsid w:val="22717075"/>
    <w:rsid w:val="471F7C7D"/>
    <w:rsid w:val="4EDB2536"/>
    <w:rsid w:val="4F871546"/>
    <w:rsid w:val="66F76D0B"/>
    <w:rsid w:val="6FEE128C"/>
    <w:rsid w:val="70AA046A"/>
    <w:rsid w:val="71B3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0"/>
    </w:pPr>
    <w:rPr>
      <w:rFonts w:ascii="永中宋体" w:hAnsi="永中宋体" w:eastAsia="方正小标宋_GBK" w:cs="永中宋体"/>
    </w:rPr>
  </w:style>
  <w:style w:type="paragraph" w:styleId="3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4">
    <w:name w:val="Block Text"/>
    <w:basedOn w:val="1"/>
    <w:unhideWhenUsed/>
    <w:qFormat/>
    <w:uiPriority w:val="99"/>
    <w:pPr>
      <w:ind w:firstLine="64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3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3975</Words>
  <Characters>4302</Characters>
  <Lines>0</Lines>
  <Paragraphs>0</Paragraphs>
  <TotalTime>26</TotalTime>
  <ScaleCrop>false</ScaleCrop>
  <LinksUpToDate>false</LinksUpToDate>
  <CharactersWithSpaces>4322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2026-06-07T11:25:00Z</dcterms:created>
  <dc:creator>pcpc</dc:creator>
  <cp:lastModifiedBy>A梦</cp:lastModifiedBy>
  <dcterms:modified xsi:type="dcterms:W3CDTF">2026-10-15T16:07:29Z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KSOTemplateDocerSaveRecord">
    <vt:lpwstr>eyJoZGlkIjoiYmQzOWU2ZTE2YmNjNzFkZTcwNzEwMzg3Yzk5MTIzNzMiLCJ1c2VySWQiOiI5OTk0NjQwODEifQ==</vt:lpwstr>
  </property>
  <property fmtid="{D5CDD505-2E9C-101B-9397-08002B2CF9AE}" pid="4" name="ICV">
    <vt:lpwstr>A777AE044443481BBAC1DB4706F49F30_12</vt:lpwstr>
  </property>
</Properties>
</file>