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AAD6F">
      <w:pPr>
        <w:pStyle w:val="13"/>
        <w:jc w:val="both"/>
        <w:rPr>
          <w:rFonts w:hint="eastAsia" w:hAnsi="黑体" w:eastAsia="黑体"/>
          <w:sz w:val="36"/>
          <w:szCs w:val="36"/>
          <w:lang w:eastAsia="zh-CN"/>
        </w:rPr>
      </w:pPr>
      <w:r>
        <w:rPr>
          <w:rFonts w:hint="eastAsia" w:hAnsi="黑体"/>
          <w:sz w:val="36"/>
          <w:szCs w:val="36"/>
        </w:rPr>
        <w:t>附件</w:t>
      </w:r>
      <w:r>
        <w:rPr>
          <w:rFonts w:hint="eastAsia" w:hAnsi="黑体"/>
          <w:sz w:val="36"/>
          <w:szCs w:val="36"/>
          <w:lang w:val="en-US" w:eastAsia="zh-CN"/>
        </w:rPr>
        <w:t>2</w:t>
      </w:r>
    </w:p>
    <w:p w14:paraId="46B33879">
      <w:pPr>
        <w:pStyle w:val="13"/>
        <w:jc w:val="center"/>
        <w:rPr>
          <w:rFonts w:ascii="Times New Roman" w:hAnsi="Times New Roman" w:cs="Times New Roman"/>
          <w:sz w:val="56"/>
          <w:szCs w:val="56"/>
        </w:rPr>
      </w:pPr>
    </w:p>
    <w:p w14:paraId="67D3BE25">
      <w:pPr>
        <w:pStyle w:val="13"/>
        <w:jc w:val="center"/>
        <w:rPr>
          <w:rFonts w:ascii="Times New Roman" w:hAnsi="Times New Roman" w:cs="Times New Roman"/>
          <w:sz w:val="84"/>
          <w:szCs w:val="84"/>
        </w:rPr>
      </w:pPr>
    </w:p>
    <w:p w14:paraId="797A9B55">
      <w:pPr>
        <w:pStyle w:val="13"/>
        <w:jc w:val="center"/>
        <w:rPr>
          <w:rFonts w:ascii="Times New Roman" w:hAnsi="Times New Roman" w:cs="Times New Roman"/>
          <w:sz w:val="84"/>
          <w:szCs w:val="84"/>
        </w:rPr>
      </w:pPr>
    </w:p>
    <w:p w14:paraId="263349A8">
      <w:pPr>
        <w:pStyle w:val="13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sz w:val="72"/>
          <w:szCs w:val="72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 w14:paraId="26EB2332">
      <w:pPr>
        <w:pStyle w:val="13"/>
        <w:jc w:val="center"/>
        <w:rPr>
          <w:rFonts w:hint="eastAsia" w:ascii="Times New Roman" w:hAnsi="Times New Roman" w:eastAsia="方正小标宋简体" w:cs="Times New Roman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72"/>
          <w:szCs w:val="72"/>
          <w:lang w:val="en-US" w:eastAsia="zh-CN"/>
        </w:rPr>
        <w:t>怀化仲裁委员会秘书处</w:t>
      </w:r>
    </w:p>
    <w:p w14:paraId="401A00BC">
      <w:pPr>
        <w:pStyle w:val="13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部门决算</w:t>
      </w:r>
    </w:p>
    <w:p w14:paraId="1FCEEA72">
      <w:pPr>
        <w:pStyle w:val="13"/>
        <w:jc w:val="center"/>
        <w:rPr>
          <w:rFonts w:ascii="Times New Roman" w:hAnsi="Times New Roman" w:eastAsia="方正小标宋_GBK" w:cs="Times New Roman"/>
          <w:sz w:val="56"/>
          <w:szCs w:val="56"/>
        </w:rPr>
      </w:pPr>
    </w:p>
    <w:p w14:paraId="41AD20A8">
      <w:pPr>
        <w:pStyle w:val="13"/>
        <w:jc w:val="center"/>
        <w:rPr>
          <w:rFonts w:ascii="Times New Roman" w:hAnsi="Times New Roman" w:cs="Times New Roman"/>
          <w:sz w:val="56"/>
          <w:szCs w:val="56"/>
        </w:rPr>
      </w:pPr>
    </w:p>
    <w:p w14:paraId="7B85DE88">
      <w:pPr>
        <w:pStyle w:val="13"/>
        <w:rPr>
          <w:rFonts w:ascii="Times New Roman" w:hAnsi="Times New Roman" w:cs="Times New Roman"/>
          <w:sz w:val="56"/>
          <w:szCs w:val="56"/>
        </w:rPr>
      </w:pPr>
    </w:p>
    <w:p w14:paraId="28015B69">
      <w:pPr>
        <w:pStyle w:val="13"/>
        <w:jc w:val="center"/>
        <w:rPr>
          <w:rFonts w:ascii="Times New Roman" w:hAnsi="Times New Roman" w:cs="Times New Roman"/>
          <w:sz w:val="32"/>
          <w:szCs w:val="32"/>
        </w:rPr>
      </w:pPr>
    </w:p>
    <w:p w14:paraId="1AFE6C89">
      <w:pPr>
        <w:pStyle w:val="13"/>
        <w:jc w:val="center"/>
        <w:rPr>
          <w:rFonts w:ascii="Times New Roman" w:hAnsi="Times New Roman" w:cs="Times New Roman"/>
          <w:sz w:val="32"/>
          <w:szCs w:val="32"/>
        </w:rPr>
      </w:pPr>
    </w:p>
    <w:p w14:paraId="60FAFD57">
      <w:pPr>
        <w:pStyle w:val="13"/>
        <w:jc w:val="center"/>
        <w:rPr>
          <w:rFonts w:ascii="Times New Roman" w:hAnsi="Times New Roman" w:cs="Times New Roman"/>
          <w:sz w:val="32"/>
          <w:szCs w:val="32"/>
        </w:rPr>
      </w:pPr>
    </w:p>
    <w:p w14:paraId="3D743787">
      <w:pPr>
        <w:pStyle w:val="13"/>
        <w:jc w:val="center"/>
        <w:rPr>
          <w:rFonts w:ascii="Times New Roman" w:hAnsi="Times New Roman" w:cs="Times New Roman"/>
          <w:sz w:val="32"/>
          <w:szCs w:val="32"/>
        </w:rPr>
      </w:pPr>
    </w:p>
    <w:p w14:paraId="388C2BF2">
      <w:pPr>
        <w:pStyle w:val="13"/>
        <w:jc w:val="center"/>
        <w:rPr>
          <w:rFonts w:ascii="Times New Roman" w:hAnsi="Times New Roman" w:cs="Times New Roman"/>
          <w:sz w:val="32"/>
          <w:szCs w:val="32"/>
        </w:rPr>
      </w:pPr>
    </w:p>
    <w:p w14:paraId="72D942D2">
      <w:pPr>
        <w:pStyle w:val="13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59892ACC">
      <w:pPr>
        <w:pStyle w:val="13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4ED9BFCC">
      <w:pPr>
        <w:pStyle w:val="13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07861E5D">
      <w:pPr>
        <w:pStyle w:val="13"/>
        <w:spacing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怀化仲裁委员会秘书处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712AE005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09414FF2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5BB96D0C">
      <w:pPr>
        <w:pStyle w:val="13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25C546BF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70450C52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63E6A501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5643E503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0AFDC89B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02020729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2EEB3C23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28D5F793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34868A8F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6E15A7B4">
      <w:pPr>
        <w:pStyle w:val="13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0978DBFA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1F03A21C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5DFFB5C9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2A7226A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77604835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602BF21F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19CEB79D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448AA2D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4CB4A43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0E074598">
      <w:pPr>
        <w:autoSpaceDE w:val="0"/>
        <w:autoSpaceDN w:val="0"/>
        <w:adjustRightInd w:val="0"/>
        <w:spacing w:line="600" w:lineRule="exact"/>
        <w:jc w:val="left"/>
        <w:rPr>
          <w:rFonts w:hint="eastAsia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九、</w:t>
      </w:r>
      <w:r>
        <w:rPr>
          <w:rFonts w:ascii="Times New Roman" w:hAnsi="Times New Roman" w:eastAsia="仿宋_GB2312" w:cs="Times New Roman"/>
          <w:sz w:val="32"/>
          <w:szCs w:val="32"/>
        </w:rPr>
        <w:t>国有资本经营预算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收入支出决算情况</w:t>
      </w:r>
    </w:p>
    <w:p w14:paraId="50887B91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、关于机关运行经费支出说明</w:t>
      </w:r>
    </w:p>
    <w:p w14:paraId="31041333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、一般性支出情况说明</w:t>
      </w:r>
    </w:p>
    <w:p w14:paraId="1A75CF3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7327FBAC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、关于国有资产占用情况说明</w:t>
      </w:r>
    </w:p>
    <w:p w14:paraId="2B2E1E19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 w14:paraId="012F30BA">
      <w:pPr>
        <w:pStyle w:val="13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68EF1302">
      <w:pPr>
        <w:pStyle w:val="13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7B0E2013">
      <w:pPr>
        <w:pStyle w:val="13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2293BA5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FADBA65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12A55B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68065E8">
      <w:pPr>
        <w:pStyle w:val="7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E0B9A9E">
      <w:pPr>
        <w:rPr>
          <w:rFonts w:ascii="Times New Roman" w:hAnsi="Times New Roman" w:eastAsia="方正小标宋_GBK" w:cs="Times New Roman"/>
          <w:sz w:val="72"/>
          <w:szCs w:val="72"/>
        </w:rPr>
      </w:pPr>
    </w:p>
    <w:p w14:paraId="232CCBD7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39DB7F9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19B561E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B1369C3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BA44242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A67744F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A497EEA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B971639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 w14:paraId="416AD642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怀化仲裁委员会秘书处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 w14:paraId="39A6E0F9">
      <w:pPr>
        <w:pStyle w:val="3"/>
        <w:ind w:left="0" w:leftChars="0" w:firstLine="0" w:firstLineChars="0"/>
        <w:rPr>
          <w:rFonts w:ascii="Times New Roman" w:hAnsi="Times New Roman" w:cs="Times New Roman"/>
        </w:rPr>
      </w:pPr>
    </w:p>
    <w:p w14:paraId="161417F3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02DBEDAB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83ED2EC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491DE673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5B20A3B3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43E48630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6CEF719A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3952770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2F7D22DC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437089E7">
      <w:pPr>
        <w:pStyle w:val="14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35A1D5B4">
      <w:pPr>
        <w:pStyle w:val="14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3EA626DC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（一）接待咨询，做好受理案件的有关工作；</w:t>
      </w:r>
    </w:p>
    <w:p w14:paraId="6799F49B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（二）仲裁费用的收取和管理；</w:t>
      </w:r>
    </w:p>
    <w:p w14:paraId="249CE502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（三）非仲裁庭调解案件的调解；</w:t>
      </w:r>
    </w:p>
    <w:p w14:paraId="7ACBFFB9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（四）仲裁庭开庭时指派记录人员；</w:t>
      </w:r>
    </w:p>
    <w:p w14:paraId="2524A51D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（五）收受、送达、保管仲裁文件；</w:t>
      </w:r>
    </w:p>
    <w:p w14:paraId="3E94214C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（六）负责仲裁员培训、监督，提出仲裁员的增聘和解聘建议；</w:t>
      </w:r>
    </w:p>
    <w:p w14:paraId="46D70187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（七）负责仲裁秘书等事务性工作人员的聘用和解聘；</w:t>
      </w:r>
    </w:p>
    <w:p w14:paraId="5D492253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（八）其他由本会交办的事项。</w:t>
      </w:r>
    </w:p>
    <w:p w14:paraId="17389FE4">
      <w:pPr>
        <w:widowControl/>
        <w:spacing w:line="600" w:lineRule="exac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03060D48">
      <w:pPr>
        <w:pStyle w:val="8"/>
        <w:widowControl/>
        <w:numPr>
          <w:ilvl w:val="0"/>
          <w:numId w:val="0"/>
        </w:numPr>
        <w:shd w:val="clear" w:color="auto" w:fill="FFFFFF"/>
        <w:snapToGrid w:val="0"/>
        <w:spacing w:beforeAutospacing="0" w:afterAutospacing="0" w:line="520" w:lineRule="exact"/>
        <w:ind w:right="0" w:rightChars="0" w:firstLine="640" w:firstLineChars="200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  <w:r>
        <w:rPr>
          <w:rFonts w:hint="eastAsia" w:ascii="仿宋" w:hAnsi="仿宋" w:eastAsia="仿宋" w:cs="仿宋"/>
          <w:color w:val="3D3D3D"/>
          <w:sz w:val="32"/>
          <w:szCs w:val="32"/>
          <w:shd w:val="clear" w:color="auto" w:fill="FFFFFF"/>
        </w:rPr>
        <w:t>本单位为怀化市司法局所属二级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</w:rPr>
        <w:t>预算单位，内设科室为：办公室、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  <w:lang w:eastAsia="zh-CN"/>
        </w:rPr>
        <w:t>办案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</w:rPr>
        <w:t>室。</w:t>
      </w:r>
    </w:p>
    <w:p w14:paraId="61ED96CB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怀化仲裁委员会秘书处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年部门决算汇总公开单位构成包括：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怀化仲裁委员会秘书处本级。</w:t>
      </w:r>
    </w:p>
    <w:p w14:paraId="05F0DE5B">
      <w:pPr>
        <w:widowControl/>
        <w:spacing w:line="600" w:lineRule="exac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</w:p>
    <w:p w14:paraId="5FCA47EB">
      <w:pPr>
        <w:widowControl/>
        <w:spacing w:line="600" w:lineRule="exac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</w:p>
    <w:p w14:paraId="5146351E"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 w14:paraId="7B116299">
      <w:pPr>
        <w:pStyle w:val="13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7807C5A1">
      <w:pPr>
        <w:pStyle w:val="13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2106275A">
      <w:pPr>
        <w:pStyle w:val="13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2F26828E">
      <w:pPr>
        <w:pStyle w:val="13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07BBE5EE">
      <w:pPr>
        <w:pStyle w:val="13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680F5152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13F4B14B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49838C8F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1AF01F77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73F85BD2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2FC84701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31932477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608FCABE">
      <w:pPr>
        <w:pStyle w:val="13"/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04041488">
      <w:pPr>
        <w:pStyle w:val="13"/>
        <w:numPr>
          <w:ilvl w:val="0"/>
          <w:numId w:val="1"/>
        </w:numPr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 xml:space="preserve">  </w:t>
      </w:r>
    </w:p>
    <w:p w14:paraId="5239E454">
      <w:pPr>
        <w:pStyle w:val="13"/>
        <w:numPr>
          <w:ilvl w:val="0"/>
          <w:numId w:val="0"/>
        </w:numPr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部门决算</w:t>
      </w:r>
    </w:p>
    <w:p w14:paraId="25533306">
      <w:pPr>
        <w:pStyle w:val="13"/>
        <w:numPr>
          <w:ilvl w:val="0"/>
          <w:numId w:val="0"/>
        </w:numPr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0A517968">
      <w:pPr>
        <w:pStyle w:val="13"/>
        <w:numPr>
          <w:ilvl w:val="0"/>
          <w:numId w:val="0"/>
        </w:numPr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6B304F9C">
      <w:pPr>
        <w:pStyle w:val="13"/>
        <w:numPr>
          <w:ilvl w:val="0"/>
          <w:numId w:val="0"/>
        </w:numPr>
        <w:ind w:firstLine="2080" w:firstLineChars="40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7495472F">
      <w:pPr>
        <w:pStyle w:val="13"/>
        <w:numPr>
          <w:ilvl w:val="0"/>
          <w:numId w:val="0"/>
        </w:numPr>
        <w:ind w:firstLine="2600" w:firstLineChars="500"/>
        <w:jc w:val="both"/>
        <w:rPr>
          <w:rFonts w:hint="default" w:ascii="Times New Roman" w:hAnsi="Times New Roman" w:eastAsia="方正小标宋_GBK" w:cs="Times New Roman"/>
          <w:sz w:val="52"/>
          <w:szCs w:val="52"/>
          <w:lang w:val="en-US" w:eastAsia="zh-CN"/>
        </w:rPr>
        <w:sectPr>
          <w:footerReference r:id="rId6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见附件</w:t>
      </w:r>
    </w:p>
    <w:p w14:paraId="6390682E">
      <w:pPr>
        <w:pStyle w:val="13"/>
        <w:rPr>
          <w:rFonts w:ascii="Times New Roman" w:hAnsi="Times New Roman" w:cs="Times New Roman"/>
          <w:sz w:val="72"/>
          <w:szCs w:val="72"/>
        </w:rPr>
      </w:pPr>
    </w:p>
    <w:p w14:paraId="7CC68DBE">
      <w:pPr>
        <w:pStyle w:val="13"/>
        <w:rPr>
          <w:rFonts w:ascii="Times New Roman" w:hAnsi="Times New Roman" w:cs="Times New Roman"/>
          <w:sz w:val="72"/>
          <w:szCs w:val="72"/>
        </w:rPr>
      </w:pPr>
    </w:p>
    <w:p w14:paraId="6B3AEB65">
      <w:pPr>
        <w:pStyle w:val="13"/>
        <w:rPr>
          <w:rFonts w:ascii="Times New Roman" w:hAnsi="Times New Roman" w:cs="Times New Roman"/>
          <w:sz w:val="72"/>
          <w:szCs w:val="72"/>
        </w:rPr>
      </w:pPr>
    </w:p>
    <w:p w14:paraId="605654D1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323554B5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2054DEB4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 w14:paraId="118E303A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 w14:paraId="7515CC55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 w14:paraId="6B5F704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 w14:paraId="56B50AA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298.85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62.52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26.45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公共安全支出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财政拨款及非税专户资金收支较上年增加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B8245A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贯彻落实党政机关习惯过紧日子有关要求，厉行节约办一切事业，严控一般性支出，进一步优化支出结构，持续压降“三公”经费、办公经费、会议培训等行政开支。同时坚持有保有压，优化支出结构，提高资金使用效率，合理保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保工资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保运作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保基本民生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等重点支出，体现在有关支出科目中。</w:t>
      </w:r>
    </w:p>
    <w:p w14:paraId="5BF43933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 w14:paraId="5BF5BB58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298.85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68.23</w:t>
      </w:r>
      <w:r>
        <w:rPr>
          <w:rFonts w:ascii="Times New Roman" w:hAnsi="Times New Roman" w:eastAsia="仿宋_GB2312" w:cs="Times New Roman"/>
          <w:sz w:val="32"/>
          <w:szCs w:val="32"/>
        </w:rPr>
        <w:t>%；上级补助收入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%；事业收入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%；附属单位上缴收入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%；其他收入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94.93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31.77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47B445E8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 w14:paraId="75D9058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298.85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68.23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94.93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31.77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</w:t>
      </w:r>
      <w:r>
        <w:rPr>
          <w:rFonts w:ascii="Times New Roman" w:hAnsi="Times New Roman" w:eastAsia="仿宋_GB2312" w:cs="Times New Roman"/>
          <w:sz w:val="32"/>
          <w:szCs w:val="32"/>
        </w:rPr>
        <w:t>上缴上级支出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经营支出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对附属单位补助支出。</w:t>
      </w:r>
    </w:p>
    <w:p w14:paraId="7B0AEA8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 w14:paraId="64559D1B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34.09</w:t>
      </w:r>
      <w:r>
        <w:rPr>
          <w:rFonts w:ascii="Times New Roman" w:hAnsi="Times New Roman" w:eastAsia="仿宋_GB2312" w:cs="Times New Roman"/>
          <w:sz w:val="32"/>
          <w:szCs w:val="32"/>
        </w:rPr>
        <w:t>万元,增长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20.07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公共安全支出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财政拨款较上年增加。</w:t>
      </w:r>
    </w:p>
    <w:p w14:paraId="267E7FDC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五、一般公共预算财政拨款支出决算情况说明</w:t>
      </w:r>
    </w:p>
    <w:p w14:paraId="3445778F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368BC71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68.23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34.09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20.07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在职人员工资福利支出及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较上年增加。</w:t>
      </w:r>
    </w:p>
    <w:p w14:paraId="44598D4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6487417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万元，主要用于以下方面：一般公共服务（类）支出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18.02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8.84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公共安全支出159.89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78.41</w:t>
      </w:r>
      <w:r>
        <w:rPr>
          <w:rFonts w:ascii="Times New Roman" w:hAnsi="Times New Roman" w:eastAsia="仿宋_GB2312" w:cs="Times New Roman"/>
          <w:sz w:val="32"/>
          <w:szCs w:val="32"/>
        </w:rPr>
        <w:t>%;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17.4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8.53</w:t>
      </w:r>
      <w:r>
        <w:rPr>
          <w:rFonts w:ascii="Times New Roman" w:hAnsi="Times New Roman" w:eastAsia="仿宋_GB2312" w:cs="Times New Roman"/>
          <w:sz w:val="32"/>
          <w:szCs w:val="32"/>
        </w:rPr>
        <w:t>%;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7.07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3.47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F59453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51D208C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180.76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112.81</w:t>
      </w:r>
      <w:r>
        <w:rPr>
          <w:rFonts w:ascii="Times New Roman" w:hAnsi="Times New Roman" w:eastAsia="仿宋_GB2312" w:cs="Times New Roman"/>
          <w:sz w:val="32"/>
          <w:szCs w:val="32"/>
        </w:rPr>
        <w:t>%，其中：</w:t>
      </w:r>
    </w:p>
    <w:p w14:paraId="71D404A0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1、一般公共服务（类）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其他一般公共服务支出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757FBF8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18.02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追加经费拨款18.02万元，用于工资、津贴补贴、奖金、办公费及维修（护）支出。</w:t>
      </w:r>
    </w:p>
    <w:p w14:paraId="7872C74C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公共安全支出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司法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行政运行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53BD59E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156.86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159.89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101.93</w:t>
      </w:r>
      <w:r>
        <w:rPr>
          <w:rFonts w:ascii="Times New Roman" w:hAnsi="Times New Roman" w:eastAsia="仿宋_GB2312" w:cs="Times New Roman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</w:t>
      </w:r>
      <w:r>
        <w:rPr>
          <w:rFonts w:ascii="Times New Roman" w:hAnsi="Times New Roman" w:eastAsia="仿宋_GB2312" w:cs="Times New Roman"/>
          <w:sz w:val="32"/>
          <w:szCs w:val="32"/>
        </w:rPr>
        <w:t>年初预算数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基本一致，</w:t>
      </w:r>
      <w:r>
        <w:rPr>
          <w:rFonts w:ascii="Times New Roman" w:hAnsi="Times New Roman" w:eastAsia="仿宋_GB2312" w:cs="Times New Roman"/>
          <w:sz w:val="32"/>
          <w:szCs w:val="32"/>
        </w:rPr>
        <w:t>主要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用于工资福利支出及办公费、差旅费、培训费、工会经费、福利费等公用经费支出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B0442D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行政事业单位养老支出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行政单位离退休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442F1BF5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17.13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小于</w:t>
      </w:r>
      <w:r>
        <w:rPr>
          <w:rFonts w:ascii="Times New Roman" w:hAnsi="Times New Roman" w:eastAsia="仿宋_GB2312" w:cs="Times New Roman"/>
          <w:sz w:val="32"/>
          <w:szCs w:val="32"/>
        </w:rPr>
        <w:t>年初预算数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的主要原因是在职人员基本养老保险缴费功能科目调整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AF717E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行政事业单位养老支出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机关事业单位基本养老保险缴费支出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12D55615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17.4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大于</w:t>
      </w:r>
      <w:r>
        <w:rPr>
          <w:rFonts w:ascii="Times New Roman" w:hAnsi="Times New Roman" w:eastAsia="仿宋_GB2312" w:cs="Times New Roman"/>
          <w:sz w:val="32"/>
          <w:szCs w:val="32"/>
        </w:rPr>
        <w:t>年初预算数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的主要原因是在职人员基本养老保险缴费功能科目调整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8228BF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卫生健康支出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行政事业单位医疗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行政单位医疗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176DA75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6.77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7.07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104.43</w:t>
      </w:r>
      <w:r>
        <w:rPr>
          <w:rFonts w:ascii="Times New Roman" w:hAnsi="Times New Roman" w:eastAsia="仿宋_GB2312" w:cs="Times New Roman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</w:t>
      </w:r>
      <w:r>
        <w:rPr>
          <w:rFonts w:ascii="Times New Roman" w:hAnsi="Times New Roman" w:eastAsia="仿宋_GB2312" w:cs="Times New Roman"/>
          <w:sz w:val="32"/>
          <w:szCs w:val="32"/>
        </w:rPr>
        <w:t>年初预算数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基本持平，主要用于职工基本医疗保险缴费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1B342B5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住房保障支出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住房改革支出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住房公积金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3E4F0EE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1.55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大于</w:t>
      </w:r>
      <w:r>
        <w:rPr>
          <w:rFonts w:ascii="Times New Roman" w:hAnsi="Times New Roman" w:eastAsia="仿宋_GB2312" w:cs="Times New Roman"/>
          <w:sz w:val="32"/>
          <w:szCs w:val="32"/>
        </w:rPr>
        <w:t>年初预算数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的主要原因是追加财政配套公积金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C690C4A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按照支出功能分类，公共安全支出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方面的支出规模较大，主要是：公共安全支出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司法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行政运行</w:t>
      </w:r>
      <w:r>
        <w:rPr>
          <w:rFonts w:ascii="Times New Roman" w:hAnsi="Times New Roman" w:eastAsia="仿宋_GB2312" w:cs="Times New Roman"/>
          <w:sz w:val="32"/>
          <w:szCs w:val="32"/>
        </w:rPr>
        <w:t>（项）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，2025年度决算数为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159.89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万元，占财政拨款支出总额的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78.41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%，主要用于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人员经费及公用经费支出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E43F78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 w14:paraId="4B3718D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203.92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</w:t>
      </w:r>
    </w:p>
    <w:p w14:paraId="0F1B869B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196.33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96.28</w:t>
      </w:r>
      <w:r>
        <w:rPr>
          <w:rFonts w:ascii="Times New Roman" w:hAnsi="Times New Roman" w:eastAsia="仿宋_GB2312" w:cs="Times New Roman"/>
          <w:sz w:val="32"/>
          <w:szCs w:val="32"/>
        </w:rPr>
        <w:t>%,主要包括基本工资、津贴补贴、奖金、伙食补助费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、机关事业单位基本养老保险缴费、职工基本医疗保险缴费、住房公积金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等。</w:t>
      </w:r>
    </w:p>
    <w:p w14:paraId="0A48077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7.58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3.72</w:t>
      </w:r>
      <w:r>
        <w:rPr>
          <w:rFonts w:ascii="Times New Roman" w:hAnsi="Times New Roman" w:eastAsia="仿宋_GB2312" w:cs="Times New Roman"/>
          <w:sz w:val="32"/>
          <w:szCs w:val="32"/>
        </w:rPr>
        <w:t>%，主要包括办公费、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差旅费、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维修（护）费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、培训费、工会经费、福利费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等。</w:t>
      </w:r>
    </w:p>
    <w:p w14:paraId="6E1746B3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七、财政拨款“三公”经费支出决算情况说明</w:t>
      </w:r>
      <w:r>
        <w:rPr>
          <w:rFonts w:ascii="Times New Roman" w:hAnsi="Times New Roman" w:eastAsia="楷体_GB2312" w:cs="Times New Roman"/>
          <w:b/>
          <w:bCs/>
          <w:i/>
          <w:color w:val="auto"/>
          <w:sz w:val="32"/>
          <w:szCs w:val="32"/>
        </w:rPr>
        <w:t>（注意：“三公”经费不再是一般公共预算财政拨款口径，而是财政拨款口径）</w:t>
      </w:r>
    </w:p>
    <w:p w14:paraId="6AFD2C93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4ABFC79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本单位无</w:t>
      </w:r>
      <w:r>
        <w:rPr>
          <w:rFonts w:ascii="Times New Roman" w:hAnsi="Times New Roman" w:eastAsia="仿宋_GB2312" w:cs="Times New Roman"/>
          <w:sz w:val="32"/>
          <w:szCs w:val="32"/>
        </w:rPr>
        <w:t>“三公”经费财政拨款支出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CB1E3C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3E936A76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b/>
          <w:bCs/>
          <w:i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1.2025年度</w:t>
      </w:r>
      <w:r>
        <w:rPr>
          <w:rFonts w:ascii="Times New Roman" w:hAnsi="Times New Roman" w:eastAsia="仿宋_GB2312" w:cs="Times New Roman"/>
          <w:sz w:val="32"/>
          <w:szCs w:val="32"/>
        </w:rPr>
        <w:t>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4B65B8C">
      <w:pPr>
        <w:pStyle w:val="13"/>
        <w:numPr>
          <w:ilvl w:val="0"/>
          <w:numId w:val="2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408B21BF">
      <w:pPr>
        <w:pStyle w:val="13"/>
        <w:numPr>
          <w:ilvl w:val="0"/>
          <w:numId w:val="0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无接待费支出。</w:t>
      </w:r>
    </w:p>
    <w:p w14:paraId="7B8A006F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 w14:paraId="60D481D4">
      <w:pPr>
        <w:pStyle w:val="13"/>
        <w:spacing w:line="600" w:lineRule="exact"/>
        <w:ind w:firstLine="800" w:firstLineChars="25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/>
          <w:sz w:val="32"/>
          <w:szCs w:val="32"/>
        </w:rPr>
        <w:t>本单位无政府性基金收支。</w:t>
      </w:r>
    </w:p>
    <w:p w14:paraId="7F17860F">
      <w:pPr>
        <w:pStyle w:val="13"/>
        <w:ind w:firstLine="640" w:firstLineChars="200"/>
        <w:rPr>
          <w:rFonts w:hAnsi="黑体"/>
          <w:sz w:val="32"/>
          <w:szCs w:val="32"/>
        </w:rPr>
      </w:pPr>
      <w:r>
        <w:rPr>
          <w:rFonts w:hint="eastAsia" w:hAnsi="黑体"/>
          <w:sz w:val="32"/>
          <w:szCs w:val="32"/>
        </w:rPr>
        <w:t>九、国有资本经营预算财政拨款支</w:t>
      </w:r>
      <w:bookmarkStart w:id="0" w:name="_GoBack"/>
      <w:bookmarkEnd w:id="0"/>
      <w:r>
        <w:rPr>
          <w:rFonts w:hint="eastAsia" w:hAnsi="黑体"/>
          <w:sz w:val="32"/>
          <w:szCs w:val="32"/>
        </w:rPr>
        <w:t>出决算情况</w:t>
      </w:r>
    </w:p>
    <w:p w14:paraId="45252BFE">
      <w:pPr>
        <w:pStyle w:val="13"/>
        <w:ind w:firstLine="640" w:firstLineChars="200"/>
        <w:rPr>
          <w:rFonts w:hint="eastAsia" w:eastAsia="仿宋" w:asciiTheme="minorEastAsia" w:hAnsiTheme="minorEastAsia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本单位无</w:t>
      </w:r>
      <w:r>
        <w:rPr>
          <w:rFonts w:hint="eastAsia" w:ascii="仿宋" w:hAnsi="仿宋" w:eastAsia="仿宋" w:cs="仿宋"/>
          <w:sz w:val="32"/>
          <w:szCs w:val="32"/>
        </w:rPr>
        <w:t>国有资本经营预算财政拨款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9A27405">
      <w:pPr>
        <w:pStyle w:val="13"/>
        <w:spacing w:line="600" w:lineRule="exact"/>
        <w:ind w:firstLine="800" w:firstLineChars="250"/>
        <w:rPr>
          <w:rFonts w:hint="eastAsia" w:ascii="Times New Roman" w:hAnsi="Times New Roman" w:eastAsia="仿宋_GB2312"/>
          <w:sz w:val="32"/>
          <w:szCs w:val="32"/>
        </w:rPr>
      </w:pPr>
    </w:p>
    <w:p w14:paraId="0AD276D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1E3D2D58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十</w:t>
      </w:r>
      <w:r>
        <w:rPr>
          <w:rFonts w:ascii="Times New Roman" w:hAnsi="Times New Roman" w:cs="Times New Roman"/>
          <w:bCs/>
          <w:sz w:val="32"/>
          <w:szCs w:val="32"/>
        </w:rPr>
        <w:t>、关于机关运行经费支出说明</w:t>
      </w:r>
    </w:p>
    <w:p w14:paraId="71639806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年度机关运行经费支出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7.58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</w:t>
      </w:r>
      <w:r>
        <w:rPr>
          <w:rFonts w:ascii="Times New Roman" w:hAnsi="Times New Roman" w:eastAsia="仿宋_GB2312" w:cs="Times New Roman"/>
          <w:sz w:val="32"/>
          <w:szCs w:val="32"/>
        </w:rPr>
        <w:t>上年决算数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7.87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基本一致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D4E6506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一</w:t>
      </w:r>
      <w:r>
        <w:rPr>
          <w:rFonts w:ascii="Times New Roman" w:hAnsi="Times New Roman" w:cs="Times New Roman"/>
          <w:bCs/>
          <w:sz w:val="32"/>
          <w:szCs w:val="32"/>
        </w:rPr>
        <w:t>、一般性支出情况说明</w:t>
      </w:r>
    </w:p>
    <w:p w14:paraId="4DB0BFFB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万元；开支培训费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0.43</w:t>
      </w:r>
      <w:r>
        <w:rPr>
          <w:rFonts w:ascii="Times New Roman" w:hAnsi="Times New Roman" w:eastAsia="仿宋_GB2312" w:cs="Times New Roman"/>
          <w:sz w:val="32"/>
          <w:szCs w:val="32"/>
        </w:rPr>
        <w:t>万元，用于开展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事业单位在职人员教育</w:t>
      </w:r>
      <w:r>
        <w:rPr>
          <w:rFonts w:ascii="Times New Roman" w:hAnsi="Times New Roman" w:eastAsia="仿宋_GB2312" w:cs="Times New Roman"/>
          <w:sz w:val="32"/>
          <w:szCs w:val="32"/>
        </w:rPr>
        <w:t>培训，人数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 w:cs="Times New Roman"/>
          <w:sz w:val="32"/>
          <w:szCs w:val="32"/>
        </w:rPr>
        <w:t>人；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无举办节庆、晚会、论坛、赛事活动等开支。</w:t>
      </w:r>
    </w:p>
    <w:p w14:paraId="1ADE5CE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二</w:t>
      </w:r>
      <w:r>
        <w:rPr>
          <w:rFonts w:ascii="Times New Roman" w:hAnsi="Times New Roman" w:cs="Times New Roman"/>
          <w:bCs/>
          <w:sz w:val="32"/>
          <w:szCs w:val="32"/>
        </w:rPr>
        <w:t>、关于政府采购支出说明</w:t>
      </w:r>
    </w:p>
    <w:p w14:paraId="66379E6C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25.63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18.79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6.84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25.63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25.63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0%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742F42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val="en-US" w:eastAsia="zh-CN"/>
        </w:rPr>
        <w:t>三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、关于国有资产占用情况说明</w:t>
      </w:r>
    </w:p>
    <w:p w14:paraId="2FA6244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截至202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年12月31日，</w:t>
      </w:r>
      <w:r>
        <w:rPr>
          <w:rFonts w:hint="eastAsia" w:ascii="Times New Roman" w:hAnsi="Times New Roman" w:eastAsia="仿宋_GB2312"/>
          <w:sz w:val="32"/>
          <w:szCs w:val="32"/>
        </w:rPr>
        <w:t>本单位无公务用车；无单位价值100万元以上专用设备。</w:t>
      </w:r>
    </w:p>
    <w:p w14:paraId="2292D1E6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val="en-US" w:eastAsia="zh-CN"/>
        </w:rPr>
        <w:t>四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 w14:paraId="5F88E6CB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94.93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为非税专户资金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一般公共预算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政府性基金预算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国有资本经营预算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社会保险基金预算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392BE9A3">
      <w:pPr>
        <w:widowControl/>
        <w:shd w:val="clear" w:color="auto" w:fill="FFFFFF"/>
        <w:spacing w:line="640" w:lineRule="exact"/>
        <w:ind w:left="0" w:right="0" w:firstLine="632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（二）绩效评价结果。</w:t>
      </w:r>
    </w:p>
    <w:p w14:paraId="2FCFA2FE">
      <w:pPr>
        <w:widowControl/>
        <w:shd w:val="clear" w:color="auto" w:fill="FFFFFF"/>
        <w:spacing w:line="640" w:lineRule="exact"/>
        <w:ind w:left="0" w:right="0" w:firstLine="632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180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76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165.33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97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效目标完成情况：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是按照省厅“千名仲裁员联千企”活动要求，共安排34名仲裁员联系企业43家，开展法律咨询160次，法治宣传12场，调处矛盾纠纷38件，开展法治体检23次，解决法律问题或防范风险123个。二是2025年共受理案件107件，受案标的额3.05亿元，结案95件，其中调解结案45件，调解率47.3%。三是在湖南（怀化）国际陆港法务区设立的仲裁庭已正式启用，及时为园区企业解决经济纠纷400余万元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下一步改进措施：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是科学合理地设置绩效指标，强化资金使用和绩效目标管理意识，根据单位职能科学合理地设置绩效指标，提高预算绩效指标的针对性和可测性，充分发挥预算绩效目标管理的导向作用。二是强化预算约束，规范资金使用范围，强化预算执行的严肃性。</w:t>
      </w:r>
    </w:p>
    <w:p w14:paraId="105C79A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</w:p>
    <w:p w14:paraId="0CBC0A80">
      <w:pPr>
        <w:pStyle w:val="13"/>
        <w:jc w:val="left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将绩效自评结果作为本单位完善制度和改进管理的重要依据，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根据绩效自评结果，对比设定目标和实际完成情况，及时调整工作重点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提高工作效率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根据绩效自评结果，制定发展计划，提高财政资金支出决策水平和管理水平。</w:t>
      </w:r>
    </w:p>
    <w:p w14:paraId="5EC92C8F">
      <w:pPr>
        <w:pStyle w:val="13"/>
        <w:jc w:val="center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3172E61E">
      <w:pPr>
        <w:pStyle w:val="13"/>
        <w:jc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（见附件《2025年度部门整体支出绩效自评报告》）</w:t>
      </w:r>
    </w:p>
    <w:p w14:paraId="37AF94F3">
      <w:pPr>
        <w:pStyle w:val="13"/>
        <w:jc w:val="center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36291136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56AB54EC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545F8C5F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07A298E4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4DC61B10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6841DFCC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64D5F09D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5C6A088D">
      <w:pPr>
        <w:pStyle w:val="13"/>
        <w:jc w:val="both"/>
        <w:rPr>
          <w:rFonts w:ascii="Times New Roman" w:hAnsi="Times New Roman" w:cs="Times New Roman"/>
          <w:sz w:val="72"/>
          <w:szCs w:val="72"/>
        </w:rPr>
      </w:pPr>
    </w:p>
    <w:p w14:paraId="423905DC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BBD52E2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BA6992A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7FC7016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5D39E50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3C9D8EAC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3F93E6CC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69EB708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4C7365B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815BF13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 xml:space="preserve">第四部分    </w:t>
      </w:r>
    </w:p>
    <w:p w14:paraId="37FB5901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名词解释</w:t>
      </w:r>
    </w:p>
    <w:p w14:paraId="4DF02F7F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5E41B391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3C9B6FD0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6EFFB66B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56502597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7FC193F8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092F38DD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6C6EC334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32EBE158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01D650BC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5433ECF5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52579CA2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14269C8A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68E28970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631C38E7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6CF6DFE1">
      <w:pPr>
        <w:pStyle w:val="8"/>
        <w:widowControl/>
        <w:shd w:val="clear" w:color="auto" w:fill="FFFFFF"/>
        <w:spacing w:beforeAutospacing="0" w:afterAutospacing="0" w:line="255" w:lineRule="atLeast"/>
        <w:ind w:firstLine="640" w:firstLineChars="200"/>
        <w:jc w:val="both"/>
        <w:rPr>
          <w:rFonts w:hint="eastAsia" w:ascii="Times New Roman" w:hAnsi="Times New Roman" w:eastAsia="仿宋_GB2312" w:cs="黑体"/>
          <w:color w:val="000000"/>
          <w:sz w:val="32"/>
          <w:szCs w:val="32"/>
        </w:rPr>
      </w:pPr>
    </w:p>
    <w:p w14:paraId="157D69E2">
      <w:pPr>
        <w:pStyle w:val="8"/>
        <w:widowControl/>
        <w:shd w:val="clear" w:color="auto" w:fill="FFFFFF"/>
        <w:spacing w:beforeAutospacing="0" w:afterAutospacing="0" w:line="255" w:lineRule="atLeast"/>
        <w:ind w:firstLine="600" w:firstLineChars="200"/>
        <w:jc w:val="both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一、机关运行经费：为保障行政单位（包括参照公务员法管理的事业单位）运行，用一般公共预算拨款安排用于购买货物和服务的各项资金，包括办公及印刷费、邮电费、差旅费、会议费、福利费、日常维修费、办公用房水电费、办公用房取暖费、办公用房物业管理费、公务用车运行维护费以及其他费用。</w:t>
      </w:r>
    </w:p>
    <w:p w14:paraId="22E3C90D">
      <w:pPr>
        <w:pStyle w:val="13"/>
        <w:jc w:val="left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 xml:space="preserve">  二、“三公”经费：纳入财政预算管理的“三公“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65EA3B79">
      <w:pPr>
        <w:pStyle w:val="13"/>
        <w:jc w:val="center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</w:p>
    <w:p w14:paraId="160F68DC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439213F4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104CABC2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4CFC9E9C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7DAFC248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096D25C9">
      <w:pPr>
        <w:pStyle w:val="13"/>
        <w:jc w:val="both"/>
        <w:rPr>
          <w:rFonts w:ascii="Times New Roman" w:hAnsi="Times New Roman" w:cs="Times New Roman"/>
          <w:sz w:val="72"/>
          <w:szCs w:val="72"/>
        </w:rPr>
      </w:pPr>
    </w:p>
    <w:p w14:paraId="09ED2DF0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B321CB8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3D87954D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A134837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1D0023F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F980840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 xml:space="preserve">第五部分 </w:t>
      </w:r>
    </w:p>
    <w:p w14:paraId="3F66167E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附 件</w:t>
      </w:r>
    </w:p>
    <w:p w14:paraId="33844F75">
      <w:pPr>
        <w:rPr>
          <w:rFonts w:ascii="Times New Roman" w:hAnsi="Times New Roman" w:cs="Times New Roman"/>
          <w:sz w:val="72"/>
          <w:szCs w:val="72"/>
        </w:rPr>
      </w:pPr>
    </w:p>
    <w:p w14:paraId="6C03A8B8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5C98A4A8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02929A70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76067B78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3D449E29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1CD8EAE3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55BC4D98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27E02D3D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2307BE85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608238AB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1E57CAAB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290ED867"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一、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年度单位整体支出绩效自评报告。</w:t>
      </w:r>
    </w:p>
    <w:p w14:paraId="7F8D9691">
      <w:pPr>
        <w:pStyle w:val="13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二、2025年度部门决算公开表</w:t>
      </w:r>
    </w:p>
    <w:p w14:paraId="5D087876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031DD3F6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689724C0"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62C75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3CC1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943F3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A5016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77236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77236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4D7B12"/>
    <w:multiLevelType w:val="singleLevel"/>
    <w:tmpl w:val="A64D7B1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D20A71A"/>
    <w:multiLevelType w:val="singleLevel"/>
    <w:tmpl w:val="2D20A71A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1D97DEFF"/>
    <w:rsid w:val="1DFF72E5"/>
    <w:rsid w:val="1EFC6F07"/>
    <w:rsid w:val="2FD47B8E"/>
    <w:rsid w:val="2FDF85B8"/>
    <w:rsid w:val="2FFFEE04"/>
    <w:rsid w:val="338E541E"/>
    <w:rsid w:val="34DF85B0"/>
    <w:rsid w:val="3B8F36BC"/>
    <w:rsid w:val="471A0124"/>
    <w:rsid w:val="491FF225"/>
    <w:rsid w:val="4FFD214C"/>
    <w:rsid w:val="51DC4954"/>
    <w:rsid w:val="55886BA1"/>
    <w:rsid w:val="5777D4F5"/>
    <w:rsid w:val="59DD8326"/>
    <w:rsid w:val="5A205D3C"/>
    <w:rsid w:val="5DEF592A"/>
    <w:rsid w:val="5FC6BB1E"/>
    <w:rsid w:val="5FF720F1"/>
    <w:rsid w:val="602A0F80"/>
    <w:rsid w:val="67FF5C0B"/>
    <w:rsid w:val="6EFC0924"/>
    <w:rsid w:val="6FB74722"/>
    <w:rsid w:val="6FEF8B7E"/>
    <w:rsid w:val="71A6591B"/>
    <w:rsid w:val="733205B0"/>
    <w:rsid w:val="737D59BA"/>
    <w:rsid w:val="77C37683"/>
    <w:rsid w:val="793B7A06"/>
    <w:rsid w:val="79D19834"/>
    <w:rsid w:val="79FF515B"/>
    <w:rsid w:val="7BF549BF"/>
    <w:rsid w:val="7E9E1962"/>
    <w:rsid w:val="7E9F11B4"/>
    <w:rsid w:val="7F37EC1E"/>
    <w:rsid w:val="7F7DCD9D"/>
    <w:rsid w:val="7F8A0158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BFA491D"/>
    <w:rsid w:val="9FF7D786"/>
    <w:rsid w:val="ABBFB23D"/>
    <w:rsid w:val="B6AFFE39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7F63BE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18</Pages>
  <Words>566</Words>
  <Characters>584</Characters>
  <Lines>69</Lines>
  <Paragraphs>19</Paragraphs>
  <TotalTime>5</TotalTime>
  <ScaleCrop>false</ScaleCrop>
  <LinksUpToDate>false</LinksUpToDate>
  <CharactersWithSpaces>613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2025-08-20T02:17:00Z</dcterms:created>
  <dc:creator>李航 null</dc:creator>
  <cp:lastModifiedBy>A梦</cp:lastModifiedBy>
  <cp:lastPrinted>2024-08-10T10:20:00Z</cp:lastPrinted>
  <dcterms:modified xsi:type="dcterms:W3CDTF">2026-10-15T16:05:53Z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4F0B27C0AAC35EFA9177686ADDD5E058</vt:lpwstr>
  </property>
  <property fmtid="{D5CDD505-2E9C-101B-9397-08002B2CF9AE}" pid="4" name="KSOTemplateDocerSaveRecord">
    <vt:lpwstr>eyJoZGlkIjoiYmQzOWU2ZTE2YmNjNzFkZTcwNzEwMzg3Yzk5MTIzNzMiLCJ1c2VySWQiOiI5OTk0NjQwODEifQ==</vt:lpwstr>
  </property>
</Properties>
</file>