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F7BB6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34F7082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2EB5EAB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480" w:lineRule="exact"/>
        <w:ind w:right="0" w:firstLine="0" w:firstLineChars="0"/>
        <w:jc w:val="center"/>
        <w:textAlignment w:val="auto"/>
        <w:rPr>
          <w:rFonts w:hint="eastAsia" w:ascii="方正小标宋简体" w:hAnsi="方正小标宋简体" w:eastAsia="方正小标宋简体" w:cs="方正小标宋简体"/>
          <w:b w:val="0"/>
          <w:bCs w:val="0"/>
          <w:i w:val="0"/>
          <w:iCs w:val="0"/>
          <w:caps w:val="0"/>
          <w:color w:val="000000"/>
          <w:spacing w:val="0"/>
          <w:sz w:val="40"/>
          <w:szCs w:val="40"/>
          <w:shd w:val="clear" w:fill="FFFFFF"/>
          <w:lang w:val="en-US" w:eastAsia="zh-CN"/>
        </w:rPr>
      </w:pPr>
      <w:r>
        <w:rPr>
          <w:rFonts w:hint="eastAsia" w:ascii="Times New Roman" w:hAnsi="Times New Roman" w:eastAsia="方正小标宋_GBK" w:cs="方正小标宋_GBK"/>
          <w:i w:val="0"/>
          <w:iCs w:val="0"/>
          <w:caps w:val="0"/>
          <w:color w:val="000000"/>
          <w:spacing w:val="0"/>
          <w:sz w:val="40"/>
          <w:szCs w:val="40"/>
          <w:shd w:val="clear" w:fill="FFFFFF"/>
          <w:lang w:val="en-US" w:eastAsia="zh-CN"/>
        </w:rPr>
        <w:t>2025</w:t>
      </w:r>
      <w:r>
        <w:rPr>
          <w:rFonts w:hint="eastAsia" w:ascii="方正小标宋简体" w:hAnsi="方正小标宋简体" w:eastAsia="方正小标宋简体" w:cs="方正小标宋简体"/>
          <w:b w:val="0"/>
          <w:bCs w:val="0"/>
          <w:i w:val="0"/>
          <w:iCs w:val="0"/>
          <w:caps w:val="0"/>
          <w:color w:val="000000"/>
          <w:spacing w:val="0"/>
          <w:sz w:val="40"/>
          <w:szCs w:val="40"/>
          <w:shd w:val="clear" w:fill="FFFFFF"/>
          <w:lang w:val="en-US" w:eastAsia="zh-CN"/>
        </w:rPr>
        <w:t>年度怀化市司法局部门整体支出</w:t>
      </w:r>
    </w:p>
    <w:p w14:paraId="7C58EC0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480" w:lineRule="exact"/>
        <w:ind w:right="0" w:firstLine="0" w:firstLineChars="0"/>
        <w:jc w:val="center"/>
        <w:textAlignment w:val="auto"/>
        <w:rPr>
          <w:rFonts w:hint="eastAsia" w:ascii="方正小标宋简体" w:hAnsi="方正小标宋简体" w:eastAsia="方正小标宋简体" w:cs="方正小标宋简体"/>
          <w:b w:val="0"/>
          <w:bCs w:val="0"/>
          <w:i w:val="0"/>
          <w:iCs w:val="0"/>
          <w:caps w:val="0"/>
          <w:color w:val="000000"/>
          <w:spacing w:val="0"/>
          <w:sz w:val="40"/>
          <w:szCs w:val="40"/>
          <w:shd w:val="clear" w:fill="FFFFFF"/>
          <w:lang w:val="en-US" w:eastAsia="zh-CN"/>
        </w:rPr>
      </w:pPr>
    </w:p>
    <w:p w14:paraId="763DE7F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480" w:lineRule="exact"/>
        <w:ind w:right="0" w:firstLine="0" w:firstLineChars="0"/>
        <w:jc w:val="center"/>
        <w:textAlignment w:val="auto"/>
        <w:rPr>
          <w:rFonts w:hint="eastAsia" w:ascii="方正小标宋简体" w:hAnsi="方正小标宋简体" w:eastAsia="方正小标宋简体" w:cs="方正小标宋简体"/>
          <w:b w:val="0"/>
          <w:bCs w:val="0"/>
          <w:i w:val="0"/>
          <w:iCs w:val="0"/>
          <w:caps w:val="0"/>
          <w:color w:val="000000"/>
          <w:spacing w:val="0"/>
          <w:sz w:val="40"/>
          <w:szCs w:val="40"/>
          <w:shd w:val="clear" w:fill="FFFFFF"/>
          <w:lang w:val="en-US" w:eastAsia="zh-CN"/>
        </w:rPr>
      </w:pPr>
      <w:r>
        <w:rPr>
          <w:rFonts w:hint="eastAsia" w:ascii="方正小标宋简体" w:hAnsi="方正小标宋简体" w:eastAsia="方正小标宋简体" w:cs="方正小标宋简体"/>
          <w:b w:val="0"/>
          <w:bCs w:val="0"/>
          <w:i w:val="0"/>
          <w:iCs w:val="0"/>
          <w:caps w:val="0"/>
          <w:color w:val="000000"/>
          <w:spacing w:val="0"/>
          <w:sz w:val="40"/>
          <w:szCs w:val="40"/>
          <w:shd w:val="clear" w:fill="FFFFFF"/>
          <w:lang w:val="en-US" w:eastAsia="zh-CN"/>
        </w:rPr>
        <w:t>绩效自评报告</w:t>
      </w:r>
    </w:p>
    <w:p w14:paraId="1925511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480" w:lineRule="exact"/>
        <w:ind w:right="0" w:firstLine="2800" w:firstLineChars="700"/>
        <w:jc w:val="both"/>
        <w:textAlignment w:val="auto"/>
        <w:rPr>
          <w:rFonts w:hint="eastAsia" w:ascii="方正小标宋简体" w:hAnsi="方正小标宋简体" w:eastAsia="方正小标宋简体" w:cs="方正小标宋简体"/>
          <w:b w:val="0"/>
          <w:bCs w:val="0"/>
          <w:i w:val="0"/>
          <w:iCs w:val="0"/>
          <w:caps w:val="0"/>
          <w:color w:val="000000"/>
          <w:spacing w:val="0"/>
          <w:sz w:val="40"/>
          <w:szCs w:val="40"/>
          <w:shd w:val="clear" w:fill="FFFFFF"/>
          <w:lang w:val="en-US" w:eastAsia="zh-CN"/>
        </w:rPr>
      </w:pPr>
    </w:p>
    <w:p w14:paraId="120BA899">
      <w:pPr>
        <w:keepNext w:val="0"/>
        <w:keepLines w:val="0"/>
        <w:pageBreakBefore w:val="0"/>
        <w:widowControl w:val="0"/>
        <w:shd w:val="clear"/>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6C54859C">
      <w:pPr>
        <w:keepNext w:val="0"/>
        <w:keepLines w:val="0"/>
        <w:pageBreakBefore w:val="0"/>
        <w:widowControl w:val="0"/>
        <w:shd w:val="clear"/>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3E281F4E">
      <w:pPr>
        <w:keepNext w:val="0"/>
        <w:keepLines w:val="0"/>
        <w:pageBreakBefore w:val="0"/>
        <w:widowControl w:val="0"/>
        <w:shd w:val="clear"/>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1909432F">
      <w:pPr>
        <w:keepNext w:val="0"/>
        <w:keepLines w:val="0"/>
        <w:pageBreakBefore w:val="0"/>
        <w:widowControl w:val="0"/>
        <w:shd w:val="clear"/>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2EC0BDA0">
      <w:pPr>
        <w:keepNext w:val="0"/>
        <w:keepLines w:val="0"/>
        <w:pageBreakBefore w:val="0"/>
        <w:widowControl w:val="0"/>
        <w:shd w:val="clear"/>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5611A508">
      <w:pPr>
        <w:keepNext w:val="0"/>
        <w:keepLines w:val="0"/>
        <w:pageBreakBefore w:val="0"/>
        <w:widowControl w:val="0"/>
        <w:shd w:val="clear"/>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2C2A7AE9">
      <w:pPr>
        <w:keepNext w:val="0"/>
        <w:keepLines w:val="0"/>
        <w:pageBreakBefore w:val="0"/>
        <w:widowControl w:val="0"/>
        <w:shd w:val="clear"/>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7ADFCC37">
      <w:pPr>
        <w:keepNext w:val="0"/>
        <w:keepLines w:val="0"/>
        <w:pageBreakBefore w:val="0"/>
        <w:widowControl w:val="0"/>
        <w:shd w:val="clear"/>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38DC759D">
      <w:pPr>
        <w:keepNext w:val="0"/>
        <w:keepLines w:val="0"/>
        <w:pageBreakBefore w:val="0"/>
        <w:widowControl w:val="0"/>
        <w:shd w:val="clear"/>
        <w:kinsoku/>
        <w:wordWrap/>
        <w:overflowPunct/>
        <w:topLinePunct w:val="0"/>
        <w:autoSpaceDE/>
        <w:autoSpaceDN/>
        <w:bidi w:val="0"/>
        <w:adjustRightInd/>
        <w:snapToGrid w:val="0"/>
        <w:spacing w:line="520" w:lineRule="exact"/>
        <w:ind w:firstLine="643" w:firstLineChars="200"/>
        <w:textAlignment w:val="auto"/>
        <w:rPr>
          <w:rFonts w:hint="default" w:ascii="方正黑体_GBK" w:hAnsi="方正黑体_GBK" w:eastAsia="方正黑体_GBK" w:cs="方正黑体_GBK"/>
          <w:b/>
          <w:bCs/>
          <w:color w:val="auto"/>
          <w:sz w:val="32"/>
          <w:szCs w:val="32"/>
          <w:highlight w:val="none"/>
          <w:lang w:val="en-US" w:eastAsia="zh-CN"/>
        </w:rPr>
      </w:pPr>
    </w:p>
    <w:p w14:paraId="6A44DA38">
      <w:pPr>
        <w:keepNext w:val="0"/>
        <w:keepLines w:val="0"/>
        <w:pageBreakBefore w:val="0"/>
        <w:widowControl w:val="0"/>
        <w:shd w:val="clear"/>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p>
    <w:p w14:paraId="6E0F27B7">
      <w:pPr>
        <w:keepNext w:val="0"/>
        <w:keepLines w:val="0"/>
        <w:pageBreakBefore w:val="0"/>
        <w:widowControl w:val="0"/>
        <w:shd w:val="clear"/>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p>
    <w:p w14:paraId="0A7E582A">
      <w:pPr>
        <w:keepNext w:val="0"/>
        <w:keepLines w:val="0"/>
        <w:pageBreakBefore w:val="0"/>
        <w:widowControl w:val="0"/>
        <w:shd w:val="clear"/>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p>
    <w:p w14:paraId="61E915FD">
      <w:pPr>
        <w:keepNext w:val="0"/>
        <w:keepLines w:val="0"/>
        <w:pageBreakBefore w:val="0"/>
        <w:widowControl w:val="0"/>
        <w:shd w:val="clear"/>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p>
    <w:p w14:paraId="340B752C">
      <w:pPr>
        <w:keepNext w:val="0"/>
        <w:keepLines w:val="0"/>
        <w:pageBreakBefore w:val="0"/>
        <w:widowControl w:val="0"/>
        <w:shd w:val="clear"/>
        <w:kinsoku/>
        <w:wordWrap/>
        <w:overflowPunct/>
        <w:topLinePunct w:val="0"/>
        <w:autoSpaceDE/>
        <w:autoSpaceDN/>
        <w:bidi w:val="0"/>
        <w:adjustRightInd/>
        <w:snapToGrid w:val="0"/>
        <w:spacing w:line="520" w:lineRule="exact"/>
        <w:ind w:firstLine="643" w:firstLineChars="200"/>
        <w:textAlignment w:val="auto"/>
        <w:rPr>
          <w:rFonts w:hint="eastAsia" w:ascii="方正黑体_GBK" w:hAnsi="方正黑体_GBK" w:eastAsia="方正黑体_GBK" w:cs="方正黑体_GBK"/>
          <w:b/>
          <w:bCs/>
          <w:color w:val="auto"/>
          <w:sz w:val="32"/>
          <w:szCs w:val="32"/>
          <w:highlight w:val="none"/>
          <w:lang w:val="en-US" w:eastAsia="zh-CN"/>
        </w:rPr>
      </w:pPr>
    </w:p>
    <w:p w14:paraId="499BEB82">
      <w:pPr>
        <w:keepNext w:val="0"/>
        <w:keepLines w:val="0"/>
        <w:pageBreakBefore w:val="0"/>
        <w:widowControl w:val="0"/>
        <w:shd w:val="clear"/>
        <w:kinsoku/>
        <w:wordWrap/>
        <w:overflowPunct/>
        <w:topLinePunct w:val="0"/>
        <w:autoSpaceDE/>
        <w:autoSpaceDN/>
        <w:bidi w:val="0"/>
        <w:adjustRightInd/>
        <w:snapToGrid w:val="0"/>
        <w:spacing w:line="520" w:lineRule="exact"/>
        <w:jc w:val="center"/>
        <w:textAlignment w:val="auto"/>
        <w:rPr>
          <w:rFonts w:hint="eastAsia" w:ascii="方正黑体_GBK" w:hAnsi="方正黑体_GBK" w:eastAsia="方正黑体_GBK" w:cs="方正黑体_GBK"/>
          <w:b w:val="0"/>
          <w:bCs w:val="0"/>
          <w:color w:val="auto"/>
          <w:sz w:val="32"/>
          <w:szCs w:val="32"/>
          <w:highlight w:val="none"/>
          <w:lang w:val="en-US" w:eastAsia="zh-CN"/>
        </w:rPr>
      </w:pPr>
      <w:r>
        <w:rPr>
          <w:rFonts w:hint="eastAsia" w:ascii="方正黑体_GBK" w:hAnsi="方正黑体_GBK" w:eastAsia="方正黑体_GBK" w:cs="方正黑体_GBK"/>
          <w:b w:val="0"/>
          <w:bCs w:val="0"/>
          <w:color w:val="auto"/>
          <w:sz w:val="32"/>
          <w:szCs w:val="32"/>
          <w:highlight w:val="none"/>
          <w:lang w:val="en-US" w:eastAsia="zh-CN"/>
        </w:rPr>
        <w:t>单位名称：怀化市司法局</w:t>
      </w:r>
    </w:p>
    <w:p w14:paraId="1A04EE6C">
      <w:pPr>
        <w:keepNext w:val="0"/>
        <w:keepLines w:val="0"/>
        <w:pageBreakBefore w:val="0"/>
        <w:widowControl w:val="0"/>
        <w:shd w:val="clear"/>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p>
    <w:p w14:paraId="0B4F8777">
      <w:pPr>
        <w:keepNext w:val="0"/>
        <w:keepLines w:val="0"/>
        <w:pageBreakBefore w:val="0"/>
        <w:widowControl w:val="0"/>
        <w:shd w:val="clear"/>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p>
    <w:p w14:paraId="3D267CDA">
      <w:pPr>
        <w:keepNext w:val="0"/>
        <w:keepLines w:val="0"/>
        <w:pageBreakBefore w:val="0"/>
        <w:widowControl w:val="0"/>
        <w:shd w:val="clear"/>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p>
    <w:p w14:paraId="48FF39F1">
      <w:pPr>
        <w:keepNext w:val="0"/>
        <w:keepLines w:val="0"/>
        <w:pageBreakBefore w:val="0"/>
        <w:widowControl w:val="0"/>
        <w:shd w:val="clear"/>
        <w:kinsoku/>
        <w:wordWrap/>
        <w:overflowPunct/>
        <w:topLinePunct w:val="0"/>
        <w:autoSpaceDE/>
        <w:autoSpaceDN/>
        <w:bidi w:val="0"/>
        <w:adjustRightInd/>
        <w:snapToGrid w:val="0"/>
        <w:spacing w:line="600" w:lineRule="exact"/>
        <w:ind w:firstLine="640" w:firstLineChars="200"/>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一、部门概况</w:t>
      </w:r>
    </w:p>
    <w:p w14:paraId="6AE82A1B">
      <w:pPr>
        <w:keepNext w:val="0"/>
        <w:keepLines w:val="0"/>
        <w:pageBreakBefore w:val="0"/>
        <w:widowControl w:val="0"/>
        <w:shd w:val="clear"/>
        <w:kinsoku/>
        <w:wordWrap/>
        <w:overflowPunct/>
        <w:topLinePunct w:val="0"/>
        <w:autoSpaceDE/>
        <w:autoSpaceDN/>
        <w:bidi w:val="0"/>
        <w:adjustRightInd/>
        <w:snapToGrid w:val="0"/>
        <w:spacing w:line="600" w:lineRule="exact"/>
        <w:ind w:firstLine="643" w:firstLineChars="200"/>
        <w:textAlignment w:val="auto"/>
        <w:rPr>
          <w:rFonts w:hint="eastAsia" w:ascii="楷体" w:hAnsi="楷体" w:eastAsia="楷体_GB2312" w:cs="楷体"/>
          <w:b/>
          <w:bCs/>
          <w:color w:val="auto"/>
          <w:sz w:val="32"/>
          <w:szCs w:val="32"/>
          <w:highlight w:val="none"/>
          <w:lang w:val="en-US" w:eastAsia="zh-CN"/>
        </w:rPr>
      </w:pPr>
      <w:r>
        <w:rPr>
          <w:rFonts w:hint="eastAsia" w:ascii="楷体" w:hAnsi="楷体" w:eastAsia="楷体_GB2312" w:cs="楷体"/>
          <w:b/>
          <w:bCs/>
          <w:color w:val="auto"/>
          <w:sz w:val="32"/>
          <w:szCs w:val="32"/>
          <w:highlight w:val="none"/>
          <w:lang w:val="en-US" w:eastAsia="zh-CN"/>
        </w:rPr>
        <w:t>（一）部门（单位）基本情况。</w:t>
      </w:r>
    </w:p>
    <w:p w14:paraId="2FD384CF">
      <w:pPr>
        <w:keepNext w:val="0"/>
        <w:keepLines w:val="0"/>
        <w:pageBreakBefore w:val="0"/>
        <w:widowControl w:val="0"/>
        <w:numPr>
          <w:ilvl w:val="0"/>
          <w:numId w:val="0"/>
        </w:numPr>
        <w:shd w:val="clear"/>
        <w:kinsoku/>
        <w:wordWrap/>
        <w:overflowPunct/>
        <w:topLinePunct w:val="0"/>
        <w:autoSpaceDE/>
        <w:autoSpaceDN/>
        <w:bidi w:val="0"/>
        <w:adjustRightInd/>
        <w:snapToGrid/>
        <w:spacing w:line="600" w:lineRule="exact"/>
        <w:ind w:left="0" w:leftChars="0" w:firstLine="643" w:firstLineChars="200"/>
        <w:jc w:val="both"/>
        <w:textAlignment w:val="auto"/>
        <w:rPr>
          <w:rFonts w:hint="eastAsia" w:ascii="仿宋" w:hAnsi="仿宋" w:eastAsia="仿宋_GB2312" w:cs="仿宋"/>
          <w:b/>
          <w:bCs/>
          <w:i w:val="0"/>
          <w:iCs w:val="0"/>
          <w:caps w:val="0"/>
          <w:color w:val="000000" w:themeColor="text1"/>
          <w:spacing w:val="0"/>
          <w:sz w:val="32"/>
          <w:szCs w:val="32"/>
          <w:shd w:val="clear" w:color="auto" w:fill="FFFFFF"/>
          <w:lang w:val="en-US" w:eastAsia="zh-CN"/>
          <w14:textFill>
            <w14:solidFill>
              <w14:schemeClr w14:val="tx1"/>
            </w14:solidFill>
          </w14:textFill>
        </w:rPr>
      </w:pPr>
      <w:r>
        <w:rPr>
          <w:rFonts w:hint="eastAsia" w:ascii="Times New Roman" w:hAnsi="Times New Roman" w:eastAsia="仿宋_GB2312" w:cs="仿宋"/>
          <w:b/>
          <w:bCs/>
          <w:i w:val="0"/>
          <w:iCs w:val="0"/>
          <w:caps w:val="0"/>
          <w:color w:val="000000" w:themeColor="text1"/>
          <w:spacing w:val="0"/>
          <w:sz w:val="32"/>
          <w:szCs w:val="32"/>
          <w:shd w:val="clear" w:color="auto" w:fill="FFFFFF"/>
          <w:lang w:val="en-US" w:eastAsia="zh-CN"/>
          <w14:textFill>
            <w14:solidFill>
              <w14:schemeClr w14:val="tx1"/>
            </w14:solidFill>
          </w14:textFill>
        </w:rPr>
        <w:t>1</w:t>
      </w:r>
      <w:r>
        <w:rPr>
          <w:rFonts w:hint="eastAsia" w:ascii="仿宋" w:hAnsi="仿宋" w:eastAsia="仿宋_GB2312" w:cs="仿宋"/>
          <w:b/>
          <w:bCs/>
          <w:i w:val="0"/>
          <w:iCs w:val="0"/>
          <w:caps w:val="0"/>
          <w:color w:val="000000" w:themeColor="text1"/>
          <w:spacing w:val="0"/>
          <w:sz w:val="32"/>
          <w:szCs w:val="32"/>
          <w:shd w:val="clear" w:color="auto" w:fill="FFFFFF"/>
          <w:lang w:val="en-US" w:eastAsia="zh-CN"/>
          <w14:textFill>
            <w14:solidFill>
              <w14:schemeClr w14:val="tx1"/>
            </w14:solidFill>
          </w14:textFill>
        </w:rPr>
        <w:t>、部门职责</w:t>
      </w:r>
    </w:p>
    <w:p w14:paraId="5B57CEEB">
      <w:pPr>
        <w:keepNext w:val="0"/>
        <w:keepLines w:val="0"/>
        <w:pageBreakBefore w:val="0"/>
        <w:widowControl w:val="0"/>
        <w:numPr>
          <w:ilvl w:val="0"/>
          <w:numId w:val="0"/>
        </w:numPr>
        <w:shd w:val="clear"/>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仿宋" w:hAnsi="仿宋" w:eastAsia="仿宋_GB2312" w:cs="仿宋"/>
          <w:color w:val="000000" w:themeColor="text1"/>
          <w:sz w:val="32"/>
          <w:szCs w:val="32"/>
          <w:lang w:val="en-US" w:eastAsia="zh-CN"/>
          <w14:textFill>
            <w14:solidFill>
              <w14:schemeClr w14:val="tx1"/>
            </w14:solidFill>
          </w14:textFill>
        </w:rPr>
      </w:pPr>
      <w:r>
        <w:rPr>
          <w:rFonts w:hint="eastAsia" w:ascii="仿宋" w:hAnsi="仿宋" w:eastAsia="仿宋_GB2312" w:cs="仿宋"/>
          <w:i w:val="0"/>
          <w:iCs w:val="0"/>
          <w:caps w:val="0"/>
          <w:color w:val="000000" w:themeColor="text1"/>
          <w:spacing w:val="0"/>
          <w:sz w:val="32"/>
          <w:szCs w:val="32"/>
          <w:shd w:val="clear" w:color="auto" w:fill="FFFFFF"/>
          <w:lang w:val="en-US" w:eastAsia="zh-CN"/>
          <w14:textFill>
            <w14:solidFill>
              <w14:schemeClr w14:val="tx1"/>
            </w14:solidFill>
          </w14:textFill>
        </w:rPr>
        <w:t>①</w:t>
      </w:r>
      <w:r>
        <w:rPr>
          <w:rFonts w:hint="eastAsia" w:ascii="仿宋" w:hAnsi="仿宋" w:eastAsia="仿宋_GB2312" w:cs="仿宋"/>
          <w:color w:val="000000" w:themeColor="text1"/>
          <w:sz w:val="32"/>
          <w:szCs w:val="32"/>
          <w:lang w:val="en-US" w:eastAsia="zh-CN"/>
          <w14:textFill>
            <w14:solidFill>
              <w14:schemeClr w14:val="tx1"/>
            </w14:solidFill>
          </w14:textFill>
        </w:rPr>
        <w:t>承担全面依法治市重大问题的调查研究，协调有关方面提出全面依法治市中长期规划建议，负责有关重大决策部署督察工作。</w:t>
      </w:r>
    </w:p>
    <w:p w14:paraId="6202CA56">
      <w:pPr>
        <w:keepNext w:val="0"/>
        <w:keepLines w:val="0"/>
        <w:pageBreakBefore w:val="0"/>
        <w:widowControl w:val="0"/>
        <w:numPr>
          <w:ilvl w:val="0"/>
          <w:numId w:val="0"/>
        </w:numPr>
        <w:shd w:val="clear"/>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仿宋" w:hAnsi="仿宋" w:eastAsia="仿宋_GB2312" w:cs="仿宋"/>
          <w:color w:val="000000" w:themeColor="text1"/>
          <w:sz w:val="32"/>
          <w:szCs w:val="32"/>
          <w:lang w:val="en-US" w:eastAsia="zh-CN"/>
          <w14:textFill>
            <w14:solidFill>
              <w14:schemeClr w14:val="tx1"/>
            </w14:solidFill>
          </w14:textFill>
        </w:rPr>
      </w:pPr>
      <w:r>
        <w:rPr>
          <w:rFonts w:hint="eastAsia" w:ascii="仿宋" w:hAnsi="仿宋" w:eastAsia="仿宋_GB2312" w:cs="仿宋"/>
          <w:color w:val="000000" w:themeColor="text1"/>
          <w:sz w:val="32"/>
          <w:szCs w:val="32"/>
          <w:lang w:val="en-US" w:eastAsia="zh-CN"/>
          <w14:textFill>
            <w14:solidFill>
              <w14:schemeClr w14:val="tx1"/>
            </w14:solidFill>
          </w14:textFill>
        </w:rPr>
        <w:t>②贯</w:t>
      </w:r>
      <w:r>
        <w:rPr>
          <w:rFonts w:hint="eastAsia" w:ascii="仿宋" w:hAnsi="仿宋" w:eastAsia="仿宋_GB2312" w:cs="仿宋"/>
          <w:color w:val="000000" w:themeColor="text1"/>
          <w:spacing w:val="-6"/>
          <w:sz w:val="32"/>
          <w:szCs w:val="32"/>
          <w:lang w:val="en-US" w:eastAsia="zh-CN"/>
          <w14:textFill>
            <w14:solidFill>
              <w14:schemeClr w14:val="tx1"/>
            </w14:solidFill>
          </w14:textFill>
        </w:rPr>
        <w:t>彻执行国家、省关于司法行政工作的方针政策和法律法规；编制全市司法行政工作发展规划和年度计划并监督实施。</w:t>
      </w:r>
    </w:p>
    <w:p w14:paraId="6A7D9489">
      <w:pPr>
        <w:keepNext w:val="0"/>
        <w:keepLines w:val="0"/>
        <w:pageBreakBefore w:val="0"/>
        <w:widowControl w:val="0"/>
        <w:numPr>
          <w:ilvl w:val="0"/>
          <w:numId w:val="0"/>
        </w:numPr>
        <w:shd w:val="clear"/>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仿宋" w:hAnsi="仿宋" w:eastAsia="仿宋_GB2312" w:cs="仿宋"/>
          <w:color w:val="000000" w:themeColor="text1"/>
          <w:sz w:val="32"/>
          <w:szCs w:val="32"/>
          <w:lang w:val="en-US" w:eastAsia="zh-CN"/>
          <w14:textFill>
            <w14:solidFill>
              <w14:schemeClr w14:val="tx1"/>
            </w14:solidFill>
          </w14:textFill>
        </w:rPr>
      </w:pPr>
      <w:r>
        <w:rPr>
          <w:rFonts w:hint="eastAsia" w:ascii="仿宋" w:hAnsi="仿宋" w:eastAsia="仿宋_GB2312" w:cs="仿宋"/>
          <w:color w:val="000000" w:themeColor="text1"/>
          <w:sz w:val="32"/>
          <w:szCs w:val="32"/>
          <w:lang w:val="en-US" w:eastAsia="zh-CN"/>
          <w14:textFill>
            <w14:solidFill>
              <w14:schemeClr w14:val="tx1"/>
            </w14:solidFill>
          </w14:textFill>
        </w:rPr>
        <w:t>③承担统筹规划市人民政府立法工作的责任，协调有关方面提出立法规划和年度立法工作计划的建议，报市人民政府批准后组织实施。负责跟踪了解各部门对立法工作计划的落实情况，加强组织协调和督促指导，研究提出立法与改革决策相衔接的意见、措施。负责面向社会征集法规规章制定项目建议。</w:t>
      </w:r>
    </w:p>
    <w:p w14:paraId="4F9F2C04">
      <w:pPr>
        <w:keepNext w:val="0"/>
        <w:keepLines w:val="0"/>
        <w:pageBreakBefore w:val="0"/>
        <w:widowControl w:val="0"/>
        <w:numPr>
          <w:ilvl w:val="0"/>
          <w:numId w:val="0"/>
        </w:numPr>
        <w:shd w:val="clear"/>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仿宋" w:hAnsi="仿宋" w:eastAsia="仿宋_GB2312" w:cs="仿宋"/>
          <w:color w:val="000000" w:themeColor="text1"/>
          <w:sz w:val="32"/>
          <w:szCs w:val="32"/>
          <w:lang w:val="en-US" w:eastAsia="zh-CN"/>
          <w14:textFill>
            <w14:solidFill>
              <w14:schemeClr w14:val="tx1"/>
            </w14:solidFill>
          </w14:textFill>
        </w:rPr>
      </w:pPr>
      <w:r>
        <w:rPr>
          <w:rFonts w:hint="eastAsia" w:ascii="仿宋" w:hAnsi="仿宋" w:eastAsia="仿宋_GB2312" w:cs="仿宋"/>
          <w:color w:val="000000" w:themeColor="text1"/>
          <w:sz w:val="32"/>
          <w:szCs w:val="32"/>
          <w:lang w:val="en-US" w:eastAsia="zh-CN"/>
          <w14:textFill>
            <w14:solidFill>
              <w14:schemeClr w14:val="tx1"/>
            </w14:solidFill>
          </w14:textFill>
        </w:rPr>
        <w:t>④负责起草或者组织起草有关地方性法规、规章草案。承办有关地方性法规和规章草案的审查工作。负责立法协调。</w:t>
      </w:r>
    </w:p>
    <w:p w14:paraId="38D58F3A">
      <w:pPr>
        <w:keepNext w:val="0"/>
        <w:keepLines w:val="0"/>
        <w:pageBreakBefore w:val="0"/>
        <w:widowControl w:val="0"/>
        <w:numPr>
          <w:ilvl w:val="0"/>
          <w:numId w:val="0"/>
        </w:numPr>
        <w:shd w:val="clear"/>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仿宋" w:hAnsi="仿宋" w:eastAsia="仿宋_GB2312" w:cs="仿宋"/>
          <w:color w:val="000000" w:themeColor="text1"/>
          <w:sz w:val="32"/>
          <w:szCs w:val="32"/>
          <w:lang w:val="en-US" w:eastAsia="zh-CN"/>
          <w14:textFill>
            <w14:solidFill>
              <w14:schemeClr w14:val="tx1"/>
            </w14:solidFill>
          </w14:textFill>
        </w:rPr>
      </w:pPr>
      <w:r>
        <w:rPr>
          <w:rFonts w:hint="eastAsia" w:ascii="仿宋" w:hAnsi="仿宋" w:eastAsia="仿宋_GB2312" w:cs="仿宋"/>
          <w:color w:val="000000" w:themeColor="text1"/>
          <w:sz w:val="32"/>
          <w:szCs w:val="32"/>
          <w:lang w:val="en-US" w:eastAsia="zh-CN"/>
          <w14:textFill>
            <w14:solidFill>
              <w14:schemeClr w14:val="tx1"/>
            </w14:solidFill>
          </w14:textFill>
        </w:rPr>
        <w:t>⑤承办市人民政府规章的解释、立法后评估工作。负责协调各地区各部门实施法律法规和规章中的有关争议和问题。承办市人民政府规章清理、编纂、备案工作。</w:t>
      </w:r>
    </w:p>
    <w:p w14:paraId="38BE03ED">
      <w:pPr>
        <w:keepNext w:val="0"/>
        <w:keepLines w:val="0"/>
        <w:pageBreakBefore w:val="0"/>
        <w:widowControl w:val="0"/>
        <w:numPr>
          <w:ilvl w:val="0"/>
          <w:numId w:val="0"/>
        </w:numPr>
        <w:shd w:val="clear"/>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仿宋" w:hAnsi="仿宋" w:eastAsia="仿宋_GB2312" w:cs="仿宋"/>
          <w:color w:val="000000" w:themeColor="text1"/>
          <w:sz w:val="32"/>
          <w:szCs w:val="32"/>
          <w:lang w:val="en-US" w:eastAsia="zh-CN"/>
          <w14:textFill>
            <w14:solidFill>
              <w14:schemeClr w14:val="tx1"/>
            </w14:solidFill>
          </w14:textFill>
        </w:rPr>
      </w:pPr>
      <w:r>
        <w:rPr>
          <w:rFonts w:hint="eastAsia" w:ascii="仿宋" w:hAnsi="仿宋" w:eastAsia="仿宋_GB2312" w:cs="仿宋"/>
          <w:color w:val="000000" w:themeColor="text1"/>
          <w:sz w:val="32"/>
          <w:szCs w:val="32"/>
          <w:lang w:val="en-US" w:eastAsia="zh-CN"/>
          <w14:textFill>
            <w14:solidFill>
              <w14:schemeClr w14:val="tx1"/>
            </w14:solidFill>
          </w14:textFill>
        </w:rPr>
        <w:t>⑥负责指导全市规范性文件管理有关工作。承担市人民政府规范性文件送审稿的合法性审查。承办市人民政府及其各部门规范性文件的登记工作。受理有关规范性文件违法的审查申请。负责县市区人民政府规范性文件备案审查工作。负责市人民政府规范性文件向省人民政府和市人大常委会报送备案工作。组织开展政府规范性文件清理工作。负责对市政府重大行政决策进行合法性审查。</w:t>
      </w:r>
    </w:p>
    <w:p w14:paraId="1BB6DB40">
      <w:pPr>
        <w:keepNext w:val="0"/>
        <w:keepLines w:val="0"/>
        <w:pageBreakBefore w:val="0"/>
        <w:widowControl w:val="0"/>
        <w:numPr>
          <w:ilvl w:val="0"/>
          <w:numId w:val="0"/>
        </w:numPr>
        <w:shd w:val="clear"/>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仿宋" w:hAnsi="仿宋" w:eastAsia="仿宋_GB2312" w:cs="仿宋"/>
          <w:color w:val="000000" w:themeColor="text1"/>
          <w:sz w:val="32"/>
          <w:szCs w:val="32"/>
          <w:lang w:val="en-US" w:eastAsia="zh-CN"/>
          <w14:textFill>
            <w14:solidFill>
              <w14:schemeClr w14:val="tx1"/>
            </w14:solidFill>
          </w14:textFill>
        </w:rPr>
      </w:pPr>
      <w:r>
        <w:rPr>
          <w:rFonts w:hint="eastAsia" w:ascii="仿宋" w:hAnsi="仿宋" w:eastAsia="仿宋_GB2312" w:cs="仿宋"/>
          <w:color w:val="000000" w:themeColor="text1"/>
          <w:sz w:val="32"/>
          <w:szCs w:val="32"/>
          <w:lang w:val="en-US" w:eastAsia="zh-CN"/>
          <w14:textFill>
            <w14:solidFill>
              <w14:schemeClr w14:val="tx1"/>
            </w14:solidFill>
          </w14:textFill>
        </w:rPr>
        <w:t>⑦承担统筹推进法治政府建设的责任。指导、监督市人民政府各部门、县市区人民政府依法行政工作。负责综合协调行政执法，承担推进行政执法体制改革有关工作，推进严格规范公正文明执法。</w:t>
      </w:r>
    </w:p>
    <w:p w14:paraId="5502D2E6">
      <w:pPr>
        <w:keepNext w:val="0"/>
        <w:keepLines w:val="0"/>
        <w:pageBreakBefore w:val="0"/>
        <w:widowControl w:val="0"/>
        <w:numPr>
          <w:ilvl w:val="0"/>
          <w:numId w:val="0"/>
        </w:numPr>
        <w:shd w:val="clear"/>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仿宋" w:hAnsi="仿宋" w:eastAsia="仿宋_GB2312" w:cs="仿宋"/>
          <w:color w:val="000000" w:themeColor="text1"/>
          <w:sz w:val="32"/>
          <w:szCs w:val="32"/>
          <w:lang w:val="en-US" w:eastAsia="zh-CN"/>
          <w14:textFill>
            <w14:solidFill>
              <w14:schemeClr w14:val="tx1"/>
            </w14:solidFill>
          </w14:textFill>
        </w:rPr>
      </w:pPr>
      <w:r>
        <w:rPr>
          <w:rFonts w:hint="eastAsia" w:ascii="仿宋" w:hAnsi="仿宋" w:eastAsia="仿宋_GB2312" w:cs="仿宋"/>
          <w:color w:val="000000" w:themeColor="text1"/>
          <w:sz w:val="32"/>
          <w:szCs w:val="32"/>
          <w:lang w:val="en-US" w:eastAsia="zh-CN"/>
          <w14:textFill>
            <w14:solidFill>
              <w14:schemeClr w14:val="tx1"/>
            </w14:solidFill>
          </w14:textFill>
        </w:rPr>
        <w:t>⑧承办向市人民政府申请的行政复议案件，承办或指导部门办理以市政府为被申请人向省政府申请行政复议案件的有关行政复议事项，承办或指导有关单位办理市人民政府行政应诉事项；指导、监督全市行政复议和行政应诉工作。</w:t>
      </w:r>
    </w:p>
    <w:p w14:paraId="6843134C">
      <w:pPr>
        <w:keepNext w:val="0"/>
        <w:keepLines w:val="0"/>
        <w:pageBreakBefore w:val="0"/>
        <w:widowControl w:val="0"/>
        <w:numPr>
          <w:ilvl w:val="0"/>
          <w:numId w:val="0"/>
        </w:numPr>
        <w:shd w:val="clear"/>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仿宋" w:hAnsi="仿宋" w:eastAsia="仿宋_GB2312" w:cs="仿宋"/>
          <w:color w:val="000000" w:themeColor="text1"/>
          <w:sz w:val="32"/>
          <w:szCs w:val="32"/>
          <w:lang w:val="en-US" w:eastAsia="zh-CN"/>
          <w14:textFill>
            <w14:solidFill>
              <w14:schemeClr w14:val="tx1"/>
            </w14:solidFill>
          </w14:textFill>
        </w:rPr>
      </w:pPr>
      <w:r>
        <w:rPr>
          <w:rFonts w:hint="eastAsia" w:ascii="仿宋" w:hAnsi="仿宋" w:eastAsia="仿宋_GB2312" w:cs="仿宋"/>
          <w:color w:val="000000" w:themeColor="text1"/>
          <w:sz w:val="32"/>
          <w:szCs w:val="32"/>
          <w:lang w:val="en-US" w:eastAsia="zh-CN"/>
          <w14:textFill>
            <w14:solidFill>
              <w14:schemeClr w14:val="tx1"/>
            </w14:solidFill>
          </w14:textFill>
        </w:rPr>
        <w:t>⑨承担统筹规划全市法治社会建设的责任。负责拟订法治宣传教育规划，组织实施普法宣传工作，组织对外法治宣传。推动人民参与和促进法治建设。指导依法治理和法治创建工作，参与社会治安综合治理工作。指导调解工作和人民陪审员、人民监督员选任管理工作，推进司法所建设。</w:t>
      </w:r>
    </w:p>
    <w:p w14:paraId="065F5D27">
      <w:pPr>
        <w:keepNext w:val="0"/>
        <w:keepLines w:val="0"/>
        <w:pageBreakBefore w:val="0"/>
        <w:widowControl w:val="0"/>
        <w:numPr>
          <w:ilvl w:val="0"/>
          <w:numId w:val="0"/>
        </w:numPr>
        <w:shd w:val="clear"/>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仿宋" w:hAnsi="仿宋" w:eastAsia="仿宋_GB2312" w:cs="仿宋"/>
          <w:color w:val="000000" w:themeColor="text1"/>
          <w:sz w:val="32"/>
          <w:szCs w:val="32"/>
          <w:lang w:val="en-US" w:eastAsia="zh-CN"/>
          <w14:textFill>
            <w14:solidFill>
              <w14:schemeClr w14:val="tx1"/>
            </w14:solidFill>
          </w14:textFill>
        </w:rPr>
      </w:pPr>
      <w:r>
        <w:rPr>
          <w:rFonts w:hint="eastAsia" w:ascii="仿宋" w:hAnsi="仿宋" w:eastAsia="仿宋_GB2312" w:cs="仿宋"/>
          <w:color w:val="000000" w:themeColor="text1"/>
          <w:sz w:val="32"/>
          <w:szCs w:val="32"/>
          <w:lang w:val="en-US" w:eastAsia="zh-CN"/>
          <w14:textFill>
            <w14:solidFill>
              <w14:schemeClr w14:val="tx1"/>
            </w14:solidFill>
          </w14:textFill>
        </w:rPr>
        <w:t>⑩指导、管理社区矫正工作。指导刑满释放人员帮教安置工作。</w:t>
      </w:r>
    </w:p>
    <w:p w14:paraId="5BDE31F1">
      <w:pPr>
        <w:keepNext w:val="0"/>
        <w:keepLines w:val="0"/>
        <w:pageBreakBefore w:val="0"/>
        <w:widowControl w:val="0"/>
        <w:numPr>
          <w:ilvl w:val="0"/>
          <w:numId w:val="0"/>
        </w:numPr>
        <w:shd w:val="clear"/>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仿宋" w:hAnsi="仿宋" w:eastAsia="仿宋_GB2312" w:cs="仿宋"/>
          <w:color w:val="000000" w:themeColor="text1"/>
          <w:sz w:val="32"/>
          <w:szCs w:val="32"/>
          <w:lang w:val="en-US" w:eastAsia="zh-CN"/>
          <w14:textFill>
            <w14:solidFill>
              <w14:schemeClr w14:val="tx1"/>
            </w14:solidFill>
          </w14:textFill>
        </w:rPr>
      </w:pPr>
      <w:r>
        <w:rPr>
          <w:rFonts w:hint="eastAsia" w:ascii="仿宋" w:hAnsi="仿宋" w:eastAsia="仿宋_GB2312" w:cs="仿宋"/>
          <w:color w:val="000000" w:themeColor="text1"/>
          <w:sz w:val="32"/>
          <w:szCs w:val="32"/>
          <w:lang w:val="en-US" w:eastAsia="zh-CN"/>
          <w14:textFill>
            <w14:solidFill>
              <w14:schemeClr w14:val="tx1"/>
            </w14:solidFill>
          </w14:textFill>
        </w:rPr>
        <w:t>⑪指导管理本系统强制隔离戒毒执行和戒毒康复工作。对社区戒毒和社区康复工作提供指导、支持和协助。</w:t>
      </w:r>
    </w:p>
    <w:p w14:paraId="533718A6">
      <w:pPr>
        <w:keepNext w:val="0"/>
        <w:keepLines w:val="0"/>
        <w:pageBreakBefore w:val="0"/>
        <w:widowControl w:val="0"/>
        <w:numPr>
          <w:ilvl w:val="0"/>
          <w:numId w:val="0"/>
        </w:numPr>
        <w:shd w:val="clear"/>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仿宋" w:hAnsi="仿宋" w:eastAsia="仿宋_GB2312" w:cs="仿宋"/>
          <w:color w:val="000000" w:themeColor="text1"/>
          <w:sz w:val="32"/>
          <w:szCs w:val="32"/>
          <w:lang w:val="en-US" w:eastAsia="zh-CN"/>
          <w14:textFill>
            <w14:solidFill>
              <w14:schemeClr w14:val="tx1"/>
            </w14:solidFill>
          </w14:textFill>
        </w:rPr>
      </w:pPr>
      <w:r>
        <w:rPr>
          <w:rFonts w:hint="eastAsia" w:ascii="仿宋" w:hAnsi="仿宋" w:eastAsia="仿宋_GB2312" w:cs="仿宋"/>
          <w:color w:val="000000" w:themeColor="text1"/>
          <w:sz w:val="32"/>
          <w:szCs w:val="32"/>
          <w:lang w:val="en-US" w:eastAsia="zh-CN"/>
          <w14:textFill>
            <w14:solidFill>
              <w14:schemeClr w14:val="tx1"/>
            </w14:solidFill>
          </w14:textFill>
        </w:rPr>
        <w:t>⑫负责拟订公共法律服务体系建设规划并指导实施，统筹和布局城乡、区域法律服务资源。指导、监督律师、法律援助、司法鉴定、公证、仲裁和基层法律服务管理工作。</w:t>
      </w:r>
    </w:p>
    <w:p w14:paraId="6C9F7338">
      <w:pPr>
        <w:keepNext w:val="0"/>
        <w:keepLines w:val="0"/>
        <w:pageBreakBefore w:val="0"/>
        <w:widowControl w:val="0"/>
        <w:numPr>
          <w:ilvl w:val="0"/>
          <w:numId w:val="0"/>
        </w:numPr>
        <w:shd w:val="clear"/>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仿宋" w:hAnsi="仿宋" w:eastAsia="仿宋_GB2312" w:cs="仿宋"/>
          <w:color w:val="000000" w:themeColor="text1"/>
          <w:sz w:val="32"/>
          <w:szCs w:val="32"/>
          <w:lang w:val="en-US" w:eastAsia="zh-CN"/>
          <w14:textFill>
            <w14:solidFill>
              <w14:schemeClr w14:val="tx1"/>
            </w14:solidFill>
          </w14:textFill>
        </w:rPr>
      </w:pPr>
      <w:r>
        <w:rPr>
          <w:rFonts w:hint="eastAsia" w:ascii="仿宋" w:hAnsi="仿宋" w:eastAsia="仿宋_GB2312" w:cs="仿宋"/>
          <w:color w:val="000000" w:themeColor="text1"/>
          <w:sz w:val="32"/>
          <w:szCs w:val="32"/>
          <w:lang w:val="en-US" w:eastAsia="zh-CN"/>
          <w14:textFill>
            <w14:solidFill>
              <w14:schemeClr w14:val="tx1"/>
            </w14:solidFill>
          </w14:textFill>
        </w:rPr>
        <w:t>⑬负责全市国家统一法律职业资格考试的组织实施工作。负责全市法律职业资格证书申请的初审呈报和证书发放有关工作；负责法律职业资格证书取得者的有关管理工作；负责规划和指导法律职业人员入职前培训，参与指导面向社会的法学教育。</w:t>
      </w:r>
    </w:p>
    <w:p w14:paraId="0D39687E">
      <w:pPr>
        <w:keepNext w:val="0"/>
        <w:keepLines w:val="0"/>
        <w:pageBreakBefore w:val="0"/>
        <w:widowControl w:val="0"/>
        <w:numPr>
          <w:ilvl w:val="0"/>
          <w:numId w:val="0"/>
        </w:numPr>
        <w:shd w:val="clear"/>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仿宋" w:hAnsi="仿宋" w:eastAsia="仿宋_GB2312" w:cs="仿宋"/>
          <w:color w:val="000000" w:themeColor="text1"/>
          <w:sz w:val="32"/>
          <w:szCs w:val="32"/>
          <w:lang w:val="en-US" w:eastAsia="zh-CN"/>
          <w14:textFill>
            <w14:solidFill>
              <w14:schemeClr w14:val="tx1"/>
            </w14:solidFill>
          </w14:textFill>
        </w:rPr>
      </w:pPr>
      <w:r>
        <w:rPr>
          <w:rFonts w:hint="eastAsia" w:ascii="仿宋" w:hAnsi="仿宋" w:eastAsia="仿宋_GB2312" w:cs="仿宋"/>
          <w:color w:val="000000" w:themeColor="text1"/>
          <w:sz w:val="32"/>
          <w:szCs w:val="32"/>
          <w:lang w:val="en-US" w:eastAsia="zh-CN"/>
          <w14:textFill>
            <w14:solidFill>
              <w14:schemeClr w14:val="tx1"/>
            </w14:solidFill>
          </w14:textFill>
        </w:rPr>
        <w:t>⑭负责全市法治对外合作工作。组织开展法治对外合作交流。承担市政府涉外协议等文件的法律审查工作。</w:t>
      </w:r>
    </w:p>
    <w:p w14:paraId="37DAEF32">
      <w:pPr>
        <w:keepNext w:val="0"/>
        <w:keepLines w:val="0"/>
        <w:pageBreakBefore w:val="0"/>
        <w:widowControl w:val="0"/>
        <w:numPr>
          <w:ilvl w:val="0"/>
          <w:numId w:val="0"/>
        </w:numPr>
        <w:shd w:val="clear"/>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仿宋" w:hAnsi="仿宋" w:eastAsia="仿宋_GB2312" w:cs="仿宋"/>
          <w:color w:val="000000" w:themeColor="text1"/>
          <w:sz w:val="32"/>
          <w:szCs w:val="32"/>
          <w:lang w:val="en-US" w:eastAsia="zh-CN"/>
          <w14:textFill>
            <w14:solidFill>
              <w14:schemeClr w14:val="tx1"/>
            </w14:solidFill>
          </w14:textFill>
        </w:rPr>
      </w:pPr>
      <w:r>
        <w:rPr>
          <w:rFonts w:hint="eastAsia" w:ascii="仿宋" w:hAnsi="仿宋" w:eastAsia="仿宋_GB2312" w:cs="仿宋"/>
          <w:color w:val="000000" w:themeColor="text1"/>
          <w:sz w:val="32"/>
          <w:szCs w:val="32"/>
          <w:lang w:val="en-US" w:eastAsia="zh-CN"/>
          <w14:textFill>
            <w14:solidFill>
              <w14:schemeClr w14:val="tx1"/>
            </w14:solidFill>
          </w14:textFill>
        </w:rPr>
        <w:t>⑮负责本系统枪支、弹药、服装和警车管理工作，指导、监督本系统财务、装备、设施、场所等保障工作。</w:t>
      </w:r>
    </w:p>
    <w:p w14:paraId="42739BD2">
      <w:pPr>
        <w:keepNext w:val="0"/>
        <w:keepLines w:val="0"/>
        <w:pageBreakBefore w:val="0"/>
        <w:widowControl w:val="0"/>
        <w:numPr>
          <w:ilvl w:val="0"/>
          <w:numId w:val="0"/>
        </w:numPr>
        <w:shd w:val="clear"/>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仿宋" w:hAnsi="仿宋" w:eastAsia="仿宋_GB2312" w:cs="仿宋"/>
          <w:color w:val="000000" w:themeColor="text1"/>
          <w:sz w:val="32"/>
          <w:szCs w:val="32"/>
          <w:lang w:val="en-US" w:eastAsia="zh-CN"/>
          <w14:textFill>
            <w14:solidFill>
              <w14:schemeClr w14:val="tx1"/>
            </w14:solidFill>
          </w14:textFill>
        </w:rPr>
      </w:pPr>
      <w:r>
        <w:rPr>
          <w:rFonts w:hint="eastAsia" w:ascii="仿宋" w:hAnsi="仿宋" w:eastAsia="仿宋_GB2312" w:cs="仿宋"/>
          <w:color w:val="000000" w:themeColor="text1"/>
          <w:sz w:val="32"/>
          <w:szCs w:val="32"/>
          <w:lang w:val="en-US" w:eastAsia="zh-CN"/>
          <w14:textFill>
            <w14:solidFill>
              <w14:schemeClr w14:val="tx1"/>
            </w14:solidFill>
          </w14:textFill>
        </w:rPr>
        <w:t>⑯规划、协调、指导法治人才队伍建设相关工作。指导、监督本系统队伍建设。负责本系统警务管理和警务督察工作。协助各县市区管理司法局领导干部。</w:t>
      </w:r>
    </w:p>
    <w:p w14:paraId="5E7018C3">
      <w:pPr>
        <w:keepNext w:val="0"/>
        <w:keepLines w:val="0"/>
        <w:pageBreakBefore w:val="0"/>
        <w:widowControl w:val="0"/>
        <w:numPr>
          <w:ilvl w:val="0"/>
          <w:numId w:val="0"/>
        </w:numPr>
        <w:shd w:val="clear"/>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仿宋" w:hAnsi="仿宋" w:eastAsia="仿宋_GB2312" w:cs="仿宋"/>
          <w:b/>
          <w:bCs/>
          <w:color w:val="000000" w:themeColor="text1"/>
          <w:sz w:val="32"/>
          <w:szCs w:val="32"/>
          <w:lang w:eastAsia="zh-CN"/>
          <w14:textFill>
            <w14:solidFill>
              <w14:schemeClr w14:val="tx1"/>
            </w14:solidFill>
          </w14:textFill>
        </w:rPr>
      </w:pPr>
      <w:r>
        <w:rPr>
          <w:rFonts w:hint="eastAsia" w:ascii="仿宋" w:hAnsi="仿宋" w:eastAsia="仿宋_GB2312" w:cs="仿宋"/>
          <w:color w:val="000000" w:themeColor="text1"/>
          <w:sz w:val="32"/>
          <w:szCs w:val="32"/>
          <w:lang w:val="en-US" w:eastAsia="zh-CN"/>
          <w14:textFill>
            <w14:solidFill>
              <w14:schemeClr w14:val="tx1"/>
            </w14:solidFill>
          </w14:textFill>
        </w:rPr>
        <w:t>⑰完成市委、市人民政府交办的其他任务。</w:t>
      </w:r>
    </w:p>
    <w:p w14:paraId="06758730">
      <w:pPr>
        <w:keepNext w:val="0"/>
        <w:keepLines w:val="0"/>
        <w:pageBreakBefore w:val="0"/>
        <w:widowControl w:val="0"/>
        <w:shd w:val="clear"/>
        <w:kinsoku/>
        <w:wordWrap/>
        <w:overflowPunct/>
        <w:topLinePunct w:val="0"/>
        <w:autoSpaceDE/>
        <w:autoSpaceDN/>
        <w:bidi w:val="0"/>
        <w:adjustRightInd/>
        <w:snapToGrid/>
        <w:spacing w:line="600" w:lineRule="exact"/>
        <w:ind w:left="0" w:leftChars="0" w:right="0" w:rightChars="0" w:firstLine="643" w:firstLineChars="200"/>
        <w:jc w:val="both"/>
        <w:textAlignment w:val="auto"/>
        <w:outlineLvl w:val="9"/>
        <w:rPr>
          <w:rFonts w:hint="eastAsia" w:ascii="仿宋" w:hAnsi="仿宋" w:eastAsia="仿宋_GB2312" w:cs="仿宋"/>
          <w:b/>
          <w:bCs/>
          <w:color w:val="000000" w:themeColor="text1"/>
          <w:sz w:val="32"/>
          <w:szCs w:val="32"/>
          <w:lang w:val="en-US" w:eastAsia="zh-CN"/>
          <w14:textFill>
            <w14:solidFill>
              <w14:schemeClr w14:val="tx1"/>
            </w14:solidFill>
          </w14:textFill>
        </w:rPr>
      </w:pPr>
      <w:r>
        <w:rPr>
          <w:rFonts w:hint="eastAsia" w:ascii="Times New Roman" w:hAnsi="Times New Roman" w:eastAsia="仿宋_GB2312" w:cs="仿宋"/>
          <w:b/>
          <w:bCs/>
          <w:color w:val="000000" w:themeColor="text1"/>
          <w:sz w:val="32"/>
          <w:szCs w:val="32"/>
          <w:lang w:val="en-US" w:eastAsia="zh-CN"/>
          <w14:textFill>
            <w14:solidFill>
              <w14:schemeClr w14:val="tx1"/>
            </w14:solidFill>
          </w14:textFill>
        </w:rPr>
        <w:t>2</w:t>
      </w:r>
      <w:r>
        <w:rPr>
          <w:rFonts w:hint="eastAsia" w:ascii="仿宋" w:hAnsi="仿宋" w:eastAsia="仿宋_GB2312" w:cs="仿宋"/>
          <w:b/>
          <w:bCs/>
          <w:color w:val="000000" w:themeColor="text1"/>
          <w:sz w:val="32"/>
          <w:szCs w:val="32"/>
          <w:lang w:val="en-US" w:eastAsia="zh-CN"/>
          <w14:textFill>
            <w14:solidFill>
              <w14:schemeClr w14:val="tx1"/>
            </w14:solidFill>
          </w14:textFill>
        </w:rPr>
        <w:t>、机构设置情况</w:t>
      </w:r>
    </w:p>
    <w:p w14:paraId="5C6EFD6C">
      <w:pPr>
        <w:keepNext w:val="0"/>
        <w:keepLines w:val="0"/>
        <w:pageBreakBefore w:val="0"/>
        <w:widowControl w:val="0"/>
        <w:shd w:val="clear"/>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 w:hAnsi="仿宋" w:eastAsia="仿宋_GB2312" w:cs="仿宋"/>
          <w:color w:val="000000" w:themeColor="text1"/>
          <w:sz w:val="32"/>
          <w:szCs w:val="32"/>
          <w:lang w:eastAsia="zh-CN"/>
          <w14:textFill>
            <w14:solidFill>
              <w14:schemeClr w14:val="tx1"/>
            </w14:solidFill>
          </w14:textFill>
        </w:rPr>
      </w:pPr>
      <w:r>
        <w:rPr>
          <w:rFonts w:hint="eastAsia" w:ascii="仿宋" w:hAnsi="仿宋" w:eastAsia="仿宋_GB2312" w:cs="仿宋"/>
          <w:color w:val="000000" w:themeColor="text1"/>
          <w:sz w:val="32"/>
          <w:szCs w:val="32"/>
          <w:lang w:eastAsia="zh-CN"/>
          <w14:textFill>
            <w14:solidFill>
              <w14:schemeClr w14:val="tx1"/>
            </w14:solidFill>
          </w14:textFill>
        </w:rPr>
        <w:t>怀化市司法局作为一级部门预算单位，内设科室</w:t>
      </w:r>
      <w:r>
        <w:rPr>
          <w:rFonts w:hint="eastAsia" w:ascii="Times New Roman" w:hAnsi="Times New Roman" w:eastAsia="仿宋_GB2312" w:cs="仿宋"/>
          <w:color w:val="000000" w:themeColor="text1"/>
          <w:sz w:val="32"/>
          <w:szCs w:val="32"/>
          <w:lang w:val="en-US" w:eastAsia="zh-CN"/>
          <w14:textFill>
            <w14:solidFill>
              <w14:schemeClr w14:val="tx1"/>
            </w14:solidFill>
          </w14:textFill>
        </w:rPr>
        <w:t>15</w:t>
      </w:r>
      <w:r>
        <w:rPr>
          <w:rFonts w:hint="eastAsia" w:ascii="仿宋" w:hAnsi="仿宋" w:eastAsia="仿宋_GB2312" w:cs="仿宋"/>
          <w:color w:val="000000" w:themeColor="text1"/>
          <w:sz w:val="32"/>
          <w:szCs w:val="32"/>
          <w:lang w:val="en-US" w:eastAsia="zh-CN"/>
          <w14:textFill>
            <w14:solidFill>
              <w14:schemeClr w14:val="tx1"/>
            </w14:solidFill>
          </w14:textFill>
        </w:rPr>
        <w:t>个</w:t>
      </w:r>
      <w:r>
        <w:rPr>
          <w:rFonts w:hint="eastAsia" w:ascii="仿宋" w:hAnsi="仿宋" w:eastAsia="仿宋_GB2312" w:cs="仿宋"/>
          <w:color w:val="000000" w:themeColor="text1"/>
          <w:sz w:val="32"/>
          <w:szCs w:val="32"/>
          <w:lang w:eastAsia="zh-CN"/>
          <w14:textFill>
            <w14:solidFill>
              <w14:schemeClr w14:val="tx1"/>
            </w14:solidFill>
          </w14:textFill>
        </w:rPr>
        <w:t>：市委全面依法治市委员会办公室秘书科、办公室</w:t>
      </w:r>
      <w:r>
        <w:rPr>
          <w:rFonts w:hint="eastAsia" w:ascii="仿宋" w:hAnsi="仿宋" w:eastAsia="仿宋_GB2312" w:cs="仿宋"/>
          <w:i w:val="0"/>
          <w:caps w:val="0"/>
          <w:color w:val="000000" w:themeColor="text1"/>
          <w:spacing w:val="0"/>
          <w:sz w:val="32"/>
          <w:szCs w:val="32"/>
          <w:shd w:val="clear" w:color="auto" w:fill="FFFFFF"/>
          <w:lang w:eastAsia="zh-CN"/>
          <w14:textFill>
            <w14:solidFill>
              <w14:schemeClr w14:val="tx1"/>
            </w14:solidFill>
          </w14:textFill>
        </w:rPr>
        <w:t>、</w:t>
      </w:r>
      <w:r>
        <w:rPr>
          <w:rFonts w:hint="eastAsia" w:ascii="仿宋" w:hAnsi="仿宋" w:eastAsia="仿宋_GB2312" w:cs="仿宋"/>
          <w:i w:val="0"/>
          <w:caps w:val="0"/>
          <w:color w:val="000000" w:themeColor="text1"/>
          <w:spacing w:val="0"/>
          <w:sz w:val="32"/>
          <w:szCs w:val="32"/>
          <w:shd w:val="clear" w:color="auto" w:fill="FFFFFF"/>
          <w14:textFill>
            <w14:solidFill>
              <w14:schemeClr w14:val="tx1"/>
            </w14:solidFill>
          </w14:textFill>
        </w:rPr>
        <w:t>立法科(规范性文件管理与法律事务科）</w:t>
      </w:r>
      <w:r>
        <w:rPr>
          <w:rFonts w:hint="eastAsia" w:ascii="仿宋" w:hAnsi="仿宋" w:eastAsia="仿宋_GB2312" w:cs="仿宋"/>
          <w:i w:val="0"/>
          <w:caps w:val="0"/>
          <w:color w:val="000000" w:themeColor="text1"/>
          <w:spacing w:val="0"/>
          <w:sz w:val="32"/>
          <w:szCs w:val="32"/>
          <w:shd w:val="clear" w:color="auto" w:fill="FFFFFF"/>
          <w:lang w:eastAsia="zh-CN"/>
          <w14:textFill>
            <w14:solidFill>
              <w14:schemeClr w14:val="tx1"/>
            </w14:solidFill>
          </w14:textFill>
        </w:rPr>
        <w:t>、戒毒和专门矫治教育工作管理科、</w:t>
      </w:r>
      <w:r>
        <w:rPr>
          <w:rFonts w:hint="eastAsia" w:ascii="仿宋" w:hAnsi="仿宋" w:eastAsia="仿宋_GB2312" w:cs="仿宋"/>
          <w:i w:val="0"/>
          <w:caps w:val="0"/>
          <w:color w:val="000000" w:themeColor="text1"/>
          <w:spacing w:val="0"/>
          <w:sz w:val="32"/>
          <w:szCs w:val="32"/>
          <w:shd w:val="clear" w:color="auto" w:fill="FFFFFF"/>
          <w14:textFill>
            <w14:solidFill>
              <w14:schemeClr w14:val="tx1"/>
            </w14:solidFill>
          </w14:textFill>
        </w:rPr>
        <w:t>社区矫正管理科（市社区矫正管理局）</w:t>
      </w:r>
      <w:r>
        <w:rPr>
          <w:rFonts w:hint="eastAsia" w:ascii="仿宋" w:hAnsi="仿宋" w:eastAsia="仿宋_GB2312" w:cs="仿宋"/>
          <w:i w:val="0"/>
          <w:caps w:val="0"/>
          <w:color w:val="000000" w:themeColor="text1"/>
          <w:spacing w:val="0"/>
          <w:sz w:val="32"/>
          <w:szCs w:val="32"/>
          <w:shd w:val="clear" w:color="auto" w:fill="FFFFFF"/>
          <w:lang w:eastAsia="zh-CN"/>
          <w14:textFill>
            <w14:solidFill>
              <w14:schemeClr w14:val="tx1"/>
            </w14:solidFill>
          </w14:textFill>
        </w:rPr>
        <w:t>、</w:t>
      </w:r>
      <w:r>
        <w:rPr>
          <w:rFonts w:hint="eastAsia" w:ascii="仿宋" w:hAnsi="仿宋" w:eastAsia="仿宋_GB2312" w:cs="仿宋"/>
          <w:i w:val="0"/>
          <w:caps w:val="0"/>
          <w:color w:val="000000" w:themeColor="text1"/>
          <w:spacing w:val="0"/>
          <w:sz w:val="32"/>
          <w:szCs w:val="32"/>
          <w:shd w:val="clear" w:color="auto" w:fill="FFFFFF"/>
          <w14:textFill>
            <w14:solidFill>
              <w14:schemeClr w14:val="tx1"/>
            </w14:solidFill>
          </w14:textFill>
        </w:rPr>
        <w:t>行政复议应诉</w:t>
      </w:r>
      <w:r>
        <w:rPr>
          <w:rFonts w:hint="eastAsia" w:ascii="仿宋" w:hAnsi="仿宋" w:eastAsia="仿宋_GB2312" w:cs="仿宋"/>
          <w:i w:val="0"/>
          <w:caps w:val="0"/>
          <w:color w:val="000000" w:themeColor="text1"/>
          <w:spacing w:val="0"/>
          <w:sz w:val="32"/>
          <w:szCs w:val="32"/>
          <w:shd w:val="clear" w:color="auto" w:fill="FFFFFF"/>
          <w:lang w:eastAsia="zh-CN"/>
          <w14:textFill>
            <w14:solidFill>
              <w14:schemeClr w14:val="tx1"/>
            </w14:solidFill>
          </w14:textFill>
        </w:rPr>
        <w:t>综合</w:t>
      </w:r>
      <w:r>
        <w:rPr>
          <w:rFonts w:hint="eastAsia" w:ascii="仿宋" w:hAnsi="仿宋" w:eastAsia="仿宋_GB2312" w:cs="仿宋"/>
          <w:i w:val="0"/>
          <w:caps w:val="0"/>
          <w:color w:val="000000" w:themeColor="text1"/>
          <w:spacing w:val="0"/>
          <w:sz w:val="32"/>
          <w:szCs w:val="32"/>
          <w:shd w:val="clear" w:color="auto" w:fill="FFFFFF"/>
          <w14:textFill>
            <w14:solidFill>
              <w14:schemeClr w14:val="tx1"/>
            </w14:solidFill>
          </w14:textFill>
        </w:rPr>
        <w:t>科</w:t>
      </w:r>
      <w:r>
        <w:rPr>
          <w:rFonts w:hint="eastAsia" w:ascii="仿宋" w:hAnsi="仿宋" w:eastAsia="仿宋_GB2312" w:cs="仿宋"/>
          <w:i w:val="0"/>
          <w:caps w:val="0"/>
          <w:color w:val="000000" w:themeColor="text1"/>
          <w:spacing w:val="0"/>
          <w:sz w:val="32"/>
          <w:szCs w:val="32"/>
          <w:shd w:val="clear" w:color="auto" w:fill="FFFFFF"/>
          <w:lang w:eastAsia="zh-CN"/>
          <w14:textFill>
            <w14:solidFill>
              <w14:schemeClr w14:val="tx1"/>
            </w14:solidFill>
          </w14:textFill>
        </w:rPr>
        <w:t>、行政复议应诉办案科、</w:t>
      </w:r>
      <w:r>
        <w:rPr>
          <w:rFonts w:hint="eastAsia" w:ascii="仿宋" w:hAnsi="仿宋" w:eastAsia="仿宋_GB2312" w:cs="仿宋"/>
          <w:i w:val="0"/>
          <w:caps w:val="0"/>
          <w:color w:val="000000" w:themeColor="text1"/>
          <w:spacing w:val="-6"/>
          <w:sz w:val="32"/>
          <w:szCs w:val="32"/>
          <w:shd w:val="clear" w:color="auto" w:fill="FFFFFF"/>
          <w14:textFill>
            <w14:solidFill>
              <w14:schemeClr w14:val="tx1"/>
            </w14:solidFill>
          </w14:textFill>
        </w:rPr>
        <w:t>行政执法协调监督</w:t>
      </w:r>
      <w:r>
        <w:rPr>
          <w:rFonts w:hint="eastAsia" w:ascii="仿宋" w:hAnsi="仿宋" w:eastAsia="仿宋_GB2312" w:cs="仿宋"/>
          <w:i w:val="0"/>
          <w:caps w:val="0"/>
          <w:color w:val="000000" w:themeColor="text1"/>
          <w:spacing w:val="-6"/>
          <w:sz w:val="32"/>
          <w:szCs w:val="32"/>
          <w:shd w:val="clear" w:color="auto" w:fill="FFFFFF"/>
          <w:lang w:eastAsia="zh-CN"/>
          <w14:textFill>
            <w14:solidFill>
              <w14:schemeClr w14:val="tx1"/>
            </w14:solidFill>
          </w14:textFill>
        </w:rPr>
        <w:t>办公室、</w:t>
      </w:r>
      <w:r>
        <w:rPr>
          <w:rFonts w:hint="eastAsia" w:ascii="仿宋" w:hAnsi="仿宋" w:eastAsia="仿宋_GB2312" w:cs="仿宋"/>
          <w:i w:val="0"/>
          <w:caps w:val="0"/>
          <w:color w:val="000000" w:themeColor="text1"/>
          <w:spacing w:val="-6"/>
          <w:sz w:val="32"/>
          <w:szCs w:val="32"/>
          <w:shd w:val="clear" w:color="auto" w:fill="FFFFFF"/>
          <w14:textFill>
            <w14:solidFill>
              <w14:schemeClr w14:val="tx1"/>
            </w14:solidFill>
          </w14:textFill>
        </w:rPr>
        <w:t>普法与依法治理科</w:t>
      </w:r>
      <w:r>
        <w:rPr>
          <w:rFonts w:hint="eastAsia" w:ascii="仿宋" w:hAnsi="仿宋" w:eastAsia="仿宋_GB2312" w:cs="仿宋"/>
          <w:i w:val="0"/>
          <w:caps w:val="0"/>
          <w:color w:val="000000" w:themeColor="text1"/>
          <w:spacing w:val="-6"/>
          <w:sz w:val="32"/>
          <w:szCs w:val="32"/>
          <w:shd w:val="clear" w:color="auto" w:fill="FFFFFF"/>
          <w:lang w:eastAsia="zh-CN"/>
          <w14:textFill>
            <w14:solidFill>
              <w14:schemeClr w14:val="tx1"/>
            </w14:solidFill>
          </w14:textFill>
        </w:rPr>
        <w:t>、</w:t>
      </w:r>
      <w:r>
        <w:rPr>
          <w:rFonts w:hint="eastAsia" w:ascii="仿宋" w:hAnsi="仿宋" w:eastAsia="仿宋_GB2312" w:cs="仿宋"/>
          <w:i w:val="0"/>
          <w:caps w:val="0"/>
          <w:color w:val="000000" w:themeColor="text1"/>
          <w:spacing w:val="-6"/>
          <w:sz w:val="32"/>
          <w:szCs w:val="32"/>
          <w:shd w:val="clear" w:color="auto" w:fill="FFFFFF"/>
          <w14:textFill>
            <w14:solidFill>
              <w14:schemeClr w14:val="tx1"/>
            </w14:solidFill>
          </w14:textFill>
        </w:rPr>
        <w:t>人民参与和促进法治科（人民陪审员和监督员选任管理办公室）</w:t>
      </w:r>
      <w:r>
        <w:rPr>
          <w:rFonts w:hint="eastAsia" w:ascii="仿宋" w:hAnsi="仿宋" w:eastAsia="仿宋_GB2312" w:cs="仿宋"/>
          <w:i w:val="0"/>
          <w:caps w:val="0"/>
          <w:color w:val="000000" w:themeColor="text1"/>
          <w:spacing w:val="-6"/>
          <w:sz w:val="32"/>
          <w:szCs w:val="32"/>
          <w:shd w:val="clear" w:color="auto" w:fill="FFFFFF"/>
          <w:lang w:eastAsia="zh-CN"/>
          <w14:textFill>
            <w14:solidFill>
              <w14:schemeClr w14:val="tx1"/>
            </w14:solidFill>
          </w14:textFill>
        </w:rPr>
        <w:t>、</w:t>
      </w:r>
      <w:r>
        <w:rPr>
          <w:rFonts w:hint="eastAsia" w:ascii="仿宋" w:hAnsi="仿宋" w:eastAsia="仿宋_GB2312" w:cs="仿宋"/>
          <w:color w:val="000000" w:themeColor="text1"/>
          <w:spacing w:val="-6"/>
          <w:sz w:val="32"/>
          <w:szCs w:val="32"/>
          <w14:textFill>
            <w14:solidFill>
              <w14:schemeClr w14:val="tx1"/>
            </w14:solidFill>
          </w14:textFill>
        </w:rPr>
        <w:t>公共法律服务管理科</w:t>
      </w:r>
      <w:r>
        <w:rPr>
          <w:rFonts w:hint="eastAsia" w:ascii="仿宋" w:hAnsi="仿宋" w:eastAsia="仿宋_GB2312" w:cs="仿宋"/>
          <w:color w:val="000000" w:themeColor="text1"/>
          <w:spacing w:val="-6"/>
          <w:sz w:val="32"/>
          <w:szCs w:val="32"/>
          <w:lang w:eastAsia="zh-CN"/>
          <w14:textFill>
            <w14:solidFill>
              <w14:schemeClr w14:val="tx1"/>
            </w14:solidFill>
          </w14:textFill>
        </w:rPr>
        <w:t>、</w:t>
      </w:r>
      <w:r>
        <w:rPr>
          <w:rFonts w:hint="eastAsia" w:ascii="仿宋" w:hAnsi="仿宋" w:eastAsia="仿宋_GB2312" w:cs="仿宋"/>
          <w:i w:val="0"/>
          <w:caps w:val="0"/>
          <w:color w:val="000000" w:themeColor="text1"/>
          <w:spacing w:val="-6"/>
          <w:sz w:val="32"/>
          <w:szCs w:val="32"/>
          <w:shd w:val="clear" w:color="auto" w:fill="FFFFFF"/>
          <w:lang w:eastAsia="zh-CN"/>
          <w14:textFill>
            <w14:solidFill>
              <w14:schemeClr w14:val="tx1"/>
            </w14:solidFill>
          </w14:textFill>
        </w:rPr>
        <w:t>法律职业资格管理和律师工作科、</w:t>
      </w:r>
      <w:r>
        <w:rPr>
          <w:rFonts w:hint="eastAsia" w:ascii="仿宋" w:hAnsi="仿宋" w:eastAsia="仿宋_GB2312" w:cs="仿宋"/>
          <w:i w:val="0"/>
          <w:caps w:val="0"/>
          <w:color w:val="000000" w:themeColor="text1"/>
          <w:spacing w:val="-6"/>
          <w:sz w:val="32"/>
          <w:szCs w:val="32"/>
          <w:shd w:val="clear" w:color="auto" w:fill="FFFFFF"/>
          <w14:textFill>
            <w14:solidFill>
              <w14:schemeClr w14:val="tx1"/>
            </w14:solidFill>
          </w14:textFill>
        </w:rPr>
        <w:t>装备财务保障科</w:t>
      </w:r>
      <w:r>
        <w:rPr>
          <w:rFonts w:hint="eastAsia" w:ascii="仿宋" w:hAnsi="仿宋" w:eastAsia="仿宋_GB2312" w:cs="仿宋"/>
          <w:i w:val="0"/>
          <w:caps w:val="0"/>
          <w:color w:val="000000" w:themeColor="text1"/>
          <w:spacing w:val="-6"/>
          <w:sz w:val="32"/>
          <w:szCs w:val="32"/>
          <w:shd w:val="clear" w:color="auto" w:fill="FFFFFF"/>
          <w:lang w:eastAsia="zh-CN"/>
          <w14:textFill>
            <w14:solidFill>
              <w14:schemeClr w14:val="tx1"/>
            </w14:solidFill>
          </w14:textFill>
        </w:rPr>
        <w:t>、</w:t>
      </w:r>
      <w:r>
        <w:rPr>
          <w:rFonts w:hint="eastAsia" w:ascii="仿宋" w:hAnsi="仿宋" w:eastAsia="仿宋_GB2312" w:cs="仿宋"/>
          <w:i w:val="0"/>
          <w:caps w:val="0"/>
          <w:color w:val="000000" w:themeColor="text1"/>
          <w:spacing w:val="-6"/>
          <w:sz w:val="32"/>
          <w:szCs w:val="32"/>
          <w:shd w:val="clear" w:color="auto" w:fill="FFFFFF"/>
          <w14:textFill>
            <w14:solidFill>
              <w14:schemeClr w14:val="tx1"/>
            </w14:solidFill>
          </w14:textFill>
        </w:rPr>
        <w:t>政治部（</w:t>
      </w:r>
      <w:r>
        <w:rPr>
          <w:rFonts w:hint="eastAsia" w:ascii="仿宋" w:hAnsi="仿宋" w:eastAsia="仿宋_GB2312" w:cs="仿宋"/>
          <w:i w:val="0"/>
          <w:caps w:val="0"/>
          <w:color w:val="000000" w:themeColor="text1"/>
          <w:spacing w:val="-6"/>
          <w:sz w:val="32"/>
          <w:szCs w:val="32"/>
          <w:shd w:val="clear" w:color="auto" w:fill="FFFFFF"/>
          <w:lang w:eastAsia="zh-CN"/>
          <w14:textFill>
            <w14:solidFill>
              <w14:schemeClr w14:val="tx1"/>
            </w14:solidFill>
          </w14:textFill>
        </w:rPr>
        <w:t>设组织干部科、警务管理科</w:t>
      </w:r>
      <w:r>
        <w:rPr>
          <w:rFonts w:hint="eastAsia" w:ascii="仿宋" w:hAnsi="仿宋" w:eastAsia="仿宋_GB2312" w:cs="仿宋"/>
          <w:i w:val="0"/>
          <w:caps w:val="0"/>
          <w:color w:val="000000" w:themeColor="text1"/>
          <w:spacing w:val="-6"/>
          <w:sz w:val="32"/>
          <w:szCs w:val="32"/>
          <w:shd w:val="clear" w:color="auto" w:fill="FFFFFF"/>
          <w14:textFill>
            <w14:solidFill>
              <w14:schemeClr w14:val="tx1"/>
            </w14:solidFill>
          </w14:textFill>
        </w:rPr>
        <w:t>）</w:t>
      </w:r>
      <w:r>
        <w:rPr>
          <w:rFonts w:hint="eastAsia" w:ascii="仿宋" w:hAnsi="仿宋" w:eastAsia="仿宋_GB2312" w:cs="仿宋"/>
          <w:i w:val="0"/>
          <w:caps w:val="0"/>
          <w:color w:val="000000" w:themeColor="text1"/>
          <w:spacing w:val="-6"/>
          <w:sz w:val="32"/>
          <w:szCs w:val="32"/>
          <w:shd w:val="clear" w:color="auto" w:fill="FFFFFF"/>
          <w:lang w:eastAsia="zh-CN"/>
          <w14:textFill>
            <w14:solidFill>
              <w14:schemeClr w14:val="tx1"/>
            </w14:solidFill>
          </w14:textFill>
        </w:rPr>
        <w:t>、</w:t>
      </w:r>
      <w:r>
        <w:rPr>
          <w:rFonts w:hint="eastAsia" w:ascii="仿宋" w:hAnsi="仿宋" w:eastAsia="仿宋_GB2312" w:cs="仿宋"/>
          <w:i w:val="0"/>
          <w:caps w:val="0"/>
          <w:color w:val="000000" w:themeColor="text1"/>
          <w:spacing w:val="-6"/>
          <w:sz w:val="32"/>
          <w:szCs w:val="32"/>
          <w:shd w:val="clear" w:color="auto" w:fill="FFFFFF"/>
          <w14:textFill>
            <w14:solidFill>
              <w14:schemeClr w14:val="tx1"/>
            </w14:solidFill>
          </w14:textFill>
        </w:rPr>
        <w:t>机关党委</w:t>
      </w:r>
      <w:r>
        <w:rPr>
          <w:rFonts w:hint="eastAsia" w:ascii="仿宋" w:hAnsi="仿宋" w:eastAsia="仿宋_GB2312" w:cs="仿宋"/>
          <w:color w:val="000000" w:themeColor="text1"/>
          <w:spacing w:val="-6"/>
          <w:sz w:val="32"/>
          <w:szCs w:val="32"/>
          <w:lang w:eastAsia="zh-CN"/>
          <w14:textFill>
            <w14:solidFill>
              <w14:schemeClr w14:val="tx1"/>
            </w14:solidFill>
          </w14:textFill>
        </w:rPr>
        <w:t>。所属二级机构</w:t>
      </w:r>
      <w:r>
        <w:rPr>
          <w:rFonts w:hint="eastAsia" w:ascii="Times New Roman" w:hAnsi="Times New Roman" w:eastAsia="仿宋_GB2312" w:cs="仿宋"/>
          <w:color w:val="000000" w:themeColor="text1"/>
          <w:spacing w:val="-6"/>
          <w:sz w:val="32"/>
          <w:szCs w:val="32"/>
          <w:lang w:val="en-US" w:eastAsia="zh-CN"/>
          <w14:textFill>
            <w14:solidFill>
              <w14:schemeClr w14:val="tx1"/>
            </w14:solidFill>
          </w14:textFill>
        </w:rPr>
        <w:t>3</w:t>
      </w:r>
      <w:r>
        <w:rPr>
          <w:rFonts w:hint="eastAsia" w:ascii="仿宋" w:hAnsi="仿宋" w:eastAsia="仿宋_GB2312" w:cs="仿宋"/>
          <w:color w:val="000000" w:themeColor="text1"/>
          <w:spacing w:val="-6"/>
          <w:sz w:val="32"/>
          <w:szCs w:val="32"/>
          <w:lang w:eastAsia="zh-CN"/>
          <w14:textFill>
            <w14:solidFill>
              <w14:schemeClr w14:val="tx1"/>
            </w14:solidFill>
          </w14:textFill>
        </w:rPr>
        <w:t>个：怀化市法律援助中心（非独立核算全额拨款公益一类事业单位）、怀化仲裁委员会秘书处（财政拨款二级预算单位）、怀化市天桥公证处（自收自支公益二类事业单位）。</w:t>
      </w:r>
    </w:p>
    <w:p w14:paraId="7043A5DC">
      <w:pPr>
        <w:keepNext w:val="0"/>
        <w:keepLines w:val="0"/>
        <w:pageBreakBefore w:val="0"/>
        <w:widowControl w:val="0"/>
        <w:numPr>
          <w:ilvl w:val="0"/>
          <w:numId w:val="0"/>
        </w:numPr>
        <w:shd w:val="clear"/>
        <w:kinsoku/>
        <w:wordWrap/>
        <w:overflowPunct/>
        <w:topLinePunct w:val="0"/>
        <w:autoSpaceDE/>
        <w:autoSpaceDN/>
        <w:bidi w:val="0"/>
        <w:adjustRightInd/>
        <w:snapToGrid/>
        <w:spacing w:line="600" w:lineRule="exact"/>
        <w:ind w:right="0" w:rightChars="0" w:firstLine="643" w:firstLineChars="200"/>
        <w:jc w:val="both"/>
        <w:textAlignment w:val="auto"/>
        <w:outlineLvl w:val="9"/>
        <w:rPr>
          <w:rFonts w:hint="eastAsia" w:ascii="仿宋" w:hAnsi="仿宋" w:eastAsia="仿宋_GB2312" w:cs="仿宋"/>
          <w:b/>
          <w:bCs/>
          <w:color w:val="000000" w:themeColor="text1"/>
          <w:sz w:val="32"/>
          <w:szCs w:val="32"/>
          <w:lang w:val="en-US" w:eastAsia="zh-CN"/>
          <w14:textFill>
            <w14:solidFill>
              <w14:schemeClr w14:val="tx1"/>
            </w14:solidFill>
          </w14:textFill>
        </w:rPr>
      </w:pPr>
      <w:r>
        <w:rPr>
          <w:rFonts w:hint="eastAsia" w:ascii="Times New Roman" w:hAnsi="Times New Roman" w:eastAsia="仿宋_GB2312" w:cs="仿宋"/>
          <w:b/>
          <w:bCs/>
          <w:color w:val="000000" w:themeColor="text1"/>
          <w:sz w:val="32"/>
          <w:szCs w:val="32"/>
          <w:lang w:val="en-US" w:eastAsia="zh-CN"/>
          <w14:textFill>
            <w14:solidFill>
              <w14:schemeClr w14:val="tx1"/>
            </w14:solidFill>
          </w14:textFill>
        </w:rPr>
        <w:t>3</w:t>
      </w:r>
      <w:r>
        <w:rPr>
          <w:rFonts w:hint="eastAsia" w:ascii="仿宋" w:hAnsi="仿宋" w:eastAsia="仿宋_GB2312" w:cs="仿宋"/>
          <w:b/>
          <w:bCs/>
          <w:color w:val="000000" w:themeColor="text1"/>
          <w:sz w:val="32"/>
          <w:szCs w:val="32"/>
          <w:lang w:val="en-US" w:eastAsia="zh-CN"/>
          <w14:textFill>
            <w14:solidFill>
              <w14:schemeClr w14:val="tx1"/>
            </w14:solidFill>
          </w14:textFill>
        </w:rPr>
        <w:t>、人员编制情况</w:t>
      </w:r>
    </w:p>
    <w:p w14:paraId="78DFFC62">
      <w:pPr>
        <w:keepNext w:val="0"/>
        <w:keepLines w:val="0"/>
        <w:pageBreakBefore w:val="0"/>
        <w:widowControl w:val="0"/>
        <w:numPr>
          <w:ilvl w:val="0"/>
          <w:numId w:val="0"/>
        </w:numPr>
        <w:shd w:val="clear"/>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 w:hAnsi="仿宋" w:eastAsia="仿宋_GB2312" w:cs="仿宋"/>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仿宋"/>
          <w:color w:val="000000" w:themeColor="text1"/>
          <w:sz w:val="32"/>
          <w:szCs w:val="32"/>
          <w:lang w:val="en-US" w:eastAsia="zh-CN"/>
          <w14:textFill>
            <w14:solidFill>
              <w14:schemeClr w14:val="tx1"/>
            </w14:solidFill>
          </w14:textFill>
        </w:rPr>
        <w:t>2025</w:t>
      </w:r>
      <w:r>
        <w:rPr>
          <w:rFonts w:hint="eastAsia" w:ascii="仿宋" w:hAnsi="仿宋" w:eastAsia="仿宋_GB2312" w:cs="仿宋"/>
          <w:color w:val="000000" w:themeColor="text1"/>
          <w:sz w:val="32"/>
          <w:szCs w:val="32"/>
          <w:lang w:val="en-US" w:eastAsia="zh-CN"/>
          <w14:textFill>
            <w14:solidFill>
              <w14:schemeClr w14:val="tx1"/>
            </w14:solidFill>
          </w14:textFill>
        </w:rPr>
        <w:t>年末，怀化市司法局编制数</w:t>
      </w:r>
      <w:r>
        <w:rPr>
          <w:rFonts w:hint="eastAsia" w:ascii="Times New Roman" w:hAnsi="Times New Roman" w:eastAsia="仿宋_GB2312" w:cs="仿宋"/>
          <w:color w:val="000000" w:themeColor="text1"/>
          <w:sz w:val="32"/>
          <w:szCs w:val="32"/>
          <w:lang w:val="en-US" w:eastAsia="zh-CN"/>
          <w14:textFill>
            <w14:solidFill>
              <w14:schemeClr w14:val="tx1"/>
            </w14:solidFill>
          </w14:textFill>
        </w:rPr>
        <w:t>79</w:t>
      </w:r>
      <w:r>
        <w:rPr>
          <w:rFonts w:hint="eastAsia" w:ascii="仿宋" w:hAnsi="仿宋" w:eastAsia="仿宋_GB2312" w:cs="仿宋"/>
          <w:color w:val="000000" w:themeColor="text1"/>
          <w:sz w:val="32"/>
          <w:szCs w:val="32"/>
          <w:lang w:val="en-US" w:eastAsia="zh-CN"/>
          <w14:textFill>
            <w14:solidFill>
              <w14:schemeClr w14:val="tx1"/>
            </w14:solidFill>
          </w14:textFill>
        </w:rPr>
        <w:t>个，其中政法专项编制数</w:t>
      </w:r>
      <w:r>
        <w:rPr>
          <w:rFonts w:hint="eastAsia" w:ascii="Times New Roman" w:hAnsi="Times New Roman" w:eastAsia="仿宋_GB2312" w:cs="仿宋"/>
          <w:color w:val="000000" w:themeColor="text1"/>
          <w:sz w:val="32"/>
          <w:szCs w:val="32"/>
          <w:lang w:val="en-US" w:eastAsia="zh-CN"/>
          <w14:textFill>
            <w14:solidFill>
              <w14:schemeClr w14:val="tx1"/>
            </w14:solidFill>
          </w14:textFill>
        </w:rPr>
        <w:t>70</w:t>
      </w:r>
      <w:r>
        <w:rPr>
          <w:rFonts w:hint="eastAsia" w:ascii="仿宋" w:hAnsi="仿宋" w:eastAsia="仿宋_GB2312" w:cs="仿宋"/>
          <w:color w:val="000000" w:themeColor="text1"/>
          <w:sz w:val="32"/>
          <w:szCs w:val="32"/>
          <w:lang w:val="en-US" w:eastAsia="zh-CN"/>
          <w14:textFill>
            <w14:solidFill>
              <w14:schemeClr w14:val="tx1"/>
            </w14:solidFill>
          </w14:textFill>
        </w:rPr>
        <w:t>个，事业编制数</w:t>
      </w:r>
      <w:r>
        <w:rPr>
          <w:rFonts w:hint="eastAsia" w:ascii="Times New Roman" w:hAnsi="Times New Roman" w:eastAsia="仿宋_GB2312" w:cs="仿宋"/>
          <w:color w:val="000000" w:themeColor="text1"/>
          <w:sz w:val="32"/>
          <w:szCs w:val="32"/>
          <w:lang w:val="en-US" w:eastAsia="zh-CN"/>
          <w14:textFill>
            <w14:solidFill>
              <w14:schemeClr w14:val="tx1"/>
            </w14:solidFill>
          </w14:textFill>
        </w:rPr>
        <w:t>9</w:t>
      </w:r>
      <w:r>
        <w:rPr>
          <w:rFonts w:hint="eastAsia" w:ascii="仿宋" w:hAnsi="仿宋" w:eastAsia="仿宋_GB2312" w:cs="仿宋"/>
          <w:color w:val="000000" w:themeColor="text1"/>
          <w:sz w:val="32"/>
          <w:szCs w:val="32"/>
          <w:lang w:val="en-US" w:eastAsia="zh-CN"/>
          <w14:textFill>
            <w14:solidFill>
              <w14:schemeClr w14:val="tx1"/>
            </w14:solidFill>
          </w14:textFill>
        </w:rPr>
        <w:t>个；在职人数</w:t>
      </w:r>
      <w:r>
        <w:rPr>
          <w:rFonts w:hint="eastAsia" w:ascii="Times New Roman" w:hAnsi="Times New Roman" w:eastAsia="仿宋_GB2312" w:cs="仿宋"/>
          <w:color w:val="000000" w:themeColor="text1"/>
          <w:sz w:val="32"/>
          <w:szCs w:val="32"/>
          <w:lang w:val="en-US" w:eastAsia="zh-CN"/>
          <w14:textFill>
            <w14:solidFill>
              <w14:schemeClr w14:val="tx1"/>
            </w14:solidFill>
          </w14:textFill>
        </w:rPr>
        <w:t>76</w:t>
      </w:r>
      <w:r>
        <w:rPr>
          <w:rFonts w:hint="eastAsia" w:ascii="仿宋" w:hAnsi="仿宋" w:eastAsia="仿宋_GB2312" w:cs="仿宋"/>
          <w:color w:val="000000" w:themeColor="text1"/>
          <w:sz w:val="32"/>
          <w:szCs w:val="32"/>
          <w:lang w:val="en-US" w:eastAsia="zh-CN"/>
          <w14:textFill>
            <w14:solidFill>
              <w14:schemeClr w14:val="tx1"/>
            </w14:solidFill>
          </w14:textFill>
        </w:rPr>
        <w:t>个，其中政法专项编制人员</w:t>
      </w:r>
      <w:r>
        <w:rPr>
          <w:rFonts w:hint="eastAsia" w:ascii="Times New Roman" w:hAnsi="Times New Roman" w:eastAsia="仿宋_GB2312" w:cs="仿宋"/>
          <w:color w:val="000000" w:themeColor="text1"/>
          <w:sz w:val="32"/>
          <w:szCs w:val="32"/>
          <w:lang w:val="en-US" w:eastAsia="zh-CN"/>
          <w14:textFill>
            <w14:solidFill>
              <w14:schemeClr w14:val="tx1"/>
            </w14:solidFill>
          </w14:textFill>
        </w:rPr>
        <w:t>67</w:t>
      </w:r>
      <w:r>
        <w:rPr>
          <w:rFonts w:hint="eastAsia" w:ascii="仿宋" w:hAnsi="仿宋" w:eastAsia="仿宋_GB2312" w:cs="仿宋"/>
          <w:color w:val="000000" w:themeColor="text1"/>
          <w:sz w:val="32"/>
          <w:szCs w:val="32"/>
          <w:lang w:val="en-US" w:eastAsia="zh-CN"/>
          <w14:textFill>
            <w14:solidFill>
              <w14:schemeClr w14:val="tx1"/>
            </w14:solidFill>
          </w14:textFill>
        </w:rPr>
        <w:t>个，事业编制人员</w:t>
      </w:r>
      <w:r>
        <w:rPr>
          <w:rFonts w:hint="eastAsia" w:ascii="Times New Roman" w:hAnsi="Times New Roman" w:eastAsia="仿宋_GB2312" w:cs="仿宋"/>
          <w:color w:val="000000" w:themeColor="text1"/>
          <w:sz w:val="32"/>
          <w:szCs w:val="32"/>
          <w:lang w:val="en-US" w:eastAsia="zh-CN"/>
          <w14:textFill>
            <w14:solidFill>
              <w14:schemeClr w14:val="tx1"/>
            </w14:solidFill>
          </w14:textFill>
        </w:rPr>
        <w:t>9</w:t>
      </w:r>
      <w:r>
        <w:rPr>
          <w:rFonts w:hint="eastAsia" w:ascii="仿宋" w:hAnsi="仿宋" w:eastAsia="仿宋_GB2312" w:cs="仿宋"/>
          <w:color w:val="000000" w:themeColor="text1"/>
          <w:sz w:val="32"/>
          <w:szCs w:val="32"/>
          <w:lang w:val="en-US" w:eastAsia="zh-CN"/>
          <w14:textFill>
            <w14:solidFill>
              <w14:schemeClr w14:val="tx1"/>
            </w14:solidFill>
          </w14:textFill>
        </w:rPr>
        <w:t>个。</w:t>
      </w:r>
    </w:p>
    <w:p w14:paraId="27D5F79F">
      <w:pPr>
        <w:keepNext w:val="0"/>
        <w:keepLines w:val="0"/>
        <w:pageBreakBefore w:val="0"/>
        <w:widowControl w:val="0"/>
        <w:numPr>
          <w:ilvl w:val="0"/>
          <w:numId w:val="0"/>
        </w:numPr>
        <w:shd w:val="clear"/>
        <w:kinsoku/>
        <w:wordWrap/>
        <w:overflowPunct/>
        <w:topLinePunct w:val="0"/>
        <w:autoSpaceDE/>
        <w:autoSpaceDN/>
        <w:bidi w:val="0"/>
        <w:adjustRightInd/>
        <w:snapToGrid w:val="0"/>
        <w:spacing w:line="600" w:lineRule="exact"/>
        <w:ind w:firstLine="643" w:firstLineChars="200"/>
        <w:textAlignment w:val="auto"/>
        <w:rPr>
          <w:rFonts w:hint="eastAsia" w:ascii="楷体" w:hAnsi="楷体" w:eastAsia="楷体_GB2312" w:cs="楷体"/>
          <w:b/>
          <w:bCs/>
          <w:color w:val="auto"/>
          <w:sz w:val="32"/>
          <w:szCs w:val="32"/>
          <w:highlight w:val="none"/>
          <w:lang w:val="en-US" w:eastAsia="zh-CN"/>
        </w:rPr>
      </w:pPr>
      <w:r>
        <w:rPr>
          <w:rFonts w:hint="eastAsia" w:ascii="楷体" w:hAnsi="楷体" w:eastAsia="楷体_GB2312" w:cs="楷体"/>
          <w:b/>
          <w:bCs/>
          <w:color w:val="auto"/>
          <w:sz w:val="32"/>
          <w:szCs w:val="32"/>
          <w:highlight w:val="none"/>
          <w:lang w:val="en-US" w:eastAsia="zh-CN"/>
        </w:rPr>
        <w:t>（二）部门（单位）整体支出规模、使用方向和主要内容、涉及范围等。</w:t>
      </w:r>
    </w:p>
    <w:p w14:paraId="5200FEAF">
      <w:pPr>
        <w:keepNext w:val="0"/>
        <w:keepLines w:val="0"/>
        <w:pageBreakBefore w:val="0"/>
        <w:widowControl w:val="0"/>
        <w:numPr>
          <w:ilvl w:val="0"/>
          <w:numId w:val="0"/>
        </w:numPr>
        <w:shd w:val="clear"/>
        <w:kinsoku/>
        <w:wordWrap/>
        <w:overflowPunct/>
        <w:topLinePunct w:val="0"/>
        <w:autoSpaceDE/>
        <w:autoSpaceDN/>
        <w:bidi w:val="0"/>
        <w:adjustRightInd/>
        <w:snapToGrid w:val="0"/>
        <w:spacing w:line="600" w:lineRule="exact"/>
        <w:ind w:firstLine="640" w:firstLineChars="200"/>
        <w:jc w:val="both"/>
        <w:textAlignment w:val="auto"/>
        <w:rPr>
          <w:rFonts w:hint="eastAsia" w:ascii="仿宋" w:hAnsi="仿宋" w:eastAsia="仿宋_GB2312" w:cs="仿宋"/>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仿宋"/>
          <w:color w:val="000000" w:themeColor="text1"/>
          <w:sz w:val="32"/>
          <w:szCs w:val="32"/>
          <w:highlight w:val="none"/>
          <w:lang w:val="en-US" w:eastAsia="zh-CN"/>
          <w14:textFill>
            <w14:solidFill>
              <w14:schemeClr w14:val="tx1"/>
            </w14:solidFill>
          </w14:textFill>
        </w:rPr>
        <w:t>2025</w:t>
      </w:r>
      <w:r>
        <w:rPr>
          <w:rFonts w:hint="eastAsia" w:ascii="仿宋" w:hAnsi="仿宋" w:eastAsia="仿宋_GB2312" w:cs="仿宋"/>
          <w:color w:val="000000" w:themeColor="text1"/>
          <w:sz w:val="32"/>
          <w:szCs w:val="32"/>
          <w:highlight w:val="none"/>
          <w:lang w:val="en-US" w:eastAsia="zh-CN"/>
          <w14:textFill>
            <w14:solidFill>
              <w14:schemeClr w14:val="tx1"/>
            </w14:solidFill>
          </w14:textFill>
        </w:rPr>
        <w:t>年怀化市司法局整体支出</w:t>
      </w:r>
      <w:r>
        <w:rPr>
          <w:rFonts w:hint="eastAsia" w:ascii="Times New Roman" w:hAnsi="Times New Roman" w:eastAsia="仿宋_GB2312" w:cs="仿宋"/>
          <w:color w:val="000000" w:themeColor="text1"/>
          <w:sz w:val="32"/>
          <w:szCs w:val="32"/>
          <w:highlight w:val="none"/>
          <w:lang w:val="en-US" w:eastAsia="zh-CN"/>
          <w14:textFill>
            <w14:solidFill>
              <w14:schemeClr w14:val="tx1"/>
            </w14:solidFill>
          </w14:textFill>
        </w:rPr>
        <w:t>1896</w:t>
      </w:r>
      <w:r>
        <w:rPr>
          <w:rFonts w:hint="eastAsia" w:ascii="仿宋" w:hAnsi="仿宋" w:eastAsia="仿宋_GB2312" w:cs="仿宋"/>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仿宋"/>
          <w:color w:val="000000" w:themeColor="text1"/>
          <w:sz w:val="32"/>
          <w:szCs w:val="32"/>
          <w:highlight w:val="none"/>
          <w:lang w:val="en-US" w:eastAsia="zh-CN"/>
          <w14:textFill>
            <w14:solidFill>
              <w14:schemeClr w14:val="tx1"/>
            </w14:solidFill>
          </w14:textFill>
        </w:rPr>
        <w:t>28</w:t>
      </w:r>
      <w:r>
        <w:rPr>
          <w:rFonts w:hint="eastAsia" w:ascii="仿宋" w:hAnsi="仿宋" w:eastAsia="仿宋_GB2312" w:cs="仿宋"/>
          <w:color w:val="000000" w:themeColor="text1"/>
          <w:sz w:val="32"/>
          <w:szCs w:val="32"/>
          <w:highlight w:val="none"/>
          <w:lang w:val="en-US" w:eastAsia="zh-CN"/>
          <w14:textFill>
            <w14:solidFill>
              <w14:schemeClr w14:val="tx1"/>
            </w14:solidFill>
          </w14:textFill>
        </w:rPr>
        <w:t>万元，包括基本支出和项目支出，其中基本支出指人员经费和公用经费；项目支出是指围绕全面依法治市、立法、行政复议行政应诉、行政执法协调监督、国家法律职业资格管理等司法行政职能的支出。</w:t>
      </w:r>
    </w:p>
    <w:p w14:paraId="2E042E95">
      <w:pPr>
        <w:keepNext w:val="0"/>
        <w:keepLines w:val="0"/>
        <w:pageBreakBefore w:val="0"/>
        <w:widowControl w:val="0"/>
        <w:shd w:val="clear"/>
        <w:kinsoku/>
        <w:wordWrap/>
        <w:overflowPunct/>
        <w:topLinePunct w:val="0"/>
        <w:autoSpaceDE/>
        <w:autoSpaceDN/>
        <w:bidi w:val="0"/>
        <w:adjustRightInd/>
        <w:snapToGrid w:val="0"/>
        <w:spacing w:line="600" w:lineRule="exact"/>
        <w:ind w:firstLine="640" w:firstLineChars="200"/>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二、一般公共预算支出情况</w:t>
      </w:r>
    </w:p>
    <w:p w14:paraId="44FA4CFA">
      <w:pPr>
        <w:keepNext w:val="0"/>
        <w:keepLines w:val="0"/>
        <w:pageBreakBefore w:val="0"/>
        <w:widowControl w:val="0"/>
        <w:shd w:val="clear"/>
        <w:kinsoku/>
        <w:wordWrap/>
        <w:overflowPunct/>
        <w:topLinePunct w:val="0"/>
        <w:autoSpaceDE/>
        <w:autoSpaceDN/>
        <w:bidi w:val="0"/>
        <w:adjustRightInd/>
        <w:snapToGrid w:val="0"/>
        <w:spacing w:line="600" w:lineRule="exact"/>
        <w:ind w:firstLine="643" w:firstLineChars="200"/>
        <w:textAlignment w:val="auto"/>
        <w:rPr>
          <w:rFonts w:hint="eastAsia" w:ascii="楷体" w:hAnsi="楷体" w:eastAsia="楷体_GB2312" w:cs="楷体"/>
          <w:b/>
          <w:bCs/>
          <w:color w:val="auto"/>
          <w:sz w:val="32"/>
          <w:szCs w:val="32"/>
          <w:highlight w:val="none"/>
          <w:lang w:val="en-US" w:eastAsia="zh-CN"/>
        </w:rPr>
      </w:pPr>
      <w:r>
        <w:rPr>
          <w:rFonts w:hint="eastAsia" w:ascii="楷体" w:hAnsi="楷体" w:eastAsia="楷体_GB2312" w:cs="楷体"/>
          <w:b/>
          <w:bCs/>
          <w:color w:val="auto"/>
          <w:sz w:val="32"/>
          <w:szCs w:val="32"/>
          <w:highlight w:val="none"/>
          <w:lang w:val="en-US" w:eastAsia="zh-CN"/>
        </w:rPr>
        <w:t>（一）基本支出</w:t>
      </w:r>
    </w:p>
    <w:p w14:paraId="2CC225DC">
      <w:pPr>
        <w:keepNext w:val="0"/>
        <w:keepLines w:val="0"/>
        <w:pageBreakBefore w:val="0"/>
        <w:widowControl w:val="0"/>
        <w:shd w:val="clear"/>
        <w:kinsoku/>
        <w:wordWrap/>
        <w:overflowPunct/>
        <w:topLinePunct w:val="0"/>
        <w:autoSpaceDE/>
        <w:autoSpaceDN/>
        <w:bidi w:val="0"/>
        <w:adjustRightInd/>
        <w:snapToGrid w:val="0"/>
        <w:spacing w:line="600" w:lineRule="exact"/>
        <w:ind w:left="0" w:leftChars="0" w:firstLine="640" w:firstLineChars="200"/>
        <w:jc w:val="both"/>
        <w:textAlignment w:val="auto"/>
        <w:rPr>
          <w:rFonts w:hint="eastAsia" w:ascii="仿宋" w:hAnsi="仿宋" w:eastAsia="仿宋_GB2312" w:cs="仿宋"/>
          <w:color w:val="000000" w:themeColor="text1"/>
          <w:sz w:val="32"/>
          <w:szCs w:val="32"/>
          <w:highlight w:val="none"/>
          <w:lang w:val="en-US" w:eastAsia="zh-CN"/>
          <w14:textFill>
            <w14:solidFill>
              <w14:schemeClr w14:val="tx1"/>
            </w14:solidFill>
          </w14:textFill>
        </w:rPr>
      </w:pPr>
      <w:r>
        <w:rPr>
          <w:rFonts w:hint="eastAsia" w:ascii="仿宋" w:hAnsi="仿宋" w:eastAsia="仿宋_GB2312" w:cs="仿宋"/>
          <w:color w:val="000000" w:themeColor="text1"/>
          <w:sz w:val="32"/>
          <w:szCs w:val="32"/>
          <w:highlight w:val="none"/>
          <w:lang w:val="en-US" w:eastAsia="zh-CN"/>
          <w14:textFill>
            <w14:solidFill>
              <w14:schemeClr w14:val="tx1"/>
            </w14:solidFill>
          </w14:textFill>
        </w:rPr>
        <w:t>基本支出包括人员经费支出和公用经费支出，人员经费是指用于司法行政机关各项工资福利支出和对个人和家庭的补助支出；公用经费支出是指保障司法行政机关正常运转和完成日常工作任务所发生的支出。</w:t>
      </w:r>
    </w:p>
    <w:p w14:paraId="65978768">
      <w:pPr>
        <w:keepNext w:val="0"/>
        <w:keepLines w:val="0"/>
        <w:pageBreakBefore w:val="0"/>
        <w:widowControl w:val="0"/>
        <w:numPr>
          <w:ilvl w:val="0"/>
          <w:numId w:val="0"/>
        </w:numPr>
        <w:shd w:val="clear"/>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仿宋" w:hAnsi="仿宋" w:eastAsia="仿宋_GB2312" w:cs="仿宋"/>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仿宋"/>
          <w:color w:val="000000" w:themeColor="text1"/>
          <w:sz w:val="32"/>
          <w:szCs w:val="32"/>
          <w:lang w:eastAsia="zh-CN"/>
          <w14:textFill>
            <w14:solidFill>
              <w14:schemeClr w14:val="tx1"/>
            </w14:solidFill>
          </w14:textFill>
        </w:rPr>
        <w:t>20</w:t>
      </w:r>
      <w:r>
        <w:rPr>
          <w:rFonts w:hint="eastAsia" w:ascii="Times New Roman" w:hAnsi="Times New Roman" w:eastAsia="仿宋_GB2312" w:cs="仿宋"/>
          <w:color w:val="000000" w:themeColor="text1"/>
          <w:sz w:val="32"/>
          <w:szCs w:val="32"/>
          <w:lang w:val="en-US" w:eastAsia="zh-CN"/>
          <w14:textFill>
            <w14:solidFill>
              <w14:schemeClr w14:val="tx1"/>
            </w14:solidFill>
          </w14:textFill>
        </w:rPr>
        <w:t>25</w:t>
      </w:r>
      <w:r>
        <w:rPr>
          <w:rFonts w:hint="eastAsia" w:ascii="仿宋" w:hAnsi="仿宋" w:eastAsia="仿宋_GB2312" w:cs="仿宋"/>
          <w:color w:val="000000" w:themeColor="text1"/>
          <w:sz w:val="32"/>
          <w:szCs w:val="32"/>
          <w:lang w:eastAsia="zh-CN"/>
          <w14:textFill>
            <w14:solidFill>
              <w14:schemeClr w14:val="tx1"/>
            </w14:solidFill>
          </w14:textFill>
        </w:rPr>
        <w:t>年基本支出年初预算数为</w:t>
      </w:r>
      <w:r>
        <w:rPr>
          <w:rFonts w:hint="eastAsia" w:ascii="Times New Roman" w:hAnsi="Times New Roman" w:eastAsia="仿宋_GB2312" w:cs="仿宋"/>
          <w:color w:val="000000" w:themeColor="text1"/>
          <w:sz w:val="32"/>
          <w:szCs w:val="32"/>
          <w:lang w:val="en-US" w:eastAsia="zh-CN"/>
          <w14:textFill>
            <w14:solidFill>
              <w14:schemeClr w14:val="tx1"/>
            </w14:solidFill>
          </w14:textFill>
        </w:rPr>
        <w:t>1465</w:t>
      </w:r>
      <w:r>
        <w:rPr>
          <w:rFonts w:hint="eastAsia" w:ascii="仿宋" w:hAnsi="仿宋" w:eastAsia="仿宋_GB2312" w:cs="仿宋"/>
          <w:color w:val="000000" w:themeColor="text1"/>
          <w:sz w:val="32"/>
          <w:szCs w:val="32"/>
          <w:lang w:val="en-US" w:eastAsia="zh-CN"/>
          <w14:textFill>
            <w14:solidFill>
              <w14:schemeClr w14:val="tx1"/>
            </w14:solidFill>
          </w14:textFill>
        </w:rPr>
        <w:t>.</w:t>
      </w:r>
      <w:r>
        <w:rPr>
          <w:rFonts w:hint="eastAsia" w:ascii="Times New Roman" w:hAnsi="Times New Roman" w:eastAsia="仿宋_GB2312" w:cs="仿宋"/>
          <w:color w:val="000000" w:themeColor="text1"/>
          <w:sz w:val="32"/>
          <w:szCs w:val="32"/>
          <w:lang w:val="en-US" w:eastAsia="zh-CN"/>
          <w14:textFill>
            <w14:solidFill>
              <w14:schemeClr w14:val="tx1"/>
            </w14:solidFill>
          </w14:textFill>
        </w:rPr>
        <w:t>57</w:t>
      </w:r>
      <w:r>
        <w:rPr>
          <w:rFonts w:hint="eastAsia" w:ascii="仿宋" w:hAnsi="仿宋" w:eastAsia="仿宋_GB2312" w:cs="仿宋"/>
          <w:color w:val="000000" w:themeColor="text1"/>
          <w:sz w:val="32"/>
          <w:szCs w:val="32"/>
          <w:lang w:eastAsia="zh-CN"/>
          <w14:textFill>
            <w14:solidFill>
              <w14:schemeClr w14:val="tx1"/>
            </w14:solidFill>
          </w14:textFill>
        </w:rPr>
        <w:t>万元，实际支出数</w:t>
      </w:r>
      <w:r>
        <w:rPr>
          <w:rFonts w:hint="eastAsia" w:ascii="Times New Roman" w:hAnsi="Times New Roman" w:eastAsia="仿宋_GB2312" w:cs="仿宋"/>
          <w:color w:val="000000" w:themeColor="text1"/>
          <w:sz w:val="32"/>
          <w:szCs w:val="32"/>
          <w:lang w:val="en-US" w:eastAsia="zh-CN"/>
          <w14:textFill>
            <w14:solidFill>
              <w14:schemeClr w14:val="tx1"/>
            </w14:solidFill>
          </w14:textFill>
        </w:rPr>
        <w:t>1616</w:t>
      </w:r>
      <w:r>
        <w:rPr>
          <w:rFonts w:hint="eastAsia" w:ascii="仿宋" w:hAnsi="仿宋" w:eastAsia="仿宋_GB2312" w:cs="仿宋"/>
          <w:color w:val="000000" w:themeColor="text1"/>
          <w:sz w:val="32"/>
          <w:szCs w:val="32"/>
          <w:lang w:val="en-US" w:eastAsia="zh-CN"/>
          <w14:textFill>
            <w14:solidFill>
              <w14:schemeClr w14:val="tx1"/>
            </w14:solidFill>
          </w14:textFill>
        </w:rPr>
        <w:t>.</w:t>
      </w:r>
      <w:r>
        <w:rPr>
          <w:rFonts w:hint="eastAsia" w:ascii="Times New Roman" w:hAnsi="Times New Roman" w:eastAsia="仿宋_GB2312" w:cs="仿宋"/>
          <w:color w:val="000000" w:themeColor="text1"/>
          <w:sz w:val="32"/>
          <w:szCs w:val="32"/>
          <w:lang w:val="en-US" w:eastAsia="zh-CN"/>
          <w14:textFill>
            <w14:solidFill>
              <w14:schemeClr w14:val="tx1"/>
            </w14:solidFill>
          </w14:textFill>
        </w:rPr>
        <w:t>77</w:t>
      </w:r>
      <w:r>
        <w:rPr>
          <w:rFonts w:hint="eastAsia" w:ascii="仿宋" w:hAnsi="仿宋" w:eastAsia="仿宋_GB2312" w:cs="仿宋"/>
          <w:color w:val="000000" w:themeColor="text1"/>
          <w:sz w:val="32"/>
          <w:szCs w:val="32"/>
          <w:lang w:val="en-US" w:eastAsia="zh-CN"/>
          <w14:textFill>
            <w14:solidFill>
              <w14:schemeClr w14:val="tx1"/>
            </w14:solidFill>
          </w14:textFill>
        </w:rPr>
        <w:t>万元。</w:t>
      </w:r>
      <w:r>
        <w:rPr>
          <w:rFonts w:hint="eastAsia" w:ascii="仿宋" w:hAnsi="仿宋" w:eastAsia="仿宋_GB2312" w:cs="仿宋"/>
          <w:color w:val="000000" w:themeColor="text1"/>
          <w:sz w:val="32"/>
          <w:szCs w:val="32"/>
          <w:lang w:eastAsia="zh-CN"/>
          <w14:textFill>
            <w14:solidFill>
              <w14:schemeClr w14:val="tx1"/>
            </w14:solidFill>
          </w14:textFill>
        </w:rPr>
        <w:t>其中</w:t>
      </w:r>
      <w:r>
        <w:rPr>
          <w:rFonts w:hint="eastAsia" w:ascii="仿宋" w:hAnsi="仿宋" w:eastAsia="仿宋_GB2312" w:cs="仿宋"/>
          <w:color w:val="000000" w:themeColor="text1"/>
          <w:sz w:val="32"/>
          <w:szCs w:val="32"/>
          <w:lang w:val="en-US" w:eastAsia="zh-CN"/>
          <w14:textFill>
            <w14:solidFill>
              <w14:schemeClr w14:val="tx1"/>
            </w14:solidFill>
          </w14:textFill>
        </w:rPr>
        <w:t>公务接待费预算数</w:t>
      </w:r>
      <w:r>
        <w:rPr>
          <w:rFonts w:hint="eastAsia" w:ascii="Times New Roman" w:hAnsi="Times New Roman" w:eastAsia="仿宋_GB2312" w:cs="仿宋"/>
          <w:color w:val="000000" w:themeColor="text1"/>
          <w:sz w:val="32"/>
          <w:szCs w:val="32"/>
          <w:lang w:val="en-US" w:eastAsia="zh-CN"/>
          <w14:textFill>
            <w14:solidFill>
              <w14:schemeClr w14:val="tx1"/>
            </w14:solidFill>
          </w14:textFill>
        </w:rPr>
        <w:t>4</w:t>
      </w:r>
      <w:r>
        <w:rPr>
          <w:rFonts w:hint="eastAsia" w:ascii="仿宋" w:hAnsi="仿宋" w:eastAsia="仿宋_GB2312" w:cs="仿宋"/>
          <w:color w:val="000000" w:themeColor="text1"/>
          <w:sz w:val="32"/>
          <w:szCs w:val="32"/>
          <w:lang w:val="en-US" w:eastAsia="zh-CN"/>
          <w14:textFill>
            <w14:solidFill>
              <w14:schemeClr w14:val="tx1"/>
            </w14:solidFill>
          </w14:textFill>
        </w:rPr>
        <w:t>.</w:t>
      </w:r>
      <w:r>
        <w:rPr>
          <w:rFonts w:hint="eastAsia" w:ascii="Times New Roman" w:hAnsi="Times New Roman" w:eastAsia="仿宋_GB2312" w:cs="仿宋"/>
          <w:color w:val="000000" w:themeColor="text1"/>
          <w:sz w:val="32"/>
          <w:szCs w:val="32"/>
          <w:lang w:val="en-US" w:eastAsia="zh-CN"/>
          <w14:textFill>
            <w14:solidFill>
              <w14:schemeClr w14:val="tx1"/>
            </w14:solidFill>
          </w14:textFill>
        </w:rPr>
        <w:t>8</w:t>
      </w:r>
      <w:r>
        <w:rPr>
          <w:rFonts w:hint="eastAsia" w:ascii="仿宋" w:hAnsi="仿宋" w:eastAsia="仿宋_GB2312" w:cs="仿宋"/>
          <w:color w:val="000000" w:themeColor="text1"/>
          <w:sz w:val="32"/>
          <w:szCs w:val="32"/>
          <w:lang w:val="en-US" w:eastAsia="zh-CN"/>
          <w14:textFill>
            <w14:solidFill>
              <w14:schemeClr w14:val="tx1"/>
            </w14:solidFill>
          </w14:textFill>
        </w:rPr>
        <w:t>万元，实际支出数</w:t>
      </w:r>
      <w:r>
        <w:rPr>
          <w:rFonts w:hint="eastAsia" w:ascii="Times New Roman" w:hAnsi="Times New Roman" w:eastAsia="仿宋_GB2312" w:cs="仿宋"/>
          <w:color w:val="000000" w:themeColor="text1"/>
          <w:sz w:val="32"/>
          <w:szCs w:val="32"/>
          <w:lang w:val="en-US" w:eastAsia="zh-CN"/>
          <w14:textFill>
            <w14:solidFill>
              <w14:schemeClr w14:val="tx1"/>
            </w14:solidFill>
          </w14:textFill>
        </w:rPr>
        <w:t>0</w:t>
      </w:r>
      <w:r>
        <w:rPr>
          <w:rFonts w:hint="eastAsia" w:ascii="仿宋" w:hAnsi="仿宋" w:eastAsia="仿宋_GB2312" w:cs="仿宋"/>
          <w:color w:val="000000" w:themeColor="text1"/>
          <w:sz w:val="32"/>
          <w:szCs w:val="32"/>
          <w:lang w:val="en-US" w:eastAsia="zh-CN"/>
          <w14:textFill>
            <w14:solidFill>
              <w14:schemeClr w14:val="tx1"/>
            </w14:solidFill>
          </w14:textFill>
        </w:rPr>
        <w:t>.</w:t>
      </w:r>
      <w:r>
        <w:rPr>
          <w:rFonts w:hint="eastAsia" w:ascii="Times New Roman" w:hAnsi="Times New Roman" w:eastAsia="仿宋_GB2312" w:cs="仿宋"/>
          <w:color w:val="000000" w:themeColor="text1"/>
          <w:sz w:val="32"/>
          <w:szCs w:val="32"/>
          <w:lang w:val="en-US" w:eastAsia="zh-CN"/>
          <w14:textFill>
            <w14:solidFill>
              <w14:schemeClr w14:val="tx1"/>
            </w14:solidFill>
          </w14:textFill>
        </w:rPr>
        <w:t>09</w:t>
      </w:r>
      <w:r>
        <w:rPr>
          <w:rFonts w:hint="eastAsia" w:ascii="仿宋" w:hAnsi="仿宋" w:eastAsia="仿宋_GB2312" w:cs="仿宋"/>
          <w:color w:val="000000" w:themeColor="text1"/>
          <w:sz w:val="32"/>
          <w:szCs w:val="32"/>
          <w:lang w:val="en-US" w:eastAsia="zh-CN"/>
          <w14:textFill>
            <w14:solidFill>
              <w14:schemeClr w14:val="tx1"/>
            </w14:solidFill>
          </w14:textFill>
        </w:rPr>
        <w:t>万元，严格按照要求厉行节约。</w:t>
      </w:r>
    </w:p>
    <w:p w14:paraId="11494210">
      <w:pPr>
        <w:keepNext w:val="0"/>
        <w:keepLines w:val="0"/>
        <w:pageBreakBefore w:val="0"/>
        <w:widowControl w:val="0"/>
        <w:shd w:val="clear"/>
        <w:kinsoku/>
        <w:wordWrap/>
        <w:overflowPunct/>
        <w:topLinePunct w:val="0"/>
        <w:autoSpaceDE/>
        <w:autoSpaceDN/>
        <w:bidi w:val="0"/>
        <w:adjustRightInd/>
        <w:snapToGrid w:val="0"/>
        <w:spacing w:line="600" w:lineRule="exact"/>
        <w:ind w:firstLine="643" w:firstLineChars="200"/>
        <w:textAlignment w:val="auto"/>
        <w:rPr>
          <w:rFonts w:hint="eastAsia" w:ascii="楷体" w:hAnsi="楷体" w:eastAsia="楷体_GB2312" w:cs="楷体"/>
          <w:b/>
          <w:bCs/>
          <w:color w:val="auto"/>
          <w:sz w:val="32"/>
          <w:szCs w:val="32"/>
          <w:highlight w:val="none"/>
          <w:lang w:val="en-US" w:eastAsia="zh-CN"/>
        </w:rPr>
      </w:pPr>
      <w:r>
        <w:rPr>
          <w:rFonts w:hint="eastAsia" w:ascii="楷体" w:hAnsi="楷体" w:eastAsia="楷体_GB2312" w:cs="楷体"/>
          <w:b/>
          <w:bCs/>
          <w:color w:val="auto"/>
          <w:sz w:val="32"/>
          <w:szCs w:val="32"/>
          <w:highlight w:val="none"/>
          <w:lang w:val="en-US" w:eastAsia="zh-CN"/>
        </w:rPr>
        <w:t>（二）项目支出</w:t>
      </w:r>
    </w:p>
    <w:p w14:paraId="5702253B">
      <w:pPr>
        <w:keepNext w:val="0"/>
        <w:keepLines w:val="0"/>
        <w:pageBreakBefore w:val="0"/>
        <w:widowControl w:val="0"/>
        <w:shd w:val="clear"/>
        <w:kinsoku/>
        <w:wordWrap/>
        <w:overflowPunct/>
        <w:topLinePunct w:val="0"/>
        <w:autoSpaceDE/>
        <w:autoSpaceDN/>
        <w:bidi w:val="0"/>
        <w:adjustRightInd/>
        <w:snapToGrid w:val="0"/>
        <w:spacing w:line="600" w:lineRule="exact"/>
        <w:ind w:firstLine="643" w:firstLineChars="200"/>
        <w:textAlignment w:val="auto"/>
        <w:rPr>
          <w:rFonts w:hint="eastAsia" w:ascii="仿宋" w:hAnsi="仿宋" w:eastAsia="仿宋_GB2312" w:cs="仿宋"/>
          <w:b/>
          <w:bCs/>
          <w:color w:val="auto"/>
          <w:sz w:val="32"/>
          <w:szCs w:val="32"/>
          <w:highlight w:val="none"/>
          <w:lang w:val="en-US" w:eastAsia="zh-CN"/>
        </w:rPr>
      </w:pPr>
      <w:r>
        <w:rPr>
          <w:rFonts w:hint="eastAsia" w:ascii="Times New Roman" w:hAnsi="Times New Roman" w:eastAsia="仿宋_GB2312" w:cs="仿宋"/>
          <w:b/>
          <w:bCs/>
          <w:color w:val="auto"/>
          <w:sz w:val="32"/>
          <w:szCs w:val="32"/>
          <w:highlight w:val="none"/>
          <w:lang w:val="en-US" w:eastAsia="zh-CN"/>
        </w:rPr>
        <w:t>1</w:t>
      </w:r>
      <w:r>
        <w:rPr>
          <w:rFonts w:hint="eastAsia" w:ascii="仿宋" w:hAnsi="仿宋" w:eastAsia="仿宋_GB2312" w:cs="仿宋"/>
          <w:b/>
          <w:bCs/>
          <w:color w:val="auto"/>
          <w:sz w:val="32"/>
          <w:szCs w:val="32"/>
          <w:highlight w:val="none"/>
          <w:lang w:val="en-US" w:eastAsia="zh-CN"/>
        </w:rPr>
        <w:t>、项目资金（包括财政资金、自筹资金等）安排落实、总投入等情况分析。</w:t>
      </w:r>
    </w:p>
    <w:p w14:paraId="239733AB">
      <w:pPr>
        <w:keepNext w:val="0"/>
        <w:keepLines w:val="0"/>
        <w:pageBreakBefore w:val="0"/>
        <w:widowControl w:val="0"/>
        <w:shd w:val="clear"/>
        <w:kinsoku/>
        <w:wordWrap/>
        <w:overflowPunct/>
        <w:topLinePunct w:val="0"/>
        <w:autoSpaceDE/>
        <w:autoSpaceDN/>
        <w:bidi w:val="0"/>
        <w:adjustRightInd/>
        <w:snapToGrid w:val="0"/>
        <w:spacing w:line="600" w:lineRule="exact"/>
        <w:ind w:firstLine="640" w:firstLineChars="200"/>
        <w:textAlignment w:val="auto"/>
        <w:rPr>
          <w:rFonts w:hint="eastAsia" w:ascii="仿宋" w:hAnsi="仿宋" w:eastAsia="仿宋_GB2312" w:cs="仿宋"/>
          <w:color w:val="auto"/>
          <w:sz w:val="32"/>
          <w:szCs w:val="32"/>
          <w:highlight w:val="none"/>
          <w:lang w:val="en-US" w:eastAsia="zh-CN"/>
        </w:rPr>
      </w:pPr>
      <w:r>
        <w:rPr>
          <w:rFonts w:hint="eastAsia" w:ascii="仿宋" w:hAnsi="仿宋" w:eastAsia="仿宋_GB2312" w:cs="仿宋"/>
          <w:color w:val="auto"/>
          <w:sz w:val="32"/>
          <w:szCs w:val="32"/>
          <w:highlight w:val="none"/>
          <w:lang w:val="en-US" w:eastAsia="zh-CN"/>
        </w:rPr>
        <w:t>根据怀财预【</w:t>
      </w:r>
      <w:r>
        <w:rPr>
          <w:rFonts w:hint="eastAsia" w:ascii="Times New Roman" w:hAnsi="Times New Roman" w:eastAsia="仿宋_GB2312" w:cs="仿宋"/>
          <w:color w:val="auto"/>
          <w:sz w:val="32"/>
          <w:szCs w:val="32"/>
          <w:highlight w:val="none"/>
          <w:lang w:val="en-US" w:eastAsia="zh-CN"/>
        </w:rPr>
        <w:t>2025</w:t>
      </w:r>
      <w:r>
        <w:rPr>
          <w:rFonts w:hint="eastAsia" w:ascii="仿宋" w:hAnsi="仿宋" w:eastAsia="仿宋_GB2312" w:cs="仿宋"/>
          <w:color w:val="auto"/>
          <w:sz w:val="32"/>
          <w:szCs w:val="32"/>
          <w:highlight w:val="none"/>
          <w:lang w:val="en-US" w:eastAsia="zh-CN"/>
        </w:rPr>
        <w:t>】</w:t>
      </w:r>
      <w:r>
        <w:rPr>
          <w:rFonts w:hint="eastAsia" w:ascii="Times New Roman" w:hAnsi="Times New Roman" w:eastAsia="仿宋_GB2312" w:cs="仿宋"/>
          <w:color w:val="auto"/>
          <w:sz w:val="32"/>
          <w:szCs w:val="32"/>
          <w:highlight w:val="none"/>
          <w:lang w:val="en-US" w:eastAsia="zh-CN"/>
        </w:rPr>
        <w:t>4</w:t>
      </w:r>
      <w:r>
        <w:rPr>
          <w:rFonts w:hint="eastAsia" w:ascii="仿宋" w:hAnsi="仿宋" w:eastAsia="仿宋_GB2312" w:cs="仿宋"/>
          <w:color w:val="auto"/>
          <w:sz w:val="32"/>
          <w:szCs w:val="32"/>
          <w:highlight w:val="none"/>
          <w:lang w:val="en-US" w:eastAsia="zh-CN"/>
        </w:rPr>
        <w:t>号，</w:t>
      </w:r>
      <w:r>
        <w:rPr>
          <w:rFonts w:hint="eastAsia" w:ascii="Times New Roman" w:hAnsi="Times New Roman" w:eastAsia="仿宋_GB2312" w:cs="仿宋"/>
          <w:color w:val="auto"/>
          <w:sz w:val="32"/>
          <w:szCs w:val="32"/>
          <w:highlight w:val="none"/>
          <w:lang w:val="en-US" w:eastAsia="zh-CN"/>
        </w:rPr>
        <w:t>2025</w:t>
      </w:r>
      <w:r>
        <w:rPr>
          <w:rFonts w:hint="eastAsia" w:ascii="仿宋" w:hAnsi="仿宋" w:eastAsia="仿宋_GB2312" w:cs="仿宋"/>
          <w:color w:val="auto"/>
          <w:sz w:val="32"/>
          <w:szCs w:val="32"/>
          <w:highlight w:val="none"/>
          <w:lang w:val="en-US" w:eastAsia="zh-CN"/>
        </w:rPr>
        <w:t>年年初预算安排项目资金</w:t>
      </w:r>
      <w:r>
        <w:rPr>
          <w:rFonts w:hint="eastAsia" w:ascii="Times New Roman" w:hAnsi="Times New Roman" w:eastAsia="仿宋_GB2312" w:cs="仿宋"/>
          <w:color w:val="auto"/>
          <w:sz w:val="32"/>
          <w:szCs w:val="32"/>
          <w:highlight w:val="none"/>
          <w:lang w:val="en-US" w:eastAsia="zh-CN"/>
        </w:rPr>
        <w:t>540</w:t>
      </w:r>
      <w:r>
        <w:rPr>
          <w:rFonts w:hint="eastAsia" w:ascii="仿宋" w:hAnsi="仿宋" w:eastAsia="仿宋_GB2312" w:cs="仿宋"/>
          <w:color w:val="auto"/>
          <w:sz w:val="32"/>
          <w:szCs w:val="32"/>
          <w:highlight w:val="none"/>
          <w:lang w:val="en-US" w:eastAsia="zh-CN"/>
        </w:rPr>
        <w:t>万元，年中调整预算数</w:t>
      </w:r>
      <w:r>
        <w:rPr>
          <w:rFonts w:hint="eastAsia" w:ascii="Times New Roman" w:hAnsi="Times New Roman" w:eastAsia="仿宋_GB2312" w:cs="仿宋"/>
          <w:color w:val="auto"/>
          <w:sz w:val="32"/>
          <w:szCs w:val="32"/>
          <w:highlight w:val="none"/>
          <w:lang w:val="en-US" w:eastAsia="zh-CN"/>
        </w:rPr>
        <w:t>1086</w:t>
      </w:r>
      <w:r>
        <w:rPr>
          <w:rFonts w:hint="eastAsia" w:ascii="仿宋" w:hAnsi="仿宋" w:eastAsia="仿宋_GB2312" w:cs="仿宋"/>
          <w:color w:val="auto"/>
          <w:sz w:val="32"/>
          <w:szCs w:val="32"/>
          <w:highlight w:val="none"/>
          <w:lang w:val="en-US" w:eastAsia="zh-CN"/>
        </w:rPr>
        <w:t>.</w:t>
      </w:r>
      <w:r>
        <w:rPr>
          <w:rFonts w:hint="eastAsia" w:ascii="Times New Roman" w:hAnsi="Times New Roman" w:eastAsia="仿宋_GB2312" w:cs="仿宋"/>
          <w:color w:val="auto"/>
          <w:sz w:val="32"/>
          <w:szCs w:val="32"/>
          <w:highlight w:val="none"/>
          <w:lang w:val="en-US" w:eastAsia="zh-CN"/>
        </w:rPr>
        <w:t>31</w:t>
      </w:r>
      <w:r>
        <w:rPr>
          <w:rFonts w:hint="eastAsia" w:ascii="仿宋" w:hAnsi="仿宋" w:eastAsia="仿宋_GB2312" w:cs="仿宋"/>
          <w:color w:val="auto"/>
          <w:sz w:val="32"/>
          <w:szCs w:val="32"/>
          <w:highlight w:val="none"/>
          <w:lang w:val="en-US" w:eastAsia="zh-CN"/>
        </w:rPr>
        <w:t>万元，资金到位率</w:t>
      </w:r>
      <w:r>
        <w:rPr>
          <w:rFonts w:hint="eastAsia" w:ascii="Times New Roman" w:hAnsi="Times New Roman" w:eastAsia="仿宋_GB2312" w:cs="仿宋"/>
          <w:color w:val="auto"/>
          <w:sz w:val="32"/>
          <w:szCs w:val="32"/>
          <w:highlight w:val="none"/>
          <w:lang w:val="en-US" w:eastAsia="zh-CN"/>
        </w:rPr>
        <w:t>100%</w:t>
      </w:r>
      <w:r>
        <w:rPr>
          <w:rFonts w:hint="eastAsia" w:ascii="仿宋" w:hAnsi="仿宋" w:eastAsia="仿宋_GB2312" w:cs="仿宋"/>
          <w:color w:val="auto"/>
          <w:sz w:val="32"/>
          <w:szCs w:val="32"/>
          <w:highlight w:val="none"/>
          <w:lang w:val="en-US" w:eastAsia="zh-CN"/>
        </w:rPr>
        <w:t>。</w:t>
      </w:r>
    </w:p>
    <w:p w14:paraId="38269C26">
      <w:pPr>
        <w:keepNext w:val="0"/>
        <w:keepLines w:val="0"/>
        <w:pageBreakBefore w:val="0"/>
        <w:widowControl w:val="0"/>
        <w:shd w:val="clear"/>
        <w:kinsoku/>
        <w:wordWrap/>
        <w:overflowPunct/>
        <w:topLinePunct w:val="0"/>
        <w:autoSpaceDE/>
        <w:autoSpaceDN/>
        <w:bidi w:val="0"/>
        <w:adjustRightInd/>
        <w:snapToGrid w:val="0"/>
        <w:spacing w:line="600" w:lineRule="exact"/>
        <w:ind w:firstLine="643" w:firstLineChars="200"/>
        <w:textAlignment w:val="auto"/>
        <w:rPr>
          <w:rFonts w:hint="eastAsia" w:ascii="仿宋" w:hAnsi="仿宋" w:eastAsia="仿宋_GB2312" w:cs="仿宋"/>
          <w:b/>
          <w:bCs/>
          <w:color w:val="auto"/>
          <w:sz w:val="32"/>
          <w:szCs w:val="32"/>
          <w:highlight w:val="none"/>
          <w:lang w:val="en-US" w:eastAsia="zh-CN"/>
        </w:rPr>
      </w:pPr>
      <w:r>
        <w:rPr>
          <w:rFonts w:hint="eastAsia" w:ascii="Times New Roman" w:hAnsi="Times New Roman" w:eastAsia="仿宋_GB2312" w:cs="仿宋"/>
          <w:b/>
          <w:bCs/>
          <w:color w:val="auto"/>
          <w:sz w:val="32"/>
          <w:szCs w:val="32"/>
          <w:highlight w:val="none"/>
          <w:lang w:val="en-US" w:eastAsia="zh-CN"/>
        </w:rPr>
        <w:t>2</w:t>
      </w:r>
      <w:r>
        <w:rPr>
          <w:rFonts w:hint="eastAsia" w:ascii="仿宋" w:hAnsi="仿宋" w:eastAsia="仿宋_GB2312" w:cs="仿宋"/>
          <w:b/>
          <w:bCs/>
          <w:color w:val="auto"/>
          <w:sz w:val="32"/>
          <w:szCs w:val="32"/>
          <w:highlight w:val="none"/>
          <w:lang w:val="en-US" w:eastAsia="zh-CN"/>
        </w:rPr>
        <w:t>、项目资金（主要指财政资金）实际使用情况分析。</w:t>
      </w:r>
    </w:p>
    <w:p w14:paraId="59E8F57B">
      <w:pPr>
        <w:keepNext w:val="0"/>
        <w:keepLines w:val="0"/>
        <w:pageBreakBefore w:val="0"/>
        <w:widowControl w:val="0"/>
        <w:shd w:val="clear"/>
        <w:kinsoku/>
        <w:wordWrap/>
        <w:overflowPunct/>
        <w:topLinePunct w:val="0"/>
        <w:autoSpaceDE/>
        <w:autoSpaceDN/>
        <w:bidi w:val="0"/>
        <w:adjustRightInd/>
        <w:snapToGrid w:val="0"/>
        <w:spacing w:line="600" w:lineRule="exact"/>
        <w:ind w:left="0" w:leftChars="0" w:firstLine="640" w:firstLineChars="200"/>
        <w:jc w:val="both"/>
        <w:textAlignment w:val="auto"/>
        <w:rPr>
          <w:rFonts w:hint="eastAsia" w:ascii="仿宋" w:hAnsi="仿宋" w:eastAsia="仿宋_GB2312" w:cs="仿宋"/>
          <w:b w:val="0"/>
          <w:bCs w:val="0"/>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仿宋"/>
          <w:b w:val="0"/>
          <w:bCs w:val="0"/>
          <w:color w:val="000000" w:themeColor="text1"/>
          <w:sz w:val="32"/>
          <w:szCs w:val="32"/>
          <w:highlight w:val="none"/>
          <w:lang w:val="en-US" w:eastAsia="zh-CN"/>
          <w14:textFill>
            <w14:solidFill>
              <w14:schemeClr w14:val="tx1"/>
            </w14:solidFill>
          </w14:textFill>
        </w:rPr>
        <w:t>2025</w:t>
      </w:r>
      <w:r>
        <w:rPr>
          <w:rFonts w:hint="eastAsia" w:ascii="仿宋" w:hAnsi="仿宋" w:eastAsia="仿宋_GB2312" w:cs="仿宋"/>
          <w:b w:val="0"/>
          <w:bCs w:val="0"/>
          <w:color w:val="000000" w:themeColor="text1"/>
          <w:sz w:val="32"/>
          <w:szCs w:val="32"/>
          <w:highlight w:val="none"/>
          <w:lang w:val="en-US" w:eastAsia="zh-CN"/>
          <w14:textFill>
            <w14:solidFill>
              <w14:schemeClr w14:val="tx1"/>
            </w14:solidFill>
          </w14:textFill>
        </w:rPr>
        <w:t>年项目支出决算数</w:t>
      </w:r>
      <w:r>
        <w:rPr>
          <w:rFonts w:hint="eastAsia" w:ascii="Times New Roman" w:hAnsi="Times New Roman" w:eastAsia="仿宋_GB2312" w:cs="仿宋"/>
          <w:b w:val="0"/>
          <w:bCs w:val="0"/>
          <w:color w:val="000000" w:themeColor="text1"/>
          <w:sz w:val="32"/>
          <w:szCs w:val="32"/>
          <w:highlight w:val="none"/>
          <w:lang w:val="en-US" w:eastAsia="zh-CN"/>
          <w14:textFill>
            <w14:solidFill>
              <w14:schemeClr w14:val="tx1"/>
            </w14:solidFill>
          </w14:textFill>
        </w:rPr>
        <w:t>279</w:t>
      </w:r>
      <w:r>
        <w:rPr>
          <w:rFonts w:hint="eastAsia" w:ascii="仿宋" w:hAnsi="仿宋" w:eastAsia="仿宋_GB2312" w:cs="仿宋"/>
          <w:b w:val="0"/>
          <w:bCs w:val="0"/>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仿宋"/>
          <w:b w:val="0"/>
          <w:bCs w:val="0"/>
          <w:color w:val="000000" w:themeColor="text1"/>
          <w:sz w:val="32"/>
          <w:szCs w:val="32"/>
          <w:highlight w:val="none"/>
          <w:lang w:val="en-US" w:eastAsia="zh-CN"/>
          <w14:textFill>
            <w14:solidFill>
              <w14:schemeClr w14:val="tx1"/>
            </w14:solidFill>
          </w14:textFill>
        </w:rPr>
        <w:t>5</w:t>
      </w:r>
      <w:r>
        <w:rPr>
          <w:rFonts w:hint="eastAsia" w:ascii="仿宋" w:hAnsi="仿宋" w:eastAsia="仿宋_GB2312" w:cs="仿宋"/>
          <w:b w:val="0"/>
          <w:bCs w:val="0"/>
          <w:color w:val="000000" w:themeColor="text1"/>
          <w:sz w:val="32"/>
          <w:szCs w:val="32"/>
          <w:highlight w:val="none"/>
          <w:lang w:val="en-US" w:eastAsia="zh-CN"/>
          <w14:textFill>
            <w14:solidFill>
              <w14:schemeClr w14:val="tx1"/>
            </w14:solidFill>
          </w14:textFill>
        </w:rPr>
        <w:t>万元，资金执行率</w:t>
      </w:r>
      <w:r>
        <w:rPr>
          <w:rFonts w:hint="eastAsia" w:ascii="Times New Roman" w:hAnsi="Times New Roman" w:eastAsia="仿宋_GB2312" w:cs="仿宋"/>
          <w:b w:val="0"/>
          <w:bCs w:val="0"/>
          <w:color w:val="000000" w:themeColor="text1"/>
          <w:sz w:val="32"/>
          <w:szCs w:val="32"/>
          <w:highlight w:val="none"/>
          <w:lang w:val="en-US" w:eastAsia="zh-CN"/>
          <w14:textFill>
            <w14:solidFill>
              <w14:schemeClr w14:val="tx1"/>
            </w14:solidFill>
          </w14:textFill>
        </w:rPr>
        <w:t>25</w:t>
      </w:r>
      <w:r>
        <w:rPr>
          <w:rFonts w:hint="eastAsia" w:ascii="仿宋" w:hAnsi="仿宋" w:eastAsia="仿宋_GB2312" w:cs="仿宋"/>
          <w:b w:val="0"/>
          <w:bCs w:val="0"/>
          <w:color w:val="000000" w:themeColor="text1"/>
          <w:sz w:val="32"/>
          <w:szCs w:val="32"/>
          <w:highlight w:val="none"/>
          <w:lang w:val="en-US" w:eastAsia="zh-CN"/>
          <w14:textFill>
            <w14:solidFill>
              <w14:schemeClr w14:val="tx1"/>
            </w14:solidFill>
          </w14:textFill>
        </w:rPr>
        <w:t>.</w:t>
      </w:r>
      <w:r>
        <w:rPr>
          <w:rFonts w:hint="eastAsia" w:ascii="Times New Roman" w:hAnsi="Times New Roman" w:eastAsia="仿宋_GB2312" w:cs="仿宋"/>
          <w:b w:val="0"/>
          <w:bCs w:val="0"/>
          <w:color w:val="000000" w:themeColor="text1"/>
          <w:sz w:val="32"/>
          <w:szCs w:val="32"/>
          <w:highlight w:val="none"/>
          <w:lang w:val="en-US" w:eastAsia="zh-CN"/>
          <w14:textFill>
            <w14:solidFill>
              <w14:schemeClr w14:val="tx1"/>
            </w14:solidFill>
          </w14:textFill>
        </w:rPr>
        <w:t>73%</w:t>
      </w:r>
      <w:r>
        <w:rPr>
          <w:rFonts w:hint="eastAsia" w:ascii="仿宋" w:hAnsi="仿宋" w:eastAsia="仿宋_GB2312" w:cs="仿宋"/>
          <w:b w:val="0"/>
          <w:bCs w:val="0"/>
          <w:color w:val="000000" w:themeColor="text1"/>
          <w:sz w:val="32"/>
          <w:szCs w:val="32"/>
          <w:highlight w:val="none"/>
          <w:lang w:val="en-US" w:eastAsia="zh-CN"/>
          <w14:textFill>
            <w14:solidFill>
              <w14:schemeClr w14:val="tx1"/>
            </w14:solidFill>
          </w14:textFill>
        </w:rPr>
        <w:t>。主要用于</w:t>
      </w:r>
      <w:r>
        <w:rPr>
          <w:rFonts w:hint="eastAsia" w:ascii="仿宋" w:hAnsi="仿宋" w:eastAsia="仿宋_GB2312" w:cs="仿宋"/>
          <w:color w:val="000000" w:themeColor="text1"/>
          <w:sz w:val="32"/>
          <w:szCs w:val="32"/>
          <w:highlight w:val="none"/>
          <w:lang w:val="en-US" w:eastAsia="zh-CN"/>
          <w14:textFill>
            <w14:solidFill>
              <w14:schemeClr w14:val="tx1"/>
            </w14:solidFill>
          </w14:textFill>
        </w:rPr>
        <w:t>全面依法治市、社区矫正、行政复议行政应诉、行政执法协调监督、普法依法治理、基层司法业务、法律援助、国家法律职业资格管理等司法行政业务开展。</w:t>
      </w:r>
    </w:p>
    <w:p w14:paraId="033D3926">
      <w:pPr>
        <w:keepNext w:val="0"/>
        <w:keepLines w:val="0"/>
        <w:pageBreakBefore w:val="0"/>
        <w:widowControl w:val="0"/>
        <w:numPr>
          <w:ilvl w:val="0"/>
          <w:numId w:val="0"/>
        </w:numPr>
        <w:shd w:val="clear"/>
        <w:kinsoku/>
        <w:wordWrap/>
        <w:overflowPunct/>
        <w:topLinePunct w:val="0"/>
        <w:autoSpaceDE/>
        <w:autoSpaceDN/>
        <w:bidi w:val="0"/>
        <w:adjustRightInd/>
        <w:snapToGrid w:val="0"/>
        <w:spacing w:line="600" w:lineRule="exact"/>
        <w:ind w:firstLine="643" w:firstLineChars="200"/>
        <w:textAlignment w:val="auto"/>
        <w:rPr>
          <w:rFonts w:hint="eastAsia" w:ascii="仿宋" w:hAnsi="仿宋" w:eastAsia="仿宋_GB2312" w:cs="仿宋"/>
          <w:b/>
          <w:bCs/>
          <w:color w:val="auto"/>
          <w:sz w:val="32"/>
          <w:szCs w:val="32"/>
          <w:highlight w:val="none"/>
          <w:lang w:val="en-US" w:eastAsia="zh-CN"/>
        </w:rPr>
      </w:pPr>
      <w:r>
        <w:rPr>
          <w:rFonts w:hint="eastAsia" w:ascii="Times New Roman" w:hAnsi="Times New Roman" w:eastAsia="仿宋_GB2312" w:cs="仿宋"/>
          <w:b/>
          <w:bCs/>
          <w:color w:val="auto"/>
          <w:sz w:val="32"/>
          <w:szCs w:val="32"/>
          <w:highlight w:val="none"/>
          <w:lang w:val="en-US" w:eastAsia="zh-CN"/>
        </w:rPr>
        <w:t>3</w:t>
      </w:r>
      <w:r>
        <w:rPr>
          <w:rFonts w:hint="eastAsia" w:ascii="仿宋" w:hAnsi="仿宋" w:eastAsia="仿宋_GB2312" w:cs="仿宋"/>
          <w:b/>
          <w:bCs/>
          <w:color w:val="auto"/>
          <w:sz w:val="32"/>
          <w:szCs w:val="32"/>
          <w:highlight w:val="none"/>
          <w:lang w:val="en-US" w:eastAsia="zh-CN"/>
        </w:rPr>
        <w:t>、项目资金管理情况分析，主要包括管理制度、办法的制订及执行情况。</w:t>
      </w:r>
    </w:p>
    <w:p w14:paraId="439BC1C2">
      <w:pPr>
        <w:keepNext w:val="0"/>
        <w:keepLines w:val="0"/>
        <w:pageBreakBefore w:val="0"/>
        <w:widowControl w:val="0"/>
        <w:numPr>
          <w:ilvl w:val="0"/>
          <w:numId w:val="0"/>
        </w:numPr>
        <w:shd w:val="clear"/>
        <w:kinsoku/>
        <w:wordWrap/>
        <w:overflowPunct/>
        <w:topLinePunct w:val="0"/>
        <w:autoSpaceDE/>
        <w:autoSpaceDN/>
        <w:bidi w:val="0"/>
        <w:adjustRightInd/>
        <w:snapToGrid w:val="0"/>
        <w:spacing w:line="600" w:lineRule="exact"/>
        <w:ind w:left="0" w:leftChars="0" w:firstLine="640" w:firstLineChars="200"/>
        <w:jc w:val="both"/>
        <w:textAlignment w:val="auto"/>
        <w:rPr>
          <w:rFonts w:hint="eastAsia" w:ascii="仿宋" w:hAnsi="仿宋" w:eastAsia="仿宋_GB2312" w:cs="仿宋"/>
          <w:color w:val="auto"/>
          <w:sz w:val="32"/>
          <w:szCs w:val="32"/>
          <w:highlight w:val="none"/>
          <w:lang w:val="en-US" w:eastAsia="zh-CN"/>
        </w:rPr>
      </w:pPr>
      <w:r>
        <w:rPr>
          <w:rFonts w:hint="eastAsia" w:ascii="Times New Roman" w:hAnsi="Times New Roman" w:eastAsia="仿宋_GB2312" w:cs="仿宋"/>
          <w:b w:val="0"/>
          <w:bCs w:val="0"/>
          <w:color w:val="000000" w:themeColor="text1"/>
          <w:sz w:val="32"/>
          <w:szCs w:val="32"/>
          <w:highlight w:val="none"/>
          <w:lang w:val="en-US" w:eastAsia="zh-CN"/>
          <w14:textFill>
            <w14:solidFill>
              <w14:schemeClr w14:val="tx1"/>
            </w14:solidFill>
          </w14:textFill>
        </w:rPr>
        <w:t>2025</w:t>
      </w:r>
      <w:r>
        <w:rPr>
          <w:rFonts w:hint="eastAsia" w:ascii="仿宋" w:hAnsi="仿宋" w:eastAsia="仿宋_GB2312" w:cs="仿宋"/>
          <w:b w:val="0"/>
          <w:bCs w:val="0"/>
          <w:color w:val="000000" w:themeColor="text1"/>
          <w:sz w:val="32"/>
          <w:szCs w:val="32"/>
          <w:highlight w:val="none"/>
          <w:lang w:val="en-US" w:eastAsia="zh-CN"/>
          <w14:textFill>
            <w14:solidFill>
              <w14:schemeClr w14:val="tx1"/>
            </w14:solidFill>
          </w14:textFill>
        </w:rPr>
        <w:t>年市司法局高度重视项目资金管理，项目立项严格论证，预算编制力求精准，确保了资金需求和绩效目标匹配；资金支付严格执行审批程序，确保手续完备、票据合规、用途明确，杜绝挤占挪用，执行年中绩效监控；定期开展内部检查，强化风险防控，确保资金安全高效运行。</w:t>
      </w:r>
    </w:p>
    <w:p w14:paraId="13DDE62B">
      <w:pPr>
        <w:keepNext w:val="0"/>
        <w:keepLines w:val="0"/>
        <w:pageBreakBefore w:val="0"/>
        <w:widowControl w:val="0"/>
        <w:shd w:val="clear"/>
        <w:kinsoku/>
        <w:wordWrap/>
        <w:overflowPunct/>
        <w:topLinePunct w:val="0"/>
        <w:autoSpaceDE/>
        <w:autoSpaceDN/>
        <w:bidi w:val="0"/>
        <w:adjustRightInd/>
        <w:snapToGrid w:val="0"/>
        <w:spacing w:line="600" w:lineRule="exact"/>
        <w:ind w:firstLine="640" w:firstLineChars="200"/>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三、项目组织实施情况</w:t>
      </w:r>
    </w:p>
    <w:p w14:paraId="247DABD3">
      <w:pPr>
        <w:keepNext w:val="0"/>
        <w:keepLines w:val="0"/>
        <w:pageBreakBefore w:val="0"/>
        <w:widowControl w:val="0"/>
        <w:shd w:val="clear"/>
        <w:kinsoku/>
        <w:wordWrap/>
        <w:overflowPunct/>
        <w:topLinePunct w:val="0"/>
        <w:autoSpaceDE/>
        <w:autoSpaceDN/>
        <w:bidi w:val="0"/>
        <w:adjustRightInd/>
        <w:snapToGrid w:val="0"/>
        <w:spacing w:line="600" w:lineRule="exact"/>
        <w:ind w:firstLine="643" w:firstLineChars="200"/>
        <w:textAlignment w:val="auto"/>
        <w:rPr>
          <w:rFonts w:hint="eastAsia" w:ascii="楷体" w:hAnsi="楷体" w:eastAsia="楷体_GB2312" w:cs="楷体"/>
          <w:b/>
          <w:bCs/>
          <w:color w:val="auto"/>
          <w:sz w:val="32"/>
          <w:szCs w:val="32"/>
          <w:highlight w:val="none"/>
          <w:lang w:val="en-US" w:eastAsia="zh-CN"/>
        </w:rPr>
      </w:pPr>
      <w:r>
        <w:rPr>
          <w:rFonts w:hint="eastAsia" w:ascii="楷体" w:hAnsi="楷体" w:eastAsia="楷体_GB2312" w:cs="楷体"/>
          <w:b/>
          <w:bCs/>
          <w:color w:val="auto"/>
          <w:sz w:val="32"/>
          <w:szCs w:val="32"/>
          <w:highlight w:val="none"/>
          <w:lang w:val="en-US" w:eastAsia="zh-CN"/>
        </w:rPr>
        <w:t>（一）项目组织情况分析，主要包括项目招投标、调整、竣工验收等情况。</w:t>
      </w:r>
    </w:p>
    <w:p w14:paraId="19E1D4B3">
      <w:pPr>
        <w:keepNext w:val="0"/>
        <w:keepLines w:val="0"/>
        <w:pageBreakBefore w:val="0"/>
        <w:widowControl w:val="0"/>
        <w:shd w:val="clear"/>
        <w:kinsoku/>
        <w:wordWrap/>
        <w:overflowPunct/>
        <w:topLinePunct w:val="0"/>
        <w:autoSpaceDE/>
        <w:autoSpaceDN/>
        <w:bidi w:val="0"/>
        <w:adjustRightInd/>
        <w:snapToGrid w:val="0"/>
        <w:spacing w:line="600" w:lineRule="exact"/>
        <w:ind w:left="0" w:leftChars="0" w:firstLine="640" w:firstLineChars="200"/>
        <w:jc w:val="both"/>
        <w:textAlignment w:val="auto"/>
        <w:rPr>
          <w:rFonts w:hint="eastAsia" w:ascii="仿宋" w:hAnsi="仿宋" w:eastAsia="仿宋_GB2312" w:cs="仿宋"/>
          <w:b/>
          <w:bCs/>
          <w:color w:val="auto"/>
          <w:sz w:val="32"/>
          <w:szCs w:val="32"/>
          <w:highlight w:val="none"/>
          <w:lang w:val="en-US" w:eastAsia="zh-CN"/>
        </w:rPr>
      </w:pPr>
      <w:r>
        <w:rPr>
          <w:rFonts w:hint="eastAsia" w:ascii="仿宋" w:hAnsi="仿宋" w:eastAsia="仿宋_GB2312" w:cs="仿宋"/>
          <w:b w:val="0"/>
          <w:bCs w:val="0"/>
          <w:color w:val="000000" w:themeColor="text1"/>
          <w:sz w:val="32"/>
          <w:szCs w:val="32"/>
          <w:highlight w:val="none"/>
          <w:lang w:val="en-US" w:eastAsia="zh-CN"/>
          <w14:textFill>
            <w14:solidFill>
              <w14:schemeClr w14:val="tx1"/>
            </w14:solidFill>
          </w14:textFill>
        </w:rPr>
        <w:t>市司法局所有项目严格遵循《政府采购法》、《政府采购法实施条例》等国家法律法规执行，流程规范透明，合法合规，全部项目完工后组织业务、财务联合验收，核对工程量、资金使用、绩效完成情况。其中法律援助项目在限额标准以上，通过委托中介代理采购机构采取招投标的方式采购，全程规范招投标流程，全程留痕、公开透明。</w:t>
      </w:r>
    </w:p>
    <w:p w14:paraId="743E9B90">
      <w:pPr>
        <w:keepNext w:val="0"/>
        <w:keepLines w:val="0"/>
        <w:pageBreakBefore w:val="0"/>
        <w:widowControl w:val="0"/>
        <w:numPr>
          <w:ilvl w:val="0"/>
          <w:numId w:val="0"/>
        </w:numPr>
        <w:shd w:val="clear"/>
        <w:kinsoku/>
        <w:wordWrap/>
        <w:overflowPunct/>
        <w:topLinePunct w:val="0"/>
        <w:autoSpaceDE/>
        <w:autoSpaceDN/>
        <w:bidi w:val="0"/>
        <w:adjustRightInd/>
        <w:snapToGrid w:val="0"/>
        <w:spacing w:line="600" w:lineRule="exact"/>
        <w:ind w:firstLine="643" w:firstLineChars="200"/>
        <w:textAlignment w:val="auto"/>
        <w:rPr>
          <w:rFonts w:hint="eastAsia" w:ascii="楷体" w:hAnsi="楷体" w:eastAsia="楷体_GB2312" w:cs="楷体"/>
          <w:b/>
          <w:bCs/>
          <w:color w:val="auto"/>
          <w:sz w:val="32"/>
          <w:szCs w:val="32"/>
          <w:highlight w:val="none"/>
          <w:lang w:val="en-US" w:eastAsia="zh-CN"/>
        </w:rPr>
      </w:pPr>
      <w:r>
        <w:rPr>
          <w:rFonts w:hint="eastAsia" w:ascii="楷体" w:hAnsi="楷体" w:eastAsia="楷体_GB2312" w:cs="楷体"/>
          <w:b/>
          <w:bCs/>
          <w:color w:val="auto"/>
          <w:sz w:val="32"/>
          <w:szCs w:val="32"/>
          <w:highlight w:val="none"/>
          <w:lang w:val="en-US" w:eastAsia="zh-CN"/>
        </w:rPr>
        <w:t>（二）项目管理情况分析，主要包括项目管理制度建设、日常检查监督管理等情况。</w:t>
      </w:r>
    </w:p>
    <w:p w14:paraId="46AFDB6A">
      <w:pPr>
        <w:keepNext w:val="0"/>
        <w:keepLines w:val="0"/>
        <w:pageBreakBefore w:val="0"/>
        <w:widowControl w:val="0"/>
        <w:shd w:val="clear"/>
        <w:kinsoku/>
        <w:wordWrap/>
        <w:overflowPunct/>
        <w:topLinePunct w:val="0"/>
        <w:autoSpaceDE/>
        <w:autoSpaceDN/>
        <w:bidi w:val="0"/>
        <w:adjustRightInd/>
        <w:snapToGrid w:val="0"/>
        <w:spacing w:line="600" w:lineRule="exact"/>
        <w:ind w:left="0" w:leftChars="0" w:firstLine="640" w:firstLineChars="200"/>
        <w:jc w:val="both"/>
        <w:textAlignment w:val="auto"/>
        <w:rPr>
          <w:rFonts w:hint="eastAsia" w:ascii="仿宋" w:hAnsi="仿宋" w:eastAsia="仿宋_GB2312" w:cs="仿宋"/>
          <w:b w:val="0"/>
          <w:bCs w:val="0"/>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仿宋"/>
          <w:b w:val="0"/>
          <w:bCs w:val="0"/>
          <w:color w:val="000000" w:themeColor="text1"/>
          <w:sz w:val="32"/>
          <w:szCs w:val="32"/>
          <w:highlight w:val="none"/>
          <w:lang w:val="en-US" w:eastAsia="zh-CN"/>
          <w14:textFill>
            <w14:solidFill>
              <w14:schemeClr w14:val="tx1"/>
            </w14:solidFill>
          </w14:textFill>
        </w:rPr>
        <w:t>2025</w:t>
      </w:r>
      <w:r>
        <w:rPr>
          <w:rFonts w:hint="eastAsia" w:ascii="仿宋" w:hAnsi="仿宋" w:eastAsia="仿宋_GB2312" w:cs="仿宋"/>
          <w:b w:val="0"/>
          <w:bCs w:val="0"/>
          <w:color w:val="000000" w:themeColor="text1"/>
          <w:sz w:val="32"/>
          <w:szCs w:val="32"/>
          <w:highlight w:val="none"/>
          <w:lang w:val="en-US" w:eastAsia="zh-CN"/>
          <w14:textFill>
            <w14:solidFill>
              <w14:schemeClr w14:val="tx1"/>
            </w14:solidFill>
          </w14:textFill>
        </w:rPr>
        <w:t>年，修订完善《怀化市司法局政府采购管理办法》，覆盖项目立项、预算申报、组织实施、资金支付、竣工验收全流程，明确预算管控、风险排查、质量监督等硬性要求，实现项目全周期闭环管理</w:t>
      </w:r>
      <w:bookmarkStart w:id="0" w:name="_GoBack"/>
      <w:bookmarkEnd w:id="0"/>
      <w:r>
        <w:rPr>
          <w:rFonts w:hint="eastAsia" w:ascii="仿宋" w:hAnsi="仿宋" w:eastAsia="仿宋_GB2312" w:cs="仿宋"/>
          <w:b w:val="0"/>
          <w:bCs w:val="0"/>
          <w:color w:val="000000" w:themeColor="text1"/>
          <w:sz w:val="32"/>
          <w:szCs w:val="32"/>
          <w:highlight w:val="none"/>
          <w:lang w:val="en-US" w:eastAsia="zh-CN"/>
          <w14:textFill>
            <w14:solidFill>
              <w14:schemeClr w14:val="tx1"/>
            </w14:solidFill>
          </w14:textFill>
        </w:rPr>
        <w:t>。</w:t>
      </w:r>
    </w:p>
    <w:p w14:paraId="007F2C7F">
      <w:pPr>
        <w:keepNext w:val="0"/>
        <w:keepLines w:val="0"/>
        <w:pageBreakBefore w:val="0"/>
        <w:widowControl w:val="0"/>
        <w:shd w:val="clear"/>
        <w:kinsoku/>
        <w:wordWrap/>
        <w:overflowPunct/>
        <w:topLinePunct w:val="0"/>
        <w:autoSpaceDE/>
        <w:autoSpaceDN/>
        <w:bidi w:val="0"/>
        <w:adjustRightInd/>
        <w:snapToGrid w:val="0"/>
        <w:spacing w:line="600" w:lineRule="exact"/>
        <w:ind w:firstLine="640" w:firstLineChars="200"/>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四、资产管理情况</w:t>
      </w:r>
    </w:p>
    <w:p w14:paraId="713FF400">
      <w:pPr>
        <w:keepNext w:val="0"/>
        <w:keepLines w:val="0"/>
        <w:pageBreakBefore w:val="0"/>
        <w:widowControl w:val="0"/>
        <w:shd w:val="clear"/>
        <w:kinsoku/>
        <w:wordWrap/>
        <w:overflowPunct/>
        <w:topLinePunct w:val="0"/>
        <w:autoSpaceDE/>
        <w:autoSpaceDN/>
        <w:bidi w:val="0"/>
        <w:adjustRightInd/>
        <w:snapToGrid w:val="0"/>
        <w:spacing w:line="600" w:lineRule="exact"/>
        <w:ind w:left="0" w:leftChars="0" w:firstLine="640" w:firstLineChars="200"/>
        <w:jc w:val="both"/>
        <w:textAlignment w:val="auto"/>
        <w:rPr>
          <w:rFonts w:hint="eastAsia" w:ascii="仿宋" w:hAnsi="仿宋" w:eastAsia="仿宋_GB2312" w:cs="仿宋"/>
          <w:color w:val="000000" w:themeColor="text1"/>
          <w:sz w:val="32"/>
          <w:szCs w:val="32"/>
          <w:highlight w:val="none"/>
          <w:lang w:val="en-US" w:eastAsia="zh-CN"/>
          <w14:textFill>
            <w14:solidFill>
              <w14:schemeClr w14:val="tx1"/>
            </w14:solidFill>
          </w14:textFill>
        </w:rPr>
      </w:pPr>
      <w:r>
        <w:rPr>
          <w:rFonts w:hint="eastAsia" w:ascii="Times New Roman" w:hAnsi="Times New Roman" w:eastAsia="仿宋_GB2312" w:cs="仿宋"/>
          <w:color w:val="000000" w:themeColor="text1"/>
          <w:sz w:val="32"/>
          <w:szCs w:val="32"/>
          <w:highlight w:val="none"/>
          <w:lang w:val="en-US" w:eastAsia="zh-CN"/>
          <w14:textFill>
            <w14:solidFill>
              <w14:schemeClr w14:val="tx1"/>
            </w14:solidFill>
          </w14:textFill>
        </w:rPr>
        <w:t>2025</w:t>
      </w:r>
      <w:r>
        <w:rPr>
          <w:rFonts w:hint="eastAsia" w:ascii="仿宋" w:hAnsi="仿宋" w:eastAsia="仿宋_GB2312" w:cs="仿宋"/>
          <w:color w:val="000000" w:themeColor="text1"/>
          <w:sz w:val="32"/>
          <w:szCs w:val="32"/>
          <w:highlight w:val="none"/>
          <w:lang w:val="en-US" w:eastAsia="zh-CN"/>
          <w14:textFill>
            <w14:solidFill>
              <w14:schemeClr w14:val="tx1"/>
            </w14:solidFill>
          </w14:textFill>
        </w:rPr>
        <w:t>年，市司法局在资产管理工作中，制度体系健全，管理措施落实到位，配置程序合规，处置流程规范，信息化应用有效，资产管理整体运行安全、规范、高效，有力保障了单位履职和事业发展需要。对照绩效目标，资产管理各项工作任务基本完成，达到了预期效果。</w:t>
      </w:r>
    </w:p>
    <w:p w14:paraId="68A3F5DA">
      <w:pPr>
        <w:keepNext w:val="0"/>
        <w:keepLines w:val="0"/>
        <w:pageBreakBefore w:val="0"/>
        <w:widowControl w:val="0"/>
        <w:shd w:val="clear"/>
        <w:kinsoku/>
        <w:wordWrap/>
        <w:overflowPunct/>
        <w:topLinePunct w:val="0"/>
        <w:autoSpaceDE/>
        <w:autoSpaceDN/>
        <w:bidi w:val="0"/>
        <w:adjustRightInd/>
        <w:snapToGrid w:val="0"/>
        <w:spacing w:line="600" w:lineRule="exact"/>
        <w:ind w:firstLine="640" w:firstLineChars="200"/>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五、政府性基金预算支出情况</w:t>
      </w:r>
    </w:p>
    <w:p w14:paraId="24B2F7B8">
      <w:pPr>
        <w:keepNext w:val="0"/>
        <w:keepLines w:val="0"/>
        <w:pageBreakBefore w:val="0"/>
        <w:widowControl w:val="0"/>
        <w:numPr>
          <w:ilvl w:val="0"/>
          <w:numId w:val="0"/>
        </w:numPr>
        <w:shd w:val="clear"/>
        <w:kinsoku/>
        <w:wordWrap/>
        <w:overflowPunct/>
        <w:topLinePunct w:val="0"/>
        <w:autoSpaceDE/>
        <w:autoSpaceDN/>
        <w:bidi w:val="0"/>
        <w:adjustRightInd/>
        <w:snapToGrid w:val="0"/>
        <w:spacing w:line="600" w:lineRule="exact"/>
        <w:ind w:left="0" w:leftChars="0" w:firstLine="640" w:firstLineChars="200"/>
        <w:jc w:val="both"/>
        <w:textAlignment w:val="auto"/>
        <w:rPr>
          <w:rFonts w:hint="eastAsia" w:ascii="仿宋" w:hAnsi="仿宋" w:eastAsia="仿宋_GB2312" w:cs="仿宋"/>
          <w:color w:val="000000" w:themeColor="text1"/>
          <w:sz w:val="32"/>
          <w:szCs w:val="32"/>
          <w:highlight w:val="none"/>
          <w:lang w:val="en-US" w:eastAsia="zh-CN"/>
          <w14:textFill>
            <w14:solidFill>
              <w14:schemeClr w14:val="tx1"/>
            </w14:solidFill>
          </w14:textFill>
        </w:rPr>
      </w:pPr>
      <w:r>
        <w:rPr>
          <w:rFonts w:hint="eastAsia" w:ascii="仿宋" w:hAnsi="仿宋" w:eastAsia="仿宋_GB2312" w:cs="仿宋"/>
          <w:color w:val="000000" w:themeColor="text1"/>
          <w:sz w:val="32"/>
          <w:szCs w:val="32"/>
          <w:highlight w:val="none"/>
          <w:lang w:val="en-US" w:eastAsia="zh-CN"/>
          <w14:textFill>
            <w14:solidFill>
              <w14:schemeClr w14:val="tx1"/>
            </w14:solidFill>
          </w14:textFill>
        </w:rPr>
        <w:t>本部门没有政府性基金预算支出</w:t>
      </w:r>
    </w:p>
    <w:p w14:paraId="7D47E59B">
      <w:pPr>
        <w:keepNext w:val="0"/>
        <w:keepLines w:val="0"/>
        <w:pageBreakBefore w:val="0"/>
        <w:widowControl w:val="0"/>
        <w:shd w:val="clear"/>
        <w:kinsoku/>
        <w:wordWrap/>
        <w:overflowPunct/>
        <w:topLinePunct w:val="0"/>
        <w:autoSpaceDE/>
        <w:autoSpaceDN/>
        <w:bidi w:val="0"/>
        <w:adjustRightInd/>
        <w:snapToGrid w:val="0"/>
        <w:spacing w:line="600" w:lineRule="exact"/>
        <w:ind w:left="0" w:leftChars="0" w:firstLine="640" w:firstLineChars="200"/>
        <w:jc w:val="both"/>
        <w:textAlignment w:val="auto"/>
        <w:rPr>
          <w:rFonts w:hint="eastAsia" w:ascii="黑体" w:hAnsi="黑体" w:eastAsia="黑体" w:cs="黑体"/>
          <w:b w:val="0"/>
          <w:bCs w:val="0"/>
          <w:color w:val="000000" w:themeColor="text1"/>
          <w:sz w:val="32"/>
          <w:szCs w:val="32"/>
          <w:highlight w:val="none"/>
          <w:lang w:val="en-US" w:eastAsia="zh-CN"/>
          <w14:textFill>
            <w14:solidFill>
              <w14:schemeClr w14:val="tx1"/>
            </w14:solidFill>
          </w14:textFill>
        </w:rPr>
      </w:pPr>
      <w:r>
        <w:rPr>
          <w:rFonts w:hint="eastAsia" w:ascii="黑体" w:hAnsi="黑体" w:eastAsia="黑体" w:cs="黑体"/>
          <w:b w:val="0"/>
          <w:bCs w:val="0"/>
          <w:color w:val="000000" w:themeColor="text1"/>
          <w:sz w:val="32"/>
          <w:szCs w:val="32"/>
          <w:highlight w:val="none"/>
          <w:lang w:val="en-US" w:eastAsia="zh-CN"/>
          <w14:textFill>
            <w14:solidFill>
              <w14:schemeClr w14:val="tx1"/>
            </w14:solidFill>
          </w14:textFill>
        </w:rPr>
        <w:t>六、国有资本经营预算支出情况</w:t>
      </w:r>
    </w:p>
    <w:p w14:paraId="04D2D423">
      <w:pPr>
        <w:keepNext w:val="0"/>
        <w:keepLines w:val="0"/>
        <w:pageBreakBefore w:val="0"/>
        <w:widowControl w:val="0"/>
        <w:numPr>
          <w:ilvl w:val="0"/>
          <w:numId w:val="0"/>
        </w:numPr>
        <w:shd w:val="clear"/>
        <w:kinsoku/>
        <w:wordWrap/>
        <w:overflowPunct/>
        <w:topLinePunct w:val="0"/>
        <w:autoSpaceDE/>
        <w:autoSpaceDN/>
        <w:bidi w:val="0"/>
        <w:adjustRightInd/>
        <w:snapToGrid w:val="0"/>
        <w:spacing w:line="600" w:lineRule="exact"/>
        <w:ind w:left="0" w:leftChars="0" w:firstLine="640" w:firstLineChars="200"/>
        <w:jc w:val="both"/>
        <w:textAlignment w:val="auto"/>
        <w:rPr>
          <w:rFonts w:hint="eastAsia" w:ascii="仿宋" w:hAnsi="仿宋" w:eastAsia="仿宋_GB2312" w:cs="仿宋"/>
          <w:color w:val="000000" w:themeColor="text1"/>
          <w:sz w:val="32"/>
          <w:szCs w:val="32"/>
          <w:highlight w:val="none"/>
          <w:lang w:val="en-US" w:eastAsia="zh-CN"/>
          <w14:textFill>
            <w14:solidFill>
              <w14:schemeClr w14:val="tx1"/>
            </w14:solidFill>
          </w14:textFill>
        </w:rPr>
      </w:pPr>
      <w:r>
        <w:rPr>
          <w:rFonts w:hint="eastAsia" w:ascii="仿宋" w:hAnsi="仿宋" w:eastAsia="仿宋_GB2312" w:cs="仿宋"/>
          <w:color w:val="000000" w:themeColor="text1"/>
          <w:sz w:val="32"/>
          <w:szCs w:val="32"/>
          <w:highlight w:val="none"/>
          <w:lang w:val="en-US" w:eastAsia="zh-CN"/>
          <w14:textFill>
            <w14:solidFill>
              <w14:schemeClr w14:val="tx1"/>
            </w14:solidFill>
          </w14:textFill>
        </w:rPr>
        <w:t>本部门没有国有资本经营预算支出</w:t>
      </w:r>
    </w:p>
    <w:p w14:paraId="2118DEA6">
      <w:pPr>
        <w:keepNext w:val="0"/>
        <w:keepLines w:val="0"/>
        <w:pageBreakBefore w:val="0"/>
        <w:widowControl w:val="0"/>
        <w:shd w:val="clear"/>
        <w:kinsoku/>
        <w:wordWrap/>
        <w:overflowPunct/>
        <w:topLinePunct w:val="0"/>
        <w:autoSpaceDE/>
        <w:autoSpaceDN/>
        <w:bidi w:val="0"/>
        <w:adjustRightInd/>
        <w:snapToGrid w:val="0"/>
        <w:spacing w:line="600" w:lineRule="exact"/>
        <w:ind w:left="0" w:leftChars="0" w:firstLine="640" w:firstLineChars="200"/>
        <w:jc w:val="both"/>
        <w:textAlignment w:val="auto"/>
        <w:rPr>
          <w:rFonts w:hint="eastAsia" w:ascii="黑体" w:hAnsi="黑体" w:eastAsia="黑体" w:cs="黑体"/>
          <w:b w:val="0"/>
          <w:bCs w:val="0"/>
          <w:color w:val="000000" w:themeColor="text1"/>
          <w:sz w:val="32"/>
          <w:szCs w:val="32"/>
          <w:highlight w:val="none"/>
          <w:lang w:val="en-US" w:eastAsia="zh-CN"/>
          <w14:textFill>
            <w14:solidFill>
              <w14:schemeClr w14:val="tx1"/>
            </w14:solidFill>
          </w14:textFill>
        </w:rPr>
      </w:pPr>
      <w:r>
        <w:rPr>
          <w:rFonts w:hint="eastAsia" w:ascii="黑体" w:hAnsi="黑体" w:eastAsia="黑体" w:cs="黑体"/>
          <w:b w:val="0"/>
          <w:bCs w:val="0"/>
          <w:color w:val="000000" w:themeColor="text1"/>
          <w:sz w:val="32"/>
          <w:szCs w:val="32"/>
          <w:highlight w:val="none"/>
          <w:lang w:val="en-US" w:eastAsia="zh-CN"/>
          <w14:textFill>
            <w14:solidFill>
              <w14:schemeClr w14:val="tx1"/>
            </w14:solidFill>
          </w14:textFill>
        </w:rPr>
        <w:t>七、社会保险基金预算支出情况</w:t>
      </w:r>
    </w:p>
    <w:p w14:paraId="437FA6E9">
      <w:pPr>
        <w:keepNext w:val="0"/>
        <w:keepLines w:val="0"/>
        <w:pageBreakBefore w:val="0"/>
        <w:widowControl w:val="0"/>
        <w:numPr>
          <w:ilvl w:val="0"/>
          <w:numId w:val="0"/>
        </w:numPr>
        <w:shd w:val="clear"/>
        <w:kinsoku/>
        <w:wordWrap/>
        <w:overflowPunct/>
        <w:topLinePunct w:val="0"/>
        <w:autoSpaceDE/>
        <w:autoSpaceDN/>
        <w:bidi w:val="0"/>
        <w:adjustRightInd/>
        <w:snapToGrid w:val="0"/>
        <w:spacing w:line="600" w:lineRule="exact"/>
        <w:ind w:left="0" w:leftChars="0" w:firstLine="640" w:firstLineChars="200"/>
        <w:jc w:val="both"/>
        <w:textAlignment w:val="auto"/>
        <w:rPr>
          <w:rFonts w:hint="eastAsia" w:ascii="仿宋" w:hAnsi="仿宋" w:eastAsia="仿宋_GB2312" w:cs="仿宋"/>
          <w:color w:val="000000" w:themeColor="text1"/>
          <w:sz w:val="32"/>
          <w:szCs w:val="32"/>
          <w:highlight w:val="none"/>
          <w:lang w:val="en-US" w:eastAsia="zh-CN"/>
          <w14:textFill>
            <w14:solidFill>
              <w14:schemeClr w14:val="tx1"/>
            </w14:solidFill>
          </w14:textFill>
        </w:rPr>
      </w:pPr>
      <w:r>
        <w:rPr>
          <w:rFonts w:hint="eastAsia" w:ascii="仿宋" w:hAnsi="仿宋" w:eastAsia="仿宋_GB2312" w:cs="仿宋"/>
          <w:color w:val="000000" w:themeColor="text1"/>
          <w:sz w:val="32"/>
          <w:szCs w:val="32"/>
          <w:highlight w:val="none"/>
          <w:lang w:val="en-US" w:eastAsia="zh-CN"/>
          <w14:textFill>
            <w14:solidFill>
              <w14:schemeClr w14:val="tx1"/>
            </w14:solidFill>
          </w14:textFill>
        </w:rPr>
        <w:t>本部门没有社会保险基金预算支出</w:t>
      </w:r>
    </w:p>
    <w:p w14:paraId="167056F1">
      <w:pPr>
        <w:keepNext w:val="0"/>
        <w:keepLines w:val="0"/>
        <w:pageBreakBefore w:val="0"/>
        <w:widowControl w:val="0"/>
        <w:shd w:val="clear"/>
        <w:kinsoku/>
        <w:wordWrap/>
        <w:overflowPunct/>
        <w:topLinePunct w:val="0"/>
        <w:autoSpaceDE/>
        <w:autoSpaceDN/>
        <w:bidi w:val="0"/>
        <w:adjustRightInd/>
        <w:snapToGrid w:val="0"/>
        <w:spacing w:line="600" w:lineRule="exact"/>
        <w:ind w:firstLine="640" w:firstLineChars="200"/>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八、部门整体支出绩效情况</w:t>
      </w:r>
    </w:p>
    <w:p w14:paraId="1E629C1B">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val="0"/>
        <w:spacing w:before="0" w:beforeAutospacing="0" w:after="0" w:afterAutospacing="0" w:line="600" w:lineRule="exact"/>
        <w:ind w:left="0" w:leftChars="0" w:right="0" w:firstLine="643" w:firstLineChars="200"/>
        <w:jc w:val="both"/>
        <w:textAlignment w:val="auto"/>
        <w:rPr>
          <w:rFonts w:hint="eastAsia" w:ascii="楷体" w:hAnsi="楷体" w:eastAsia="楷体_GB2312" w:cs="楷体"/>
          <w:b/>
          <w:bCs/>
          <w:i w:val="0"/>
          <w:iCs w:val="0"/>
          <w:caps w:val="0"/>
          <w:color w:val="000000" w:themeColor="text1"/>
          <w:spacing w:val="0"/>
          <w:sz w:val="32"/>
          <w:szCs w:val="32"/>
          <w:shd w:val="clear" w:fill="FFFFFF"/>
          <w:lang w:eastAsia="zh-CN"/>
          <w14:textFill>
            <w14:solidFill>
              <w14:schemeClr w14:val="tx1"/>
            </w14:solidFill>
          </w14:textFill>
        </w:rPr>
      </w:pPr>
      <w:r>
        <w:rPr>
          <w:rFonts w:hint="eastAsia" w:ascii="楷体" w:hAnsi="楷体" w:eastAsia="楷体_GB2312" w:cs="楷体"/>
          <w:b/>
          <w:bCs/>
          <w:i w:val="0"/>
          <w:iCs w:val="0"/>
          <w:caps w:val="0"/>
          <w:color w:val="000000" w:themeColor="text1"/>
          <w:spacing w:val="0"/>
          <w:sz w:val="32"/>
          <w:szCs w:val="32"/>
          <w:shd w:val="clear" w:fill="FFFFFF"/>
          <w14:textFill>
            <w14:solidFill>
              <w14:schemeClr w14:val="tx1"/>
            </w14:solidFill>
          </w14:textFill>
        </w:rPr>
        <w:t>（一）综合评价结论。</w:t>
      </w:r>
    </w:p>
    <w:p w14:paraId="173298BD">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val="0"/>
        <w:spacing w:before="0" w:beforeAutospacing="0" w:after="0" w:afterAutospacing="0" w:line="600" w:lineRule="exact"/>
        <w:ind w:left="0" w:leftChars="0" w:right="0" w:firstLine="640" w:firstLineChars="200"/>
        <w:jc w:val="both"/>
        <w:textAlignment w:val="auto"/>
        <w:rPr>
          <w:rFonts w:hint="eastAsia" w:ascii="仿宋" w:hAnsi="仿宋" w:eastAsia="仿宋_GB2312" w:cs="仿宋"/>
          <w:i w:val="0"/>
          <w:iCs w:val="0"/>
          <w:caps w:val="0"/>
          <w:color w:val="000000" w:themeColor="text1"/>
          <w:spacing w:val="0"/>
          <w:sz w:val="32"/>
          <w:szCs w:val="32"/>
          <w:shd w:val="clear" w:fill="FFFFFF"/>
          <w:lang w:val="en-US" w:eastAsia="zh-CN"/>
          <w14:textFill>
            <w14:solidFill>
              <w14:schemeClr w14:val="tx1"/>
            </w14:solidFill>
          </w14:textFill>
        </w:rPr>
      </w:pPr>
      <w:r>
        <w:rPr>
          <w:rFonts w:hint="eastAsia" w:ascii="仿宋" w:hAnsi="仿宋" w:eastAsia="仿宋_GB2312" w:cs="仿宋"/>
          <w:i w:val="0"/>
          <w:iCs w:val="0"/>
          <w:caps w:val="0"/>
          <w:color w:val="000000" w:themeColor="text1"/>
          <w:spacing w:val="0"/>
          <w:sz w:val="32"/>
          <w:szCs w:val="32"/>
          <w:shd w:val="clear" w:fill="FFFFFF"/>
          <w:lang w:eastAsia="zh-CN"/>
          <w14:textFill>
            <w14:solidFill>
              <w14:schemeClr w14:val="tx1"/>
            </w14:solidFill>
          </w14:textFill>
        </w:rPr>
        <w:t>怀化市司法局</w:t>
      </w:r>
      <w:r>
        <w:rPr>
          <w:rFonts w:hint="eastAsia" w:ascii="仿宋" w:hAnsi="仿宋" w:eastAsia="仿宋_GB2312" w:cs="仿宋"/>
          <w:i w:val="0"/>
          <w:iCs w:val="0"/>
          <w:caps w:val="0"/>
          <w:color w:val="000000" w:themeColor="text1"/>
          <w:spacing w:val="0"/>
          <w:sz w:val="32"/>
          <w:szCs w:val="32"/>
          <w:shd w:val="clear" w:fill="FFFFFF"/>
          <w14:textFill>
            <w14:solidFill>
              <w14:schemeClr w14:val="tx1"/>
            </w14:solidFill>
          </w14:textFill>
        </w:rPr>
        <w:t>认真践行预算绩效一体化理念，从决策、管理、预算绩效等方面对财政预算支出经费进行全过程管理，不断提升预算管理水平，牢固树立“过紧日子”的思想，坚持精打细算、勤俭节约，严控一般性支出提高预算资金使用效益。绩效指标全部圆满完成，预算执行率大幅提升，预算管理持续加强，全年完成政府采购，运行成本、管理效率、履职效能、社会效应、可持续发展能力和服务对象满意度等方面实施效果良好，</w:t>
      </w:r>
      <w:r>
        <w:rPr>
          <w:rFonts w:hint="eastAsia" w:ascii="仿宋" w:hAnsi="仿宋" w:eastAsia="仿宋_GB2312" w:cs="仿宋"/>
          <w:i w:val="0"/>
          <w:iCs w:val="0"/>
          <w:caps w:val="0"/>
          <w:color w:val="000000" w:themeColor="text1"/>
          <w:spacing w:val="0"/>
          <w:sz w:val="32"/>
          <w:szCs w:val="32"/>
          <w:shd w:val="clear" w:fill="FFFFFF"/>
          <w:lang w:eastAsia="zh-CN"/>
          <w14:textFill>
            <w14:solidFill>
              <w14:schemeClr w14:val="tx1"/>
            </w14:solidFill>
          </w14:textFill>
        </w:rPr>
        <w:t>整体支出绩</w:t>
      </w:r>
      <w:r>
        <w:rPr>
          <w:rFonts w:hint="eastAsia" w:ascii="仿宋" w:hAnsi="仿宋" w:eastAsia="仿宋_GB2312" w:cs="仿宋"/>
          <w:i w:val="0"/>
          <w:iCs w:val="0"/>
          <w:caps w:val="0"/>
          <w:color w:val="auto"/>
          <w:spacing w:val="0"/>
          <w:sz w:val="32"/>
          <w:szCs w:val="32"/>
          <w:shd w:val="clear" w:fill="FFFFFF"/>
          <w:lang w:eastAsia="zh-CN"/>
        </w:rPr>
        <w:t>效自评分</w:t>
      </w:r>
      <w:r>
        <w:rPr>
          <w:rFonts w:hint="eastAsia" w:ascii="Times New Roman" w:hAnsi="Times New Roman" w:eastAsia="仿宋_GB2312" w:cs="仿宋"/>
          <w:i w:val="0"/>
          <w:iCs w:val="0"/>
          <w:caps w:val="0"/>
          <w:color w:val="auto"/>
          <w:spacing w:val="0"/>
          <w:sz w:val="32"/>
          <w:szCs w:val="32"/>
          <w:shd w:val="clear" w:fill="FFFFFF"/>
          <w:lang w:val="en-US" w:eastAsia="zh-CN"/>
        </w:rPr>
        <w:t>99</w:t>
      </w:r>
      <w:r>
        <w:rPr>
          <w:rFonts w:hint="eastAsia" w:ascii="仿宋" w:hAnsi="仿宋" w:eastAsia="仿宋_GB2312" w:cs="仿宋"/>
          <w:i w:val="0"/>
          <w:iCs w:val="0"/>
          <w:caps w:val="0"/>
          <w:color w:val="auto"/>
          <w:spacing w:val="0"/>
          <w:sz w:val="32"/>
          <w:szCs w:val="32"/>
          <w:shd w:val="clear" w:fill="FFFFFF"/>
          <w:lang w:val="en-US" w:eastAsia="zh-CN"/>
        </w:rPr>
        <w:t>分。</w:t>
      </w:r>
    </w:p>
    <w:p w14:paraId="4130FB88">
      <w:pPr>
        <w:pStyle w:val="6"/>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val="0"/>
        <w:spacing w:before="0" w:beforeAutospacing="0" w:after="0" w:afterAutospacing="0" w:line="600" w:lineRule="exact"/>
        <w:ind w:right="0" w:rightChars="0" w:firstLine="643" w:firstLineChars="200"/>
        <w:jc w:val="both"/>
        <w:textAlignment w:val="auto"/>
        <w:rPr>
          <w:rFonts w:hint="eastAsia" w:ascii="楷体" w:hAnsi="楷体" w:eastAsia="楷体_GB2312" w:cs="楷体"/>
          <w:b/>
          <w:bCs/>
          <w:i w:val="0"/>
          <w:iCs w:val="0"/>
          <w:caps w:val="0"/>
          <w:color w:val="000000" w:themeColor="text1"/>
          <w:spacing w:val="0"/>
          <w:sz w:val="32"/>
          <w:szCs w:val="32"/>
          <w:shd w:val="clear" w:fill="FFFFFF"/>
          <w14:textFill>
            <w14:solidFill>
              <w14:schemeClr w14:val="tx1"/>
            </w14:solidFill>
          </w14:textFill>
        </w:rPr>
      </w:pPr>
      <w:r>
        <w:rPr>
          <w:rFonts w:hint="eastAsia" w:ascii="楷体" w:hAnsi="楷体" w:eastAsia="楷体_GB2312" w:cs="楷体"/>
          <w:b/>
          <w:bCs/>
          <w:i w:val="0"/>
          <w:iCs w:val="0"/>
          <w:caps w:val="0"/>
          <w:color w:val="000000" w:themeColor="text1"/>
          <w:spacing w:val="0"/>
          <w:sz w:val="32"/>
          <w:szCs w:val="32"/>
          <w:shd w:val="clear" w:fill="FFFFFF"/>
          <w:lang w:eastAsia="zh-CN"/>
          <w14:textFill>
            <w14:solidFill>
              <w14:schemeClr w14:val="tx1"/>
            </w14:solidFill>
          </w14:textFill>
        </w:rPr>
        <w:t>（</w:t>
      </w:r>
      <w:r>
        <w:rPr>
          <w:rFonts w:hint="eastAsia" w:ascii="楷体" w:hAnsi="楷体" w:eastAsia="楷体_GB2312" w:cs="楷体"/>
          <w:b/>
          <w:bCs/>
          <w:i w:val="0"/>
          <w:iCs w:val="0"/>
          <w:caps w:val="0"/>
          <w:color w:val="000000" w:themeColor="text1"/>
          <w:spacing w:val="0"/>
          <w:sz w:val="32"/>
          <w:szCs w:val="32"/>
          <w:shd w:val="clear" w:fill="FFFFFF"/>
          <w:lang w:val="en-US" w:eastAsia="zh-CN"/>
          <w14:textFill>
            <w14:solidFill>
              <w14:schemeClr w14:val="tx1"/>
            </w14:solidFill>
          </w14:textFill>
        </w:rPr>
        <w:t>二）</w:t>
      </w:r>
      <w:r>
        <w:rPr>
          <w:rFonts w:hint="eastAsia" w:ascii="楷体" w:hAnsi="楷体" w:eastAsia="楷体_GB2312" w:cs="楷体"/>
          <w:b/>
          <w:bCs/>
          <w:i w:val="0"/>
          <w:iCs w:val="0"/>
          <w:caps w:val="0"/>
          <w:color w:val="000000" w:themeColor="text1"/>
          <w:spacing w:val="0"/>
          <w:sz w:val="32"/>
          <w:szCs w:val="32"/>
          <w:shd w:val="clear" w:fill="FFFFFF"/>
          <w14:textFill>
            <w14:solidFill>
              <w14:schemeClr w14:val="tx1"/>
            </w14:solidFill>
          </w14:textFill>
        </w:rPr>
        <w:t>综合评价情况</w:t>
      </w:r>
    </w:p>
    <w:p w14:paraId="41FE0497">
      <w:pPr>
        <w:keepNext w:val="0"/>
        <w:keepLines w:val="0"/>
        <w:pageBreakBefore w:val="0"/>
        <w:widowControl w:val="0"/>
        <w:shd w:val="clea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_GB2312" w:cs="仿宋"/>
          <w:b w:val="0"/>
          <w:bCs w:val="0"/>
          <w:color w:val="auto"/>
          <w:spacing w:val="0"/>
          <w:sz w:val="32"/>
          <w:szCs w:val="32"/>
          <w:lang w:val="en-US" w:eastAsia="zh-CN"/>
        </w:rPr>
      </w:pPr>
      <w:r>
        <w:rPr>
          <w:rFonts w:hint="eastAsia" w:ascii="Times New Roman" w:hAnsi="Times New Roman" w:eastAsia="仿宋_GB2312" w:cs="仿宋"/>
          <w:color w:val="auto"/>
          <w:spacing w:val="0"/>
          <w:sz w:val="32"/>
          <w:szCs w:val="32"/>
          <w:lang w:val="en-US" w:eastAsia="zh-CN"/>
        </w:rPr>
        <w:t>2025</w:t>
      </w:r>
      <w:r>
        <w:rPr>
          <w:rFonts w:hint="eastAsia" w:ascii="仿宋" w:hAnsi="仿宋" w:eastAsia="仿宋_GB2312" w:cs="仿宋"/>
          <w:color w:val="auto"/>
          <w:spacing w:val="0"/>
          <w:sz w:val="32"/>
          <w:szCs w:val="32"/>
          <w:lang w:val="en-US" w:eastAsia="zh-CN"/>
        </w:rPr>
        <w:t>年，在市委市政府的坚强领导和省司法厅的精心指导下，怀化市司法局深入践行习近平法治思想，按照省厅“守住基本盘、突破薄弱点、争当优等生”的部署要求，团结带领全系统干警真抓实干、奋发作为，各项工作呈现“多点突破、全面出彩”的态势，为现代化新怀化建设提供优质高效的法治保障。</w:t>
      </w:r>
      <w:r>
        <w:rPr>
          <w:rFonts w:hint="eastAsia" w:ascii="仿宋" w:hAnsi="仿宋" w:eastAsia="仿宋_GB2312" w:cs="仿宋"/>
          <w:b w:val="0"/>
          <w:bCs w:val="0"/>
          <w:color w:val="auto"/>
          <w:spacing w:val="0"/>
          <w:sz w:val="32"/>
          <w:szCs w:val="32"/>
        </w:rPr>
        <w:t>怀化国际陆港法务区建成启用并取得阶段性成效，创新做法获《法治日报》等国家级主流媒体推介；市强戒所成功转型改建为专门学校并招生开学，在推进利剑护蕾、遏制未成年人</w:t>
      </w:r>
      <w:r>
        <w:rPr>
          <w:rFonts w:hint="eastAsia" w:ascii="仿宋" w:hAnsi="仿宋" w:eastAsia="仿宋_GB2312" w:cs="仿宋"/>
          <w:b w:val="0"/>
          <w:bCs w:val="0"/>
          <w:color w:val="auto"/>
          <w:spacing w:val="0"/>
          <w:sz w:val="32"/>
          <w:szCs w:val="32"/>
          <w:lang w:eastAsia="zh-CN"/>
        </w:rPr>
        <w:t>违法</w:t>
      </w:r>
      <w:r>
        <w:rPr>
          <w:rFonts w:hint="eastAsia" w:ascii="仿宋" w:hAnsi="仿宋" w:eastAsia="仿宋_GB2312" w:cs="仿宋"/>
          <w:b w:val="0"/>
          <w:bCs w:val="0"/>
          <w:color w:val="auto"/>
          <w:spacing w:val="0"/>
          <w:sz w:val="32"/>
          <w:szCs w:val="32"/>
        </w:rPr>
        <w:t>犯罪等方面发挥了突出作用；规范涉企行政执法检查</w:t>
      </w:r>
      <w:r>
        <w:rPr>
          <w:rFonts w:hint="eastAsia" w:ascii="仿宋" w:hAnsi="仿宋" w:eastAsia="仿宋_GB2312" w:cs="仿宋"/>
          <w:b w:val="0"/>
          <w:bCs w:val="0"/>
          <w:color w:val="auto"/>
          <w:spacing w:val="0"/>
          <w:sz w:val="32"/>
          <w:szCs w:val="32"/>
          <w:lang w:eastAsia="zh-CN"/>
        </w:rPr>
        <w:t>和行政执法监督工作</w:t>
      </w:r>
      <w:r>
        <w:rPr>
          <w:rFonts w:hint="eastAsia" w:ascii="仿宋" w:hAnsi="仿宋" w:eastAsia="仿宋_GB2312" w:cs="仿宋"/>
          <w:b w:val="0"/>
          <w:bCs w:val="0"/>
          <w:color w:val="auto"/>
          <w:spacing w:val="0"/>
          <w:sz w:val="32"/>
          <w:szCs w:val="32"/>
        </w:rPr>
        <w:t>大多数业务考核指标位居全省前列，</w:t>
      </w:r>
      <w:r>
        <w:rPr>
          <w:rFonts w:hint="eastAsia" w:ascii="仿宋" w:hAnsi="仿宋" w:eastAsia="仿宋_GB2312" w:cs="仿宋"/>
          <w:b w:val="0"/>
          <w:bCs w:val="0"/>
          <w:color w:val="auto"/>
          <w:spacing w:val="0"/>
          <w:sz w:val="32"/>
          <w:szCs w:val="32"/>
          <w:lang w:eastAsia="zh-CN"/>
        </w:rPr>
        <w:t>并</w:t>
      </w:r>
      <w:r>
        <w:rPr>
          <w:rFonts w:hint="eastAsia" w:ascii="仿宋" w:hAnsi="仿宋" w:eastAsia="仿宋_GB2312" w:cs="仿宋"/>
          <w:b w:val="0"/>
          <w:bCs w:val="0"/>
          <w:color w:val="auto"/>
          <w:spacing w:val="0"/>
          <w:sz w:val="32"/>
          <w:szCs w:val="32"/>
        </w:rPr>
        <w:t>在全省有关会议上作经验交流发言；在省厅组织的执法质量案卷评查中，怀化综合得分排名全省第一；新增</w:t>
      </w:r>
      <w:r>
        <w:rPr>
          <w:rFonts w:hint="eastAsia" w:ascii="Times New Roman" w:hAnsi="Times New Roman" w:eastAsia="仿宋_GB2312" w:cs="仿宋"/>
          <w:b w:val="0"/>
          <w:bCs w:val="0"/>
          <w:color w:val="auto"/>
          <w:spacing w:val="0"/>
          <w:sz w:val="32"/>
          <w:szCs w:val="32"/>
        </w:rPr>
        <w:t>6</w:t>
      </w:r>
      <w:r>
        <w:rPr>
          <w:rFonts w:hint="eastAsia" w:ascii="仿宋" w:hAnsi="仿宋" w:eastAsia="仿宋_GB2312" w:cs="仿宋"/>
          <w:b w:val="0"/>
          <w:bCs w:val="0"/>
          <w:color w:val="auto"/>
          <w:spacing w:val="0"/>
          <w:sz w:val="32"/>
          <w:szCs w:val="32"/>
        </w:rPr>
        <w:t>个“全国民主法治示范村（社区）”，洪江市成功入选全国首批“全国守法普法示范市（县、区）”创建单位；人民调解员曾祥伟先进事迹在《法治日报》头版刊发；</w:t>
      </w:r>
      <w:r>
        <w:rPr>
          <w:rFonts w:hint="eastAsia" w:ascii="Times New Roman" w:hAnsi="Times New Roman" w:eastAsia="仿宋_GB2312" w:cs="仿宋"/>
          <w:b w:val="0"/>
          <w:bCs w:val="0"/>
          <w:color w:val="auto"/>
          <w:spacing w:val="0"/>
          <w:sz w:val="32"/>
          <w:szCs w:val="32"/>
        </w:rPr>
        <w:t>7</w:t>
      </w:r>
      <w:r>
        <w:rPr>
          <w:rFonts w:hint="eastAsia" w:ascii="仿宋" w:hAnsi="仿宋" w:eastAsia="仿宋_GB2312" w:cs="仿宋"/>
          <w:b w:val="0"/>
          <w:bCs w:val="0"/>
          <w:color w:val="auto"/>
          <w:spacing w:val="0"/>
          <w:sz w:val="32"/>
          <w:szCs w:val="32"/>
        </w:rPr>
        <w:t>项工作斩获第三届法治时代创新论坛法治创新荣誉（市本级</w:t>
      </w:r>
      <w:r>
        <w:rPr>
          <w:rFonts w:hint="eastAsia" w:ascii="Times New Roman" w:hAnsi="Times New Roman" w:eastAsia="仿宋_GB2312" w:cs="仿宋"/>
          <w:b w:val="0"/>
          <w:bCs w:val="0"/>
          <w:color w:val="auto"/>
          <w:spacing w:val="0"/>
          <w:sz w:val="32"/>
          <w:szCs w:val="32"/>
        </w:rPr>
        <w:t>4</w:t>
      </w:r>
      <w:r>
        <w:rPr>
          <w:rFonts w:hint="eastAsia" w:ascii="仿宋" w:hAnsi="仿宋" w:eastAsia="仿宋_GB2312" w:cs="仿宋"/>
          <w:b w:val="0"/>
          <w:bCs w:val="0"/>
          <w:color w:val="auto"/>
          <w:spacing w:val="0"/>
          <w:sz w:val="32"/>
          <w:szCs w:val="32"/>
        </w:rPr>
        <w:t>项）；全市</w:t>
      </w:r>
      <w:r>
        <w:rPr>
          <w:rFonts w:hint="eastAsia" w:ascii="Times New Roman" w:hAnsi="Times New Roman" w:eastAsia="仿宋_GB2312" w:cs="仿宋"/>
          <w:b w:val="0"/>
          <w:bCs w:val="0"/>
          <w:color w:val="auto"/>
          <w:spacing w:val="0"/>
          <w:sz w:val="32"/>
          <w:szCs w:val="32"/>
        </w:rPr>
        <w:t>12</w:t>
      </w:r>
      <w:r>
        <w:rPr>
          <w:rFonts w:hint="eastAsia" w:ascii="仿宋" w:hAnsi="仿宋" w:eastAsia="仿宋_GB2312" w:cs="仿宋"/>
          <w:b w:val="0"/>
          <w:bCs w:val="0"/>
          <w:color w:val="auto"/>
          <w:spacing w:val="0"/>
          <w:sz w:val="32"/>
          <w:szCs w:val="32"/>
        </w:rPr>
        <w:t>个集体、</w:t>
      </w:r>
      <w:r>
        <w:rPr>
          <w:rFonts w:hint="eastAsia" w:ascii="Times New Roman" w:hAnsi="Times New Roman" w:eastAsia="仿宋_GB2312" w:cs="仿宋"/>
          <w:b w:val="0"/>
          <w:bCs w:val="0"/>
          <w:color w:val="auto"/>
          <w:spacing w:val="0"/>
          <w:sz w:val="32"/>
          <w:szCs w:val="32"/>
        </w:rPr>
        <w:t>20</w:t>
      </w:r>
      <w:r>
        <w:rPr>
          <w:rFonts w:hint="eastAsia" w:ascii="仿宋" w:hAnsi="仿宋" w:eastAsia="仿宋_GB2312" w:cs="仿宋"/>
          <w:b w:val="0"/>
          <w:bCs w:val="0"/>
          <w:color w:val="auto"/>
          <w:spacing w:val="0"/>
          <w:sz w:val="32"/>
          <w:szCs w:val="32"/>
        </w:rPr>
        <w:t>人次获得省级以上荣誉表彰表扬。</w:t>
      </w:r>
    </w:p>
    <w:p w14:paraId="5D2A7546">
      <w:pPr>
        <w:keepNext w:val="0"/>
        <w:keepLines w:val="0"/>
        <w:pageBreakBefore w:val="0"/>
        <w:widowControl w:val="0"/>
        <w:shd w:val="clear"/>
        <w:kinsoku/>
        <w:wordWrap/>
        <w:overflowPunct/>
        <w:topLinePunct w:val="0"/>
        <w:autoSpaceDE/>
        <w:autoSpaceDN/>
        <w:bidi w:val="0"/>
        <w:adjustRightInd/>
        <w:snapToGrid/>
        <w:spacing w:line="600" w:lineRule="exact"/>
        <w:ind w:firstLine="643" w:firstLineChars="200"/>
        <w:textAlignment w:val="auto"/>
        <w:rPr>
          <w:rFonts w:hint="eastAsia" w:ascii="仿宋" w:hAnsi="仿宋" w:eastAsia="仿宋_GB2312" w:cs="仿宋"/>
          <w:b/>
          <w:bCs/>
          <w:color w:val="auto"/>
          <w:spacing w:val="0"/>
          <w:sz w:val="32"/>
          <w:szCs w:val="32"/>
          <w:lang w:val="en-US" w:eastAsia="zh-CN"/>
        </w:rPr>
      </w:pPr>
      <w:r>
        <w:rPr>
          <w:rFonts w:hint="eastAsia" w:ascii="Times New Roman" w:hAnsi="Times New Roman" w:eastAsia="仿宋_GB2312" w:cs="仿宋"/>
          <w:b/>
          <w:bCs/>
          <w:color w:val="auto"/>
          <w:spacing w:val="0"/>
          <w:sz w:val="32"/>
          <w:szCs w:val="32"/>
          <w:lang w:val="en-US" w:eastAsia="zh-CN"/>
        </w:rPr>
        <w:t>1</w:t>
      </w:r>
      <w:r>
        <w:rPr>
          <w:rFonts w:hint="eastAsia" w:ascii="仿宋" w:hAnsi="仿宋" w:eastAsia="仿宋_GB2312" w:cs="仿宋"/>
          <w:b/>
          <w:bCs/>
          <w:color w:val="auto"/>
          <w:spacing w:val="0"/>
          <w:sz w:val="32"/>
          <w:szCs w:val="32"/>
          <w:lang w:val="en-US" w:eastAsia="zh-CN"/>
        </w:rPr>
        <w:t>、加强统筹协调，法治建设责任压紧压实。</w:t>
      </w:r>
      <w:r>
        <w:rPr>
          <w:rFonts w:hint="eastAsia" w:ascii="仿宋" w:hAnsi="仿宋" w:eastAsia="仿宋_GB2312" w:cs="仿宋"/>
          <w:bCs/>
          <w:color w:val="auto"/>
          <w:spacing w:val="0"/>
          <w:sz w:val="32"/>
          <w:szCs w:val="32"/>
          <w:lang w:val="en-US" w:eastAsia="zh-CN"/>
        </w:rPr>
        <w:t>及时</w:t>
      </w:r>
      <w:r>
        <w:rPr>
          <w:rFonts w:hint="eastAsia" w:ascii="仿宋" w:hAnsi="仿宋" w:eastAsia="仿宋_GB2312" w:cs="仿宋"/>
          <w:color w:val="auto"/>
          <w:spacing w:val="0"/>
          <w:sz w:val="32"/>
          <w:szCs w:val="32"/>
        </w:rPr>
        <w:t>召开市委依法治市委员会及其办公室会议，研究明确年度法治建设总体思路、重点任务和攻坚</w:t>
      </w:r>
      <w:r>
        <w:rPr>
          <w:rFonts w:hint="eastAsia" w:ascii="仿宋" w:hAnsi="仿宋" w:eastAsia="仿宋_GB2312" w:cs="仿宋"/>
          <w:color w:val="auto"/>
          <w:spacing w:val="0"/>
          <w:sz w:val="32"/>
          <w:szCs w:val="32"/>
          <w:lang w:val="en-US" w:eastAsia="zh-CN"/>
        </w:rPr>
        <w:t>方向，以任务清单责任清单推动任务落实。严格落实述法考评制度，坚持真考实考严考，采取“现场述+书面报”模式，实现全市党政主要负责人集中述法全覆盖，</w:t>
      </w:r>
      <w:r>
        <w:rPr>
          <w:rFonts w:hint="eastAsia" w:ascii="仿宋" w:hAnsi="仿宋" w:eastAsia="仿宋_GB2312" w:cs="仿宋"/>
          <w:color w:val="auto"/>
          <w:spacing w:val="0"/>
          <w:sz w:val="32"/>
          <w:szCs w:val="32"/>
          <w:lang w:eastAsia="zh-CN"/>
        </w:rPr>
        <w:t>市</w:t>
      </w:r>
      <w:r>
        <w:rPr>
          <w:rFonts w:hint="eastAsia" w:ascii="仿宋" w:hAnsi="仿宋" w:eastAsia="仿宋_GB2312" w:cs="仿宋"/>
          <w:color w:val="auto"/>
          <w:spacing w:val="0"/>
          <w:sz w:val="32"/>
          <w:szCs w:val="32"/>
          <w:lang w:val="en-US" w:eastAsia="zh-CN"/>
        </w:rPr>
        <w:t>政府主要负责人</w:t>
      </w:r>
      <w:r>
        <w:rPr>
          <w:rFonts w:hint="eastAsia" w:ascii="仿宋" w:hAnsi="仿宋" w:eastAsia="仿宋_GB2312" w:cs="仿宋"/>
          <w:color w:val="auto"/>
          <w:spacing w:val="0"/>
          <w:sz w:val="32"/>
          <w:szCs w:val="32"/>
          <w:lang w:eastAsia="zh-CN"/>
        </w:rPr>
        <w:t>韦朝晖带头</w:t>
      </w:r>
      <w:r>
        <w:rPr>
          <w:rFonts w:hint="eastAsia" w:ascii="仿宋" w:hAnsi="仿宋" w:eastAsia="仿宋_GB2312" w:cs="仿宋"/>
          <w:color w:val="auto"/>
          <w:spacing w:val="0"/>
          <w:sz w:val="32"/>
          <w:szCs w:val="32"/>
          <w:lang w:val="en-US" w:eastAsia="zh-CN"/>
        </w:rPr>
        <w:t>厉行法治，</w:t>
      </w:r>
      <w:r>
        <w:rPr>
          <w:rFonts w:hint="eastAsia" w:ascii="仿宋" w:hAnsi="仿宋" w:eastAsia="仿宋_GB2312" w:cs="仿宋"/>
          <w:color w:val="auto"/>
          <w:spacing w:val="0"/>
          <w:sz w:val="32"/>
          <w:szCs w:val="32"/>
          <w:lang w:eastAsia="zh-CN"/>
        </w:rPr>
        <w:t>出庭应诉发声，带动县市区政府主要负责人全部出庭应诉</w:t>
      </w:r>
      <w:r>
        <w:rPr>
          <w:rFonts w:hint="eastAsia" w:ascii="仿宋" w:hAnsi="仿宋" w:eastAsia="仿宋_GB2312" w:cs="仿宋"/>
          <w:color w:val="auto"/>
          <w:spacing w:val="0"/>
          <w:sz w:val="32"/>
          <w:szCs w:val="32"/>
          <w:lang w:val="en-US" w:eastAsia="zh-CN"/>
        </w:rPr>
        <w:t>。狠抓中央和省委法治督察反馈问题整改，建立闭环落实和销号管理机制，下发督办函</w:t>
      </w:r>
      <w:r>
        <w:rPr>
          <w:rFonts w:hint="eastAsia" w:ascii="Times New Roman" w:hAnsi="Times New Roman" w:eastAsia="仿宋_GB2312" w:cs="仿宋"/>
          <w:color w:val="auto"/>
          <w:spacing w:val="0"/>
          <w:sz w:val="32"/>
          <w:szCs w:val="32"/>
          <w:lang w:val="en-US" w:eastAsia="zh-CN"/>
        </w:rPr>
        <w:t>3</w:t>
      </w:r>
      <w:r>
        <w:rPr>
          <w:rFonts w:hint="eastAsia" w:ascii="仿宋" w:hAnsi="仿宋" w:eastAsia="仿宋_GB2312" w:cs="仿宋"/>
          <w:color w:val="auto"/>
          <w:spacing w:val="0"/>
          <w:sz w:val="32"/>
          <w:szCs w:val="32"/>
          <w:lang w:val="en-US" w:eastAsia="zh-CN"/>
        </w:rPr>
        <w:t>件，溆浦县违停车辆罚款增长过快问题整改工作经验被湖南法治报推介。高位推进法治建设实地督察，由市人大、市政协领导领衔，聚焦执法领域突出问题，深入靖州县、辰溪县、市自规局等</w:t>
      </w:r>
      <w:r>
        <w:rPr>
          <w:rFonts w:hint="eastAsia" w:ascii="Times New Roman" w:hAnsi="Times New Roman" w:eastAsia="仿宋_GB2312" w:cs="仿宋"/>
          <w:color w:val="auto"/>
          <w:spacing w:val="0"/>
          <w:sz w:val="32"/>
          <w:szCs w:val="32"/>
          <w:lang w:val="en-US" w:eastAsia="zh-CN"/>
        </w:rPr>
        <w:t>6</w:t>
      </w:r>
      <w:r>
        <w:rPr>
          <w:rFonts w:hint="eastAsia" w:ascii="仿宋" w:hAnsi="仿宋" w:eastAsia="仿宋_GB2312" w:cs="仿宋"/>
          <w:color w:val="auto"/>
          <w:spacing w:val="0"/>
          <w:sz w:val="32"/>
          <w:szCs w:val="32"/>
          <w:lang w:val="en-US" w:eastAsia="zh-CN"/>
        </w:rPr>
        <w:t>家单位开展现场督察，并现场反馈问题提出整改意见，持续跟踪督促整改落实。深化</w:t>
      </w:r>
      <w:r>
        <w:rPr>
          <w:rFonts w:hint="eastAsia" w:ascii="仿宋" w:hAnsi="仿宋" w:eastAsia="仿宋_GB2312" w:cs="仿宋"/>
          <w:color w:val="auto"/>
          <w:spacing w:val="0"/>
          <w:sz w:val="32"/>
          <w:szCs w:val="32"/>
        </w:rPr>
        <w:t>“法治督察+党委巡察”贯通机制</w:t>
      </w:r>
      <w:r>
        <w:rPr>
          <w:rFonts w:hint="eastAsia" w:ascii="仿宋" w:hAnsi="仿宋" w:eastAsia="仿宋_GB2312" w:cs="仿宋"/>
          <w:color w:val="auto"/>
          <w:spacing w:val="0"/>
          <w:sz w:val="32"/>
          <w:szCs w:val="32"/>
          <w:lang w:val="en-US" w:eastAsia="zh-CN"/>
        </w:rPr>
        <w:t>创新</w:t>
      </w:r>
      <w:r>
        <w:rPr>
          <w:rFonts w:hint="eastAsia" w:ascii="仿宋" w:hAnsi="仿宋" w:eastAsia="仿宋_GB2312" w:cs="仿宋"/>
          <w:color w:val="auto"/>
          <w:spacing w:val="0"/>
          <w:sz w:val="32"/>
          <w:szCs w:val="32"/>
        </w:rPr>
        <w:t>，制定</w:t>
      </w:r>
      <w:r>
        <w:rPr>
          <w:rFonts w:hint="eastAsia" w:ascii="仿宋" w:hAnsi="仿宋" w:eastAsia="仿宋_GB2312" w:cs="仿宋"/>
          <w:color w:val="auto"/>
          <w:spacing w:val="0"/>
          <w:sz w:val="32"/>
          <w:szCs w:val="32"/>
          <w:lang w:val="en-US" w:eastAsia="zh-CN"/>
        </w:rPr>
        <w:t>出台</w:t>
      </w:r>
      <w:r>
        <w:rPr>
          <w:rFonts w:hint="eastAsia" w:ascii="仿宋" w:hAnsi="仿宋" w:eastAsia="仿宋_GB2312" w:cs="仿宋"/>
          <w:color w:val="auto"/>
          <w:spacing w:val="0"/>
          <w:sz w:val="32"/>
          <w:szCs w:val="32"/>
        </w:rPr>
        <w:t>《怀化市推进巡察监督与法治督察工作贯通协同的若干措施》，对</w:t>
      </w:r>
      <w:r>
        <w:rPr>
          <w:rFonts w:hint="eastAsia" w:ascii="Times New Roman" w:hAnsi="Times New Roman" w:eastAsia="仿宋_GB2312" w:cs="仿宋"/>
          <w:color w:val="auto"/>
          <w:spacing w:val="0"/>
          <w:sz w:val="32"/>
          <w:szCs w:val="32"/>
        </w:rPr>
        <w:t>37</w:t>
      </w:r>
      <w:r>
        <w:rPr>
          <w:rFonts w:hint="eastAsia" w:ascii="仿宋" w:hAnsi="仿宋" w:eastAsia="仿宋_GB2312" w:cs="仿宋"/>
          <w:color w:val="auto"/>
          <w:spacing w:val="0"/>
          <w:sz w:val="32"/>
          <w:szCs w:val="32"/>
        </w:rPr>
        <w:t>家</w:t>
      </w:r>
      <w:r>
        <w:rPr>
          <w:rFonts w:hint="eastAsia" w:ascii="仿宋" w:hAnsi="仿宋" w:eastAsia="仿宋_GB2312" w:cs="仿宋"/>
          <w:color w:val="auto"/>
          <w:spacing w:val="0"/>
          <w:sz w:val="32"/>
          <w:szCs w:val="32"/>
          <w:lang w:val="en-US" w:eastAsia="zh-CN"/>
        </w:rPr>
        <w:t>被</w:t>
      </w:r>
      <w:r>
        <w:rPr>
          <w:rFonts w:hint="eastAsia" w:ascii="仿宋" w:hAnsi="仿宋" w:eastAsia="仿宋_GB2312" w:cs="仿宋"/>
          <w:color w:val="auto"/>
          <w:spacing w:val="0"/>
          <w:sz w:val="32"/>
          <w:szCs w:val="32"/>
        </w:rPr>
        <w:t>巡察单位同步开展法治督察，发现问题线索</w:t>
      </w:r>
      <w:r>
        <w:rPr>
          <w:rFonts w:hint="eastAsia" w:ascii="Times New Roman" w:hAnsi="Times New Roman" w:eastAsia="仿宋_GB2312" w:cs="仿宋"/>
          <w:color w:val="auto"/>
          <w:spacing w:val="0"/>
          <w:sz w:val="32"/>
          <w:szCs w:val="32"/>
        </w:rPr>
        <w:t>147</w:t>
      </w:r>
      <w:r>
        <w:rPr>
          <w:rFonts w:hint="eastAsia" w:ascii="仿宋" w:hAnsi="仿宋" w:eastAsia="仿宋_GB2312" w:cs="仿宋"/>
          <w:color w:val="auto"/>
          <w:spacing w:val="0"/>
          <w:sz w:val="32"/>
          <w:szCs w:val="32"/>
        </w:rPr>
        <w:t>个，约谈</w:t>
      </w:r>
      <w:r>
        <w:rPr>
          <w:rFonts w:hint="eastAsia" w:ascii="Times New Roman" w:hAnsi="Times New Roman" w:eastAsia="仿宋_GB2312" w:cs="仿宋"/>
          <w:color w:val="auto"/>
          <w:spacing w:val="0"/>
          <w:sz w:val="32"/>
          <w:szCs w:val="32"/>
        </w:rPr>
        <w:t>2</w:t>
      </w:r>
      <w:r>
        <w:rPr>
          <w:rFonts w:hint="eastAsia" w:ascii="仿宋" w:hAnsi="仿宋" w:eastAsia="仿宋_GB2312" w:cs="仿宋"/>
          <w:color w:val="auto"/>
          <w:spacing w:val="0"/>
          <w:sz w:val="32"/>
          <w:szCs w:val="32"/>
        </w:rPr>
        <w:t>家整改不力单位“一把手”</w:t>
      </w:r>
      <w:r>
        <w:rPr>
          <w:rFonts w:hint="eastAsia" w:ascii="仿宋" w:hAnsi="仿宋" w:eastAsia="仿宋_GB2312" w:cs="仿宋"/>
          <w:color w:val="auto"/>
          <w:spacing w:val="0"/>
          <w:sz w:val="32"/>
          <w:szCs w:val="32"/>
          <w:lang w:eastAsia="zh-CN"/>
        </w:rPr>
        <w:t>，</w:t>
      </w:r>
      <w:r>
        <w:rPr>
          <w:rFonts w:hint="eastAsia" w:ascii="仿宋" w:hAnsi="仿宋" w:eastAsia="仿宋_GB2312" w:cs="仿宋"/>
          <w:color w:val="auto"/>
          <w:spacing w:val="0"/>
          <w:sz w:val="32"/>
          <w:szCs w:val="32"/>
          <w:lang w:val="en-US" w:eastAsia="zh-CN"/>
        </w:rPr>
        <w:t>形成长效机制</w:t>
      </w:r>
      <w:r>
        <w:rPr>
          <w:rFonts w:hint="eastAsia" w:ascii="Times New Roman" w:hAnsi="Times New Roman" w:eastAsia="仿宋_GB2312" w:cs="仿宋"/>
          <w:color w:val="auto"/>
          <w:spacing w:val="0"/>
          <w:sz w:val="32"/>
          <w:szCs w:val="32"/>
          <w:lang w:val="en-US" w:eastAsia="zh-CN"/>
        </w:rPr>
        <w:t>5</w:t>
      </w:r>
      <w:r>
        <w:rPr>
          <w:rFonts w:hint="eastAsia" w:ascii="仿宋" w:hAnsi="仿宋" w:eastAsia="仿宋_GB2312" w:cs="仿宋"/>
          <w:color w:val="auto"/>
          <w:spacing w:val="0"/>
          <w:sz w:val="32"/>
          <w:szCs w:val="32"/>
          <w:lang w:val="en-US" w:eastAsia="zh-CN"/>
        </w:rPr>
        <w:t>项</w:t>
      </w:r>
      <w:r>
        <w:rPr>
          <w:rFonts w:hint="eastAsia" w:ascii="仿宋" w:hAnsi="仿宋" w:eastAsia="仿宋_GB2312" w:cs="仿宋"/>
          <w:color w:val="auto"/>
          <w:spacing w:val="0"/>
          <w:sz w:val="32"/>
          <w:szCs w:val="32"/>
        </w:rPr>
        <w:t>。</w:t>
      </w:r>
      <w:r>
        <w:rPr>
          <w:rFonts w:hint="eastAsia" w:ascii="仿宋" w:hAnsi="仿宋" w:eastAsia="仿宋_GB2312" w:cs="仿宋"/>
          <w:color w:val="auto"/>
          <w:spacing w:val="0"/>
          <w:sz w:val="32"/>
          <w:szCs w:val="32"/>
          <w:lang w:eastAsia="zh-CN"/>
        </w:rPr>
        <w:t>常态化推进府院联动，召开涉法部门会商</w:t>
      </w:r>
      <w:r>
        <w:rPr>
          <w:rFonts w:hint="eastAsia" w:ascii="仿宋" w:hAnsi="仿宋" w:eastAsia="仿宋_GB2312" w:cs="仿宋"/>
          <w:color w:val="auto"/>
          <w:spacing w:val="-6"/>
          <w:sz w:val="32"/>
          <w:szCs w:val="32"/>
          <w:lang w:eastAsia="zh-CN"/>
        </w:rPr>
        <w:t>会，解决执法司法领域突出问题，组织“检律校”团体辩论赛等交流活动，促进法检公司律校协同互动，构建法律职业共同体。</w:t>
      </w:r>
    </w:p>
    <w:p w14:paraId="5B2A1E1E">
      <w:pPr>
        <w:keepNext w:val="0"/>
        <w:keepLines w:val="0"/>
        <w:pageBreakBefore w:val="0"/>
        <w:widowControl w:val="0"/>
        <w:shd w:val="clear"/>
        <w:kinsoku/>
        <w:wordWrap/>
        <w:overflowPunct/>
        <w:topLinePunct w:val="0"/>
        <w:autoSpaceDE/>
        <w:autoSpaceDN/>
        <w:bidi w:val="0"/>
        <w:adjustRightInd/>
        <w:snapToGrid/>
        <w:spacing w:line="600" w:lineRule="exact"/>
        <w:ind w:firstLine="643" w:firstLineChars="200"/>
        <w:jc w:val="both"/>
        <w:textAlignment w:val="auto"/>
        <w:rPr>
          <w:rFonts w:hint="eastAsia" w:ascii="仿宋" w:hAnsi="仿宋" w:eastAsia="仿宋_GB2312" w:cs="仿宋"/>
          <w:b/>
          <w:bCs/>
          <w:color w:val="auto"/>
          <w:spacing w:val="-6"/>
          <w:sz w:val="32"/>
          <w:szCs w:val="32"/>
          <w:lang w:val="en-US" w:eastAsia="zh-CN"/>
        </w:rPr>
      </w:pPr>
      <w:r>
        <w:rPr>
          <w:rFonts w:hint="eastAsia" w:ascii="Times New Roman" w:hAnsi="Times New Roman" w:eastAsia="仿宋_GB2312" w:cs="仿宋"/>
          <w:b/>
          <w:bCs/>
          <w:color w:val="auto"/>
          <w:spacing w:val="0"/>
          <w:sz w:val="32"/>
          <w:szCs w:val="32"/>
          <w:lang w:val="en-US" w:eastAsia="zh-CN"/>
        </w:rPr>
        <w:t>2</w:t>
      </w:r>
      <w:r>
        <w:rPr>
          <w:rFonts w:hint="eastAsia" w:ascii="仿宋" w:hAnsi="仿宋" w:eastAsia="仿宋_GB2312" w:cs="仿宋"/>
          <w:b/>
          <w:bCs/>
          <w:color w:val="auto"/>
          <w:spacing w:val="0"/>
          <w:sz w:val="32"/>
          <w:szCs w:val="32"/>
          <w:lang w:val="en-US" w:eastAsia="zh-CN"/>
        </w:rPr>
        <w:t>、打造法务平台，服务开放效能初步彰显。</w:t>
      </w:r>
      <w:r>
        <w:rPr>
          <w:rFonts w:hint="eastAsia" w:ascii="仿宋" w:hAnsi="仿宋" w:eastAsia="仿宋_GB2312" w:cs="仿宋"/>
          <w:color w:val="auto"/>
          <w:spacing w:val="0"/>
          <w:kern w:val="2"/>
          <w:sz w:val="32"/>
          <w:szCs w:val="32"/>
          <w:lang w:val="en-US" w:eastAsia="zh-CN" w:bidi="ar-SA"/>
        </w:rPr>
        <w:t>争取省专项资金</w:t>
      </w:r>
      <w:r>
        <w:rPr>
          <w:rFonts w:hint="eastAsia" w:ascii="Times New Roman" w:hAnsi="Times New Roman" w:eastAsia="仿宋_GB2312" w:cs="仿宋"/>
          <w:color w:val="auto"/>
          <w:spacing w:val="0"/>
          <w:kern w:val="2"/>
          <w:sz w:val="32"/>
          <w:szCs w:val="32"/>
          <w:lang w:val="en-US" w:eastAsia="zh-CN" w:bidi="ar-SA"/>
        </w:rPr>
        <w:t>500</w:t>
      </w:r>
      <w:r>
        <w:rPr>
          <w:rFonts w:hint="eastAsia" w:ascii="仿宋" w:hAnsi="仿宋" w:eastAsia="仿宋_GB2312" w:cs="仿宋"/>
          <w:color w:val="auto"/>
          <w:spacing w:val="0"/>
          <w:kern w:val="2"/>
          <w:sz w:val="32"/>
          <w:szCs w:val="32"/>
          <w:lang w:val="en-US" w:eastAsia="zh-CN" w:bidi="ar-SA"/>
        </w:rPr>
        <w:t>万元，锚定“立足陆港、辐射周边、服务开放”的目标定位，建成湖南（怀化）国际陆港法务区线上线下平台，构建起法务商务政务融合发展格局，填补了五省边区高水平涉外法律服务空白。其中，线下平台核心功能区</w:t>
      </w:r>
      <w:r>
        <w:rPr>
          <w:rFonts w:hint="eastAsia" w:ascii="Times New Roman" w:hAnsi="Times New Roman" w:eastAsia="仿宋_GB2312" w:cs="仿宋"/>
          <w:color w:val="auto"/>
          <w:spacing w:val="0"/>
          <w:kern w:val="2"/>
          <w:sz w:val="32"/>
          <w:szCs w:val="32"/>
          <w:lang w:val="en-US" w:eastAsia="zh-CN" w:bidi="ar-SA"/>
        </w:rPr>
        <w:t>1200</w:t>
      </w:r>
      <w:r>
        <w:rPr>
          <w:rFonts w:hint="eastAsia" w:ascii="仿宋" w:hAnsi="仿宋" w:eastAsia="仿宋_GB2312" w:cs="仿宋"/>
          <w:color w:val="auto"/>
          <w:spacing w:val="0"/>
          <w:kern w:val="2"/>
          <w:sz w:val="32"/>
          <w:szCs w:val="32"/>
          <w:lang w:val="en-US" w:eastAsia="zh-CN" w:bidi="ar-SA"/>
        </w:rPr>
        <w:t>㎡，设</w:t>
      </w:r>
      <w:r>
        <w:rPr>
          <w:rFonts w:hint="eastAsia" w:ascii="Times New Roman" w:hAnsi="Times New Roman" w:eastAsia="仿宋_GB2312" w:cs="仿宋"/>
          <w:color w:val="auto"/>
          <w:spacing w:val="0"/>
          <w:kern w:val="2"/>
          <w:sz w:val="32"/>
          <w:szCs w:val="32"/>
          <w:lang w:val="en-US" w:eastAsia="zh-CN" w:bidi="ar-SA"/>
        </w:rPr>
        <w:t>6</w:t>
      </w:r>
      <w:r>
        <w:rPr>
          <w:rFonts w:hint="eastAsia" w:ascii="仿宋" w:hAnsi="仿宋" w:eastAsia="仿宋_GB2312" w:cs="仿宋"/>
          <w:color w:val="auto"/>
          <w:spacing w:val="0"/>
          <w:kern w:val="2"/>
          <w:sz w:val="32"/>
          <w:szCs w:val="32"/>
          <w:lang w:val="en-US" w:eastAsia="zh-CN" w:bidi="ar-SA"/>
        </w:rPr>
        <w:t>个服务窗口、</w:t>
      </w:r>
      <w:r>
        <w:rPr>
          <w:rFonts w:hint="eastAsia" w:ascii="Times New Roman" w:hAnsi="Times New Roman" w:eastAsia="仿宋_GB2312" w:cs="仿宋"/>
          <w:color w:val="auto"/>
          <w:spacing w:val="0"/>
          <w:kern w:val="2"/>
          <w:sz w:val="32"/>
          <w:szCs w:val="32"/>
          <w:lang w:val="en-US" w:eastAsia="zh-CN" w:bidi="ar-SA"/>
        </w:rPr>
        <w:t>14</w:t>
      </w:r>
      <w:r>
        <w:rPr>
          <w:rFonts w:hint="eastAsia" w:ascii="仿宋" w:hAnsi="仿宋" w:eastAsia="仿宋_GB2312" w:cs="仿宋"/>
          <w:color w:val="auto"/>
          <w:spacing w:val="0"/>
          <w:kern w:val="2"/>
          <w:sz w:val="32"/>
          <w:szCs w:val="32"/>
          <w:lang w:val="en-US" w:eastAsia="zh-CN" w:bidi="ar-SA"/>
        </w:rPr>
        <w:t>间办公室，入驻仲裁、公证、涉外律所、商事调解等法务业态，联动陆港法庭、检察工作站、派出所、政务服务中心等涉法机构，形成一站式综合性法律服务平台。线上平台从现实需求出发，采取“网站+微信公众号”模式，可实现办案受理、业态链接、普法宣传、涉外法律查询、统计分析等功能，“线上+线下”涉外公证服务效率提升超</w:t>
      </w:r>
      <w:r>
        <w:rPr>
          <w:rFonts w:hint="eastAsia" w:ascii="Times New Roman" w:hAnsi="Times New Roman" w:eastAsia="仿宋_GB2312" w:cs="仿宋"/>
          <w:color w:val="auto"/>
          <w:spacing w:val="0"/>
          <w:kern w:val="2"/>
          <w:sz w:val="32"/>
          <w:szCs w:val="32"/>
          <w:lang w:val="en-US" w:eastAsia="zh-CN" w:bidi="ar-SA"/>
        </w:rPr>
        <w:t>60%</w:t>
      </w:r>
      <w:r>
        <w:rPr>
          <w:rFonts w:hint="eastAsia" w:ascii="仿宋" w:hAnsi="仿宋" w:eastAsia="仿宋_GB2312" w:cs="仿宋"/>
          <w:color w:val="auto"/>
          <w:spacing w:val="0"/>
          <w:kern w:val="2"/>
          <w:sz w:val="32"/>
          <w:szCs w:val="32"/>
          <w:lang w:val="en-US" w:eastAsia="zh-CN" w:bidi="ar-SA"/>
        </w:rPr>
        <w:t>。自去年</w:t>
      </w:r>
      <w:r>
        <w:rPr>
          <w:rFonts w:hint="eastAsia" w:ascii="Times New Roman" w:hAnsi="Times New Roman" w:eastAsia="仿宋_GB2312" w:cs="仿宋"/>
          <w:color w:val="auto"/>
          <w:spacing w:val="0"/>
          <w:kern w:val="2"/>
          <w:sz w:val="32"/>
          <w:szCs w:val="32"/>
          <w:lang w:val="en-US" w:eastAsia="zh-CN" w:bidi="ar-SA"/>
        </w:rPr>
        <w:t>7</w:t>
      </w:r>
      <w:r>
        <w:rPr>
          <w:rFonts w:hint="eastAsia" w:ascii="仿宋" w:hAnsi="仿宋" w:eastAsia="仿宋_GB2312" w:cs="仿宋"/>
          <w:color w:val="auto"/>
          <w:spacing w:val="0"/>
          <w:kern w:val="2"/>
          <w:sz w:val="32"/>
          <w:szCs w:val="32"/>
          <w:lang w:val="en-US" w:eastAsia="zh-CN" w:bidi="ar-SA"/>
        </w:rPr>
        <w:t>月正式运行以来，举办培训等活动</w:t>
      </w:r>
      <w:r>
        <w:rPr>
          <w:rFonts w:hint="eastAsia" w:ascii="Times New Roman" w:hAnsi="Times New Roman" w:eastAsia="仿宋_GB2312" w:cs="仿宋"/>
          <w:color w:val="auto"/>
          <w:spacing w:val="0"/>
          <w:kern w:val="2"/>
          <w:sz w:val="32"/>
          <w:szCs w:val="32"/>
          <w:lang w:val="en-US" w:eastAsia="zh-CN" w:bidi="ar-SA"/>
        </w:rPr>
        <w:t>50</w:t>
      </w:r>
      <w:r>
        <w:rPr>
          <w:rFonts w:hint="eastAsia" w:ascii="仿宋" w:hAnsi="仿宋" w:eastAsia="仿宋_GB2312" w:cs="仿宋"/>
          <w:color w:val="auto"/>
          <w:spacing w:val="0"/>
          <w:kern w:val="2"/>
          <w:sz w:val="32"/>
          <w:szCs w:val="32"/>
          <w:lang w:val="en-US" w:eastAsia="zh-CN" w:bidi="ar-SA"/>
        </w:rPr>
        <w:t>余场，接待咨询</w:t>
      </w:r>
      <w:r>
        <w:rPr>
          <w:rFonts w:hint="eastAsia" w:ascii="Times New Roman" w:hAnsi="Times New Roman" w:eastAsia="仿宋_GB2312" w:cs="仿宋"/>
          <w:color w:val="auto"/>
          <w:spacing w:val="0"/>
          <w:kern w:val="2"/>
          <w:sz w:val="32"/>
          <w:szCs w:val="32"/>
          <w:lang w:val="en-US" w:eastAsia="zh-CN" w:bidi="ar-SA"/>
        </w:rPr>
        <w:t>3800</w:t>
      </w:r>
      <w:r>
        <w:rPr>
          <w:rFonts w:hint="eastAsia" w:ascii="仿宋" w:hAnsi="仿宋" w:eastAsia="仿宋_GB2312" w:cs="仿宋"/>
          <w:color w:val="auto"/>
          <w:spacing w:val="0"/>
          <w:kern w:val="2"/>
          <w:sz w:val="32"/>
          <w:szCs w:val="32"/>
          <w:lang w:val="en-US" w:eastAsia="zh-CN" w:bidi="ar-SA"/>
        </w:rPr>
        <w:t>余人次，办理法律援助案件</w:t>
      </w:r>
      <w:r>
        <w:rPr>
          <w:rFonts w:hint="eastAsia" w:ascii="Times New Roman" w:hAnsi="Times New Roman" w:eastAsia="仿宋_GB2312" w:cs="仿宋"/>
          <w:color w:val="auto"/>
          <w:spacing w:val="0"/>
          <w:kern w:val="2"/>
          <w:sz w:val="32"/>
          <w:szCs w:val="32"/>
          <w:lang w:val="en-US" w:eastAsia="zh-CN" w:bidi="ar-SA"/>
        </w:rPr>
        <w:t>21</w:t>
      </w:r>
      <w:r>
        <w:rPr>
          <w:rFonts w:hint="eastAsia" w:ascii="仿宋" w:hAnsi="仿宋" w:eastAsia="仿宋_GB2312" w:cs="仿宋"/>
          <w:color w:val="auto"/>
          <w:spacing w:val="0"/>
          <w:kern w:val="2"/>
          <w:sz w:val="32"/>
          <w:szCs w:val="32"/>
          <w:lang w:val="en-US" w:eastAsia="zh-CN" w:bidi="ar-SA"/>
        </w:rPr>
        <w:t>件、劳动仲裁案件</w:t>
      </w:r>
      <w:r>
        <w:rPr>
          <w:rFonts w:hint="eastAsia" w:ascii="Times New Roman" w:hAnsi="Times New Roman" w:eastAsia="仿宋_GB2312" w:cs="仿宋"/>
          <w:color w:val="auto"/>
          <w:spacing w:val="0"/>
          <w:kern w:val="2"/>
          <w:sz w:val="32"/>
          <w:szCs w:val="32"/>
          <w:lang w:val="en-US" w:eastAsia="zh-CN" w:bidi="ar-SA"/>
        </w:rPr>
        <w:t>184</w:t>
      </w:r>
      <w:r>
        <w:rPr>
          <w:rFonts w:hint="eastAsia" w:ascii="仿宋" w:hAnsi="仿宋" w:eastAsia="仿宋_GB2312" w:cs="仿宋"/>
          <w:color w:val="auto"/>
          <w:spacing w:val="0"/>
          <w:kern w:val="2"/>
          <w:sz w:val="32"/>
          <w:szCs w:val="32"/>
          <w:lang w:val="en-US" w:eastAsia="zh-CN" w:bidi="ar-SA"/>
        </w:rPr>
        <w:t>件、商事金融调解案件</w:t>
      </w:r>
      <w:r>
        <w:rPr>
          <w:rFonts w:hint="eastAsia" w:ascii="Times New Roman" w:hAnsi="Times New Roman" w:eastAsia="仿宋_GB2312" w:cs="仿宋"/>
          <w:color w:val="auto"/>
          <w:spacing w:val="0"/>
          <w:kern w:val="2"/>
          <w:sz w:val="32"/>
          <w:szCs w:val="32"/>
          <w:lang w:val="en-US" w:eastAsia="zh-CN" w:bidi="ar-SA"/>
        </w:rPr>
        <w:t>181</w:t>
      </w:r>
      <w:r>
        <w:rPr>
          <w:rFonts w:hint="eastAsia" w:ascii="仿宋" w:hAnsi="仿宋" w:eastAsia="仿宋_GB2312" w:cs="仿宋"/>
          <w:color w:val="auto"/>
          <w:spacing w:val="0"/>
          <w:kern w:val="2"/>
          <w:sz w:val="32"/>
          <w:szCs w:val="32"/>
          <w:lang w:val="en-US" w:eastAsia="zh-CN" w:bidi="ar-SA"/>
        </w:rPr>
        <w:t>件，受理公证事项</w:t>
      </w:r>
      <w:r>
        <w:rPr>
          <w:rFonts w:hint="eastAsia" w:ascii="Times New Roman" w:hAnsi="Times New Roman" w:eastAsia="仿宋_GB2312" w:cs="仿宋"/>
          <w:color w:val="auto"/>
          <w:spacing w:val="0"/>
          <w:kern w:val="2"/>
          <w:sz w:val="32"/>
          <w:szCs w:val="32"/>
          <w:lang w:val="en-US" w:eastAsia="zh-CN" w:bidi="ar-SA"/>
        </w:rPr>
        <w:t>1533</w:t>
      </w:r>
      <w:r>
        <w:rPr>
          <w:rFonts w:hint="eastAsia" w:ascii="仿宋" w:hAnsi="仿宋" w:eastAsia="仿宋_GB2312" w:cs="仿宋"/>
          <w:color w:val="auto"/>
          <w:spacing w:val="0"/>
          <w:kern w:val="2"/>
          <w:sz w:val="32"/>
          <w:szCs w:val="32"/>
          <w:lang w:val="en-US" w:eastAsia="zh-CN" w:bidi="ar-SA"/>
        </w:rPr>
        <w:t>件（含涉外公证</w:t>
      </w:r>
      <w:r>
        <w:rPr>
          <w:rFonts w:hint="eastAsia" w:ascii="Times New Roman" w:hAnsi="Times New Roman" w:eastAsia="仿宋_GB2312" w:cs="仿宋"/>
          <w:color w:val="auto"/>
          <w:spacing w:val="0"/>
          <w:kern w:val="2"/>
          <w:sz w:val="32"/>
          <w:szCs w:val="32"/>
          <w:lang w:val="en-US" w:eastAsia="zh-CN" w:bidi="ar-SA"/>
        </w:rPr>
        <w:t>82</w:t>
      </w:r>
      <w:r>
        <w:rPr>
          <w:rFonts w:hint="eastAsia" w:ascii="仿宋" w:hAnsi="仿宋" w:eastAsia="仿宋_GB2312" w:cs="仿宋"/>
          <w:color w:val="auto"/>
          <w:spacing w:val="0"/>
          <w:kern w:val="2"/>
          <w:sz w:val="32"/>
          <w:szCs w:val="32"/>
          <w:lang w:val="en-US" w:eastAsia="zh-CN" w:bidi="ar-SA"/>
        </w:rPr>
        <w:t>件），化解跨境纠纷</w:t>
      </w:r>
      <w:r>
        <w:rPr>
          <w:rFonts w:hint="eastAsia" w:ascii="Times New Roman" w:hAnsi="Times New Roman" w:eastAsia="仿宋_GB2312" w:cs="仿宋"/>
          <w:color w:val="auto"/>
          <w:spacing w:val="0"/>
          <w:kern w:val="2"/>
          <w:sz w:val="32"/>
          <w:szCs w:val="32"/>
          <w:lang w:val="en-US" w:eastAsia="zh-CN" w:bidi="ar-SA"/>
        </w:rPr>
        <w:t>2</w:t>
      </w:r>
      <w:r>
        <w:rPr>
          <w:rFonts w:hint="eastAsia" w:ascii="仿宋" w:hAnsi="仿宋" w:eastAsia="仿宋_GB2312" w:cs="仿宋"/>
          <w:color w:val="auto"/>
          <w:spacing w:val="0"/>
          <w:kern w:val="2"/>
          <w:sz w:val="32"/>
          <w:szCs w:val="32"/>
          <w:lang w:val="en-US" w:eastAsia="zh-CN" w:bidi="ar-SA"/>
        </w:rPr>
        <w:t>起，涉案总金额达</w:t>
      </w:r>
      <w:r>
        <w:rPr>
          <w:rFonts w:hint="eastAsia" w:ascii="Times New Roman" w:hAnsi="Times New Roman" w:eastAsia="仿宋_GB2312" w:cs="仿宋"/>
          <w:color w:val="auto"/>
          <w:spacing w:val="0"/>
          <w:kern w:val="2"/>
          <w:sz w:val="32"/>
          <w:szCs w:val="32"/>
          <w:lang w:val="en-US" w:eastAsia="zh-CN" w:bidi="ar-SA"/>
        </w:rPr>
        <w:t>7466</w:t>
      </w:r>
      <w:r>
        <w:rPr>
          <w:rFonts w:hint="eastAsia" w:ascii="仿宋" w:hAnsi="仿宋" w:eastAsia="仿宋_GB2312" w:cs="仿宋"/>
          <w:color w:val="auto"/>
          <w:spacing w:val="0"/>
          <w:kern w:val="2"/>
          <w:sz w:val="32"/>
          <w:szCs w:val="32"/>
          <w:lang w:val="en-US" w:eastAsia="zh-CN" w:bidi="ar-SA"/>
        </w:rPr>
        <w:t>.</w:t>
      </w:r>
      <w:r>
        <w:rPr>
          <w:rFonts w:hint="eastAsia" w:ascii="Times New Roman" w:hAnsi="Times New Roman" w:eastAsia="仿宋_GB2312" w:cs="仿宋"/>
          <w:color w:val="auto"/>
          <w:spacing w:val="0"/>
          <w:kern w:val="2"/>
          <w:sz w:val="32"/>
          <w:szCs w:val="32"/>
          <w:lang w:val="en-US" w:eastAsia="zh-CN" w:bidi="ar-SA"/>
        </w:rPr>
        <w:t>47</w:t>
      </w:r>
      <w:r>
        <w:rPr>
          <w:rFonts w:hint="eastAsia" w:ascii="仿宋" w:hAnsi="仿宋" w:eastAsia="仿宋_GB2312" w:cs="仿宋"/>
          <w:color w:val="auto"/>
          <w:spacing w:val="0"/>
          <w:kern w:val="2"/>
          <w:sz w:val="32"/>
          <w:szCs w:val="32"/>
          <w:lang w:val="en-US" w:eastAsia="zh-CN" w:bidi="ar-SA"/>
        </w:rPr>
        <w:t>余万元。协助金心笔业应对海外反倾销调查、融憬竹业开展越南项目法律服务。最高人民法院、中国法学会、省人大、省委政法委、中部崛起法治论坛考察团、省委依法治省办、省司法厅、衡阳市司法局以及重庆市高院、铜仁市中院等各级领导到陆港法务区调研指导工作。</w:t>
      </w:r>
      <w:r>
        <w:rPr>
          <w:rFonts w:hint="eastAsia" w:ascii="仿宋" w:hAnsi="仿宋" w:eastAsia="仿宋_GB2312" w:cs="仿宋"/>
          <w:color w:val="auto"/>
          <w:spacing w:val="-6"/>
          <w:kern w:val="2"/>
          <w:sz w:val="32"/>
          <w:szCs w:val="32"/>
          <w:lang w:val="en-US" w:eastAsia="zh-CN" w:bidi="ar-SA"/>
        </w:rPr>
        <w:t>去年</w:t>
      </w:r>
      <w:r>
        <w:rPr>
          <w:rFonts w:hint="eastAsia" w:ascii="Times New Roman" w:hAnsi="Times New Roman" w:eastAsia="仿宋_GB2312" w:cs="仿宋"/>
          <w:color w:val="auto"/>
          <w:spacing w:val="-6"/>
          <w:kern w:val="2"/>
          <w:sz w:val="32"/>
          <w:szCs w:val="32"/>
          <w:lang w:val="en-US" w:eastAsia="zh-CN" w:bidi="ar-SA"/>
        </w:rPr>
        <w:t>11</w:t>
      </w:r>
      <w:r>
        <w:rPr>
          <w:rFonts w:hint="eastAsia" w:ascii="仿宋" w:hAnsi="仿宋" w:eastAsia="仿宋_GB2312" w:cs="仿宋"/>
          <w:color w:val="auto"/>
          <w:spacing w:val="-6"/>
          <w:kern w:val="2"/>
          <w:sz w:val="32"/>
          <w:szCs w:val="32"/>
          <w:lang w:val="en-US" w:eastAsia="zh-CN" w:bidi="ar-SA"/>
        </w:rPr>
        <w:t>月份，法务区还作为第十八届中部崛起法治论坛的主要观摩点和法治成果展示案例，得到大家一致认可和好评，相关经验在《法治日报》《湖南工作》刊发</w:t>
      </w:r>
      <w:r>
        <w:rPr>
          <w:rFonts w:hint="eastAsia" w:ascii="仿宋" w:hAnsi="仿宋" w:eastAsia="仿宋_GB2312" w:cs="仿宋"/>
          <w:color w:val="auto"/>
          <w:spacing w:val="-6"/>
          <w:kern w:val="2"/>
          <w:sz w:val="32"/>
          <w:szCs w:val="32"/>
          <w:lang w:eastAsia="zh-CN" w:bidi="ar-SA"/>
        </w:rPr>
        <w:t>。</w:t>
      </w:r>
    </w:p>
    <w:p w14:paraId="2EEE6480">
      <w:pPr>
        <w:keepNext w:val="0"/>
        <w:keepLines w:val="0"/>
        <w:pageBreakBefore w:val="0"/>
        <w:widowControl w:val="0"/>
        <w:shd w:val="clear"/>
        <w:kinsoku/>
        <w:wordWrap/>
        <w:overflowPunct/>
        <w:topLinePunct w:val="0"/>
        <w:autoSpaceDE/>
        <w:autoSpaceDN/>
        <w:bidi w:val="0"/>
        <w:adjustRightInd/>
        <w:snapToGrid/>
        <w:spacing w:line="600" w:lineRule="exact"/>
        <w:ind w:firstLine="643" w:firstLineChars="200"/>
        <w:textAlignment w:val="auto"/>
        <w:rPr>
          <w:rFonts w:hint="eastAsia" w:ascii="仿宋" w:hAnsi="仿宋" w:eastAsia="仿宋_GB2312" w:cs="仿宋"/>
          <w:color w:val="auto"/>
          <w:spacing w:val="0"/>
          <w:sz w:val="32"/>
          <w:szCs w:val="32"/>
          <w:lang w:eastAsia="zh-CN"/>
        </w:rPr>
      </w:pPr>
      <w:r>
        <w:rPr>
          <w:rFonts w:hint="eastAsia" w:ascii="Times New Roman" w:hAnsi="Times New Roman" w:eastAsia="仿宋_GB2312" w:cs="仿宋"/>
          <w:b/>
          <w:bCs/>
          <w:color w:val="auto"/>
          <w:spacing w:val="0"/>
          <w:sz w:val="32"/>
          <w:szCs w:val="32"/>
          <w:lang w:val="en-US" w:eastAsia="zh-CN"/>
        </w:rPr>
        <w:t>3</w:t>
      </w:r>
      <w:r>
        <w:rPr>
          <w:rFonts w:hint="eastAsia" w:ascii="仿宋" w:hAnsi="仿宋" w:eastAsia="仿宋_GB2312" w:cs="仿宋"/>
          <w:b/>
          <w:bCs/>
          <w:color w:val="auto"/>
          <w:spacing w:val="0"/>
          <w:sz w:val="32"/>
          <w:szCs w:val="32"/>
          <w:lang w:val="en-US" w:eastAsia="zh-CN"/>
        </w:rPr>
        <w:t>、舞活</w:t>
      </w:r>
      <w:r>
        <w:rPr>
          <w:rFonts w:hint="eastAsia" w:ascii="仿宋" w:hAnsi="仿宋" w:eastAsia="仿宋_GB2312" w:cs="仿宋"/>
          <w:b/>
          <w:bCs/>
          <w:color w:val="auto"/>
          <w:spacing w:val="0"/>
          <w:sz w:val="32"/>
          <w:szCs w:val="32"/>
        </w:rPr>
        <w:t>监督利剑，行政执法质效大幅提升</w:t>
      </w:r>
      <w:r>
        <w:rPr>
          <w:rFonts w:hint="eastAsia" w:ascii="仿宋" w:hAnsi="仿宋" w:eastAsia="仿宋_GB2312" w:cs="仿宋"/>
          <w:b/>
          <w:bCs/>
          <w:color w:val="auto"/>
          <w:spacing w:val="0"/>
          <w:sz w:val="32"/>
          <w:szCs w:val="32"/>
          <w:lang w:eastAsia="zh-CN"/>
        </w:rPr>
        <w:t>。</w:t>
      </w:r>
      <w:r>
        <w:rPr>
          <w:rFonts w:hint="eastAsia" w:ascii="仿宋" w:hAnsi="仿宋" w:eastAsia="仿宋_GB2312" w:cs="仿宋"/>
          <w:bCs/>
          <w:color w:val="auto"/>
          <w:spacing w:val="0"/>
          <w:sz w:val="32"/>
          <w:szCs w:val="32"/>
        </w:rPr>
        <w:t>抓住《湖南省行政执法监督条例》出台实施的有利契机，推动</w:t>
      </w:r>
      <w:r>
        <w:rPr>
          <w:rFonts w:hint="eastAsia" w:ascii="仿宋" w:hAnsi="仿宋" w:eastAsia="仿宋_GB2312" w:cs="仿宋"/>
          <w:color w:val="auto"/>
          <w:spacing w:val="0"/>
          <w:sz w:val="32"/>
          <w:szCs w:val="32"/>
          <w:lang w:val="en-US" w:eastAsia="zh-CN"/>
        </w:rPr>
        <w:t>市县两级行政执法监督机构全部完成更名挂牌，市本级行政执法监督力量增加</w:t>
      </w:r>
      <w:r>
        <w:rPr>
          <w:rFonts w:hint="eastAsia" w:ascii="Times New Roman" w:hAnsi="Times New Roman" w:eastAsia="仿宋_GB2312" w:cs="仿宋"/>
          <w:color w:val="auto"/>
          <w:spacing w:val="0"/>
          <w:sz w:val="32"/>
          <w:szCs w:val="32"/>
          <w:lang w:val="en-US" w:eastAsia="zh-CN"/>
        </w:rPr>
        <w:t>75%</w:t>
      </w:r>
      <w:r>
        <w:rPr>
          <w:rFonts w:hint="eastAsia" w:ascii="仿宋" w:hAnsi="仿宋" w:eastAsia="仿宋_GB2312" w:cs="仿宋"/>
          <w:color w:val="auto"/>
          <w:spacing w:val="0"/>
          <w:sz w:val="32"/>
          <w:szCs w:val="32"/>
          <w:lang w:val="en-US" w:eastAsia="zh-CN"/>
        </w:rPr>
        <w:t>。</w:t>
      </w:r>
      <w:r>
        <w:rPr>
          <w:rFonts w:hint="eastAsia" w:ascii="仿宋" w:hAnsi="仿宋" w:eastAsia="仿宋_GB2312" w:cs="仿宋"/>
          <w:color w:val="auto"/>
          <w:spacing w:val="0"/>
          <w:sz w:val="32"/>
          <w:szCs w:val="32"/>
        </w:rPr>
        <w:t>探索构建“</w:t>
      </w:r>
      <w:r>
        <w:rPr>
          <w:rFonts w:hint="eastAsia" w:ascii="Times New Roman" w:hAnsi="Times New Roman" w:eastAsia="仿宋_GB2312" w:cs="仿宋"/>
          <w:color w:val="auto"/>
          <w:spacing w:val="0"/>
          <w:sz w:val="32"/>
          <w:szCs w:val="32"/>
        </w:rPr>
        <w:t>4</w:t>
      </w:r>
      <w:r>
        <w:rPr>
          <w:rFonts w:hint="eastAsia" w:ascii="仿宋" w:hAnsi="仿宋" w:eastAsia="仿宋_GB2312" w:cs="仿宋"/>
          <w:color w:val="auto"/>
          <w:spacing w:val="0"/>
          <w:sz w:val="32"/>
          <w:szCs w:val="32"/>
        </w:rPr>
        <w:t>+</w:t>
      </w:r>
      <w:r>
        <w:rPr>
          <w:rFonts w:hint="eastAsia" w:ascii="Times New Roman" w:hAnsi="Times New Roman" w:eastAsia="仿宋_GB2312" w:cs="仿宋"/>
          <w:color w:val="auto"/>
          <w:spacing w:val="0"/>
          <w:sz w:val="32"/>
          <w:szCs w:val="32"/>
        </w:rPr>
        <w:t>N</w:t>
      </w:r>
      <w:r>
        <w:rPr>
          <w:rFonts w:hint="eastAsia" w:ascii="仿宋" w:hAnsi="仿宋" w:eastAsia="仿宋_GB2312" w:cs="仿宋"/>
          <w:color w:val="auto"/>
          <w:spacing w:val="0"/>
          <w:sz w:val="32"/>
          <w:szCs w:val="32"/>
        </w:rPr>
        <w:t>”一体化监督机制，统筹法治督察、法制审核、行政执法监督、行政复议等内部力量，与市人大、市纪委、市委政法委、市中院等单位建立定期沟通</w:t>
      </w:r>
      <w:r>
        <w:rPr>
          <w:rFonts w:hint="eastAsia" w:ascii="仿宋" w:hAnsi="仿宋" w:eastAsia="仿宋_GB2312" w:cs="仿宋"/>
          <w:color w:val="auto"/>
          <w:spacing w:val="0"/>
          <w:sz w:val="32"/>
          <w:szCs w:val="32"/>
          <w:lang w:eastAsia="zh-CN"/>
        </w:rPr>
        <w:t>、</w:t>
      </w:r>
      <w:r>
        <w:rPr>
          <w:rFonts w:hint="eastAsia" w:ascii="仿宋" w:hAnsi="仿宋" w:eastAsia="仿宋_GB2312" w:cs="仿宋"/>
          <w:color w:val="auto"/>
          <w:spacing w:val="0"/>
          <w:sz w:val="32"/>
          <w:szCs w:val="32"/>
          <w:lang w:val="en-US" w:eastAsia="zh-CN"/>
        </w:rPr>
        <w:t>线索移送、信息共享等</w:t>
      </w:r>
      <w:r>
        <w:rPr>
          <w:rFonts w:hint="eastAsia" w:ascii="仿宋" w:hAnsi="仿宋" w:eastAsia="仿宋_GB2312" w:cs="仿宋"/>
          <w:color w:val="auto"/>
          <w:spacing w:val="0"/>
          <w:sz w:val="32"/>
          <w:szCs w:val="32"/>
        </w:rPr>
        <w:t>协作机制</w:t>
      </w:r>
      <w:r>
        <w:rPr>
          <w:rFonts w:hint="eastAsia" w:ascii="仿宋" w:hAnsi="仿宋" w:eastAsia="仿宋_GB2312" w:cs="仿宋"/>
          <w:color w:val="auto"/>
          <w:spacing w:val="0"/>
          <w:sz w:val="32"/>
          <w:szCs w:val="32"/>
          <w:lang w:val="en-US" w:eastAsia="zh-CN"/>
        </w:rPr>
        <w:t>，首次将行政执法质效、涉企行政检查等工作纳入人大常委会专项评议，选取</w:t>
      </w:r>
      <w:r>
        <w:rPr>
          <w:rFonts w:hint="eastAsia" w:ascii="Times New Roman" w:hAnsi="Times New Roman" w:eastAsia="仿宋_GB2312" w:cs="仿宋"/>
          <w:color w:val="auto"/>
          <w:spacing w:val="0"/>
          <w:sz w:val="32"/>
          <w:szCs w:val="32"/>
          <w:lang w:val="en-US" w:eastAsia="zh-CN"/>
        </w:rPr>
        <w:t>21</w:t>
      </w:r>
      <w:r>
        <w:rPr>
          <w:rFonts w:hint="eastAsia" w:ascii="仿宋" w:hAnsi="仿宋" w:eastAsia="仿宋_GB2312" w:cs="仿宋"/>
          <w:color w:val="auto"/>
          <w:spacing w:val="0"/>
          <w:sz w:val="32"/>
          <w:szCs w:val="32"/>
          <w:lang w:val="en-US" w:eastAsia="zh-CN"/>
        </w:rPr>
        <w:t>家市场主体聘为行政执法监督联系点，吸纳专家、记者、律师等社会力量加入特邀监督员队伍，推动执法监督从“分散作战”到“协同攻坚”转变。进一步</w:t>
      </w:r>
      <w:r>
        <w:rPr>
          <w:rFonts w:hint="eastAsia" w:ascii="仿宋" w:hAnsi="仿宋" w:eastAsia="仿宋_GB2312" w:cs="仿宋"/>
          <w:color w:val="auto"/>
          <w:spacing w:val="0"/>
          <w:sz w:val="32"/>
          <w:szCs w:val="32"/>
        </w:rPr>
        <w:t>规范行政执法全流程管理</w:t>
      </w:r>
      <w:r>
        <w:rPr>
          <w:rFonts w:hint="eastAsia" w:ascii="仿宋" w:hAnsi="仿宋" w:eastAsia="仿宋_GB2312" w:cs="仿宋"/>
          <w:color w:val="auto"/>
          <w:spacing w:val="0"/>
          <w:sz w:val="32"/>
          <w:szCs w:val="32"/>
          <w:lang w:eastAsia="zh-CN"/>
        </w:rPr>
        <w:t>，</w:t>
      </w:r>
      <w:r>
        <w:rPr>
          <w:rFonts w:hint="eastAsia" w:ascii="仿宋" w:hAnsi="仿宋" w:eastAsia="仿宋_GB2312" w:cs="仿宋"/>
          <w:color w:val="auto"/>
          <w:spacing w:val="0"/>
          <w:sz w:val="32"/>
          <w:szCs w:val="32"/>
        </w:rPr>
        <w:t>制定《怀化市行政执法人员管理办法》《怀化市行政执法过错责任追究办法》等制度，</w:t>
      </w:r>
      <w:r>
        <w:rPr>
          <w:rFonts w:hint="eastAsia" w:ascii="仿宋" w:hAnsi="仿宋" w:eastAsia="仿宋_GB2312" w:cs="仿宋"/>
          <w:color w:val="auto"/>
          <w:spacing w:val="0"/>
          <w:sz w:val="32"/>
          <w:szCs w:val="32"/>
          <w:lang w:eastAsia="zh-CN"/>
        </w:rPr>
        <w:t>通过约谈负责人，扣押、吊销执法资格证等方式，推动执法考试通过率由全省末位跃升至全省前列</w:t>
      </w:r>
      <w:r>
        <w:rPr>
          <w:rFonts w:hint="eastAsia" w:ascii="仿宋" w:hAnsi="仿宋" w:eastAsia="仿宋_GB2312" w:cs="仿宋"/>
          <w:color w:val="auto"/>
          <w:spacing w:val="0"/>
          <w:sz w:val="32"/>
          <w:szCs w:val="32"/>
        </w:rPr>
        <w:t>。</w:t>
      </w:r>
      <w:r>
        <w:rPr>
          <w:rFonts w:hint="eastAsia" w:ascii="仿宋" w:hAnsi="仿宋" w:eastAsia="仿宋_GB2312" w:cs="仿宋"/>
          <w:color w:val="auto"/>
          <w:spacing w:val="0"/>
          <w:sz w:val="32"/>
          <w:szCs w:val="32"/>
          <w:lang w:eastAsia="zh-CN"/>
        </w:rPr>
        <w:t>扎实推进规范涉企行政执法专项行动，印发《怀化市人民政府办公室关于严格规范涉企行政检查的通知》，发布涉企行政检查“正负面清单”各</w:t>
      </w:r>
      <w:r>
        <w:rPr>
          <w:rFonts w:hint="eastAsia" w:ascii="Times New Roman" w:hAnsi="Times New Roman" w:eastAsia="仿宋_GB2312" w:cs="仿宋"/>
          <w:color w:val="auto"/>
          <w:spacing w:val="0"/>
          <w:sz w:val="32"/>
          <w:szCs w:val="32"/>
          <w:lang w:eastAsia="zh-CN"/>
        </w:rPr>
        <w:t>15</w:t>
      </w:r>
      <w:r>
        <w:rPr>
          <w:rFonts w:hint="eastAsia" w:ascii="仿宋" w:hAnsi="仿宋" w:eastAsia="仿宋_GB2312" w:cs="仿宋"/>
          <w:color w:val="auto"/>
          <w:spacing w:val="0"/>
          <w:sz w:val="32"/>
          <w:szCs w:val="32"/>
          <w:lang w:eastAsia="zh-CN"/>
        </w:rPr>
        <w:t>条，</w:t>
      </w:r>
      <w:r>
        <w:rPr>
          <w:rFonts w:hint="eastAsia" w:ascii="仿宋" w:hAnsi="仿宋" w:eastAsia="仿宋_GB2312" w:cs="仿宋"/>
          <w:color w:val="auto"/>
          <w:spacing w:val="0"/>
          <w:sz w:val="32"/>
          <w:szCs w:val="32"/>
          <w:lang w:val="en-US" w:eastAsia="zh-CN"/>
        </w:rPr>
        <w:t>为行政权力立规矩；</w:t>
      </w:r>
      <w:r>
        <w:rPr>
          <w:rFonts w:hint="eastAsia" w:ascii="仿宋" w:hAnsi="仿宋" w:eastAsia="仿宋_GB2312" w:cs="仿宋"/>
          <w:color w:val="auto"/>
          <w:spacing w:val="0"/>
          <w:sz w:val="32"/>
          <w:szCs w:val="32"/>
          <w:lang w:eastAsia="zh-CN"/>
        </w:rPr>
        <w:t>并将该行动与群众身边不正之风和腐败问题集中整治、涉企执法司法突出问题专项整治紧密结合统筹推进，</w:t>
      </w:r>
      <w:r>
        <w:rPr>
          <w:rFonts w:hint="eastAsia" w:ascii="仿宋" w:hAnsi="仿宋" w:eastAsia="仿宋_GB2312" w:cs="仿宋"/>
          <w:color w:val="auto"/>
          <w:spacing w:val="0"/>
          <w:sz w:val="32"/>
          <w:szCs w:val="32"/>
          <w:shd w:val="clear" w:color="auto" w:fill="FFFFFF"/>
          <w:lang w:eastAsia="zh-CN" w:bidi="ar-SA"/>
        </w:rPr>
        <w:t>开通“热线+网络+扫码”监督投诉举报平台，定期召开企业家座谈会，搭建“政企沟通”直通车，</w:t>
      </w:r>
      <w:r>
        <w:rPr>
          <w:rFonts w:hint="eastAsia" w:ascii="仿宋" w:hAnsi="仿宋" w:eastAsia="仿宋_GB2312" w:cs="仿宋"/>
          <w:color w:val="auto"/>
          <w:spacing w:val="0"/>
          <w:sz w:val="32"/>
          <w:szCs w:val="32"/>
          <w:shd w:val="clear" w:color="auto" w:fill="FFFFFF"/>
          <w:lang w:val="en-US" w:eastAsia="zh-CN" w:bidi="ar-SA"/>
        </w:rPr>
        <w:t>公开收集问题线索与意见建议。截至</w:t>
      </w:r>
      <w:r>
        <w:rPr>
          <w:rFonts w:hint="eastAsia" w:ascii="Times New Roman" w:hAnsi="Times New Roman" w:eastAsia="仿宋_GB2312" w:cs="仿宋"/>
          <w:color w:val="auto"/>
          <w:spacing w:val="0"/>
          <w:sz w:val="32"/>
          <w:szCs w:val="32"/>
          <w:shd w:val="clear" w:color="auto" w:fill="FFFFFF"/>
          <w:lang w:val="en-US" w:eastAsia="zh-CN" w:bidi="ar-SA"/>
        </w:rPr>
        <w:t>12</w:t>
      </w:r>
      <w:r>
        <w:rPr>
          <w:rFonts w:hint="eastAsia" w:ascii="仿宋" w:hAnsi="仿宋" w:eastAsia="仿宋_GB2312" w:cs="仿宋"/>
          <w:color w:val="auto"/>
          <w:spacing w:val="0"/>
          <w:sz w:val="32"/>
          <w:szCs w:val="32"/>
          <w:shd w:val="clear" w:color="auto" w:fill="FFFFFF"/>
          <w:lang w:val="en-US" w:eastAsia="zh-CN" w:bidi="ar-SA"/>
        </w:rPr>
        <w:t>月底，共收集线索</w:t>
      </w:r>
      <w:r>
        <w:rPr>
          <w:rFonts w:hint="eastAsia" w:ascii="Times New Roman" w:hAnsi="Times New Roman" w:eastAsia="仿宋_GB2312" w:cs="仿宋"/>
          <w:color w:val="auto"/>
          <w:spacing w:val="0"/>
          <w:sz w:val="32"/>
          <w:szCs w:val="32"/>
          <w:shd w:val="clear" w:color="auto" w:fill="FFFFFF"/>
          <w:lang w:val="en-US" w:eastAsia="zh-CN" w:bidi="ar-SA"/>
        </w:rPr>
        <w:t>371</w:t>
      </w:r>
      <w:r>
        <w:rPr>
          <w:rFonts w:hint="eastAsia" w:ascii="仿宋" w:hAnsi="仿宋" w:eastAsia="仿宋_GB2312" w:cs="仿宋"/>
          <w:color w:val="auto"/>
          <w:spacing w:val="0"/>
          <w:sz w:val="32"/>
          <w:szCs w:val="32"/>
          <w:shd w:val="clear" w:color="auto" w:fill="FFFFFF"/>
          <w:lang w:val="en-US" w:eastAsia="zh-CN" w:bidi="ar-SA"/>
        </w:rPr>
        <w:t>条、建议</w:t>
      </w:r>
      <w:r>
        <w:rPr>
          <w:rFonts w:hint="eastAsia" w:ascii="Times New Roman" w:hAnsi="Times New Roman" w:eastAsia="仿宋_GB2312" w:cs="仿宋"/>
          <w:color w:val="auto"/>
          <w:spacing w:val="0"/>
          <w:sz w:val="32"/>
          <w:szCs w:val="32"/>
          <w:shd w:val="clear" w:color="auto" w:fill="FFFFFF"/>
          <w:lang w:val="en-US" w:eastAsia="zh-CN" w:bidi="ar-SA"/>
        </w:rPr>
        <w:t>80</w:t>
      </w:r>
      <w:r>
        <w:rPr>
          <w:rFonts w:hint="eastAsia" w:ascii="仿宋" w:hAnsi="仿宋" w:eastAsia="仿宋_GB2312" w:cs="仿宋"/>
          <w:color w:val="auto"/>
          <w:spacing w:val="0"/>
          <w:sz w:val="32"/>
          <w:szCs w:val="32"/>
          <w:shd w:val="clear" w:color="auto" w:fill="FFFFFF"/>
          <w:lang w:val="en-US" w:eastAsia="zh-CN" w:bidi="ar-SA"/>
        </w:rPr>
        <w:t>余条，督办问题</w:t>
      </w:r>
      <w:r>
        <w:rPr>
          <w:rFonts w:hint="eastAsia" w:ascii="Times New Roman" w:hAnsi="Times New Roman" w:eastAsia="仿宋_GB2312" w:cs="仿宋"/>
          <w:color w:val="auto"/>
          <w:spacing w:val="0"/>
          <w:sz w:val="32"/>
          <w:szCs w:val="32"/>
          <w:shd w:val="clear" w:color="auto" w:fill="FFFFFF"/>
          <w:lang w:val="en-US" w:eastAsia="zh-CN" w:bidi="ar-SA"/>
        </w:rPr>
        <w:t>165</w:t>
      </w:r>
      <w:r>
        <w:rPr>
          <w:rFonts w:hint="eastAsia" w:ascii="仿宋" w:hAnsi="仿宋" w:eastAsia="仿宋_GB2312" w:cs="仿宋"/>
          <w:color w:val="auto"/>
          <w:spacing w:val="0"/>
          <w:sz w:val="32"/>
          <w:szCs w:val="32"/>
          <w:shd w:val="clear" w:color="auto" w:fill="FFFFFF"/>
          <w:lang w:val="en-US" w:eastAsia="zh-CN" w:bidi="ar-SA"/>
        </w:rPr>
        <w:t>件，</w:t>
      </w:r>
      <w:r>
        <w:rPr>
          <w:rFonts w:hint="eastAsia" w:ascii="仿宋" w:hAnsi="仿宋" w:eastAsia="仿宋_GB2312" w:cs="仿宋"/>
          <w:color w:val="auto"/>
          <w:spacing w:val="0"/>
          <w:sz w:val="32"/>
          <w:szCs w:val="32"/>
          <w:lang w:val="en-US" w:eastAsia="zh-CN"/>
        </w:rPr>
        <w:t>发布两批共</w:t>
      </w:r>
      <w:r>
        <w:rPr>
          <w:rFonts w:hint="eastAsia" w:ascii="Times New Roman" w:hAnsi="Times New Roman" w:eastAsia="仿宋_GB2312" w:cs="仿宋"/>
          <w:color w:val="auto"/>
          <w:spacing w:val="0"/>
          <w:sz w:val="32"/>
          <w:szCs w:val="32"/>
          <w:lang w:val="en-US" w:eastAsia="zh-CN"/>
        </w:rPr>
        <w:t>9</w:t>
      </w:r>
      <w:r>
        <w:rPr>
          <w:rFonts w:hint="eastAsia" w:ascii="仿宋" w:hAnsi="仿宋" w:eastAsia="仿宋_GB2312" w:cs="仿宋"/>
          <w:color w:val="auto"/>
          <w:spacing w:val="0"/>
          <w:sz w:val="32"/>
          <w:szCs w:val="32"/>
          <w:lang w:val="en-US" w:eastAsia="zh-CN"/>
        </w:rPr>
        <w:t>个典型案例，提请市委依法治市办领导约谈</w:t>
      </w:r>
      <w:r>
        <w:rPr>
          <w:rFonts w:hint="eastAsia" w:ascii="Times New Roman" w:hAnsi="Times New Roman" w:eastAsia="仿宋_GB2312" w:cs="仿宋"/>
          <w:color w:val="auto"/>
          <w:spacing w:val="0"/>
          <w:sz w:val="32"/>
          <w:szCs w:val="32"/>
          <w:lang w:val="en-US" w:eastAsia="zh-CN"/>
        </w:rPr>
        <w:t>11</w:t>
      </w:r>
      <w:r>
        <w:rPr>
          <w:rFonts w:hint="eastAsia" w:ascii="仿宋" w:hAnsi="仿宋" w:eastAsia="仿宋_GB2312" w:cs="仿宋"/>
          <w:color w:val="auto"/>
          <w:spacing w:val="0"/>
          <w:sz w:val="32"/>
          <w:szCs w:val="32"/>
          <w:lang w:val="en-US" w:eastAsia="zh-CN"/>
        </w:rPr>
        <w:t>次，</w:t>
      </w:r>
      <w:r>
        <w:rPr>
          <w:rFonts w:hint="eastAsia" w:ascii="仿宋" w:hAnsi="仿宋" w:eastAsia="仿宋_GB2312" w:cs="仿宋"/>
          <w:color w:val="auto"/>
          <w:spacing w:val="0"/>
          <w:sz w:val="32"/>
          <w:szCs w:val="32"/>
          <w:shd w:val="clear" w:color="auto" w:fill="FFFFFF"/>
          <w:lang w:val="en-US" w:eastAsia="zh-CN" w:bidi="ar-SA"/>
        </w:rPr>
        <w:t>移送纪检监察机关立案查处</w:t>
      </w:r>
      <w:r>
        <w:rPr>
          <w:rFonts w:hint="eastAsia" w:ascii="Times New Roman" w:hAnsi="Times New Roman" w:eastAsia="仿宋_GB2312" w:cs="仿宋"/>
          <w:color w:val="auto"/>
          <w:spacing w:val="0"/>
          <w:sz w:val="32"/>
          <w:szCs w:val="32"/>
          <w:shd w:val="clear" w:color="auto" w:fill="FFFFFF"/>
          <w:lang w:val="en-US" w:eastAsia="zh-CN" w:bidi="ar-SA"/>
        </w:rPr>
        <w:t>32</w:t>
      </w:r>
      <w:r>
        <w:rPr>
          <w:rFonts w:hint="eastAsia" w:ascii="仿宋" w:hAnsi="仿宋" w:eastAsia="仿宋_GB2312" w:cs="仿宋"/>
          <w:color w:val="auto"/>
          <w:spacing w:val="0"/>
          <w:sz w:val="32"/>
          <w:szCs w:val="32"/>
          <w:shd w:val="clear" w:color="auto" w:fill="FFFFFF"/>
          <w:lang w:val="en-US" w:eastAsia="zh-CN" w:bidi="ar-SA"/>
        </w:rPr>
        <w:t>人，真正让执法监督长牙生威。</w:t>
      </w:r>
      <w:r>
        <w:rPr>
          <w:rFonts w:hint="eastAsia" w:ascii="仿宋" w:hAnsi="仿宋" w:eastAsia="仿宋_GB2312" w:cs="仿宋"/>
          <w:color w:val="auto"/>
          <w:spacing w:val="0"/>
          <w:sz w:val="32"/>
          <w:szCs w:val="32"/>
        </w:rPr>
        <w:t>创新推出柔性监管模式，在全省率先开展柔性监管执法试点，建立“轻微违法免罚轻罚清单”等制度，针对旅游领域出台</w:t>
      </w:r>
      <w:r>
        <w:rPr>
          <w:rFonts w:hint="eastAsia" w:ascii="Times New Roman" w:hAnsi="Times New Roman" w:eastAsia="仿宋_GB2312" w:cs="仿宋"/>
          <w:color w:val="auto"/>
          <w:spacing w:val="0"/>
          <w:sz w:val="32"/>
          <w:szCs w:val="32"/>
        </w:rPr>
        <w:t>7</w:t>
      </w:r>
      <w:r>
        <w:rPr>
          <w:rFonts w:hint="eastAsia" w:ascii="仿宋" w:hAnsi="仿宋" w:eastAsia="仿宋_GB2312" w:cs="仿宋"/>
          <w:color w:val="auto"/>
          <w:spacing w:val="0"/>
          <w:sz w:val="32"/>
          <w:szCs w:val="32"/>
        </w:rPr>
        <w:t>项轻微违法免罚举措，推动出台“惠旅宠客”五条措施，将“福地怀化・懂你如家”理念融入执法日常，</w:t>
      </w:r>
      <w:r>
        <w:rPr>
          <w:rFonts w:hint="eastAsia" w:ascii="仿宋" w:hAnsi="仿宋" w:eastAsia="仿宋_GB2312" w:cs="仿宋"/>
          <w:color w:val="auto"/>
          <w:spacing w:val="0"/>
          <w:sz w:val="32"/>
          <w:szCs w:val="32"/>
          <w:lang w:eastAsia="zh-CN"/>
        </w:rPr>
        <w:t>截至</w:t>
      </w:r>
      <w:r>
        <w:rPr>
          <w:rFonts w:hint="eastAsia" w:ascii="Times New Roman" w:hAnsi="Times New Roman" w:eastAsia="仿宋_GB2312" w:cs="仿宋"/>
          <w:color w:val="auto"/>
          <w:spacing w:val="0"/>
          <w:sz w:val="32"/>
          <w:szCs w:val="32"/>
          <w:lang w:val="en-US" w:eastAsia="zh-CN"/>
        </w:rPr>
        <w:t>12</w:t>
      </w:r>
      <w:r>
        <w:rPr>
          <w:rFonts w:hint="eastAsia" w:ascii="仿宋" w:hAnsi="仿宋" w:eastAsia="仿宋_GB2312" w:cs="仿宋"/>
          <w:color w:val="auto"/>
          <w:spacing w:val="0"/>
          <w:sz w:val="32"/>
          <w:szCs w:val="32"/>
        </w:rPr>
        <w:t>月底，全市适用首违不罚、轻微免罚</w:t>
      </w:r>
      <w:r>
        <w:rPr>
          <w:rFonts w:hint="eastAsia" w:ascii="仿宋" w:hAnsi="仿宋" w:eastAsia="仿宋_GB2312" w:cs="仿宋"/>
          <w:color w:val="auto"/>
          <w:spacing w:val="0"/>
          <w:sz w:val="32"/>
          <w:szCs w:val="32"/>
          <w:lang w:eastAsia="zh-CN"/>
        </w:rPr>
        <w:t>的案件达</w:t>
      </w:r>
      <w:r>
        <w:rPr>
          <w:rFonts w:hint="eastAsia" w:ascii="Times New Roman" w:hAnsi="Times New Roman" w:eastAsia="仿宋_GB2312" w:cs="仿宋"/>
          <w:color w:val="auto"/>
          <w:spacing w:val="0"/>
          <w:sz w:val="32"/>
          <w:szCs w:val="32"/>
          <w:lang w:val="en-US" w:eastAsia="zh-CN"/>
        </w:rPr>
        <w:t>9</w:t>
      </w:r>
      <w:r>
        <w:rPr>
          <w:rFonts w:hint="eastAsia" w:ascii="仿宋" w:hAnsi="仿宋" w:eastAsia="仿宋_GB2312" w:cs="仿宋"/>
          <w:color w:val="auto"/>
          <w:spacing w:val="0"/>
          <w:sz w:val="32"/>
          <w:szCs w:val="32"/>
          <w:lang w:eastAsia="zh-CN"/>
        </w:rPr>
        <w:t>万余</w:t>
      </w:r>
      <w:r>
        <w:rPr>
          <w:rFonts w:hint="eastAsia" w:ascii="仿宋" w:hAnsi="仿宋" w:eastAsia="仿宋_GB2312" w:cs="仿宋"/>
          <w:color w:val="auto"/>
          <w:spacing w:val="0"/>
          <w:sz w:val="32"/>
          <w:szCs w:val="32"/>
        </w:rPr>
        <w:t>件，占行政处罚</w:t>
      </w:r>
      <w:r>
        <w:rPr>
          <w:rFonts w:hint="eastAsia" w:ascii="仿宋" w:hAnsi="仿宋" w:eastAsia="仿宋_GB2312" w:cs="仿宋"/>
          <w:color w:val="auto"/>
          <w:spacing w:val="0"/>
          <w:sz w:val="32"/>
          <w:szCs w:val="32"/>
          <w:lang w:eastAsia="zh-CN"/>
        </w:rPr>
        <w:t>案件</w:t>
      </w:r>
      <w:r>
        <w:rPr>
          <w:rFonts w:hint="eastAsia" w:ascii="仿宋" w:hAnsi="仿宋" w:eastAsia="仿宋_GB2312" w:cs="仿宋"/>
          <w:color w:val="auto"/>
          <w:spacing w:val="0"/>
          <w:sz w:val="32"/>
          <w:szCs w:val="32"/>
        </w:rPr>
        <w:t>总量</w:t>
      </w:r>
      <w:r>
        <w:rPr>
          <w:rFonts w:hint="eastAsia" w:ascii="仿宋" w:hAnsi="仿宋" w:eastAsia="仿宋_GB2312" w:cs="仿宋"/>
          <w:color w:val="auto"/>
          <w:spacing w:val="0"/>
          <w:sz w:val="32"/>
          <w:szCs w:val="32"/>
          <w:lang w:eastAsia="zh-CN"/>
        </w:rPr>
        <w:t>的</w:t>
      </w:r>
      <w:r>
        <w:rPr>
          <w:rFonts w:hint="eastAsia" w:ascii="Times New Roman" w:hAnsi="Times New Roman" w:eastAsia="仿宋_GB2312" w:cs="仿宋"/>
          <w:color w:val="auto"/>
          <w:spacing w:val="0"/>
          <w:sz w:val="32"/>
          <w:szCs w:val="32"/>
          <w:lang w:eastAsia="zh-CN"/>
        </w:rPr>
        <w:t>22%</w:t>
      </w:r>
      <w:r>
        <w:rPr>
          <w:rFonts w:hint="eastAsia" w:ascii="仿宋" w:hAnsi="仿宋" w:eastAsia="仿宋_GB2312" w:cs="仿宋"/>
          <w:color w:val="auto"/>
          <w:spacing w:val="0"/>
          <w:sz w:val="32"/>
          <w:szCs w:val="32"/>
          <w:lang w:eastAsia="zh-CN"/>
        </w:rPr>
        <w:t>，</w:t>
      </w:r>
      <w:r>
        <w:rPr>
          <w:rFonts w:hint="eastAsia" w:ascii="仿宋" w:hAnsi="仿宋" w:eastAsia="仿宋_GB2312" w:cs="仿宋"/>
          <w:color w:val="auto"/>
          <w:spacing w:val="0"/>
          <w:sz w:val="32"/>
          <w:szCs w:val="32"/>
        </w:rPr>
        <w:t>外地游客投诉率下降</w:t>
      </w:r>
      <w:r>
        <w:rPr>
          <w:rFonts w:hint="eastAsia" w:ascii="Times New Roman" w:hAnsi="Times New Roman" w:eastAsia="仿宋_GB2312" w:cs="仿宋"/>
          <w:color w:val="auto"/>
          <w:spacing w:val="0"/>
          <w:sz w:val="32"/>
          <w:szCs w:val="32"/>
        </w:rPr>
        <w:t>40</w:t>
      </w:r>
      <w:r>
        <w:rPr>
          <w:rFonts w:hint="eastAsia" w:ascii="Times New Roman" w:hAnsi="Times New Roman" w:eastAsia="仿宋_GB2312" w:cs="仿宋"/>
          <w:color w:val="auto"/>
          <w:spacing w:val="0"/>
          <w:sz w:val="32"/>
          <w:szCs w:val="32"/>
          <w:lang w:eastAsia="zh-CN"/>
        </w:rPr>
        <w:t>%</w:t>
      </w:r>
      <w:r>
        <w:rPr>
          <w:rFonts w:hint="eastAsia" w:ascii="仿宋" w:hAnsi="仿宋" w:eastAsia="仿宋_GB2312" w:cs="仿宋"/>
          <w:color w:val="auto"/>
          <w:spacing w:val="0"/>
          <w:sz w:val="32"/>
          <w:szCs w:val="32"/>
        </w:rPr>
        <w:t>。深化行刑衔接正向机制改革，聚焦执法衔接堵点难点，健全完善证据转化、提前介入等</w:t>
      </w:r>
      <w:r>
        <w:rPr>
          <w:rFonts w:hint="eastAsia" w:ascii="Times New Roman" w:hAnsi="Times New Roman" w:eastAsia="仿宋_GB2312" w:cs="仿宋"/>
          <w:color w:val="auto"/>
          <w:spacing w:val="0"/>
          <w:sz w:val="32"/>
          <w:szCs w:val="32"/>
        </w:rPr>
        <w:t>8</w:t>
      </w:r>
      <w:r>
        <w:rPr>
          <w:rFonts w:hint="eastAsia" w:ascii="仿宋" w:hAnsi="仿宋" w:eastAsia="仿宋_GB2312" w:cs="仿宋"/>
          <w:color w:val="auto"/>
          <w:spacing w:val="0"/>
          <w:sz w:val="32"/>
          <w:szCs w:val="32"/>
        </w:rPr>
        <w:t>项配套制度，畅通行政执法与刑事司法衔接渠道，全市行政执法机关录入“两法衔接”平台的处罚案件同比增长约</w:t>
      </w:r>
      <w:r>
        <w:rPr>
          <w:rFonts w:hint="eastAsia" w:ascii="Times New Roman" w:hAnsi="Times New Roman" w:eastAsia="仿宋_GB2312" w:cs="仿宋"/>
          <w:color w:val="auto"/>
          <w:spacing w:val="0"/>
          <w:sz w:val="32"/>
          <w:szCs w:val="32"/>
        </w:rPr>
        <w:t>42</w:t>
      </w:r>
      <w:r>
        <w:rPr>
          <w:rFonts w:hint="eastAsia" w:ascii="仿宋" w:hAnsi="仿宋" w:eastAsia="仿宋_GB2312" w:cs="仿宋"/>
          <w:color w:val="auto"/>
          <w:spacing w:val="0"/>
          <w:sz w:val="32"/>
          <w:szCs w:val="32"/>
        </w:rPr>
        <w:t>倍、向公安机关移送涉嫌刑事犯罪案件同比增长</w:t>
      </w:r>
      <w:r>
        <w:rPr>
          <w:rFonts w:hint="eastAsia" w:ascii="Times New Roman" w:hAnsi="Times New Roman" w:eastAsia="仿宋_GB2312" w:cs="仿宋"/>
          <w:color w:val="auto"/>
          <w:spacing w:val="0"/>
          <w:sz w:val="32"/>
          <w:szCs w:val="32"/>
        </w:rPr>
        <w:t>10</w:t>
      </w:r>
      <w:r>
        <w:rPr>
          <w:rFonts w:hint="eastAsia" w:ascii="仿宋" w:hAnsi="仿宋" w:eastAsia="仿宋_GB2312" w:cs="仿宋"/>
          <w:color w:val="auto"/>
          <w:spacing w:val="0"/>
          <w:sz w:val="32"/>
          <w:szCs w:val="32"/>
        </w:rPr>
        <w:t>倍，进一步提升执法司法协同效能。</w:t>
      </w:r>
      <w:r>
        <w:rPr>
          <w:rFonts w:hint="eastAsia" w:ascii="仿宋" w:hAnsi="仿宋" w:eastAsia="仿宋_GB2312" w:cs="仿宋"/>
          <w:color w:val="auto"/>
          <w:spacing w:val="0"/>
          <w:sz w:val="32"/>
          <w:szCs w:val="32"/>
          <w:lang w:val="en-US" w:eastAsia="zh-CN"/>
        </w:rPr>
        <w:t>相关经验</w:t>
      </w:r>
      <w:r>
        <w:rPr>
          <w:rFonts w:hint="eastAsia" w:ascii="仿宋" w:hAnsi="仿宋" w:eastAsia="仿宋_GB2312" w:cs="仿宋"/>
          <w:color w:val="auto"/>
          <w:spacing w:val="0"/>
          <w:sz w:val="32"/>
          <w:szCs w:val="32"/>
        </w:rPr>
        <w:t>做法在</w:t>
      </w:r>
      <w:r>
        <w:rPr>
          <w:rFonts w:hint="eastAsia" w:ascii="仿宋" w:hAnsi="仿宋" w:eastAsia="仿宋_GB2312" w:cs="仿宋"/>
          <w:color w:val="auto"/>
          <w:spacing w:val="0"/>
          <w:sz w:val="32"/>
          <w:szCs w:val="32"/>
          <w:lang w:eastAsia="zh-CN"/>
        </w:rPr>
        <w:t>《</w:t>
      </w:r>
      <w:r>
        <w:rPr>
          <w:rFonts w:hint="eastAsia" w:ascii="仿宋" w:hAnsi="仿宋" w:eastAsia="仿宋_GB2312" w:cs="仿宋"/>
          <w:color w:val="auto"/>
          <w:spacing w:val="0"/>
          <w:sz w:val="32"/>
          <w:szCs w:val="32"/>
        </w:rPr>
        <w:t>法治湖南</w:t>
      </w:r>
      <w:r>
        <w:rPr>
          <w:rFonts w:hint="eastAsia" w:ascii="仿宋" w:hAnsi="仿宋" w:eastAsia="仿宋_GB2312" w:cs="仿宋"/>
          <w:color w:val="auto"/>
          <w:spacing w:val="0"/>
          <w:sz w:val="32"/>
          <w:szCs w:val="32"/>
          <w:lang w:eastAsia="zh-CN"/>
        </w:rPr>
        <w:t>》</w:t>
      </w:r>
      <w:r>
        <w:rPr>
          <w:rFonts w:hint="eastAsia" w:ascii="仿宋" w:hAnsi="仿宋" w:eastAsia="仿宋_GB2312" w:cs="仿宋"/>
          <w:color w:val="auto"/>
          <w:spacing w:val="0"/>
          <w:sz w:val="32"/>
          <w:szCs w:val="32"/>
        </w:rPr>
        <w:t>刊发，</w:t>
      </w:r>
      <w:r>
        <w:rPr>
          <w:rFonts w:hint="eastAsia" w:ascii="仿宋" w:hAnsi="仿宋" w:eastAsia="仿宋_GB2312" w:cs="仿宋"/>
          <w:color w:val="auto"/>
          <w:spacing w:val="0"/>
          <w:sz w:val="32"/>
          <w:szCs w:val="32"/>
          <w:lang w:val="en-US" w:eastAsia="zh-CN"/>
        </w:rPr>
        <w:t>并</w:t>
      </w:r>
      <w:r>
        <w:rPr>
          <w:rFonts w:hint="eastAsia" w:ascii="仿宋" w:hAnsi="仿宋" w:eastAsia="仿宋_GB2312" w:cs="仿宋"/>
          <w:color w:val="auto"/>
          <w:spacing w:val="0"/>
          <w:sz w:val="32"/>
          <w:szCs w:val="32"/>
        </w:rPr>
        <w:t>在全省推进会上作经验交流发言</w:t>
      </w:r>
      <w:r>
        <w:rPr>
          <w:rFonts w:hint="eastAsia" w:ascii="仿宋" w:hAnsi="仿宋" w:eastAsia="仿宋_GB2312" w:cs="仿宋"/>
          <w:color w:val="auto"/>
          <w:spacing w:val="0"/>
          <w:sz w:val="32"/>
          <w:szCs w:val="32"/>
          <w:lang w:eastAsia="zh-CN"/>
        </w:rPr>
        <w:t>。</w:t>
      </w:r>
      <w:r>
        <w:rPr>
          <w:rFonts w:hint="eastAsia" w:ascii="仿宋" w:hAnsi="仿宋" w:eastAsia="仿宋_GB2312" w:cs="仿宋"/>
          <w:color w:val="auto"/>
          <w:spacing w:val="0"/>
          <w:sz w:val="32"/>
          <w:szCs w:val="32"/>
          <w:lang w:val="en-US" w:eastAsia="zh-CN"/>
        </w:rPr>
        <w:t>同时，</w:t>
      </w:r>
      <w:r>
        <w:rPr>
          <w:rFonts w:hint="eastAsia" w:ascii="仿宋" w:hAnsi="仿宋" w:eastAsia="仿宋_GB2312" w:cs="仿宋"/>
          <w:color w:val="auto"/>
          <w:spacing w:val="0"/>
          <w:sz w:val="32"/>
          <w:szCs w:val="32"/>
          <w:lang w:eastAsia="zh-CN"/>
        </w:rPr>
        <w:t>在多重监督同向发力下，</w:t>
      </w:r>
      <w:r>
        <w:rPr>
          <w:rFonts w:hint="eastAsia" w:ascii="Times New Roman" w:hAnsi="Times New Roman" w:eastAsia="仿宋_GB2312" w:cs="仿宋"/>
          <w:color w:val="auto"/>
          <w:spacing w:val="0"/>
          <w:sz w:val="32"/>
          <w:szCs w:val="32"/>
          <w:lang w:val="en-US" w:eastAsia="zh-CN"/>
        </w:rPr>
        <w:t>2025</w:t>
      </w:r>
      <w:r>
        <w:rPr>
          <w:rFonts w:hint="eastAsia" w:ascii="仿宋" w:hAnsi="仿宋" w:eastAsia="仿宋_GB2312" w:cs="仿宋"/>
          <w:color w:val="auto"/>
          <w:spacing w:val="0"/>
          <w:sz w:val="32"/>
          <w:szCs w:val="32"/>
          <w:lang w:val="en-US" w:eastAsia="zh-CN"/>
        </w:rPr>
        <w:t>年</w:t>
      </w:r>
      <w:r>
        <w:rPr>
          <w:rFonts w:hint="eastAsia" w:ascii="仿宋" w:hAnsi="仿宋" w:eastAsia="仿宋_GB2312" w:cs="仿宋"/>
          <w:color w:val="auto"/>
          <w:spacing w:val="0"/>
          <w:sz w:val="32"/>
          <w:szCs w:val="32"/>
          <w:lang w:eastAsia="zh-CN"/>
        </w:rPr>
        <w:t>怀化行政执法</w:t>
      </w:r>
      <w:r>
        <w:rPr>
          <w:rFonts w:hint="eastAsia" w:ascii="仿宋" w:hAnsi="仿宋" w:eastAsia="仿宋_GB2312" w:cs="仿宋"/>
          <w:color w:val="auto"/>
          <w:spacing w:val="0"/>
          <w:sz w:val="32"/>
          <w:szCs w:val="32"/>
          <w:lang w:val="en-US" w:eastAsia="zh-CN"/>
        </w:rPr>
        <w:t>质</w:t>
      </w:r>
      <w:r>
        <w:rPr>
          <w:rFonts w:hint="eastAsia" w:ascii="仿宋" w:hAnsi="仿宋" w:eastAsia="仿宋_GB2312" w:cs="仿宋"/>
          <w:color w:val="auto"/>
          <w:spacing w:val="0"/>
          <w:sz w:val="32"/>
          <w:szCs w:val="32"/>
          <w:lang w:eastAsia="zh-CN"/>
        </w:rPr>
        <w:t>量实现突破性提升，一审行政败诉率降至</w:t>
      </w:r>
      <w:r>
        <w:rPr>
          <w:rFonts w:hint="eastAsia" w:ascii="Times New Roman" w:hAnsi="Times New Roman" w:eastAsia="仿宋_GB2312" w:cs="仿宋"/>
          <w:color w:val="auto"/>
          <w:spacing w:val="0"/>
          <w:sz w:val="32"/>
          <w:szCs w:val="32"/>
          <w:lang w:eastAsia="zh-CN"/>
        </w:rPr>
        <w:t>1</w:t>
      </w:r>
      <w:r>
        <w:rPr>
          <w:rFonts w:hint="eastAsia" w:ascii="Times New Roman" w:hAnsi="Times New Roman" w:eastAsia="仿宋_GB2312" w:cs="仿宋"/>
          <w:color w:val="auto"/>
          <w:spacing w:val="0"/>
          <w:sz w:val="32"/>
          <w:szCs w:val="32"/>
          <w:lang w:val="en-US" w:eastAsia="zh-CN"/>
        </w:rPr>
        <w:t>6</w:t>
      </w:r>
      <w:r>
        <w:rPr>
          <w:rFonts w:hint="eastAsia" w:ascii="仿宋" w:hAnsi="仿宋" w:eastAsia="仿宋_GB2312" w:cs="仿宋"/>
          <w:color w:val="auto"/>
          <w:spacing w:val="0"/>
          <w:sz w:val="32"/>
          <w:szCs w:val="32"/>
          <w:lang w:eastAsia="zh-CN"/>
        </w:rPr>
        <w:t>.</w:t>
      </w:r>
      <w:r>
        <w:rPr>
          <w:rFonts w:hint="eastAsia" w:ascii="Times New Roman" w:hAnsi="Times New Roman" w:eastAsia="仿宋_GB2312" w:cs="仿宋"/>
          <w:color w:val="auto"/>
          <w:spacing w:val="0"/>
          <w:sz w:val="32"/>
          <w:szCs w:val="32"/>
          <w:lang w:val="en-US" w:eastAsia="zh-CN"/>
        </w:rPr>
        <w:t>5%</w:t>
      </w:r>
      <w:r>
        <w:rPr>
          <w:rFonts w:hint="eastAsia" w:ascii="仿宋" w:hAnsi="仿宋" w:eastAsia="仿宋_GB2312" w:cs="仿宋"/>
          <w:color w:val="auto"/>
          <w:spacing w:val="0"/>
          <w:sz w:val="32"/>
          <w:szCs w:val="32"/>
          <w:lang w:eastAsia="zh-CN"/>
        </w:rPr>
        <w:t>，较</w:t>
      </w:r>
      <w:r>
        <w:rPr>
          <w:rFonts w:hint="eastAsia" w:ascii="Times New Roman" w:hAnsi="Times New Roman" w:eastAsia="仿宋_GB2312" w:cs="仿宋"/>
          <w:color w:val="auto"/>
          <w:spacing w:val="0"/>
          <w:sz w:val="32"/>
          <w:szCs w:val="32"/>
          <w:lang w:val="en-US" w:eastAsia="zh-CN"/>
        </w:rPr>
        <w:t>2024</w:t>
      </w:r>
      <w:r>
        <w:rPr>
          <w:rFonts w:hint="eastAsia" w:ascii="仿宋" w:hAnsi="仿宋" w:eastAsia="仿宋_GB2312" w:cs="仿宋"/>
          <w:color w:val="auto"/>
          <w:spacing w:val="0"/>
          <w:sz w:val="32"/>
          <w:szCs w:val="32"/>
          <w:lang w:eastAsia="zh-CN"/>
        </w:rPr>
        <w:t>年下降</w:t>
      </w:r>
      <w:r>
        <w:rPr>
          <w:rFonts w:hint="eastAsia" w:ascii="Times New Roman" w:hAnsi="Times New Roman" w:eastAsia="仿宋_GB2312" w:cs="仿宋"/>
          <w:color w:val="auto"/>
          <w:spacing w:val="0"/>
          <w:sz w:val="32"/>
          <w:szCs w:val="32"/>
          <w:lang w:val="en-US" w:eastAsia="zh-CN"/>
        </w:rPr>
        <w:t>9</w:t>
      </w:r>
      <w:r>
        <w:rPr>
          <w:rFonts w:hint="eastAsia" w:ascii="仿宋" w:hAnsi="仿宋" w:eastAsia="仿宋_GB2312" w:cs="仿宋"/>
          <w:color w:val="auto"/>
          <w:spacing w:val="0"/>
          <w:sz w:val="32"/>
          <w:szCs w:val="32"/>
          <w:lang w:eastAsia="zh-CN"/>
        </w:rPr>
        <w:t>.</w:t>
      </w:r>
      <w:r>
        <w:rPr>
          <w:rFonts w:hint="eastAsia" w:ascii="Times New Roman" w:hAnsi="Times New Roman" w:eastAsia="仿宋_GB2312" w:cs="仿宋"/>
          <w:color w:val="auto"/>
          <w:spacing w:val="0"/>
          <w:sz w:val="32"/>
          <w:szCs w:val="32"/>
          <w:lang w:val="en-US" w:eastAsia="zh-CN"/>
        </w:rPr>
        <w:t>2</w:t>
      </w:r>
      <w:r>
        <w:rPr>
          <w:rFonts w:hint="eastAsia" w:ascii="仿宋" w:hAnsi="仿宋" w:eastAsia="仿宋_GB2312" w:cs="仿宋"/>
          <w:color w:val="auto"/>
          <w:spacing w:val="0"/>
          <w:sz w:val="32"/>
          <w:szCs w:val="32"/>
          <w:lang w:eastAsia="zh-CN"/>
        </w:rPr>
        <w:t>个百分点；行政复议纠错率</w:t>
      </w:r>
      <w:r>
        <w:rPr>
          <w:rFonts w:hint="eastAsia" w:ascii="Times New Roman" w:hAnsi="Times New Roman" w:eastAsia="仿宋_GB2312" w:cs="仿宋"/>
          <w:color w:val="auto"/>
          <w:spacing w:val="0"/>
          <w:sz w:val="32"/>
          <w:szCs w:val="32"/>
          <w:lang w:eastAsia="zh-CN"/>
        </w:rPr>
        <w:t>1</w:t>
      </w:r>
      <w:r>
        <w:rPr>
          <w:rFonts w:hint="eastAsia" w:ascii="Times New Roman" w:hAnsi="Times New Roman" w:eastAsia="仿宋_GB2312" w:cs="仿宋"/>
          <w:color w:val="auto"/>
          <w:spacing w:val="0"/>
          <w:sz w:val="32"/>
          <w:szCs w:val="32"/>
          <w:lang w:val="en-US" w:eastAsia="zh-CN"/>
        </w:rPr>
        <w:t>5</w:t>
      </w:r>
      <w:r>
        <w:rPr>
          <w:rFonts w:hint="eastAsia" w:ascii="仿宋" w:hAnsi="仿宋" w:eastAsia="仿宋_GB2312" w:cs="仿宋"/>
          <w:color w:val="auto"/>
          <w:spacing w:val="0"/>
          <w:sz w:val="32"/>
          <w:szCs w:val="32"/>
          <w:lang w:eastAsia="zh-CN"/>
        </w:rPr>
        <w:t>.</w:t>
      </w:r>
      <w:r>
        <w:rPr>
          <w:rFonts w:hint="eastAsia" w:ascii="Times New Roman" w:hAnsi="Times New Roman" w:eastAsia="仿宋_GB2312" w:cs="仿宋"/>
          <w:color w:val="auto"/>
          <w:spacing w:val="0"/>
          <w:sz w:val="32"/>
          <w:szCs w:val="32"/>
          <w:lang w:val="en-US" w:eastAsia="zh-CN"/>
        </w:rPr>
        <w:t>3</w:t>
      </w:r>
      <w:r>
        <w:rPr>
          <w:rFonts w:hint="eastAsia" w:ascii="Times New Roman" w:hAnsi="Times New Roman" w:eastAsia="仿宋_GB2312" w:cs="仿宋"/>
          <w:color w:val="auto"/>
          <w:spacing w:val="0"/>
          <w:sz w:val="32"/>
          <w:szCs w:val="32"/>
          <w:lang w:eastAsia="zh-CN"/>
        </w:rPr>
        <w:t>%</w:t>
      </w:r>
      <w:r>
        <w:rPr>
          <w:rFonts w:hint="eastAsia" w:ascii="仿宋" w:hAnsi="仿宋" w:eastAsia="仿宋_GB2312" w:cs="仿宋"/>
          <w:color w:val="auto"/>
          <w:spacing w:val="0"/>
          <w:sz w:val="32"/>
          <w:szCs w:val="32"/>
          <w:lang w:eastAsia="zh-CN"/>
        </w:rPr>
        <w:t>，较</w:t>
      </w:r>
      <w:r>
        <w:rPr>
          <w:rFonts w:hint="eastAsia" w:ascii="Times New Roman" w:hAnsi="Times New Roman" w:eastAsia="仿宋_GB2312" w:cs="仿宋"/>
          <w:color w:val="auto"/>
          <w:spacing w:val="0"/>
          <w:sz w:val="32"/>
          <w:szCs w:val="32"/>
          <w:lang w:val="en-US" w:eastAsia="zh-CN"/>
        </w:rPr>
        <w:t>2024</w:t>
      </w:r>
      <w:r>
        <w:rPr>
          <w:rFonts w:hint="eastAsia" w:ascii="仿宋" w:hAnsi="仿宋" w:eastAsia="仿宋_GB2312" w:cs="仿宋"/>
          <w:color w:val="auto"/>
          <w:spacing w:val="0"/>
          <w:sz w:val="32"/>
          <w:szCs w:val="32"/>
          <w:lang w:eastAsia="zh-CN"/>
        </w:rPr>
        <w:t>年下降</w:t>
      </w:r>
      <w:r>
        <w:rPr>
          <w:rFonts w:hint="eastAsia" w:ascii="Times New Roman" w:hAnsi="Times New Roman" w:eastAsia="仿宋_GB2312" w:cs="仿宋"/>
          <w:color w:val="auto"/>
          <w:spacing w:val="0"/>
          <w:sz w:val="32"/>
          <w:szCs w:val="32"/>
          <w:lang w:val="en-US" w:eastAsia="zh-CN"/>
        </w:rPr>
        <w:t>15</w:t>
      </w:r>
      <w:r>
        <w:rPr>
          <w:rFonts w:hint="eastAsia" w:ascii="仿宋" w:hAnsi="仿宋" w:eastAsia="仿宋_GB2312" w:cs="仿宋"/>
          <w:color w:val="auto"/>
          <w:spacing w:val="0"/>
          <w:sz w:val="32"/>
          <w:szCs w:val="32"/>
          <w:lang w:eastAsia="zh-CN"/>
        </w:rPr>
        <w:t>.</w:t>
      </w:r>
      <w:r>
        <w:rPr>
          <w:rFonts w:hint="eastAsia" w:ascii="Times New Roman" w:hAnsi="Times New Roman" w:eastAsia="仿宋_GB2312" w:cs="仿宋"/>
          <w:color w:val="auto"/>
          <w:spacing w:val="0"/>
          <w:sz w:val="32"/>
          <w:szCs w:val="32"/>
          <w:lang w:val="en-US" w:eastAsia="zh-CN"/>
        </w:rPr>
        <w:t>1</w:t>
      </w:r>
      <w:r>
        <w:rPr>
          <w:rFonts w:hint="eastAsia" w:ascii="仿宋" w:hAnsi="仿宋" w:eastAsia="仿宋_GB2312" w:cs="仿宋"/>
          <w:color w:val="auto"/>
          <w:spacing w:val="0"/>
          <w:sz w:val="32"/>
          <w:szCs w:val="32"/>
          <w:lang w:eastAsia="zh-CN"/>
        </w:rPr>
        <w:t>个百分点。在</w:t>
      </w:r>
      <w:r>
        <w:rPr>
          <w:rFonts w:hint="eastAsia" w:ascii="Times New Roman" w:hAnsi="Times New Roman" w:eastAsia="仿宋_GB2312" w:cs="仿宋"/>
          <w:color w:val="auto"/>
          <w:spacing w:val="0"/>
          <w:sz w:val="32"/>
          <w:szCs w:val="32"/>
          <w:lang w:val="en-US" w:eastAsia="zh-CN"/>
        </w:rPr>
        <w:t>2025</w:t>
      </w:r>
      <w:r>
        <w:rPr>
          <w:rFonts w:hint="eastAsia" w:ascii="仿宋" w:hAnsi="仿宋" w:eastAsia="仿宋_GB2312" w:cs="仿宋"/>
          <w:color w:val="auto"/>
          <w:spacing w:val="0"/>
          <w:sz w:val="32"/>
          <w:szCs w:val="32"/>
          <w:lang w:eastAsia="zh-CN"/>
        </w:rPr>
        <w:t>年省厅组织开展的执法质量案卷评查中，怀化综合评价得分排名全省第一。</w:t>
      </w:r>
    </w:p>
    <w:p w14:paraId="73B602DA">
      <w:pPr>
        <w:keepNext w:val="0"/>
        <w:keepLines w:val="0"/>
        <w:pageBreakBefore w:val="0"/>
        <w:widowControl w:val="0"/>
        <w:shd w:val="clear"/>
        <w:kinsoku/>
        <w:wordWrap/>
        <w:overflowPunct/>
        <w:topLinePunct w:val="0"/>
        <w:autoSpaceDE/>
        <w:autoSpaceDN/>
        <w:bidi w:val="0"/>
        <w:adjustRightInd/>
        <w:snapToGrid/>
        <w:spacing w:line="600" w:lineRule="exact"/>
        <w:ind w:firstLine="643" w:firstLineChars="200"/>
        <w:textAlignment w:val="auto"/>
        <w:rPr>
          <w:rFonts w:hint="eastAsia" w:ascii="仿宋" w:hAnsi="仿宋" w:eastAsia="仿宋_GB2312" w:cs="仿宋"/>
          <w:b/>
          <w:bCs/>
          <w:color w:val="auto"/>
          <w:spacing w:val="0"/>
          <w:sz w:val="32"/>
          <w:szCs w:val="32"/>
          <w:lang w:val="en-US" w:eastAsia="zh-CN"/>
        </w:rPr>
      </w:pPr>
      <w:r>
        <w:rPr>
          <w:rFonts w:hint="eastAsia" w:ascii="Times New Roman" w:hAnsi="Times New Roman" w:eastAsia="仿宋_GB2312" w:cs="仿宋"/>
          <w:b/>
          <w:bCs/>
          <w:color w:val="auto"/>
          <w:spacing w:val="0"/>
          <w:sz w:val="32"/>
          <w:szCs w:val="32"/>
          <w:lang w:val="en-US" w:eastAsia="zh-CN"/>
        </w:rPr>
        <w:t>4</w:t>
      </w:r>
      <w:r>
        <w:rPr>
          <w:rFonts w:hint="eastAsia" w:ascii="仿宋" w:hAnsi="仿宋" w:eastAsia="仿宋_GB2312" w:cs="仿宋"/>
          <w:b/>
          <w:bCs/>
          <w:color w:val="auto"/>
          <w:spacing w:val="0"/>
          <w:sz w:val="32"/>
          <w:szCs w:val="32"/>
          <w:lang w:val="en-US" w:eastAsia="zh-CN"/>
        </w:rPr>
        <w:t>、主动靠前服务，法治护航惠民成色更足。</w:t>
      </w:r>
      <w:r>
        <w:rPr>
          <w:rFonts w:hint="eastAsia" w:ascii="仿宋" w:hAnsi="仿宋" w:eastAsia="仿宋_GB2312" w:cs="仿宋"/>
          <w:color w:val="auto"/>
          <w:spacing w:val="0"/>
          <w:sz w:val="32"/>
          <w:szCs w:val="32"/>
          <w:lang w:val="en-US" w:eastAsia="zh-CN"/>
        </w:rPr>
        <w:t>坚持需求导向，善于运用法治手段助力高质量发展、回应民生关切。以“小快灵”立法服务高质量发展，完成《怀化市柑橘产业高质量发展若干规定》等</w:t>
      </w:r>
      <w:r>
        <w:rPr>
          <w:rFonts w:hint="eastAsia" w:ascii="Times New Roman" w:hAnsi="Times New Roman" w:eastAsia="仿宋_GB2312" w:cs="仿宋"/>
          <w:color w:val="auto"/>
          <w:spacing w:val="0"/>
          <w:sz w:val="32"/>
          <w:szCs w:val="32"/>
          <w:lang w:val="en-US" w:eastAsia="zh-CN"/>
        </w:rPr>
        <w:t>3</w:t>
      </w:r>
      <w:r>
        <w:rPr>
          <w:rFonts w:hint="eastAsia" w:ascii="仿宋" w:hAnsi="仿宋" w:eastAsia="仿宋_GB2312" w:cs="仿宋"/>
          <w:color w:val="auto"/>
          <w:spacing w:val="0"/>
          <w:sz w:val="32"/>
          <w:szCs w:val="32"/>
          <w:lang w:val="en-US" w:eastAsia="zh-CN"/>
        </w:rPr>
        <w:t>部地方性法规草案的起草指导、调研论证等工作。竭力当好政府法治参谋，完善市领导定向服务机制，主动参与海王生物招商洽谈、舞水灌区工程、水上交通安全管理等重大产业、重大项目、重大事项的涉法事务</w:t>
      </w:r>
      <w:r>
        <w:rPr>
          <w:rFonts w:hint="eastAsia" w:ascii="Times New Roman" w:hAnsi="Times New Roman" w:eastAsia="仿宋_GB2312" w:cs="仿宋"/>
          <w:color w:val="auto"/>
          <w:spacing w:val="0"/>
          <w:sz w:val="32"/>
          <w:szCs w:val="32"/>
          <w:lang w:val="en-US" w:eastAsia="zh-CN"/>
        </w:rPr>
        <w:t>130</w:t>
      </w:r>
      <w:r>
        <w:rPr>
          <w:rFonts w:hint="eastAsia" w:ascii="仿宋" w:hAnsi="仿宋" w:eastAsia="仿宋_GB2312" w:cs="仿宋"/>
          <w:color w:val="auto"/>
          <w:spacing w:val="0"/>
          <w:sz w:val="32"/>
          <w:szCs w:val="32"/>
          <w:lang w:val="en-US" w:eastAsia="zh-CN"/>
        </w:rPr>
        <w:t>余件次，涉及资金近</w:t>
      </w:r>
      <w:r>
        <w:rPr>
          <w:rFonts w:hint="eastAsia" w:ascii="Times New Roman" w:hAnsi="Times New Roman" w:eastAsia="仿宋_GB2312" w:cs="仿宋"/>
          <w:color w:val="auto"/>
          <w:spacing w:val="0"/>
          <w:sz w:val="32"/>
          <w:szCs w:val="32"/>
          <w:lang w:val="en-US" w:eastAsia="zh-CN"/>
        </w:rPr>
        <w:t>80</w:t>
      </w:r>
      <w:r>
        <w:rPr>
          <w:rFonts w:hint="eastAsia" w:ascii="仿宋" w:hAnsi="仿宋" w:eastAsia="仿宋_GB2312" w:cs="仿宋"/>
          <w:color w:val="auto"/>
          <w:spacing w:val="0"/>
          <w:sz w:val="32"/>
          <w:szCs w:val="32"/>
          <w:lang w:val="en-US" w:eastAsia="zh-CN"/>
        </w:rPr>
        <w:t>亿元。扎实推进“千所联千企”“千名仲裁员联千企”“送解优”等活动，紧扣全市“</w:t>
      </w:r>
      <w:r>
        <w:rPr>
          <w:rFonts w:hint="eastAsia" w:ascii="Times New Roman" w:hAnsi="Times New Roman" w:eastAsia="仿宋_GB2312" w:cs="仿宋"/>
          <w:color w:val="auto"/>
          <w:spacing w:val="0"/>
          <w:sz w:val="32"/>
          <w:szCs w:val="32"/>
          <w:lang w:val="en-US" w:eastAsia="zh-CN"/>
        </w:rPr>
        <w:t>5</w:t>
      </w:r>
      <w:r>
        <w:rPr>
          <w:rFonts w:hint="eastAsia" w:ascii="仿宋" w:hAnsi="仿宋" w:eastAsia="仿宋_GB2312" w:cs="仿宋"/>
          <w:color w:val="auto"/>
          <w:spacing w:val="0"/>
          <w:sz w:val="32"/>
          <w:szCs w:val="32"/>
          <w:lang w:val="en-US" w:eastAsia="zh-CN"/>
        </w:rPr>
        <w:t>+</w:t>
      </w:r>
      <w:r>
        <w:rPr>
          <w:rFonts w:hint="eastAsia" w:ascii="Times New Roman" w:hAnsi="Times New Roman" w:eastAsia="仿宋_GB2312" w:cs="仿宋"/>
          <w:color w:val="auto"/>
          <w:spacing w:val="0"/>
          <w:sz w:val="32"/>
          <w:szCs w:val="32"/>
          <w:lang w:val="en-US" w:eastAsia="zh-CN"/>
        </w:rPr>
        <w:t>10</w:t>
      </w:r>
      <w:r>
        <w:rPr>
          <w:rFonts w:hint="eastAsia" w:ascii="仿宋" w:hAnsi="仿宋" w:eastAsia="仿宋_GB2312" w:cs="仿宋"/>
          <w:color w:val="auto"/>
          <w:spacing w:val="0"/>
          <w:sz w:val="32"/>
          <w:szCs w:val="32"/>
          <w:lang w:val="en-US" w:eastAsia="zh-CN"/>
        </w:rPr>
        <w:t>”现代化产业体系，推动律师、仲裁、公证等法律服务与产业链深度融合。遴选</w:t>
      </w:r>
      <w:r>
        <w:rPr>
          <w:rFonts w:hint="eastAsia" w:ascii="Times New Roman" w:hAnsi="Times New Roman" w:eastAsia="仿宋_GB2312" w:cs="仿宋"/>
          <w:color w:val="auto"/>
          <w:spacing w:val="0"/>
          <w:sz w:val="32"/>
          <w:szCs w:val="32"/>
          <w:lang w:val="en-US" w:eastAsia="zh-CN"/>
        </w:rPr>
        <w:t>36</w:t>
      </w:r>
      <w:r>
        <w:rPr>
          <w:rFonts w:hint="eastAsia" w:ascii="仿宋" w:hAnsi="仿宋" w:eastAsia="仿宋_GB2312" w:cs="仿宋"/>
          <w:color w:val="auto"/>
          <w:spacing w:val="0"/>
          <w:sz w:val="32"/>
          <w:szCs w:val="32"/>
          <w:lang w:val="en-US" w:eastAsia="zh-CN"/>
        </w:rPr>
        <w:t>名骨干律师组建</w:t>
      </w:r>
      <w:r>
        <w:rPr>
          <w:rFonts w:hint="eastAsia" w:ascii="Times New Roman" w:hAnsi="Times New Roman" w:eastAsia="仿宋_GB2312" w:cs="仿宋"/>
          <w:color w:val="auto"/>
          <w:spacing w:val="0"/>
          <w:sz w:val="32"/>
          <w:szCs w:val="32"/>
          <w:lang w:val="en-US" w:eastAsia="zh-CN"/>
        </w:rPr>
        <w:t>12</w:t>
      </w:r>
      <w:r>
        <w:rPr>
          <w:rFonts w:hint="eastAsia" w:ascii="仿宋" w:hAnsi="仿宋" w:eastAsia="仿宋_GB2312" w:cs="仿宋"/>
          <w:color w:val="auto"/>
          <w:spacing w:val="0"/>
          <w:sz w:val="32"/>
          <w:szCs w:val="32"/>
          <w:lang w:val="en-US" w:eastAsia="zh-CN"/>
        </w:rPr>
        <w:t>个产业链法律服务专班，建立“链长+律师”结对机制，明确“政策解读、合同审查、风险防控”等核心职责。同时，指导洪江区推行“企业+</w:t>
      </w:r>
      <w:r>
        <w:rPr>
          <w:rFonts w:hint="eastAsia" w:ascii="Times New Roman" w:hAnsi="Times New Roman" w:eastAsia="仿宋_GB2312" w:cs="仿宋"/>
          <w:color w:val="auto"/>
          <w:spacing w:val="0"/>
          <w:sz w:val="32"/>
          <w:szCs w:val="32"/>
          <w:lang w:val="en-US" w:eastAsia="zh-CN"/>
        </w:rPr>
        <w:t>N</w:t>
      </w:r>
      <w:r>
        <w:rPr>
          <w:rFonts w:hint="eastAsia" w:ascii="仿宋" w:hAnsi="仿宋" w:eastAsia="仿宋_GB2312" w:cs="仿宋"/>
          <w:color w:val="auto"/>
          <w:spacing w:val="0"/>
          <w:sz w:val="32"/>
          <w:szCs w:val="32"/>
          <w:lang w:val="en-US" w:eastAsia="zh-CN"/>
        </w:rPr>
        <w:t>”服务模式，芷江县组建“公益法律服务团”驻园区办公，靖州县开展“产业链法律明白人”培育，形成“市级专班统筹、县级特色补充”体系。针对产业链企业需求开展“点对点”服务，积极参与链长招商引资活动，为享怀箱包、怀仁大健康等</w:t>
      </w:r>
      <w:r>
        <w:rPr>
          <w:rFonts w:hint="eastAsia" w:ascii="Times New Roman" w:hAnsi="Times New Roman" w:eastAsia="仿宋_GB2312" w:cs="仿宋"/>
          <w:color w:val="auto"/>
          <w:spacing w:val="0"/>
          <w:sz w:val="32"/>
          <w:szCs w:val="32"/>
          <w:lang w:val="en-US" w:eastAsia="zh-CN"/>
        </w:rPr>
        <w:t>90</w:t>
      </w:r>
      <w:r>
        <w:rPr>
          <w:rFonts w:hint="eastAsia" w:ascii="仿宋" w:hAnsi="仿宋" w:eastAsia="仿宋_GB2312" w:cs="仿宋"/>
          <w:color w:val="auto"/>
          <w:spacing w:val="0"/>
          <w:sz w:val="32"/>
          <w:szCs w:val="32"/>
          <w:lang w:val="en-US" w:eastAsia="zh-CN"/>
        </w:rPr>
        <w:t>余家重点企业提供免费法律服务</w:t>
      </w:r>
      <w:r>
        <w:rPr>
          <w:rFonts w:hint="eastAsia" w:ascii="Times New Roman" w:hAnsi="Times New Roman" w:eastAsia="仿宋_GB2312" w:cs="仿宋"/>
          <w:color w:val="auto"/>
          <w:spacing w:val="0"/>
          <w:sz w:val="32"/>
          <w:szCs w:val="32"/>
          <w:lang w:val="en-US" w:eastAsia="zh-CN"/>
        </w:rPr>
        <w:t>1800</w:t>
      </w:r>
      <w:r>
        <w:rPr>
          <w:rFonts w:hint="eastAsia" w:ascii="仿宋" w:hAnsi="仿宋" w:eastAsia="仿宋_GB2312" w:cs="仿宋"/>
          <w:color w:val="auto"/>
          <w:spacing w:val="0"/>
          <w:sz w:val="32"/>
          <w:szCs w:val="32"/>
          <w:lang w:val="en-US" w:eastAsia="zh-CN"/>
        </w:rPr>
        <w:t>余次，出具风险提示函</w:t>
      </w:r>
      <w:r>
        <w:rPr>
          <w:rFonts w:hint="eastAsia" w:ascii="Times New Roman" w:hAnsi="Times New Roman" w:eastAsia="仿宋_GB2312" w:cs="仿宋"/>
          <w:color w:val="auto"/>
          <w:spacing w:val="0"/>
          <w:sz w:val="32"/>
          <w:szCs w:val="32"/>
          <w:lang w:val="en-US" w:eastAsia="zh-CN"/>
        </w:rPr>
        <w:t>127</w:t>
      </w:r>
      <w:r>
        <w:rPr>
          <w:rFonts w:hint="eastAsia" w:ascii="仿宋" w:hAnsi="仿宋" w:eastAsia="仿宋_GB2312" w:cs="仿宋"/>
          <w:color w:val="auto"/>
          <w:spacing w:val="0"/>
          <w:sz w:val="32"/>
          <w:szCs w:val="32"/>
          <w:lang w:val="en-US" w:eastAsia="zh-CN"/>
        </w:rPr>
        <w:t>份，帮助企业规避跨境贸易、知识产权等法律风险，涉及金额超</w:t>
      </w:r>
      <w:r>
        <w:rPr>
          <w:rFonts w:hint="eastAsia" w:ascii="Times New Roman" w:hAnsi="Times New Roman" w:eastAsia="仿宋_GB2312" w:cs="仿宋"/>
          <w:color w:val="auto"/>
          <w:spacing w:val="0"/>
          <w:sz w:val="32"/>
          <w:szCs w:val="32"/>
          <w:lang w:val="en-US" w:eastAsia="zh-CN"/>
        </w:rPr>
        <w:t>2</w:t>
      </w:r>
      <w:r>
        <w:rPr>
          <w:rFonts w:hint="eastAsia" w:ascii="仿宋" w:hAnsi="仿宋" w:eastAsia="仿宋_GB2312" w:cs="仿宋"/>
          <w:color w:val="auto"/>
          <w:spacing w:val="0"/>
          <w:sz w:val="32"/>
          <w:szCs w:val="32"/>
          <w:lang w:val="en-US" w:eastAsia="zh-CN"/>
        </w:rPr>
        <w:t>亿元；调解产业链上下游纠纷</w:t>
      </w:r>
      <w:r>
        <w:rPr>
          <w:rFonts w:hint="eastAsia" w:ascii="Times New Roman" w:hAnsi="Times New Roman" w:eastAsia="仿宋_GB2312" w:cs="仿宋"/>
          <w:color w:val="auto"/>
          <w:spacing w:val="0"/>
          <w:sz w:val="32"/>
          <w:szCs w:val="32"/>
          <w:lang w:val="en-US" w:eastAsia="zh-CN"/>
        </w:rPr>
        <w:t>42</w:t>
      </w:r>
      <w:r>
        <w:rPr>
          <w:rFonts w:hint="eastAsia" w:ascii="仿宋" w:hAnsi="仿宋" w:eastAsia="仿宋_GB2312" w:cs="仿宋"/>
          <w:color w:val="auto"/>
          <w:spacing w:val="0"/>
          <w:sz w:val="32"/>
          <w:szCs w:val="32"/>
          <w:lang w:val="en-US" w:eastAsia="zh-CN"/>
        </w:rPr>
        <w:t>件，挽回经济损失</w:t>
      </w:r>
      <w:r>
        <w:rPr>
          <w:rFonts w:hint="eastAsia" w:ascii="Times New Roman" w:hAnsi="Times New Roman" w:eastAsia="仿宋_GB2312" w:cs="仿宋"/>
          <w:color w:val="auto"/>
          <w:spacing w:val="0"/>
          <w:sz w:val="32"/>
          <w:szCs w:val="32"/>
          <w:lang w:val="en-US" w:eastAsia="zh-CN"/>
        </w:rPr>
        <w:t>1500</w:t>
      </w:r>
      <w:r>
        <w:rPr>
          <w:rFonts w:hint="eastAsia" w:ascii="仿宋" w:hAnsi="仿宋" w:eastAsia="仿宋_GB2312" w:cs="仿宋"/>
          <w:color w:val="auto"/>
          <w:spacing w:val="0"/>
          <w:sz w:val="32"/>
          <w:szCs w:val="32"/>
          <w:lang w:val="en-US" w:eastAsia="zh-CN"/>
        </w:rPr>
        <w:t>余万元。强力推进全国旅游投诉调解与仲裁试点工作，成立旅</w:t>
      </w:r>
      <w:r>
        <w:rPr>
          <w:rFonts w:hint="eastAsia" w:ascii="仿宋" w:hAnsi="仿宋" w:eastAsia="仿宋_GB2312" w:cs="仿宋"/>
          <w:color w:val="auto"/>
          <w:spacing w:val="6"/>
          <w:sz w:val="32"/>
          <w:szCs w:val="32"/>
          <w:lang w:val="en-US" w:eastAsia="zh-CN"/>
        </w:rPr>
        <w:t>游仲裁中心，会同市国资委出台关于运用仲裁制度高效化解国有企业经济纠纷的指导意见，截至</w:t>
      </w:r>
      <w:r>
        <w:rPr>
          <w:rFonts w:hint="eastAsia" w:ascii="Times New Roman" w:hAnsi="Times New Roman" w:eastAsia="仿宋_GB2312" w:cs="仿宋"/>
          <w:color w:val="auto"/>
          <w:spacing w:val="6"/>
          <w:sz w:val="32"/>
          <w:szCs w:val="32"/>
          <w:lang w:val="en-US" w:eastAsia="zh-CN"/>
        </w:rPr>
        <w:t>2025</w:t>
      </w:r>
      <w:r>
        <w:rPr>
          <w:rFonts w:hint="eastAsia" w:ascii="仿宋" w:hAnsi="仿宋" w:eastAsia="仿宋_GB2312" w:cs="仿宋"/>
          <w:color w:val="auto"/>
          <w:spacing w:val="6"/>
          <w:sz w:val="32"/>
          <w:szCs w:val="32"/>
          <w:lang w:val="en-US" w:eastAsia="zh-CN"/>
        </w:rPr>
        <w:t>年底仲裁标的已逾</w:t>
      </w:r>
      <w:r>
        <w:rPr>
          <w:rFonts w:hint="eastAsia" w:ascii="Times New Roman" w:hAnsi="Times New Roman" w:eastAsia="仿宋_GB2312" w:cs="仿宋"/>
          <w:color w:val="auto"/>
          <w:spacing w:val="6"/>
          <w:sz w:val="32"/>
          <w:szCs w:val="32"/>
          <w:lang w:val="en-US" w:eastAsia="zh-CN"/>
        </w:rPr>
        <w:t>3</w:t>
      </w:r>
      <w:r>
        <w:rPr>
          <w:rFonts w:hint="eastAsia" w:ascii="仿宋" w:hAnsi="仿宋" w:eastAsia="仿宋_GB2312" w:cs="仿宋"/>
          <w:color w:val="auto"/>
          <w:spacing w:val="6"/>
          <w:sz w:val="32"/>
          <w:szCs w:val="32"/>
          <w:lang w:val="en-US" w:eastAsia="zh-CN"/>
        </w:rPr>
        <w:t>亿元，为</w:t>
      </w:r>
      <w:r>
        <w:rPr>
          <w:rFonts w:hint="eastAsia" w:ascii="Times New Roman" w:hAnsi="Times New Roman" w:eastAsia="仿宋_GB2312" w:cs="仿宋"/>
          <w:color w:val="auto"/>
          <w:spacing w:val="6"/>
          <w:sz w:val="32"/>
          <w:szCs w:val="32"/>
          <w:lang w:val="en-US" w:eastAsia="zh-CN"/>
        </w:rPr>
        <w:t>2024</w:t>
      </w:r>
      <w:r>
        <w:rPr>
          <w:rFonts w:hint="eastAsia" w:ascii="仿宋" w:hAnsi="仿宋" w:eastAsia="仿宋_GB2312" w:cs="仿宋"/>
          <w:color w:val="auto"/>
          <w:spacing w:val="6"/>
          <w:sz w:val="32"/>
          <w:szCs w:val="32"/>
          <w:lang w:val="en-US" w:eastAsia="zh-CN"/>
        </w:rPr>
        <w:t>年的</w:t>
      </w:r>
      <w:r>
        <w:rPr>
          <w:rFonts w:hint="eastAsia" w:ascii="Times New Roman" w:hAnsi="Times New Roman" w:eastAsia="仿宋_GB2312" w:cs="仿宋"/>
          <w:color w:val="auto"/>
          <w:spacing w:val="6"/>
          <w:sz w:val="32"/>
          <w:szCs w:val="32"/>
          <w:lang w:val="en-US" w:eastAsia="zh-CN"/>
        </w:rPr>
        <w:t>1</w:t>
      </w:r>
      <w:r>
        <w:rPr>
          <w:rFonts w:hint="eastAsia" w:ascii="仿宋" w:hAnsi="仿宋" w:eastAsia="仿宋_GB2312" w:cs="仿宋"/>
          <w:color w:val="auto"/>
          <w:spacing w:val="6"/>
          <w:sz w:val="32"/>
          <w:szCs w:val="32"/>
          <w:lang w:val="en-US" w:eastAsia="zh-CN"/>
        </w:rPr>
        <w:t>.</w:t>
      </w:r>
      <w:r>
        <w:rPr>
          <w:rFonts w:hint="eastAsia" w:ascii="Times New Roman" w:hAnsi="Times New Roman" w:eastAsia="仿宋_GB2312" w:cs="仿宋"/>
          <w:color w:val="auto"/>
          <w:spacing w:val="6"/>
          <w:sz w:val="32"/>
          <w:szCs w:val="32"/>
          <w:lang w:val="en-US" w:eastAsia="zh-CN"/>
        </w:rPr>
        <w:t>2</w:t>
      </w:r>
      <w:r>
        <w:rPr>
          <w:rFonts w:hint="eastAsia" w:ascii="仿宋" w:hAnsi="仿宋" w:eastAsia="仿宋_GB2312" w:cs="仿宋"/>
          <w:color w:val="auto"/>
          <w:spacing w:val="6"/>
          <w:sz w:val="32"/>
          <w:szCs w:val="32"/>
          <w:lang w:val="en-US" w:eastAsia="zh-CN"/>
        </w:rPr>
        <w:t>倍。积极组织开展</w:t>
      </w:r>
      <w:r>
        <w:rPr>
          <w:rFonts w:hint="eastAsia" w:ascii="仿宋" w:hAnsi="仿宋" w:eastAsia="仿宋_GB2312" w:cs="仿宋"/>
          <w:color w:val="auto"/>
          <w:spacing w:val="6"/>
          <w:kern w:val="2"/>
          <w:sz w:val="32"/>
          <w:szCs w:val="32"/>
          <w:lang w:val="en-US" w:eastAsia="zh-CN" w:bidi="ar-SA"/>
        </w:rPr>
        <w:t>“法润三湘”</w:t>
      </w:r>
      <w:r>
        <w:rPr>
          <w:rFonts w:hint="eastAsia" w:ascii="仿宋" w:hAnsi="仿宋" w:eastAsia="仿宋_GB2312" w:cs="仿宋"/>
          <w:color w:val="auto"/>
          <w:spacing w:val="6"/>
          <w:sz w:val="32"/>
          <w:szCs w:val="32"/>
          <w:lang w:val="en-US" w:eastAsia="zh-CN"/>
        </w:rPr>
        <w:t>“安心行动”等活动，受理农民工权益案件</w:t>
      </w:r>
      <w:r>
        <w:rPr>
          <w:rFonts w:hint="eastAsia" w:ascii="Times New Roman" w:hAnsi="Times New Roman" w:eastAsia="仿宋_GB2312" w:cs="仿宋"/>
          <w:color w:val="auto"/>
          <w:spacing w:val="6"/>
          <w:sz w:val="32"/>
          <w:szCs w:val="32"/>
          <w:lang w:val="en-US" w:eastAsia="zh-CN"/>
        </w:rPr>
        <w:t>660</w:t>
      </w:r>
      <w:r>
        <w:rPr>
          <w:rFonts w:hint="eastAsia" w:ascii="仿宋" w:hAnsi="仿宋" w:eastAsia="仿宋_GB2312" w:cs="仿宋"/>
          <w:color w:val="auto"/>
          <w:spacing w:val="6"/>
          <w:sz w:val="32"/>
          <w:szCs w:val="32"/>
          <w:lang w:val="en-US" w:eastAsia="zh-CN"/>
        </w:rPr>
        <w:t>余件，有力维护弱势群众合法权益。</w:t>
      </w:r>
    </w:p>
    <w:p w14:paraId="0245B53A">
      <w:pPr>
        <w:keepNext w:val="0"/>
        <w:keepLines w:val="0"/>
        <w:pageBreakBefore w:val="0"/>
        <w:widowControl w:val="0"/>
        <w:shd w:val="clear"/>
        <w:kinsoku/>
        <w:wordWrap/>
        <w:overflowPunct/>
        <w:topLinePunct w:val="0"/>
        <w:autoSpaceDE/>
        <w:autoSpaceDN/>
        <w:bidi w:val="0"/>
        <w:adjustRightInd/>
        <w:snapToGrid/>
        <w:spacing w:line="600" w:lineRule="exact"/>
        <w:ind w:firstLine="643" w:firstLineChars="200"/>
        <w:textAlignment w:val="auto"/>
        <w:rPr>
          <w:rFonts w:hint="eastAsia" w:ascii="仿宋" w:hAnsi="仿宋" w:eastAsia="仿宋_GB2312" w:cs="仿宋"/>
          <w:color w:val="auto"/>
          <w:spacing w:val="0"/>
          <w:sz w:val="32"/>
          <w:szCs w:val="32"/>
          <w:lang w:eastAsia="zh-CN"/>
        </w:rPr>
      </w:pPr>
      <w:r>
        <w:rPr>
          <w:rFonts w:hint="eastAsia" w:ascii="Times New Roman" w:hAnsi="Times New Roman" w:eastAsia="仿宋_GB2312" w:cs="仿宋"/>
          <w:b/>
          <w:bCs/>
          <w:color w:val="auto"/>
          <w:spacing w:val="0"/>
          <w:sz w:val="32"/>
          <w:szCs w:val="32"/>
          <w:lang w:val="en-US" w:eastAsia="zh-CN"/>
        </w:rPr>
        <w:t>5</w:t>
      </w:r>
      <w:r>
        <w:rPr>
          <w:rFonts w:hint="eastAsia" w:ascii="仿宋" w:hAnsi="仿宋" w:eastAsia="仿宋_GB2312" w:cs="仿宋"/>
          <w:b/>
          <w:bCs/>
          <w:color w:val="auto"/>
          <w:spacing w:val="0"/>
          <w:sz w:val="32"/>
          <w:szCs w:val="32"/>
          <w:lang w:val="en-US" w:eastAsia="zh-CN"/>
        </w:rPr>
        <w:t>、锚定专门矫治</w:t>
      </w:r>
      <w:r>
        <w:rPr>
          <w:rFonts w:hint="eastAsia" w:ascii="仿宋" w:hAnsi="仿宋" w:eastAsia="仿宋_GB2312" w:cs="仿宋"/>
          <w:b/>
          <w:bCs/>
          <w:color w:val="auto"/>
          <w:spacing w:val="0"/>
          <w:sz w:val="32"/>
          <w:szCs w:val="32"/>
        </w:rPr>
        <w:t>，</w:t>
      </w:r>
      <w:r>
        <w:rPr>
          <w:rFonts w:hint="eastAsia" w:ascii="仿宋" w:hAnsi="仿宋" w:eastAsia="仿宋_GB2312" w:cs="仿宋"/>
          <w:b/>
          <w:bCs/>
          <w:color w:val="auto"/>
          <w:spacing w:val="0"/>
          <w:sz w:val="32"/>
          <w:szCs w:val="32"/>
          <w:lang w:val="en-US" w:eastAsia="zh-CN"/>
        </w:rPr>
        <w:t>强戒转型发展</w:t>
      </w:r>
      <w:r>
        <w:rPr>
          <w:rFonts w:hint="eastAsia" w:ascii="仿宋" w:hAnsi="仿宋" w:eastAsia="仿宋_GB2312" w:cs="仿宋"/>
          <w:b/>
          <w:bCs/>
          <w:color w:val="auto"/>
          <w:spacing w:val="0"/>
          <w:sz w:val="32"/>
          <w:szCs w:val="32"/>
          <w:lang w:eastAsia="zh-CN"/>
        </w:rPr>
        <w:t>取得突破。</w:t>
      </w:r>
      <w:r>
        <w:rPr>
          <w:rFonts w:hint="eastAsia" w:ascii="仿宋" w:hAnsi="仿宋" w:eastAsia="仿宋_GB2312" w:cs="仿宋"/>
          <w:color w:val="auto"/>
          <w:spacing w:val="0"/>
          <w:sz w:val="32"/>
          <w:szCs w:val="32"/>
        </w:rPr>
        <w:t>针对戒毒场所低位运行与未成年人专门矫治教育资源不足的双重矛盾，探索资源整合、职能转型新路径。市委主要领导主持市委常委会会议专题研究，在保持机构、待遇、职能“三不变”的基础上，确立市专门学校“司法局主管、教育局协管、强戒所代管”的管理体系，明确市司法局和市强戒所增加专门教育矫治职能，市专门学校转隶为市司法局公益一类机构（</w:t>
      </w:r>
      <w:r>
        <w:rPr>
          <w:rFonts w:hint="eastAsia" w:ascii="Times New Roman" w:hAnsi="Times New Roman" w:eastAsia="仿宋_GB2312" w:cs="仿宋"/>
          <w:color w:val="auto"/>
          <w:spacing w:val="0"/>
          <w:sz w:val="32"/>
          <w:szCs w:val="32"/>
        </w:rPr>
        <w:t>32</w:t>
      </w:r>
      <w:r>
        <w:rPr>
          <w:rFonts w:hint="eastAsia" w:ascii="仿宋" w:hAnsi="仿宋" w:eastAsia="仿宋_GB2312" w:cs="仿宋"/>
          <w:color w:val="auto"/>
          <w:spacing w:val="0"/>
          <w:sz w:val="32"/>
          <w:szCs w:val="32"/>
        </w:rPr>
        <w:t>个事业编），并更名为怀化市德润中学。审议出台我市专门教育及专门学校管理办法、严重不良行为未成年人送专门学校矫治教育实施办法、专门矫治教育送矫和解除（延期）评估细则</w:t>
      </w:r>
      <w:r>
        <w:rPr>
          <w:rFonts w:hint="eastAsia" w:ascii="仿宋" w:hAnsi="仿宋" w:eastAsia="仿宋_GB2312" w:cs="仿宋"/>
          <w:color w:val="auto"/>
          <w:spacing w:val="0"/>
          <w:sz w:val="32"/>
          <w:szCs w:val="32"/>
          <w:lang w:eastAsia="zh-CN"/>
        </w:rPr>
        <w:t>、怀化市德润中学安全管理操作规定</w:t>
      </w:r>
      <w:r>
        <w:rPr>
          <w:rFonts w:hint="eastAsia" w:ascii="仿宋" w:hAnsi="仿宋" w:eastAsia="仿宋_GB2312" w:cs="仿宋"/>
          <w:color w:val="auto"/>
          <w:spacing w:val="0"/>
          <w:sz w:val="32"/>
          <w:szCs w:val="32"/>
        </w:rPr>
        <w:t>等制度</w:t>
      </w:r>
      <w:r>
        <w:rPr>
          <w:rFonts w:hint="eastAsia" w:ascii="仿宋" w:hAnsi="仿宋" w:eastAsia="仿宋_GB2312" w:cs="仿宋"/>
          <w:color w:val="auto"/>
          <w:spacing w:val="0"/>
          <w:sz w:val="32"/>
          <w:szCs w:val="32"/>
          <w:lang w:val="en-US" w:eastAsia="zh-CN"/>
        </w:rPr>
        <w:t>机制</w:t>
      </w:r>
      <w:r>
        <w:rPr>
          <w:rFonts w:hint="eastAsia" w:ascii="仿宋" w:hAnsi="仿宋" w:eastAsia="仿宋_GB2312" w:cs="仿宋"/>
          <w:color w:val="auto"/>
          <w:spacing w:val="0"/>
          <w:sz w:val="32"/>
          <w:szCs w:val="32"/>
        </w:rPr>
        <w:t>，强化</w:t>
      </w:r>
      <w:r>
        <w:rPr>
          <w:rFonts w:hint="eastAsia" w:ascii="仿宋" w:hAnsi="仿宋" w:eastAsia="仿宋_GB2312" w:cs="仿宋"/>
          <w:color w:val="auto"/>
          <w:spacing w:val="0"/>
          <w:sz w:val="32"/>
          <w:szCs w:val="32"/>
          <w:lang w:val="en-US" w:eastAsia="zh-CN"/>
        </w:rPr>
        <w:t>公安、教育、司法行政、编办等部门之间以及</w:t>
      </w:r>
      <w:r>
        <w:rPr>
          <w:rFonts w:hint="eastAsia" w:ascii="仿宋" w:hAnsi="仿宋" w:eastAsia="仿宋_GB2312" w:cs="仿宋"/>
          <w:color w:val="auto"/>
          <w:spacing w:val="0"/>
          <w:sz w:val="32"/>
          <w:szCs w:val="32"/>
        </w:rPr>
        <w:t>教师</w:t>
      </w:r>
      <w:r>
        <w:rPr>
          <w:rFonts w:hint="eastAsia" w:ascii="仿宋" w:hAnsi="仿宋" w:eastAsia="仿宋_GB2312" w:cs="仿宋"/>
          <w:color w:val="auto"/>
          <w:spacing w:val="0"/>
          <w:sz w:val="32"/>
          <w:szCs w:val="32"/>
          <w:lang w:eastAsia="zh-CN"/>
        </w:rPr>
        <w:t>、</w:t>
      </w:r>
      <w:r>
        <w:rPr>
          <w:rFonts w:hint="eastAsia" w:ascii="仿宋" w:hAnsi="仿宋" w:eastAsia="仿宋_GB2312" w:cs="仿宋"/>
          <w:color w:val="auto"/>
          <w:spacing w:val="0"/>
          <w:sz w:val="32"/>
          <w:szCs w:val="32"/>
        </w:rPr>
        <w:t>警察之间</w:t>
      </w:r>
      <w:r>
        <w:rPr>
          <w:rFonts w:hint="eastAsia" w:ascii="仿宋" w:hAnsi="仿宋" w:eastAsia="仿宋_GB2312" w:cs="仿宋"/>
          <w:color w:val="auto"/>
          <w:spacing w:val="0"/>
          <w:sz w:val="32"/>
          <w:szCs w:val="32"/>
          <w:lang w:val="en-US" w:eastAsia="zh-CN"/>
        </w:rPr>
        <w:t>的</w:t>
      </w:r>
      <w:r>
        <w:rPr>
          <w:rFonts w:hint="eastAsia" w:ascii="仿宋" w:hAnsi="仿宋" w:eastAsia="仿宋_GB2312" w:cs="仿宋"/>
          <w:color w:val="auto"/>
          <w:spacing w:val="0"/>
          <w:sz w:val="32"/>
          <w:szCs w:val="32"/>
        </w:rPr>
        <w:t>协同配合，构建权责明晰、规范有序的管理框架。</w:t>
      </w:r>
      <w:r>
        <w:rPr>
          <w:rFonts w:hint="eastAsia" w:ascii="仿宋" w:hAnsi="仿宋" w:eastAsia="仿宋_GB2312" w:cs="仿宋"/>
          <w:color w:val="auto"/>
          <w:spacing w:val="0"/>
          <w:sz w:val="32"/>
          <w:szCs w:val="32"/>
          <w:lang w:val="en-US" w:eastAsia="zh-CN"/>
        </w:rPr>
        <w:t>积极推进场所功能改建，完成校园文化、教室改造等工作，形成“五区两基地一中心”功能格局。成立学校党支部委员会，</w:t>
      </w:r>
      <w:r>
        <w:rPr>
          <w:rFonts w:hint="eastAsia" w:ascii="仿宋" w:hAnsi="仿宋" w:eastAsia="仿宋_GB2312" w:cs="仿宋"/>
          <w:color w:val="auto"/>
          <w:spacing w:val="0"/>
          <w:sz w:val="32"/>
          <w:szCs w:val="32"/>
        </w:rPr>
        <w:t>组建学校</w:t>
      </w:r>
      <w:r>
        <w:rPr>
          <w:rFonts w:hint="eastAsia" w:ascii="仿宋" w:hAnsi="仿宋" w:eastAsia="仿宋_GB2312" w:cs="仿宋"/>
          <w:color w:val="auto"/>
          <w:spacing w:val="0"/>
          <w:sz w:val="32"/>
          <w:szCs w:val="32"/>
          <w:lang w:val="en-US" w:eastAsia="zh-CN"/>
        </w:rPr>
        <w:t>教育</w:t>
      </w:r>
      <w:r>
        <w:rPr>
          <w:rFonts w:hint="eastAsia" w:ascii="仿宋" w:hAnsi="仿宋" w:eastAsia="仿宋_GB2312" w:cs="仿宋"/>
          <w:color w:val="auto"/>
          <w:spacing w:val="0"/>
          <w:sz w:val="32"/>
          <w:szCs w:val="32"/>
        </w:rPr>
        <w:t>管理团队，</w:t>
      </w:r>
      <w:r>
        <w:rPr>
          <w:rFonts w:hint="eastAsia" w:ascii="仿宋" w:hAnsi="仿宋" w:eastAsia="仿宋_GB2312" w:cs="仿宋"/>
          <w:color w:val="auto"/>
          <w:spacing w:val="0"/>
          <w:sz w:val="32"/>
          <w:szCs w:val="32"/>
          <w:lang w:val="en-US" w:eastAsia="zh-CN"/>
        </w:rPr>
        <w:t>以选调、支教等形式，配备教师</w:t>
      </w:r>
      <w:r>
        <w:rPr>
          <w:rFonts w:hint="eastAsia" w:ascii="Times New Roman" w:hAnsi="Times New Roman" w:eastAsia="仿宋_GB2312" w:cs="仿宋"/>
          <w:color w:val="auto"/>
          <w:spacing w:val="0"/>
          <w:sz w:val="32"/>
          <w:szCs w:val="32"/>
          <w:lang w:val="en-US" w:eastAsia="zh-CN"/>
        </w:rPr>
        <w:t>15</w:t>
      </w:r>
      <w:r>
        <w:rPr>
          <w:rFonts w:hint="eastAsia" w:ascii="仿宋" w:hAnsi="仿宋" w:eastAsia="仿宋_GB2312" w:cs="仿宋"/>
          <w:color w:val="auto"/>
          <w:spacing w:val="0"/>
          <w:sz w:val="32"/>
          <w:szCs w:val="32"/>
          <w:lang w:val="en-US" w:eastAsia="zh-CN"/>
        </w:rPr>
        <w:t>人、警察</w:t>
      </w:r>
      <w:r>
        <w:rPr>
          <w:rFonts w:hint="eastAsia" w:ascii="Times New Roman" w:hAnsi="Times New Roman" w:eastAsia="仿宋_GB2312" w:cs="仿宋"/>
          <w:color w:val="auto"/>
          <w:spacing w:val="0"/>
          <w:sz w:val="32"/>
          <w:szCs w:val="32"/>
          <w:lang w:val="en-US" w:eastAsia="zh-CN"/>
        </w:rPr>
        <w:t>29</w:t>
      </w:r>
      <w:r>
        <w:rPr>
          <w:rFonts w:hint="eastAsia" w:ascii="仿宋" w:hAnsi="仿宋" w:eastAsia="仿宋_GB2312" w:cs="仿宋"/>
          <w:color w:val="auto"/>
          <w:spacing w:val="0"/>
          <w:sz w:val="32"/>
          <w:szCs w:val="32"/>
          <w:lang w:val="en-US" w:eastAsia="zh-CN"/>
        </w:rPr>
        <w:t>人、辅警</w:t>
      </w:r>
      <w:r>
        <w:rPr>
          <w:rFonts w:hint="eastAsia" w:ascii="Times New Roman" w:hAnsi="Times New Roman" w:eastAsia="仿宋_GB2312" w:cs="仿宋"/>
          <w:color w:val="auto"/>
          <w:spacing w:val="0"/>
          <w:sz w:val="32"/>
          <w:szCs w:val="32"/>
          <w:lang w:val="en-US" w:eastAsia="zh-CN"/>
        </w:rPr>
        <w:t>9</w:t>
      </w:r>
      <w:r>
        <w:rPr>
          <w:rFonts w:hint="eastAsia" w:ascii="仿宋" w:hAnsi="仿宋" w:eastAsia="仿宋_GB2312" w:cs="仿宋"/>
          <w:color w:val="auto"/>
          <w:spacing w:val="0"/>
          <w:sz w:val="32"/>
          <w:szCs w:val="32"/>
          <w:lang w:val="en-US" w:eastAsia="zh-CN"/>
        </w:rPr>
        <w:t>人</w:t>
      </w:r>
      <w:r>
        <w:rPr>
          <w:rFonts w:hint="eastAsia" w:ascii="仿宋" w:hAnsi="仿宋" w:eastAsia="仿宋_GB2312" w:cs="仿宋"/>
          <w:color w:val="auto"/>
          <w:spacing w:val="0"/>
          <w:sz w:val="32"/>
          <w:szCs w:val="32"/>
        </w:rPr>
        <w:t>，初步构建起“法治教育、心理疏导、行为矫治、文化学习、技能培训”五维一体的教育矫治体系。学校</w:t>
      </w:r>
      <w:r>
        <w:rPr>
          <w:rFonts w:hint="eastAsia" w:ascii="仿宋" w:hAnsi="仿宋" w:eastAsia="仿宋_GB2312" w:cs="仿宋"/>
          <w:color w:val="auto"/>
          <w:spacing w:val="0"/>
          <w:sz w:val="32"/>
          <w:szCs w:val="32"/>
          <w:lang w:val="en-US" w:eastAsia="zh-CN"/>
        </w:rPr>
        <w:t>于</w:t>
      </w:r>
      <w:r>
        <w:rPr>
          <w:rFonts w:hint="eastAsia" w:ascii="Times New Roman" w:hAnsi="Times New Roman" w:eastAsia="仿宋_GB2312" w:cs="仿宋"/>
          <w:color w:val="auto"/>
          <w:spacing w:val="0"/>
          <w:sz w:val="32"/>
          <w:szCs w:val="32"/>
          <w:lang w:val="en-US" w:eastAsia="zh-CN"/>
        </w:rPr>
        <w:t>2025</w:t>
      </w:r>
      <w:r>
        <w:rPr>
          <w:rFonts w:hint="eastAsia" w:ascii="仿宋" w:hAnsi="仿宋" w:eastAsia="仿宋_GB2312" w:cs="仿宋"/>
          <w:color w:val="auto"/>
          <w:spacing w:val="0"/>
          <w:sz w:val="32"/>
          <w:szCs w:val="32"/>
          <w:lang w:val="en-US" w:eastAsia="zh-CN"/>
        </w:rPr>
        <w:t>年</w:t>
      </w:r>
      <w:r>
        <w:rPr>
          <w:rFonts w:hint="eastAsia" w:ascii="Times New Roman" w:hAnsi="Times New Roman" w:eastAsia="仿宋_GB2312" w:cs="仿宋"/>
          <w:color w:val="auto"/>
          <w:spacing w:val="0"/>
          <w:sz w:val="32"/>
          <w:szCs w:val="32"/>
          <w:lang w:val="en-US" w:eastAsia="zh-CN"/>
        </w:rPr>
        <w:t>10</w:t>
      </w:r>
      <w:r>
        <w:rPr>
          <w:rFonts w:hint="eastAsia" w:ascii="仿宋" w:hAnsi="仿宋" w:eastAsia="仿宋_GB2312" w:cs="仿宋"/>
          <w:color w:val="auto"/>
          <w:spacing w:val="0"/>
          <w:sz w:val="32"/>
          <w:szCs w:val="32"/>
          <w:lang w:val="en-US" w:eastAsia="zh-CN"/>
        </w:rPr>
        <w:t>月上旬正式</w:t>
      </w:r>
      <w:r>
        <w:rPr>
          <w:rFonts w:hint="eastAsia" w:ascii="仿宋" w:hAnsi="仿宋" w:eastAsia="仿宋_GB2312" w:cs="仿宋"/>
          <w:color w:val="auto"/>
          <w:spacing w:val="0"/>
          <w:sz w:val="32"/>
          <w:szCs w:val="32"/>
        </w:rPr>
        <w:t>开学，</w:t>
      </w:r>
      <w:r>
        <w:rPr>
          <w:rFonts w:hint="eastAsia" w:ascii="仿宋" w:hAnsi="仿宋" w:eastAsia="仿宋_GB2312" w:cs="仿宋"/>
          <w:color w:val="auto"/>
          <w:spacing w:val="0"/>
          <w:sz w:val="32"/>
          <w:szCs w:val="32"/>
          <w:lang w:val="en-US" w:eastAsia="zh-CN"/>
        </w:rPr>
        <w:t>现有</w:t>
      </w:r>
      <w:r>
        <w:rPr>
          <w:rFonts w:hint="eastAsia" w:ascii="仿宋" w:hAnsi="仿宋" w:eastAsia="仿宋_GB2312" w:cs="仿宋"/>
          <w:color w:val="auto"/>
          <w:spacing w:val="0"/>
          <w:sz w:val="32"/>
          <w:szCs w:val="32"/>
        </w:rPr>
        <w:t>在校学生</w:t>
      </w:r>
      <w:r>
        <w:rPr>
          <w:rFonts w:hint="eastAsia" w:ascii="Times New Roman" w:hAnsi="Times New Roman" w:eastAsia="仿宋_GB2312" w:cs="仿宋"/>
          <w:color w:val="auto"/>
          <w:spacing w:val="0"/>
          <w:sz w:val="32"/>
          <w:szCs w:val="32"/>
        </w:rPr>
        <w:t>1</w:t>
      </w:r>
      <w:r>
        <w:rPr>
          <w:rFonts w:hint="eastAsia" w:ascii="Times New Roman" w:hAnsi="Times New Roman" w:eastAsia="仿宋_GB2312" w:cs="仿宋"/>
          <w:color w:val="auto"/>
          <w:spacing w:val="0"/>
          <w:sz w:val="32"/>
          <w:szCs w:val="32"/>
          <w:lang w:val="en-US" w:eastAsia="zh-CN"/>
        </w:rPr>
        <w:t>42</w:t>
      </w:r>
      <w:r>
        <w:rPr>
          <w:rFonts w:hint="eastAsia" w:ascii="仿宋" w:hAnsi="仿宋" w:eastAsia="仿宋_GB2312" w:cs="仿宋"/>
          <w:color w:val="auto"/>
          <w:spacing w:val="0"/>
          <w:sz w:val="32"/>
          <w:szCs w:val="32"/>
        </w:rPr>
        <w:t>人，</w:t>
      </w:r>
      <w:r>
        <w:rPr>
          <w:rFonts w:hint="eastAsia" w:ascii="仿宋" w:hAnsi="仿宋" w:eastAsia="仿宋_GB2312" w:cs="仿宋"/>
          <w:color w:val="auto"/>
          <w:spacing w:val="0"/>
          <w:sz w:val="32"/>
          <w:szCs w:val="32"/>
          <w:lang w:val="en-US" w:eastAsia="zh-CN"/>
        </w:rPr>
        <w:t>其中女生</w:t>
      </w:r>
      <w:r>
        <w:rPr>
          <w:rFonts w:hint="eastAsia" w:ascii="Times New Roman" w:hAnsi="Times New Roman" w:eastAsia="仿宋_GB2312" w:cs="仿宋"/>
          <w:color w:val="auto"/>
          <w:spacing w:val="0"/>
          <w:sz w:val="32"/>
          <w:szCs w:val="32"/>
          <w:lang w:val="en-US" w:eastAsia="zh-CN"/>
        </w:rPr>
        <w:t>31</w:t>
      </w:r>
      <w:r>
        <w:rPr>
          <w:rFonts w:hint="eastAsia" w:ascii="仿宋" w:hAnsi="仿宋" w:eastAsia="仿宋_GB2312" w:cs="仿宋"/>
          <w:color w:val="auto"/>
          <w:spacing w:val="0"/>
          <w:sz w:val="32"/>
          <w:szCs w:val="32"/>
          <w:lang w:val="en-US" w:eastAsia="zh-CN"/>
        </w:rPr>
        <w:t>人，</w:t>
      </w:r>
      <w:r>
        <w:rPr>
          <w:rFonts w:hint="eastAsia" w:ascii="仿宋" w:hAnsi="仿宋" w:eastAsia="仿宋_GB2312" w:cs="仿宋"/>
          <w:color w:val="auto"/>
          <w:spacing w:val="0"/>
          <w:sz w:val="32"/>
          <w:szCs w:val="32"/>
        </w:rPr>
        <w:t>涉及盗窃、卖淫、聚众斗殴等严重不良行为未成年人，取得了初步成效，得到了学生家长、社会各界的一致好评。省戒毒管理局局长李明海来怀调研时评价</w:t>
      </w:r>
      <w:r>
        <w:rPr>
          <w:rFonts w:hint="eastAsia" w:ascii="仿宋" w:hAnsi="仿宋" w:eastAsia="仿宋_GB2312" w:cs="仿宋"/>
          <w:color w:val="auto"/>
          <w:spacing w:val="0"/>
          <w:sz w:val="32"/>
          <w:szCs w:val="32"/>
          <w:lang w:eastAsia="zh-CN"/>
        </w:rPr>
        <w:t>，</w:t>
      </w:r>
      <w:r>
        <w:rPr>
          <w:rFonts w:hint="eastAsia" w:ascii="仿宋" w:hAnsi="仿宋" w:eastAsia="仿宋_GB2312" w:cs="仿宋"/>
          <w:color w:val="auto"/>
          <w:spacing w:val="0"/>
          <w:sz w:val="32"/>
          <w:szCs w:val="32"/>
        </w:rPr>
        <w:t>“怀化市德润中学是他所考察过的专门学校中条件最完备、管理最规范、成效最显著的一所。”</w:t>
      </w:r>
      <w:r>
        <w:rPr>
          <w:rFonts w:hint="eastAsia" w:ascii="仿宋" w:hAnsi="仿宋" w:eastAsia="仿宋_GB2312" w:cs="仿宋"/>
          <w:color w:val="auto"/>
          <w:spacing w:val="0"/>
          <w:sz w:val="32"/>
          <w:szCs w:val="32"/>
          <w:lang w:eastAsia="zh-CN"/>
        </w:rPr>
        <w:t>省委政法委拟将怀化市德润中学建成大湘西片区省级专门矫治教育学校（全省</w:t>
      </w:r>
      <w:r>
        <w:rPr>
          <w:rFonts w:hint="eastAsia" w:ascii="Times New Roman" w:hAnsi="Times New Roman" w:eastAsia="仿宋_GB2312" w:cs="仿宋"/>
          <w:color w:val="auto"/>
          <w:spacing w:val="0"/>
          <w:sz w:val="32"/>
          <w:szCs w:val="32"/>
          <w:lang w:val="en-US" w:eastAsia="zh-CN"/>
        </w:rPr>
        <w:t>3</w:t>
      </w:r>
      <w:r>
        <w:rPr>
          <w:rFonts w:hint="eastAsia" w:ascii="仿宋" w:hAnsi="仿宋" w:eastAsia="仿宋_GB2312" w:cs="仿宋"/>
          <w:color w:val="auto"/>
          <w:spacing w:val="0"/>
          <w:sz w:val="32"/>
          <w:szCs w:val="32"/>
          <w:lang w:val="en-US" w:eastAsia="zh-CN"/>
        </w:rPr>
        <w:t>所之一</w:t>
      </w:r>
      <w:r>
        <w:rPr>
          <w:rFonts w:hint="eastAsia" w:ascii="仿宋" w:hAnsi="仿宋" w:eastAsia="仿宋_GB2312" w:cs="仿宋"/>
          <w:color w:val="auto"/>
          <w:spacing w:val="0"/>
          <w:sz w:val="32"/>
          <w:szCs w:val="32"/>
          <w:lang w:eastAsia="zh-CN"/>
        </w:rPr>
        <w:t>）。</w:t>
      </w:r>
    </w:p>
    <w:p w14:paraId="59F1526D">
      <w:pPr>
        <w:keepNext w:val="0"/>
        <w:keepLines w:val="0"/>
        <w:pageBreakBefore w:val="0"/>
        <w:widowControl w:val="0"/>
        <w:shd w:val="clear"/>
        <w:kinsoku/>
        <w:wordWrap/>
        <w:overflowPunct/>
        <w:topLinePunct w:val="0"/>
        <w:autoSpaceDE/>
        <w:autoSpaceDN/>
        <w:bidi w:val="0"/>
        <w:adjustRightInd/>
        <w:snapToGrid/>
        <w:spacing w:line="600" w:lineRule="exact"/>
        <w:ind w:firstLine="643" w:firstLineChars="200"/>
        <w:textAlignment w:val="auto"/>
        <w:rPr>
          <w:rFonts w:hint="eastAsia" w:ascii="仿宋" w:hAnsi="仿宋" w:eastAsia="仿宋_GB2312" w:cs="仿宋"/>
          <w:b/>
          <w:bCs/>
          <w:color w:val="auto"/>
          <w:spacing w:val="0"/>
          <w:sz w:val="32"/>
          <w:szCs w:val="32"/>
          <w:lang w:val="en-US" w:eastAsia="zh-CN"/>
        </w:rPr>
      </w:pPr>
      <w:r>
        <w:rPr>
          <w:rFonts w:hint="eastAsia" w:ascii="Times New Roman" w:hAnsi="Times New Roman" w:eastAsia="仿宋_GB2312" w:cs="仿宋"/>
          <w:b/>
          <w:bCs/>
          <w:color w:val="auto"/>
          <w:spacing w:val="0"/>
          <w:sz w:val="32"/>
          <w:szCs w:val="32"/>
          <w:lang w:val="en-US" w:eastAsia="zh-CN"/>
        </w:rPr>
        <w:t>6</w:t>
      </w:r>
      <w:r>
        <w:rPr>
          <w:rFonts w:hint="eastAsia" w:ascii="仿宋" w:hAnsi="仿宋" w:eastAsia="仿宋_GB2312" w:cs="仿宋"/>
          <w:b/>
          <w:bCs/>
          <w:color w:val="auto"/>
          <w:spacing w:val="0"/>
          <w:sz w:val="32"/>
          <w:szCs w:val="32"/>
          <w:lang w:val="en-US" w:eastAsia="zh-CN"/>
        </w:rPr>
        <w:t>、坚持</w:t>
      </w:r>
      <w:r>
        <w:rPr>
          <w:rFonts w:hint="eastAsia" w:ascii="仿宋" w:hAnsi="仿宋" w:eastAsia="仿宋_GB2312" w:cs="仿宋"/>
          <w:b/>
          <w:bCs/>
          <w:color w:val="auto"/>
          <w:spacing w:val="0"/>
          <w:sz w:val="32"/>
          <w:szCs w:val="32"/>
          <w:lang w:eastAsia="zh-CN"/>
        </w:rPr>
        <w:t>多元共治，平安怀化底线得以守牢。</w:t>
      </w:r>
      <w:r>
        <w:rPr>
          <w:rFonts w:hint="eastAsia" w:ascii="仿宋" w:hAnsi="仿宋" w:eastAsia="仿宋_GB2312" w:cs="仿宋"/>
          <w:color w:val="auto"/>
          <w:spacing w:val="0"/>
          <w:kern w:val="2"/>
          <w:sz w:val="32"/>
          <w:szCs w:val="32"/>
          <w:lang w:val="en-US" w:eastAsia="zh-CN" w:bidi="ar-SA"/>
        </w:rPr>
        <w:t>坚持和发展新时代“枫桥经验”，树立调解优先理念，以司法所为主阵地、人民调解为第一道防线，通过“三源共治”提升行动与县乡综治中心规范化建设双轮驱动，构建跨部门协调会商机制，整合法院、司法行政、综治、信访等多方力量，形成矛盾纠纷源头防范、多元化解的协同治理格局。建成市县乡三级调解员专家库（调解专家达</w:t>
      </w:r>
      <w:r>
        <w:rPr>
          <w:rFonts w:hint="eastAsia" w:ascii="Times New Roman" w:hAnsi="Times New Roman" w:eastAsia="仿宋_GB2312" w:cs="仿宋"/>
          <w:color w:val="auto"/>
          <w:spacing w:val="0"/>
          <w:kern w:val="2"/>
          <w:sz w:val="32"/>
          <w:szCs w:val="32"/>
          <w:lang w:val="en-US" w:eastAsia="zh-CN" w:bidi="ar-SA"/>
        </w:rPr>
        <w:t>1806</w:t>
      </w:r>
      <w:r>
        <w:rPr>
          <w:rFonts w:hint="eastAsia" w:ascii="仿宋" w:hAnsi="仿宋" w:eastAsia="仿宋_GB2312" w:cs="仿宋"/>
          <w:color w:val="auto"/>
          <w:spacing w:val="0"/>
          <w:kern w:val="2"/>
          <w:sz w:val="32"/>
          <w:szCs w:val="32"/>
          <w:lang w:val="en-US" w:eastAsia="zh-CN" w:bidi="ar-SA"/>
        </w:rPr>
        <w:t>人），并推动成立怀化和谐民商事调解组织、怀化市金融调解中心、怀化市知识产权纠纷调委会、洪江市</w:t>
      </w:r>
      <w:r>
        <w:rPr>
          <w:rFonts w:hint="eastAsia" w:ascii="仿宋" w:hAnsi="仿宋" w:eastAsia="仿宋_GB2312" w:cs="仿宋"/>
          <w:b w:val="0"/>
          <w:i w:val="0"/>
          <w:caps w:val="0"/>
          <w:smallCaps w:val="0"/>
          <w:color w:val="auto"/>
          <w:spacing w:val="0"/>
          <w:kern w:val="0"/>
          <w:sz w:val="32"/>
          <w:szCs w:val="32"/>
          <w:highlight w:val="none"/>
          <w:lang w:val="en-US" w:eastAsia="zh-CN" w:bidi="ar-SA"/>
        </w:rPr>
        <w:t>涉企矛盾纠纷调委会</w:t>
      </w:r>
      <w:r>
        <w:rPr>
          <w:rFonts w:hint="eastAsia" w:ascii="仿宋" w:hAnsi="仿宋" w:eastAsia="仿宋_GB2312" w:cs="仿宋"/>
          <w:color w:val="auto"/>
          <w:spacing w:val="0"/>
          <w:kern w:val="2"/>
          <w:sz w:val="32"/>
          <w:szCs w:val="32"/>
          <w:lang w:val="en-US" w:eastAsia="zh-CN" w:bidi="ar-SA"/>
        </w:rPr>
        <w:t>等行业专业调解机构，为纠纷化解提供专业支撑。完善行政争议实质性化解机制，在靖州等县建立行政争议实质性化解中心，推动鹤城区区长郑明明等主要负责人主动参与行政争议化解工作，通过提前介入、联合研判，以诉前调解等方式，成功化解一批涉及拆迁补偿等涉群体性纠纷案件，近九成行政争议化解在复议程序中，群众满意度达</w:t>
      </w:r>
      <w:r>
        <w:rPr>
          <w:rFonts w:hint="eastAsia" w:ascii="Times New Roman" w:hAnsi="Times New Roman" w:eastAsia="仿宋_GB2312" w:cs="仿宋"/>
          <w:color w:val="auto"/>
          <w:spacing w:val="0"/>
          <w:kern w:val="2"/>
          <w:sz w:val="32"/>
          <w:szCs w:val="32"/>
          <w:lang w:val="en-US" w:eastAsia="zh-CN" w:bidi="ar-SA"/>
        </w:rPr>
        <w:t>98%</w:t>
      </w:r>
      <w:r>
        <w:rPr>
          <w:rFonts w:hint="eastAsia" w:ascii="仿宋" w:hAnsi="仿宋" w:eastAsia="仿宋_GB2312" w:cs="仿宋"/>
          <w:color w:val="auto"/>
          <w:spacing w:val="0"/>
          <w:kern w:val="2"/>
          <w:sz w:val="32"/>
          <w:szCs w:val="32"/>
          <w:lang w:val="en-US" w:eastAsia="zh-CN" w:bidi="ar-SA"/>
        </w:rPr>
        <w:t>。运用“五溪解纷”微信小程序，开通“在线申请、进度查询、结果反馈”全流程功能，累计受理线上纠纷申请</w:t>
      </w:r>
      <w:r>
        <w:rPr>
          <w:rFonts w:hint="eastAsia" w:ascii="Times New Roman" w:hAnsi="Times New Roman" w:eastAsia="仿宋_GB2312" w:cs="仿宋"/>
          <w:color w:val="auto"/>
          <w:spacing w:val="0"/>
          <w:kern w:val="2"/>
          <w:sz w:val="32"/>
          <w:szCs w:val="32"/>
          <w:lang w:val="en-US" w:eastAsia="zh-CN" w:bidi="ar-SA"/>
        </w:rPr>
        <w:t>1200</w:t>
      </w:r>
      <w:r>
        <w:rPr>
          <w:rFonts w:hint="eastAsia" w:ascii="仿宋" w:hAnsi="仿宋" w:eastAsia="仿宋_GB2312" w:cs="仿宋"/>
          <w:color w:val="auto"/>
          <w:spacing w:val="0"/>
          <w:kern w:val="2"/>
          <w:sz w:val="32"/>
          <w:szCs w:val="32"/>
          <w:lang w:val="en-US" w:eastAsia="zh-CN" w:bidi="ar-SA"/>
        </w:rPr>
        <w:t>余件，大幅提升调解效率。建立“有奖举报”机制，明确举报范围、简化流程并及时兑现奖励，充分调动群众参与矛盾排查的积极性。持续推进“化解矛盾风险 维护社会稳定”专项治理，紧盯重点领域、关键节点开展矛盾纠纷排查化解，做好旅发大会、龙舟赛、“湘超”“村</w:t>
      </w:r>
      <w:r>
        <w:rPr>
          <w:rFonts w:hint="eastAsia" w:ascii="Times New Roman" w:hAnsi="Times New Roman" w:eastAsia="仿宋_GB2312" w:cs="仿宋"/>
          <w:color w:val="auto"/>
          <w:spacing w:val="0"/>
          <w:kern w:val="2"/>
          <w:sz w:val="32"/>
          <w:szCs w:val="32"/>
          <w:lang w:val="en-US" w:eastAsia="zh-CN" w:bidi="ar-SA"/>
        </w:rPr>
        <w:t>BA</w:t>
      </w:r>
      <w:r>
        <w:rPr>
          <w:rFonts w:hint="eastAsia" w:ascii="仿宋" w:hAnsi="仿宋" w:eastAsia="仿宋_GB2312" w:cs="仿宋"/>
          <w:color w:val="auto"/>
          <w:spacing w:val="0"/>
          <w:kern w:val="2"/>
          <w:sz w:val="32"/>
          <w:szCs w:val="32"/>
          <w:lang w:val="en-US" w:eastAsia="zh-CN" w:bidi="ar-SA"/>
        </w:rPr>
        <w:t>”等重大活动社会维稳工作。年内，全市各级人民调解组织摸排矛盾纠纷</w:t>
      </w:r>
      <w:r>
        <w:rPr>
          <w:rFonts w:hint="eastAsia" w:ascii="Times New Roman" w:hAnsi="Times New Roman" w:eastAsia="仿宋_GB2312" w:cs="仿宋"/>
          <w:color w:val="auto"/>
          <w:spacing w:val="0"/>
          <w:kern w:val="2"/>
          <w:sz w:val="32"/>
          <w:szCs w:val="32"/>
          <w:lang w:val="en-US" w:eastAsia="zh-CN" w:bidi="ar-SA"/>
        </w:rPr>
        <w:t>11</w:t>
      </w:r>
      <w:r>
        <w:rPr>
          <w:rFonts w:hint="eastAsia" w:ascii="仿宋" w:hAnsi="仿宋" w:eastAsia="仿宋_GB2312" w:cs="仿宋"/>
          <w:color w:val="auto"/>
          <w:spacing w:val="0"/>
          <w:kern w:val="2"/>
          <w:sz w:val="32"/>
          <w:szCs w:val="32"/>
          <w:lang w:val="en-US" w:eastAsia="zh-CN" w:bidi="ar-SA"/>
        </w:rPr>
        <w:t>.</w:t>
      </w:r>
      <w:r>
        <w:rPr>
          <w:rFonts w:hint="eastAsia" w:ascii="Times New Roman" w:hAnsi="Times New Roman" w:eastAsia="仿宋_GB2312" w:cs="仿宋"/>
          <w:color w:val="auto"/>
          <w:spacing w:val="0"/>
          <w:kern w:val="2"/>
          <w:sz w:val="32"/>
          <w:szCs w:val="32"/>
          <w:lang w:val="en-US" w:eastAsia="zh-CN" w:bidi="ar-SA"/>
        </w:rPr>
        <w:t>9</w:t>
      </w:r>
      <w:r>
        <w:rPr>
          <w:rFonts w:hint="eastAsia" w:ascii="仿宋" w:hAnsi="仿宋" w:eastAsia="仿宋_GB2312" w:cs="仿宋"/>
          <w:color w:val="auto"/>
          <w:spacing w:val="0"/>
          <w:kern w:val="2"/>
          <w:sz w:val="32"/>
          <w:szCs w:val="32"/>
          <w:lang w:val="en-US" w:eastAsia="zh-CN" w:bidi="ar-SA"/>
        </w:rPr>
        <w:t>万余起，调解各类矛盾纠纷</w:t>
      </w:r>
      <w:r>
        <w:rPr>
          <w:rFonts w:hint="eastAsia" w:ascii="Times New Roman" w:hAnsi="Times New Roman" w:eastAsia="仿宋_GB2312" w:cs="仿宋"/>
          <w:color w:val="auto"/>
          <w:spacing w:val="0"/>
          <w:kern w:val="2"/>
          <w:sz w:val="32"/>
          <w:szCs w:val="32"/>
          <w:lang w:val="en-US" w:eastAsia="zh-CN" w:bidi="ar-SA"/>
        </w:rPr>
        <w:t>2</w:t>
      </w:r>
      <w:r>
        <w:rPr>
          <w:rFonts w:hint="eastAsia" w:ascii="仿宋" w:hAnsi="仿宋" w:eastAsia="仿宋_GB2312" w:cs="仿宋"/>
          <w:color w:val="auto"/>
          <w:spacing w:val="0"/>
          <w:kern w:val="2"/>
          <w:sz w:val="32"/>
          <w:szCs w:val="32"/>
          <w:lang w:val="en-US" w:eastAsia="zh-CN" w:bidi="ar-SA"/>
        </w:rPr>
        <w:t>.</w:t>
      </w:r>
      <w:r>
        <w:rPr>
          <w:rFonts w:hint="eastAsia" w:ascii="Times New Roman" w:hAnsi="Times New Roman" w:eastAsia="仿宋_GB2312" w:cs="仿宋"/>
          <w:color w:val="auto"/>
          <w:spacing w:val="0"/>
          <w:kern w:val="2"/>
          <w:sz w:val="32"/>
          <w:szCs w:val="32"/>
          <w:lang w:val="en-US" w:eastAsia="zh-CN" w:bidi="ar-SA"/>
        </w:rPr>
        <w:t>3</w:t>
      </w:r>
      <w:r>
        <w:rPr>
          <w:rFonts w:hint="eastAsia" w:ascii="仿宋" w:hAnsi="仿宋" w:eastAsia="仿宋_GB2312" w:cs="仿宋"/>
          <w:color w:val="auto"/>
          <w:spacing w:val="0"/>
          <w:kern w:val="2"/>
          <w:sz w:val="32"/>
          <w:szCs w:val="32"/>
          <w:lang w:val="en-US" w:eastAsia="zh-CN" w:bidi="ar-SA"/>
        </w:rPr>
        <w:t>万余件，纠纷化解总量位居全省前列，其中婚姻家庭、邻里关系、劳动争议、征地拆迁等重点领域纠纷占比超</w:t>
      </w:r>
      <w:r>
        <w:rPr>
          <w:rFonts w:hint="eastAsia" w:ascii="Times New Roman" w:hAnsi="Times New Roman" w:eastAsia="仿宋_GB2312" w:cs="仿宋"/>
          <w:color w:val="auto"/>
          <w:spacing w:val="0"/>
          <w:kern w:val="2"/>
          <w:sz w:val="32"/>
          <w:szCs w:val="32"/>
          <w:lang w:val="en-US" w:eastAsia="zh-CN" w:bidi="ar-SA"/>
        </w:rPr>
        <w:t>50%</w:t>
      </w:r>
      <w:r>
        <w:rPr>
          <w:rFonts w:hint="eastAsia" w:ascii="仿宋" w:hAnsi="仿宋" w:eastAsia="仿宋_GB2312" w:cs="仿宋"/>
          <w:color w:val="auto"/>
          <w:spacing w:val="0"/>
          <w:kern w:val="2"/>
          <w:sz w:val="32"/>
          <w:szCs w:val="32"/>
          <w:lang w:val="en-US" w:eastAsia="zh-CN" w:bidi="ar-SA"/>
        </w:rPr>
        <w:t>，信访调解率达</w:t>
      </w:r>
      <w:r>
        <w:rPr>
          <w:rFonts w:hint="eastAsia" w:ascii="Times New Roman" w:hAnsi="Times New Roman" w:eastAsia="仿宋_GB2312" w:cs="仿宋"/>
          <w:color w:val="auto"/>
          <w:spacing w:val="0"/>
          <w:kern w:val="2"/>
          <w:sz w:val="32"/>
          <w:szCs w:val="32"/>
          <w:lang w:val="en-US" w:eastAsia="zh-CN" w:bidi="ar-SA"/>
        </w:rPr>
        <w:t>37</w:t>
      </w:r>
      <w:r>
        <w:rPr>
          <w:rFonts w:hint="eastAsia" w:ascii="仿宋" w:hAnsi="仿宋" w:eastAsia="仿宋_GB2312" w:cs="仿宋"/>
          <w:color w:val="auto"/>
          <w:spacing w:val="0"/>
          <w:kern w:val="2"/>
          <w:sz w:val="32"/>
          <w:szCs w:val="32"/>
          <w:lang w:val="en-US" w:eastAsia="zh-CN" w:bidi="ar-SA"/>
        </w:rPr>
        <w:t>.</w:t>
      </w:r>
      <w:r>
        <w:rPr>
          <w:rFonts w:hint="eastAsia" w:ascii="Times New Roman" w:hAnsi="Times New Roman" w:eastAsia="仿宋_GB2312" w:cs="仿宋"/>
          <w:color w:val="auto"/>
          <w:spacing w:val="0"/>
          <w:kern w:val="2"/>
          <w:sz w:val="32"/>
          <w:szCs w:val="32"/>
          <w:lang w:val="en-US" w:eastAsia="zh-CN" w:bidi="ar-SA"/>
        </w:rPr>
        <w:t>4%</w:t>
      </w:r>
      <w:r>
        <w:rPr>
          <w:rFonts w:hint="eastAsia" w:ascii="仿宋" w:hAnsi="仿宋" w:eastAsia="仿宋_GB2312" w:cs="仿宋"/>
          <w:color w:val="auto"/>
          <w:spacing w:val="0"/>
          <w:kern w:val="2"/>
          <w:sz w:val="32"/>
          <w:szCs w:val="32"/>
          <w:lang w:val="en-US" w:eastAsia="zh-CN" w:bidi="ar-SA"/>
        </w:rPr>
        <w:t>，居全省前列；全市刑事案件立案数、治安案件受理数、来市上访数分别同比下降</w:t>
      </w:r>
      <w:r>
        <w:rPr>
          <w:rFonts w:hint="eastAsia" w:ascii="Times New Roman" w:hAnsi="Times New Roman" w:eastAsia="仿宋_GB2312" w:cs="仿宋"/>
          <w:color w:val="auto"/>
          <w:spacing w:val="0"/>
          <w:kern w:val="2"/>
          <w:sz w:val="32"/>
          <w:szCs w:val="32"/>
          <w:lang w:val="en-US" w:eastAsia="zh-CN" w:bidi="ar-SA"/>
        </w:rPr>
        <w:t>21</w:t>
      </w:r>
      <w:r>
        <w:rPr>
          <w:rFonts w:hint="eastAsia" w:ascii="仿宋" w:hAnsi="仿宋" w:eastAsia="仿宋_GB2312" w:cs="仿宋"/>
          <w:color w:val="auto"/>
          <w:spacing w:val="0"/>
          <w:kern w:val="2"/>
          <w:sz w:val="32"/>
          <w:szCs w:val="32"/>
          <w:lang w:val="en-US" w:eastAsia="zh-CN" w:bidi="ar-SA"/>
        </w:rPr>
        <w:t>.</w:t>
      </w:r>
      <w:r>
        <w:rPr>
          <w:rFonts w:hint="eastAsia" w:ascii="Times New Roman" w:hAnsi="Times New Roman" w:eastAsia="仿宋_GB2312" w:cs="仿宋"/>
          <w:color w:val="auto"/>
          <w:spacing w:val="0"/>
          <w:kern w:val="2"/>
          <w:sz w:val="32"/>
          <w:szCs w:val="32"/>
          <w:lang w:val="en-US" w:eastAsia="zh-CN" w:bidi="ar-SA"/>
        </w:rPr>
        <w:t>9%</w:t>
      </w:r>
      <w:r>
        <w:rPr>
          <w:rFonts w:hint="eastAsia" w:ascii="仿宋" w:hAnsi="仿宋" w:eastAsia="仿宋_GB2312" w:cs="仿宋"/>
          <w:color w:val="auto"/>
          <w:spacing w:val="0"/>
          <w:kern w:val="2"/>
          <w:sz w:val="32"/>
          <w:szCs w:val="32"/>
          <w:lang w:val="en-US" w:eastAsia="zh-CN" w:bidi="ar-SA"/>
        </w:rPr>
        <w:t>、</w:t>
      </w:r>
      <w:r>
        <w:rPr>
          <w:rFonts w:hint="eastAsia" w:ascii="Times New Roman" w:hAnsi="Times New Roman" w:eastAsia="仿宋_GB2312" w:cs="仿宋"/>
          <w:color w:val="auto"/>
          <w:spacing w:val="0"/>
          <w:kern w:val="2"/>
          <w:sz w:val="32"/>
          <w:szCs w:val="32"/>
          <w:lang w:val="en-US" w:eastAsia="zh-CN" w:bidi="ar-SA"/>
        </w:rPr>
        <w:t>10%</w:t>
      </w:r>
      <w:r>
        <w:rPr>
          <w:rFonts w:hint="eastAsia" w:ascii="仿宋" w:hAnsi="仿宋" w:eastAsia="仿宋_GB2312" w:cs="仿宋"/>
          <w:color w:val="auto"/>
          <w:spacing w:val="0"/>
          <w:kern w:val="2"/>
          <w:sz w:val="32"/>
          <w:szCs w:val="32"/>
          <w:lang w:val="en-US" w:eastAsia="zh-CN" w:bidi="ar-SA"/>
        </w:rPr>
        <w:t>、</w:t>
      </w:r>
      <w:r>
        <w:rPr>
          <w:rFonts w:hint="eastAsia" w:ascii="Times New Roman" w:hAnsi="Times New Roman" w:eastAsia="仿宋_GB2312" w:cs="仿宋"/>
          <w:color w:val="auto"/>
          <w:spacing w:val="0"/>
          <w:kern w:val="2"/>
          <w:sz w:val="32"/>
          <w:szCs w:val="32"/>
          <w:lang w:val="en-US" w:eastAsia="zh-CN" w:bidi="ar-SA"/>
        </w:rPr>
        <w:t>10</w:t>
      </w:r>
      <w:r>
        <w:rPr>
          <w:rFonts w:hint="eastAsia" w:ascii="仿宋" w:hAnsi="仿宋" w:eastAsia="仿宋_GB2312" w:cs="仿宋"/>
          <w:color w:val="auto"/>
          <w:spacing w:val="0"/>
          <w:kern w:val="2"/>
          <w:sz w:val="32"/>
          <w:szCs w:val="32"/>
          <w:lang w:val="en-US" w:eastAsia="zh-CN" w:bidi="ar-SA"/>
        </w:rPr>
        <w:t>.</w:t>
      </w:r>
      <w:r>
        <w:rPr>
          <w:rFonts w:hint="eastAsia" w:ascii="Times New Roman" w:hAnsi="Times New Roman" w:eastAsia="仿宋_GB2312" w:cs="仿宋"/>
          <w:color w:val="auto"/>
          <w:spacing w:val="0"/>
          <w:kern w:val="2"/>
          <w:sz w:val="32"/>
          <w:szCs w:val="32"/>
          <w:lang w:val="en-US" w:eastAsia="zh-CN" w:bidi="ar-SA"/>
        </w:rPr>
        <w:t>9%</w:t>
      </w:r>
      <w:r>
        <w:rPr>
          <w:rFonts w:hint="eastAsia" w:ascii="仿宋" w:hAnsi="仿宋" w:eastAsia="仿宋_GB2312" w:cs="仿宋"/>
          <w:color w:val="auto"/>
          <w:spacing w:val="0"/>
          <w:kern w:val="2"/>
          <w:sz w:val="32"/>
          <w:szCs w:val="32"/>
          <w:lang w:val="en-US" w:eastAsia="zh-CN" w:bidi="ar-SA"/>
        </w:rPr>
        <w:t>。在全省婚调比武中，怀化两人获奖，人数居全省首位（全省仅</w:t>
      </w:r>
      <w:r>
        <w:rPr>
          <w:rFonts w:hint="eastAsia" w:ascii="Times New Roman" w:hAnsi="Times New Roman" w:eastAsia="仿宋_GB2312" w:cs="仿宋"/>
          <w:color w:val="auto"/>
          <w:spacing w:val="0"/>
          <w:kern w:val="2"/>
          <w:sz w:val="32"/>
          <w:szCs w:val="32"/>
          <w:lang w:val="en-US" w:eastAsia="zh-CN" w:bidi="ar-SA"/>
        </w:rPr>
        <w:t>10</w:t>
      </w:r>
      <w:r>
        <w:rPr>
          <w:rFonts w:hint="eastAsia" w:ascii="仿宋" w:hAnsi="仿宋" w:eastAsia="仿宋_GB2312" w:cs="仿宋"/>
          <w:color w:val="auto"/>
          <w:spacing w:val="0"/>
          <w:kern w:val="2"/>
          <w:sz w:val="32"/>
          <w:szCs w:val="32"/>
          <w:lang w:val="en-US" w:eastAsia="zh-CN" w:bidi="ar-SA"/>
        </w:rPr>
        <w:t>个名额），市妇联、市司法局获优秀组织奖。“全国模范人民调解员”沅陵县曾祥伟的先进事迹在法治日报头版刊发推介。</w:t>
      </w:r>
    </w:p>
    <w:p w14:paraId="6F1C252B">
      <w:pPr>
        <w:keepNext w:val="0"/>
        <w:keepLines w:val="0"/>
        <w:pageBreakBefore w:val="0"/>
        <w:widowControl w:val="0"/>
        <w:shd w:val="clear"/>
        <w:kinsoku/>
        <w:wordWrap/>
        <w:overflowPunct/>
        <w:topLinePunct w:val="0"/>
        <w:autoSpaceDE/>
        <w:autoSpaceDN/>
        <w:bidi w:val="0"/>
        <w:adjustRightInd/>
        <w:snapToGrid/>
        <w:spacing w:line="600" w:lineRule="exact"/>
        <w:ind w:firstLine="643" w:firstLineChars="200"/>
        <w:textAlignment w:val="auto"/>
        <w:rPr>
          <w:rFonts w:hint="eastAsia" w:ascii="仿宋" w:hAnsi="仿宋" w:eastAsia="仿宋_GB2312" w:cs="仿宋"/>
          <w:color w:val="auto"/>
          <w:spacing w:val="0"/>
          <w:sz w:val="32"/>
          <w:szCs w:val="32"/>
          <w:lang w:val="en-US" w:eastAsia="zh-CN"/>
        </w:rPr>
      </w:pPr>
      <w:r>
        <w:rPr>
          <w:rFonts w:hint="eastAsia" w:ascii="Times New Roman" w:hAnsi="Times New Roman" w:eastAsia="仿宋_GB2312" w:cs="仿宋"/>
          <w:b/>
          <w:bCs/>
          <w:color w:val="auto"/>
          <w:spacing w:val="0"/>
          <w:sz w:val="32"/>
          <w:szCs w:val="32"/>
          <w:lang w:val="en-US" w:eastAsia="zh-CN"/>
        </w:rPr>
        <w:t>7</w:t>
      </w:r>
      <w:r>
        <w:rPr>
          <w:rFonts w:hint="eastAsia" w:ascii="仿宋" w:hAnsi="仿宋" w:eastAsia="仿宋_GB2312" w:cs="仿宋"/>
          <w:b/>
          <w:bCs/>
          <w:color w:val="auto"/>
          <w:spacing w:val="0"/>
          <w:sz w:val="32"/>
          <w:szCs w:val="32"/>
          <w:lang w:val="en-US" w:eastAsia="zh-CN"/>
        </w:rPr>
        <w:t>、强化系统思维，“五项工作”扎实有效推进。</w:t>
      </w:r>
      <w:r>
        <w:rPr>
          <w:rFonts w:hint="eastAsia" w:ascii="仿宋" w:hAnsi="仿宋" w:eastAsia="仿宋_GB2312" w:cs="仿宋"/>
          <w:color w:val="auto"/>
          <w:spacing w:val="0"/>
          <w:sz w:val="32"/>
          <w:szCs w:val="32"/>
        </w:rPr>
        <w:t>持续深化探索实践</w:t>
      </w:r>
      <w:r>
        <w:rPr>
          <w:rFonts w:hint="eastAsia" w:ascii="仿宋" w:hAnsi="仿宋" w:eastAsia="仿宋_GB2312" w:cs="仿宋"/>
          <w:color w:val="auto"/>
          <w:spacing w:val="0"/>
          <w:sz w:val="32"/>
          <w:szCs w:val="32"/>
          <w:lang w:val="en-US" w:eastAsia="zh-CN"/>
        </w:rPr>
        <w:t>社矫安帮</w:t>
      </w:r>
      <w:r>
        <w:rPr>
          <w:rFonts w:hint="eastAsia" w:ascii="仿宋" w:hAnsi="仿宋" w:eastAsia="仿宋_GB2312" w:cs="仿宋"/>
          <w:color w:val="auto"/>
          <w:spacing w:val="0"/>
          <w:sz w:val="32"/>
          <w:szCs w:val="32"/>
          <w:lang w:eastAsia="zh-CN"/>
        </w:rPr>
        <w:t>“</w:t>
      </w:r>
      <w:r>
        <w:rPr>
          <w:rFonts w:hint="eastAsia" w:ascii="仿宋" w:hAnsi="仿宋" w:eastAsia="仿宋_GB2312" w:cs="仿宋"/>
          <w:color w:val="auto"/>
          <w:spacing w:val="0"/>
          <w:sz w:val="32"/>
          <w:szCs w:val="32"/>
          <w:lang w:val="en-US" w:eastAsia="zh-CN"/>
        </w:rPr>
        <w:t>麻阳经验</w:t>
      </w:r>
      <w:r>
        <w:rPr>
          <w:rFonts w:hint="eastAsia" w:ascii="仿宋" w:hAnsi="仿宋" w:eastAsia="仿宋_GB2312" w:cs="仿宋"/>
          <w:color w:val="auto"/>
          <w:spacing w:val="0"/>
          <w:sz w:val="32"/>
          <w:szCs w:val="32"/>
          <w:lang w:eastAsia="zh-CN"/>
        </w:rPr>
        <w:t>”</w:t>
      </w:r>
      <w:r>
        <w:rPr>
          <w:rFonts w:hint="eastAsia" w:ascii="仿宋" w:hAnsi="仿宋" w:eastAsia="仿宋_GB2312" w:cs="仿宋"/>
          <w:color w:val="auto"/>
          <w:spacing w:val="0"/>
          <w:sz w:val="32"/>
          <w:szCs w:val="32"/>
        </w:rPr>
        <w:t>，统筹推进教育改造、社区矫正、安置帮教、纠纷化解、法治宣传“五项工作”，推动该经验在全市范围内全面推广、落地见效。为进一步健全工作体系，市司法局牵头建立“监狱+司法局+乡镇+社区”四级联动机制，与怀化监狱召开联席会、签订协作协议，明确假释执行通知、刑满释放人员“必接必送”等流程；推广麻阳县“安置基地+就业帮扶”模式，</w:t>
      </w:r>
      <w:r>
        <w:rPr>
          <w:rFonts w:hint="eastAsia" w:ascii="Times New Roman" w:hAnsi="Times New Roman" w:eastAsia="仿宋_GB2312" w:cs="仿宋"/>
          <w:color w:val="auto"/>
          <w:spacing w:val="0"/>
          <w:sz w:val="32"/>
          <w:szCs w:val="32"/>
        </w:rPr>
        <w:t>15</w:t>
      </w:r>
      <w:r>
        <w:rPr>
          <w:rFonts w:hint="eastAsia" w:ascii="仿宋" w:hAnsi="仿宋" w:eastAsia="仿宋_GB2312" w:cs="仿宋"/>
          <w:color w:val="auto"/>
          <w:spacing w:val="0"/>
          <w:sz w:val="32"/>
          <w:szCs w:val="32"/>
        </w:rPr>
        <w:t>个安置基地</w:t>
      </w:r>
      <w:r>
        <w:rPr>
          <w:rFonts w:hint="eastAsia" w:ascii="仿宋" w:hAnsi="仿宋" w:eastAsia="仿宋_GB2312" w:cs="仿宋"/>
          <w:color w:val="auto"/>
          <w:spacing w:val="0"/>
          <w:sz w:val="32"/>
          <w:szCs w:val="32"/>
          <w:lang w:eastAsia="zh-CN"/>
        </w:rPr>
        <w:t>规范运转</w:t>
      </w:r>
      <w:r>
        <w:rPr>
          <w:rFonts w:hint="eastAsia" w:ascii="仿宋" w:hAnsi="仿宋" w:eastAsia="仿宋_GB2312" w:cs="仿宋"/>
          <w:color w:val="auto"/>
          <w:spacing w:val="0"/>
          <w:sz w:val="32"/>
          <w:szCs w:val="32"/>
        </w:rPr>
        <w:t>，帮助</w:t>
      </w:r>
      <w:r>
        <w:rPr>
          <w:rFonts w:hint="eastAsia" w:ascii="Times New Roman" w:hAnsi="Times New Roman" w:eastAsia="仿宋_GB2312" w:cs="仿宋"/>
          <w:color w:val="auto"/>
          <w:spacing w:val="0"/>
          <w:sz w:val="32"/>
          <w:szCs w:val="32"/>
        </w:rPr>
        <w:t>237</w:t>
      </w:r>
      <w:r>
        <w:rPr>
          <w:rFonts w:hint="eastAsia" w:ascii="仿宋" w:hAnsi="仿宋" w:eastAsia="仿宋_GB2312" w:cs="仿宋"/>
          <w:color w:val="auto"/>
          <w:spacing w:val="0"/>
          <w:sz w:val="32"/>
          <w:szCs w:val="32"/>
        </w:rPr>
        <w:t>名刑满释放人员实现稳定就业</w:t>
      </w:r>
      <w:r>
        <w:rPr>
          <w:rFonts w:hint="eastAsia" w:ascii="仿宋" w:hAnsi="仿宋" w:eastAsia="仿宋_GB2312" w:cs="仿宋"/>
          <w:color w:val="auto"/>
          <w:spacing w:val="0"/>
          <w:sz w:val="32"/>
          <w:szCs w:val="32"/>
          <w:lang w:val="en-US" w:eastAsia="zh-CN"/>
        </w:rPr>
        <w:t>；</w:t>
      </w:r>
      <w:r>
        <w:rPr>
          <w:rFonts w:hint="eastAsia" w:ascii="仿宋" w:hAnsi="仿宋" w:eastAsia="仿宋_GB2312" w:cs="仿宋"/>
          <w:color w:val="auto"/>
          <w:spacing w:val="0"/>
          <w:sz w:val="32"/>
          <w:szCs w:val="32"/>
        </w:rPr>
        <w:t>组建“法律明白人+心理咨询师+志愿者”帮教团队，提供法治宣传、心理疏导等服务</w:t>
      </w:r>
      <w:r>
        <w:rPr>
          <w:rFonts w:hint="eastAsia" w:ascii="Times New Roman" w:hAnsi="Times New Roman" w:eastAsia="仿宋_GB2312" w:cs="仿宋"/>
          <w:color w:val="auto"/>
          <w:spacing w:val="0"/>
          <w:sz w:val="32"/>
          <w:szCs w:val="32"/>
          <w:lang w:val="en-US" w:eastAsia="zh-CN"/>
        </w:rPr>
        <w:t>11167</w:t>
      </w:r>
      <w:r>
        <w:rPr>
          <w:rFonts w:hint="eastAsia" w:ascii="仿宋" w:hAnsi="仿宋" w:eastAsia="仿宋_GB2312" w:cs="仿宋"/>
          <w:color w:val="auto"/>
          <w:spacing w:val="0"/>
          <w:sz w:val="32"/>
          <w:szCs w:val="32"/>
        </w:rPr>
        <w:t>余次；</w:t>
      </w:r>
      <w:r>
        <w:rPr>
          <w:rFonts w:hint="eastAsia" w:ascii="仿宋" w:hAnsi="仿宋" w:eastAsia="仿宋_GB2312" w:cs="仿宋"/>
          <w:color w:val="auto"/>
          <w:spacing w:val="0"/>
          <w:sz w:val="32"/>
          <w:szCs w:val="32"/>
          <w:lang w:val="en-US" w:eastAsia="zh-CN"/>
        </w:rPr>
        <w:t>组织</w:t>
      </w:r>
      <w:r>
        <w:rPr>
          <w:rFonts w:hint="eastAsia" w:ascii="仿宋" w:hAnsi="仿宋" w:eastAsia="仿宋_GB2312" w:cs="仿宋"/>
          <w:color w:val="auto"/>
          <w:spacing w:val="0"/>
          <w:sz w:val="32"/>
          <w:szCs w:val="32"/>
        </w:rPr>
        <w:t>“情暖高墙・关爱孩子”活动，帮扶涉刑家庭子女</w:t>
      </w:r>
      <w:r>
        <w:rPr>
          <w:rFonts w:hint="eastAsia" w:ascii="Times New Roman" w:hAnsi="Times New Roman" w:eastAsia="仿宋_GB2312" w:cs="仿宋"/>
          <w:color w:val="auto"/>
          <w:spacing w:val="0"/>
          <w:sz w:val="32"/>
          <w:szCs w:val="32"/>
        </w:rPr>
        <w:t>120</w:t>
      </w:r>
      <w:r>
        <w:rPr>
          <w:rFonts w:hint="eastAsia" w:ascii="仿宋" w:hAnsi="仿宋" w:eastAsia="仿宋_GB2312" w:cs="仿宋"/>
          <w:color w:val="auto"/>
          <w:spacing w:val="0"/>
          <w:sz w:val="32"/>
          <w:szCs w:val="32"/>
        </w:rPr>
        <w:t>余名。</w:t>
      </w:r>
      <w:r>
        <w:rPr>
          <w:rFonts w:hint="eastAsia" w:ascii="仿宋" w:hAnsi="仿宋" w:eastAsia="仿宋_GB2312" w:cs="仿宋"/>
          <w:color w:val="auto"/>
          <w:spacing w:val="0"/>
          <w:sz w:val="32"/>
          <w:szCs w:val="32"/>
          <w:lang w:val="en-US" w:eastAsia="zh-CN"/>
        </w:rPr>
        <w:t>开展</w:t>
      </w:r>
      <w:r>
        <w:rPr>
          <w:rFonts w:hint="eastAsia" w:ascii="仿宋" w:hAnsi="仿宋" w:eastAsia="仿宋_GB2312" w:cs="仿宋"/>
          <w:color w:val="auto"/>
          <w:spacing w:val="0"/>
          <w:sz w:val="32"/>
          <w:szCs w:val="32"/>
        </w:rPr>
        <w:t>社区矫正质量提升攻坚年活动，</w:t>
      </w:r>
      <w:r>
        <w:rPr>
          <w:rFonts w:hint="eastAsia" w:ascii="仿宋" w:hAnsi="仿宋" w:eastAsia="仿宋_GB2312" w:cs="仿宋"/>
          <w:color w:val="auto"/>
          <w:spacing w:val="0"/>
          <w:sz w:val="32"/>
          <w:szCs w:val="32"/>
          <w:lang w:val="en-US" w:eastAsia="zh-CN"/>
        </w:rPr>
        <w:t>扎实</w:t>
      </w:r>
      <w:r>
        <w:rPr>
          <w:rFonts w:hint="eastAsia" w:ascii="仿宋" w:hAnsi="仿宋" w:eastAsia="仿宋_GB2312" w:cs="仿宋"/>
          <w:color w:val="auto"/>
          <w:spacing w:val="0"/>
          <w:sz w:val="32"/>
          <w:szCs w:val="32"/>
        </w:rPr>
        <w:t>推进社区矫正对象危险性评估试点</w:t>
      </w:r>
      <w:r>
        <w:rPr>
          <w:rFonts w:hint="eastAsia" w:ascii="仿宋" w:hAnsi="仿宋" w:eastAsia="仿宋_GB2312" w:cs="仿宋"/>
          <w:color w:val="auto"/>
          <w:spacing w:val="0"/>
          <w:sz w:val="32"/>
          <w:szCs w:val="32"/>
          <w:lang w:val="en-US" w:eastAsia="zh-CN"/>
        </w:rPr>
        <w:t>和</w:t>
      </w:r>
      <w:r>
        <w:rPr>
          <w:rFonts w:hint="eastAsia" w:ascii="仿宋" w:hAnsi="仿宋" w:eastAsia="仿宋_GB2312" w:cs="仿宋"/>
          <w:color w:val="auto"/>
          <w:spacing w:val="0"/>
          <w:sz w:val="32"/>
          <w:szCs w:val="32"/>
        </w:rPr>
        <w:t>社区矫正调查评估规范化试点，建立“周调度、季通报”机制，整改个案问题</w:t>
      </w:r>
      <w:r>
        <w:rPr>
          <w:rFonts w:hint="eastAsia" w:ascii="Times New Roman" w:hAnsi="Times New Roman" w:eastAsia="仿宋_GB2312" w:cs="仿宋"/>
          <w:color w:val="auto"/>
          <w:spacing w:val="0"/>
          <w:sz w:val="32"/>
          <w:szCs w:val="32"/>
        </w:rPr>
        <w:t>24</w:t>
      </w:r>
      <w:r>
        <w:rPr>
          <w:rFonts w:hint="eastAsia" w:ascii="仿宋" w:hAnsi="仿宋" w:eastAsia="仿宋_GB2312" w:cs="仿宋"/>
          <w:color w:val="auto"/>
          <w:spacing w:val="0"/>
          <w:sz w:val="32"/>
          <w:szCs w:val="32"/>
        </w:rPr>
        <w:t>件、共性问题</w:t>
      </w:r>
      <w:r>
        <w:rPr>
          <w:rFonts w:hint="eastAsia" w:ascii="Times New Roman" w:hAnsi="Times New Roman" w:eastAsia="仿宋_GB2312" w:cs="仿宋"/>
          <w:color w:val="auto"/>
          <w:spacing w:val="0"/>
          <w:sz w:val="32"/>
          <w:szCs w:val="32"/>
        </w:rPr>
        <w:t>10</w:t>
      </w:r>
      <w:r>
        <w:rPr>
          <w:rFonts w:hint="eastAsia" w:ascii="仿宋" w:hAnsi="仿宋" w:eastAsia="仿宋_GB2312" w:cs="仿宋"/>
          <w:color w:val="auto"/>
          <w:spacing w:val="0"/>
          <w:sz w:val="32"/>
          <w:szCs w:val="32"/>
        </w:rPr>
        <w:t>个</w:t>
      </w:r>
      <w:r>
        <w:rPr>
          <w:rFonts w:hint="eastAsia" w:ascii="仿宋" w:hAnsi="仿宋" w:eastAsia="仿宋_GB2312" w:cs="仿宋"/>
          <w:color w:val="auto"/>
          <w:spacing w:val="0"/>
          <w:sz w:val="32"/>
          <w:szCs w:val="32"/>
          <w:lang w:eastAsia="zh-CN"/>
        </w:rPr>
        <w:t>，</w:t>
      </w:r>
      <w:r>
        <w:rPr>
          <w:rFonts w:hint="eastAsia" w:ascii="仿宋" w:hAnsi="仿宋" w:eastAsia="仿宋_GB2312" w:cs="仿宋"/>
          <w:color w:val="auto"/>
          <w:spacing w:val="0"/>
          <w:sz w:val="32"/>
          <w:szCs w:val="32"/>
        </w:rPr>
        <w:t>排查涉社矫安帮对象矛盾纠纷</w:t>
      </w:r>
      <w:r>
        <w:rPr>
          <w:rFonts w:hint="eastAsia" w:ascii="Times New Roman" w:hAnsi="Times New Roman" w:eastAsia="仿宋_GB2312" w:cs="仿宋"/>
          <w:color w:val="auto"/>
          <w:spacing w:val="0"/>
          <w:sz w:val="32"/>
          <w:szCs w:val="32"/>
          <w:lang w:val="en-US" w:eastAsia="zh-CN"/>
        </w:rPr>
        <w:t>108</w:t>
      </w:r>
      <w:r>
        <w:rPr>
          <w:rFonts w:hint="eastAsia" w:ascii="仿宋" w:hAnsi="仿宋" w:eastAsia="仿宋_GB2312" w:cs="仿宋"/>
          <w:color w:val="auto"/>
          <w:spacing w:val="0"/>
          <w:sz w:val="32"/>
          <w:szCs w:val="32"/>
          <w:lang w:val="en-US" w:eastAsia="zh-CN"/>
        </w:rPr>
        <w:t>余</w:t>
      </w:r>
      <w:r>
        <w:rPr>
          <w:rFonts w:hint="eastAsia" w:ascii="仿宋" w:hAnsi="仿宋" w:eastAsia="仿宋_GB2312" w:cs="仿宋"/>
          <w:color w:val="auto"/>
          <w:spacing w:val="0"/>
          <w:sz w:val="32"/>
          <w:szCs w:val="32"/>
        </w:rPr>
        <w:t>件（</w:t>
      </w:r>
      <w:r>
        <w:rPr>
          <w:rFonts w:hint="eastAsia" w:ascii="仿宋" w:hAnsi="仿宋" w:eastAsia="仿宋_GB2312" w:cs="仿宋"/>
          <w:color w:val="auto"/>
          <w:spacing w:val="0"/>
          <w:sz w:val="32"/>
          <w:szCs w:val="32"/>
          <w:lang w:val="en-US" w:eastAsia="zh-CN"/>
        </w:rPr>
        <w:t>其中</w:t>
      </w:r>
      <w:r>
        <w:rPr>
          <w:rFonts w:hint="eastAsia" w:ascii="仿宋" w:hAnsi="仿宋" w:eastAsia="仿宋_GB2312" w:cs="仿宋"/>
          <w:color w:val="auto"/>
          <w:spacing w:val="0"/>
          <w:sz w:val="32"/>
          <w:szCs w:val="32"/>
        </w:rPr>
        <w:t>重大</w:t>
      </w:r>
      <w:r>
        <w:rPr>
          <w:rFonts w:hint="eastAsia" w:ascii="Times New Roman" w:hAnsi="Times New Roman" w:eastAsia="仿宋_GB2312" w:cs="仿宋"/>
          <w:color w:val="auto"/>
          <w:spacing w:val="0"/>
          <w:sz w:val="32"/>
          <w:szCs w:val="32"/>
        </w:rPr>
        <w:t>40</w:t>
      </w:r>
      <w:r>
        <w:rPr>
          <w:rFonts w:hint="eastAsia" w:ascii="仿宋" w:hAnsi="仿宋" w:eastAsia="仿宋_GB2312" w:cs="仿宋"/>
          <w:color w:val="auto"/>
          <w:spacing w:val="0"/>
          <w:sz w:val="32"/>
          <w:szCs w:val="32"/>
        </w:rPr>
        <w:t>件），化解稳控率</w:t>
      </w:r>
      <w:r>
        <w:rPr>
          <w:rFonts w:hint="eastAsia" w:ascii="Times New Roman" w:hAnsi="Times New Roman" w:eastAsia="仿宋_GB2312" w:cs="仿宋"/>
          <w:color w:val="auto"/>
          <w:spacing w:val="0"/>
          <w:sz w:val="32"/>
          <w:szCs w:val="32"/>
        </w:rPr>
        <w:t>100</w:t>
      </w:r>
      <w:r>
        <w:rPr>
          <w:rFonts w:hint="eastAsia" w:ascii="Times New Roman" w:hAnsi="Times New Roman" w:eastAsia="仿宋_GB2312" w:cs="仿宋"/>
          <w:color w:val="auto"/>
          <w:spacing w:val="0"/>
          <w:sz w:val="32"/>
          <w:szCs w:val="32"/>
          <w:lang w:eastAsia="zh-CN"/>
        </w:rPr>
        <w:t>%</w:t>
      </w:r>
      <w:r>
        <w:rPr>
          <w:rFonts w:hint="eastAsia" w:ascii="仿宋" w:hAnsi="仿宋" w:eastAsia="仿宋_GB2312" w:cs="仿宋"/>
          <w:color w:val="auto"/>
          <w:spacing w:val="0"/>
          <w:sz w:val="32"/>
          <w:szCs w:val="32"/>
          <w:lang w:eastAsia="zh-CN"/>
        </w:rPr>
        <w:t>，</w:t>
      </w:r>
      <w:r>
        <w:rPr>
          <w:rFonts w:hint="eastAsia" w:ascii="仿宋" w:hAnsi="仿宋" w:eastAsia="仿宋_GB2312" w:cs="仿宋"/>
          <w:color w:val="auto"/>
          <w:spacing w:val="0"/>
          <w:sz w:val="32"/>
          <w:szCs w:val="32"/>
        </w:rPr>
        <w:t>会同</w:t>
      </w:r>
      <w:r>
        <w:rPr>
          <w:rFonts w:hint="eastAsia" w:ascii="仿宋" w:hAnsi="仿宋" w:eastAsia="仿宋_GB2312" w:cs="仿宋"/>
          <w:color w:val="auto"/>
          <w:spacing w:val="0"/>
          <w:sz w:val="32"/>
          <w:szCs w:val="32"/>
          <w:lang w:val="en-US" w:eastAsia="zh-CN"/>
        </w:rPr>
        <w:t>县</w:t>
      </w:r>
      <w:r>
        <w:rPr>
          <w:rFonts w:hint="eastAsia" w:ascii="仿宋" w:hAnsi="仿宋" w:eastAsia="仿宋_GB2312" w:cs="仿宋"/>
          <w:color w:val="auto"/>
          <w:spacing w:val="0"/>
          <w:sz w:val="32"/>
          <w:szCs w:val="32"/>
        </w:rPr>
        <w:t>、溆浦</w:t>
      </w:r>
      <w:r>
        <w:rPr>
          <w:rFonts w:hint="eastAsia" w:ascii="仿宋" w:hAnsi="仿宋" w:eastAsia="仿宋_GB2312" w:cs="仿宋"/>
          <w:color w:val="auto"/>
          <w:spacing w:val="0"/>
          <w:sz w:val="32"/>
          <w:szCs w:val="32"/>
          <w:lang w:val="en-US" w:eastAsia="zh-CN"/>
        </w:rPr>
        <w:t>县</w:t>
      </w:r>
      <w:r>
        <w:rPr>
          <w:rFonts w:hint="eastAsia" w:ascii="仿宋" w:hAnsi="仿宋" w:eastAsia="仿宋_GB2312" w:cs="仿宋"/>
          <w:color w:val="auto"/>
          <w:spacing w:val="0"/>
          <w:sz w:val="32"/>
          <w:szCs w:val="32"/>
        </w:rPr>
        <w:t>等</w:t>
      </w:r>
      <w:r>
        <w:rPr>
          <w:rFonts w:hint="eastAsia" w:ascii="仿宋" w:hAnsi="仿宋" w:eastAsia="仿宋_GB2312" w:cs="仿宋"/>
          <w:color w:val="auto"/>
          <w:spacing w:val="0"/>
          <w:sz w:val="32"/>
          <w:szCs w:val="32"/>
          <w:lang w:val="en-US" w:eastAsia="zh-CN"/>
        </w:rPr>
        <w:t>地</w:t>
      </w:r>
      <w:r>
        <w:rPr>
          <w:rFonts w:hint="eastAsia" w:ascii="仿宋" w:hAnsi="仿宋" w:eastAsia="仿宋_GB2312" w:cs="仿宋"/>
          <w:color w:val="auto"/>
          <w:spacing w:val="0"/>
          <w:sz w:val="32"/>
          <w:szCs w:val="32"/>
        </w:rPr>
        <w:t>智慧矫正一体化平台连续</w:t>
      </w:r>
      <w:r>
        <w:rPr>
          <w:rFonts w:hint="eastAsia" w:ascii="Times New Roman" w:hAnsi="Times New Roman" w:eastAsia="仿宋_GB2312" w:cs="仿宋"/>
          <w:color w:val="auto"/>
          <w:spacing w:val="0"/>
          <w:sz w:val="32"/>
          <w:szCs w:val="32"/>
        </w:rPr>
        <w:t>12</w:t>
      </w:r>
      <w:r>
        <w:rPr>
          <w:rFonts w:hint="eastAsia" w:ascii="仿宋" w:hAnsi="仿宋" w:eastAsia="仿宋_GB2312" w:cs="仿宋"/>
          <w:color w:val="auto"/>
          <w:spacing w:val="0"/>
          <w:sz w:val="32"/>
          <w:szCs w:val="32"/>
        </w:rPr>
        <w:t>个月满分，实现“人机联防”精准监管。社戒社康提质升级，会同县林城镇指导站升级</w:t>
      </w:r>
      <w:r>
        <w:rPr>
          <w:rFonts w:hint="eastAsia" w:ascii="仿宋" w:hAnsi="仿宋" w:eastAsia="仿宋_GB2312" w:cs="仿宋"/>
          <w:color w:val="auto"/>
          <w:spacing w:val="0"/>
          <w:sz w:val="32"/>
          <w:szCs w:val="32"/>
          <w:lang w:val="en-US" w:eastAsia="zh-CN"/>
        </w:rPr>
        <w:t>为</w:t>
      </w:r>
      <w:r>
        <w:rPr>
          <w:rFonts w:hint="eastAsia" w:ascii="仿宋" w:hAnsi="仿宋" w:eastAsia="仿宋_GB2312" w:cs="仿宋"/>
          <w:color w:val="auto"/>
          <w:spacing w:val="0"/>
          <w:sz w:val="32"/>
          <w:szCs w:val="32"/>
        </w:rPr>
        <w:t>县区级站点，获省局专项经费支持，推动“一所</w:t>
      </w:r>
      <w:r>
        <w:rPr>
          <w:rFonts w:hint="eastAsia" w:ascii="仿宋" w:hAnsi="仿宋" w:eastAsia="仿宋_GB2312" w:cs="仿宋"/>
          <w:color w:val="auto"/>
          <w:spacing w:val="0"/>
          <w:sz w:val="32"/>
          <w:szCs w:val="32"/>
          <w:lang w:eastAsia="zh-CN"/>
        </w:rPr>
        <w:t>一</w:t>
      </w:r>
      <w:r>
        <w:rPr>
          <w:rFonts w:hint="eastAsia" w:ascii="仿宋" w:hAnsi="仿宋" w:eastAsia="仿宋_GB2312" w:cs="仿宋"/>
          <w:color w:val="auto"/>
          <w:spacing w:val="0"/>
          <w:sz w:val="32"/>
          <w:szCs w:val="32"/>
        </w:rPr>
        <w:t>区（县）”模式落地。</w:t>
      </w:r>
    </w:p>
    <w:p w14:paraId="39DC45EC">
      <w:pPr>
        <w:keepNext w:val="0"/>
        <w:keepLines w:val="0"/>
        <w:pageBreakBefore w:val="0"/>
        <w:widowControl w:val="0"/>
        <w:shd w:val="clear"/>
        <w:kinsoku/>
        <w:wordWrap/>
        <w:overflowPunct/>
        <w:topLinePunct w:val="0"/>
        <w:autoSpaceDE/>
        <w:autoSpaceDN/>
        <w:bidi w:val="0"/>
        <w:adjustRightInd/>
        <w:snapToGrid/>
        <w:spacing w:line="600" w:lineRule="exact"/>
        <w:ind w:firstLine="643" w:firstLineChars="200"/>
        <w:textAlignment w:val="auto"/>
        <w:rPr>
          <w:rFonts w:hint="eastAsia" w:ascii="仿宋" w:hAnsi="仿宋" w:eastAsia="仿宋_GB2312" w:cs="仿宋"/>
          <w:color w:val="auto"/>
          <w:spacing w:val="0"/>
          <w:sz w:val="32"/>
          <w:szCs w:val="32"/>
          <w:lang w:val="en-US" w:eastAsia="zh-CN"/>
        </w:rPr>
      </w:pPr>
      <w:r>
        <w:rPr>
          <w:rFonts w:hint="eastAsia" w:ascii="Times New Roman" w:hAnsi="Times New Roman" w:eastAsia="仿宋_GB2312" w:cs="仿宋"/>
          <w:b/>
          <w:bCs/>
          <w:color w:val="auto"/>
          <w:spacing w:val="0"/>
          <w:sz w:val="32"/>
          <w:szCs w:val="32"/>
          <w:lang w:val="en-US" w:eastAsia="zh-CN"/>
        </w:rPr>
        <w:t>8</w:t>
      </w:r>
      <w:r>
        <w:rPr>
          <w:rFonts w:hint="eastAsia" w:ascii="仿宋" w:hAnsi="仿宋" w:eastAsia="仿宋_GB2312" w:cs="仿宋"/>
          <w:b/>
          <w:bCs/>
          <w:color w:val="auto"/>
          <w:spacing w:val="0"/>
          <w:sz w:val="32"/>
          <w:szCs w:val="32"/>
          <w:lang w:val="en-US" w:eastAsia="zh-CN"/>
        </w:rPr>
        <w:t>、突出守正创新，法治宣传教育硕果累累。</w:t>
      </w:r>
      <w:r>
        <w:rPr>
          <w:rFonts w:hint="eastAsia" w:ascii="仿宋" w:hAnsi="仿宋" w:eastAsia="仿宋_GB2312" w:cs="仿宋"/>
          <w:bCs/>
          <w:color w:val="auto"/>
          <w:spacing w:val="0"/>
          <w:sz w:val="32"/>
          <w:szCs w:val="32"/>
          <w:lang w:val="en-US" w:eastAsia="zh-CN"/>
        </w:rPr>
        <w:t>带头执行《法治宣传教育法》，</w:t>
      </w:r>
      <w:r>
        <w:rPr>
          <w:rFonts w:hint="eastAsia" w:ascii="仿宋" w:hAnsi="仿宋" w:eastAsia="仿宋_GB2312" w:cs="仿宋"/>
          <w:color w:val="auto"/>
          <w:spacing w:val="0"/>
          <w:sz w:val="32"/>
          <w:szCs w:val="32"/>
          <w:lang w:val="en-US" w:eastAsia="zh-CN"/>
        </w:rPr>
        <w:t>突出抓好习近平法治思想学习宣传贯彻，市委市政府领导带头集体学习民营经济促进法、政务共享条例等法律法规</w:t>
      </w:r>
      <w:r>
        <w:rPr>
          <w:rFonts w:hint="eastAsia" w:ascii="Times New Roman" w:hAnsi="Times New Roman" w:eastAsia="仿宋_GB2312" w:cs="仿宋"/>
          <w:color w:val="auto"/>
          <w:spacing w:val="0"/>
          <w:sz w:val="32"/>
          <w:szCs w:val="32"/>
          <w:lang w:val="en-US" w:eastAsia="zh-CN"/>
        </w:rPr>
        <w:t>12</w:t>
      </w:r>
      <w:r>
        <w:rPr>
          <w:rFonts w:hint="eastAsia" w:ascii="仿宋" w:hAnsi="仿宋" w:eastAsia="仿宋_GB2312" w:cs="仿宋"/>
          <w:color w:val="auto"/>
          <w:spacing w:val="0"/>
          <w:sz w:val="32"/>
          <w:szCs w:val="32"/>
          <w:lang w:val="en-US" w:eastAsia="zh-CN"/>
        </w:rPr>
        <w:t>次。承办湖南省“你学法我送票·跟着旅发大会游湖南”活动启动仪式，开展“</w:t>
      </w:r>
      <w:r>
        <w:rPr>
          <w:rFonts w:hint="eastAsia" w:ascii="Times New Roman" w:hAnsi="Times New Roman" w:eastAsia="仿宋_GB2312" w:cs="仿宋"/>
          <w:color w:val="auto"/>
          <w:spacing w:val="0"/>
          <w:sz w:val="32"/>
          <w:szCs w:val="32"/>
          <w:lang w:val="en-US" w:eastAsia="zh-CN"/>
        </w:rPr>
        <w:t>4</w:t>
      </w:r>
      <w:r>
        <w:rPr>
          <w:rFonts w:hint="eastAsia" w:ascii="仿宋" w:hAnsi="仿宋" w:eastAsia="仿宋_GB2312" w:cs="仿宋"/>
          <w:color w:val="auto"/>
          <w:spacing w:val="0"/>
          <w:sz w:val="32"/>
          <w:szCs w:val="32"/>
          <w:lang w:val="en-US" w:eastAsia="zh-CN"/>
        </w:rPr>
        <w:t>·</w:t>
      </w:r>
      <w:r>
        <w:rPr>
          <w:rFonts w:hint="eastAsia" w:ascii="Times New Roman" w:hAnsi="Times New Roman" w:eastAsia="仿宋_GB2312" w:cs="仿宋"/>
          <w:color w:val="auto"/>
          <w:spacing w:val="0"/>
          <w:sz w:val="32"/>
          <w:szCs w:val="32"/>
          <w:lang w:val="en-US" w:eastAsia="zh-CN"/>
        </w:rPr>
        <w:t>15</w:t>
      </w:r>
      <w:r>
        <w:rPr>
          <w:rFonts w:hint="eastAsia" w:ascii="仿宋" w:hAnsi="仿宋" w:eastAsia="仿宋_GB2312" w:cs="仿宋"/>
          <w:color w:val="auto"/>
          <w:spacing w:val="0"/>
          <w:sz w:val="32"/>
          <w:szCs w:val="32"/>
          <w:lang w:val="en-US" w:eastAsia="zh-CN"/>
        </w:rPr>
        <w:t>”全民国家安全教育日、民法典宣传月、农村法治宣传教育月、</w:t>
      </w:r>
      <w:r>
        <w:rPr>
          <w:rFonts w:hint="eastAsia" w:ascii="仿宋" w:hAnsi="仿宋" w:eastAsia="仿宋_GB2312" w:cs="仿宋"/>
          <w:color w:val="auto"/>
          <w:spacing w:val="0"/>
          <w:kern w:val="2"/>
          <w:sz w:val="32"/>
          <w:szCs w:val="32"/>
          <w:lang w:val="en-US" w:eastAsia="zh-CN"/>
        </w:rPr>
        <w:t>“禁毒进校园”</w:t>
      </w:r>
      <w:r>
        <w:rPr>
          <w:rFonts w:hint="eastAsia" w:ascii="仿宋" w:hAnsi="仿宋" w:eastAsia="仿宋_GB2312" w:cs="仿宋"/>
          <w:color w:val="auto"/>
          <w:spacing w:val="0"/>
          <w:sz w:val="32"/>
          <w:szCs w:val="32"/>
          <w:lang w:val="en-US" w:eastAsia="zh-CN"/>
        </w:rPr>
        <w:t>等活动，累计发放资料</w:t>
      </w:r>
      <w:r>
        <w:rPr>
          <w:rFonts w:hint="eastAsia" w:ascii="Times New Roman" w:hAnsi="Times New Roman" w:eastAsia="仿宋_GB2312" w:cs="仿宋"/>
          <w:color w:val="auto"/>
          <w:spacing w:val="0"/>
          <w:sz w:val="32"/>
          <w:szCs w:val="32"/>
          <w:lang w:val="en-US" w:eastAsia="zh-CN"/>
        </w:rPr>
        <w:t>71</w:t>
      </w:r>
      <w:r>
        <w:rPr>
          <w:rFonts w:hint="eastAsia" w:ascii="仿宋" w:hAnsi="仿宋" w:eastAsia="仿宋_GB2312" w:cs="仿宋"/>
          <w:color w:val="auto"/>
          <w:spacing w:val="0"/>
          <w:sz w:val="32"/>
          <w:szCs w:val="32"/>
          <w:lang w:val="en-US" w:eastAsia="zh-CN"/>
        </w:rPr>
        <w:t>万份，讲座</w:t>
      </w:r>
      <w:r>
        <w:rPr>
          <w:rFonts w:hint="eastAsia" w:ascii="Times New Roman" w:hAnsi="Times New Roman" w:eastAsia="仿宋_GB2312" w:cs="仿宋"/>
          <w:color w:val="auto"/>
          <w:spacing w:val="0"/>
          <w:sz w:val="32"/>
          <w:szCs w:val="32"/>
          <w:lang w:val="en-US" w:eastAsia="zh-CN"/>
        </w:rPr>
        <w:t>425</w:t>
      </w:r>
      <w:r>
        <w:rPr>
          <w:rFonts w:hint="eastAsia" w:ascii="仿宋" w:hAnsi="仿宋" w:eastAsia="仿宋_GB2312" w:cs="仿宋"/>
          <w:color w:val="auto"/>
          <w:spacing w:val="0"/>
          <w:sz w:val="32"/>
          <w:szCs w:val="32"/>
          <w:lang w:val="en-US" w:eastAsia="zh-CN"/>
        </w:rPr>
        <w:t>场，集中宣传</w:t>
      </w:r>
      <w:r>
        <w:rPr>
          <w:rFonts w:hint="eastAsia" w:ascii="Times New Roman" w:hAnsi="Times New Roman" w:eastAsia="仿宋_GB2312" w:cs="仿宋"/>
          <w:color w:val="auto"/>
          <w:spacing w:val="0"/>
          <w:sz w:val="32"/>
          <w:szCs w:val="32"/>
          <w:lang w:val="en-US" w:eastAsia="zh-CN"/>
        </w:rPr>
        <w:t>140</w:t>
      </w:r>
      <w:r>
        <w:rPr>
          <w:rFonts w:hint="eastAsia" w:ascii="仿宋" w:hAnsi="仿宋" w:eastAsia="仿宋_GB2312" w:cs="仿宋"/>
          <w:color w:val="auto"/>
          <w:spacing w:val="0"/>
          <w:sz w:val="32"/>
          <w:szCs w:val="32"/>
          <w:lang w:val="en-US" w:eastAsia="zh-CN"/>
        </w:rPr>
        <w:t>场，赠送实物</w:t>
      </w:r>
      <w:r>
        <w:rPr>
          <w:rFonts w:hint="eastAsia" w:ascii="Times New Roman" w:hAnsi="Times New Roman" w:eastAsia="仿宋_GB2312" w:cs="仿宋"/>
          <w:color w:val="auto"/>
          <w:spacing w:val="0"/>
          <w:sz w:val="32"/>
          <w:szCs w:val="32"/>
          <w:lang w:val="en-US" w:eastAsia="zh-CN"/>
        </w:rPr>
        <w:t>25</w:t>
      </w:r>
      <w:r>
        <w:rPr>
          <w:rFonts w:hint="eastAsia" w:ascii="仿宋" w:hAnsi="仿宋" w:eastAsia="仿宋_GB2312" w:cs="仿宋"/>
          <w:color w:val="auto"/>
          <w:spacing w:val="0"/>
          <w:sz w:val="32"/>
          <w:szCs w:val="32"/>
          <w:lang w:val="en-US" w:eastAsia="zh-CN"/>
        </w:rPr>
        <w:t>万份。创新普法形式，举办怀化市新媒体法治宣传作品征集大赛，征集“以案释法”短视频</w:t>
      </w:r>
      <w:r>
        <w:rPr>
          <w:rFonts w:hint="eastAsia" w:ascii="Times New Roman" w:hAnsi="Times New Roman" w:eastAsia="仿宋_GB2312" w:cs="仿宋"/>
          <w:color w:val="auto"/>
          <w:spacing w:val="0"/>
          <w:sz w:val="32"/>
          <w:szCs w:val="32"/>
          <w:lang w:val="en-US" w:eastAsia="zh-CN"/>
        </w:rPr>
        <w:t>70</w:t>
      </w:r>
      <w:r>
        <w:rPr>
          <w:rFonts w:hint="eastAsia" w:ascii="仿宋" w:hAnsi="仿宋" w:eastAsia="仿宋_GB2312" w:cs="仿宋"/>
          <w:color w:val="auto"/>
          <w:spacing w:val="0"/>
          <w:sz w:val="32"/>
          <w:szCs w:val="32"/>
          <w:lang w:val="en-US" w:eastAsia="zh-CN"/>
        </w:rPr>
        <w:t>多个，《宪法伴我们成长》《回家》等优秀作品在线上广泛传播，自制法眼看热剧《无所畏惧永不放弃》系列短视频，被学习强国等平台重点推荐，全网点击量超百万次，增强了法治宣传的吸引力和感染力。建好法治文化宣传实体，完成怀化宪法主题公园以及迎丰公园、鹤鸣洲等法治文化阵地建设，辰溪</w:t>
      </w:r>
      <w:r>
        <w:rPr>
          <w:rFonts w:hint="eastAsia" w:ascii="仿宋" w:hAnsi="仿宋" w:eastAsia="仿宋_GB2312" w:cs="仿宋"/>
          <w:color w:val="auto"/>
          <w:spacing w:val="0"/>
          <w:sz w:val="32"/>
          <w:szCs w:val="32"/>
        </w:rPr>
        <w:t>成功打造“非遗土陶”青少年法治教育基地</w:t>
      </w:r>
      <w:r>
        <w:rPr>
          <w:rFonts w:hint="eastAsia" w:ascii="仿宋" w:hAnsi="仿宋" w:eastAsia="仿宋_GB2312" w:cs="仿宋"/>
          <w:color w:val="auto"/>
          <w:spacing w:val="0"/>
          <w:sz w:val="32"/>
          <w:szCs w:val="32"/>
          <w:lang w:eastAsia="zh-CN"/>
        </w:rPr>
        <w:t>。</w:t>
      </w:r>
      <w:r>
        <w:rPr>
          <w:rFonts w:hint="eastAsia" w:ascii="仿宋" w:hAnsi="仿宋" w:eastAsia="仿宋_GB2312" w:cs="仿宋"/>
          <w:color w:val="auto"/>
          <w:spacing w:val="0"/>
          <w:sz w:val="32"/>
          <w:szCs w:val="32"/>
          <w:lang w:val="en-US" w:eastAsia="zh-CN"/>
        </w:rPr>
        <w:t>持续推进“法治+非遗”融合普法新模式，辰溪</w:t>
      </w:r>
      <w:r>
        <w:rPr>
          <w:rFonts w:hint="eastAsia" w:ascii="仿宋" w:hAnsi="仿宋" w:eastAsia="仿宋_GB2312" w:cs="仿宋"/>
          <w:color w:val="auto"/>
          <w:spacing w:val="0"/>
          <w:sz w:val="32"/>
          <w:szCs w:val="32"/>
        </w:rPr>
        <w:t>开设“非遗+普法”研学课堂</w:t>
      </w:r>
      <w:r>
        <w:rPr>
          <w:rFonts w:hint="eastAsia" w:ascii="仿宋" w:hAnsi="仿宋" w:eastAsia="仿宋_GB2312" w:cs="仿宋"/>
          <w:color w:val="auto"/>
          <w:spacing w:val="0"/>
          <w:sz w:val="32"/>
          <w:szCs w:val="32"/>
          <w:lang w:eastAsia="zh-CN"/>
        </w:rPr>
        <w:t>，</w:t>
      </w:r>
      <w:r>
        <w:rPr>
          <w:rFonts w:hint="eastAsia" w:ascii="仿宋" w:hAnsi="仿宋" w:eastAsia="仿宋_GB2312" w:cs="仿宋"/>
          <w:color w:val="auto"/>
          <w:spacing w:val="0"/>
          <w:sz w:val="32"/>
          <w:szCs w:val="32"/>
          <w:lang w:val="en-US" w:eastAsia="zh-CN"/>
        </w:rPr>
        <w:t>靖州、新晃等地将</w:t>
      </w:r>
      <w:r>
        <w:rPr>
          <w:rFonts w:hint="eastAsia" w:ascii="仿宋" w:hAnsi="仿宋" w:eastAsia="仿宋_GB2312" w:cs="仿宋"/>
          <w:color w:val="auto"/>
          <w:spacing w:val="0"/>
          <w:sz w:val="32"/>
          <w:szCs w:val="32"/>
          <w:lang w:eastAsia="zh-CN"/>
        </w:rPr>
        <w:t>苗</w:t>
      </w:r>
      <w:r>
        <w:rPr>
          <w:rFonts w:hint="eastAsia" w:ascii="仿宋" w:hAnsi="仿宋" w:eastAsia="仿宋_GB2312" w:cs="仿宋"/>
          <w:color w:val="auto"/>
          <w:spacing w:val="0"/>
          <w:sz w:val="32"/>
          <w:szCs w:val="32"/>
          <w:lang w:val="en-US" w:eastAsia="zh-CN"/>
        </w:rPr>
        <w:t>族</w:t>
      </w:r>
      <w:r>
        <w:rPr>
          <w:rFonts w:hint="eastAsia" w:ascii="仿宋" w:hAnsi="仿宋" w:eastAsia="仿宋_GB2312" w:cs="仿宋"/>
          <w:color w:val="auto"/>
          <w:spacing w:val="0"/>
          <w:sz w:val="32"/>
          <w:szCs w:val="32"/>
          <w:lang w:eastAsia="zh-CN"/>
        </w:rPr>
        <w:t>侗</w:t>
      </w:r>
      <w:r>
        <w:rPr>
          <w:rFonts w:hint="eastAsia" w:ascii="仿宋" w:hAnsi="仿宋" w:eastAsia="仿宋_GB2312" w:cs="仿宋"/>
          <w:color w:val="auto"/>
          <w:spacing w:val="0"/>
          <w:sz w:val="32"/>
          <w:szCs w:val="32"/>
          <w:lang w:val="en-US" w:eastAsia="zh-CN"/>
        </w:rPr>
        <w:t>族</w:t>
      </w:r>
      <w:r>
        <w:rPr>
          <w:rFonts w:hint="eastAsia" w:ascii="仿宋" w:hAnsi="仿宋" w:eastAsia="仿宋_GB2312" w:cs="仿宋"/>
          <w:color w:val="auto"/>
          <w:spacing w:val="0"/>
          <w:sz w:val="32"/>
          <w:szCs w:val="32"/>
          <w:lang w:eastAsia="zh-CN"/>
        </w:rPr>
        <w:t>雕花蜜饯、织锦、歌鼟、</w:t>
      </w:r>
      <w:r>
        <w:rPr>
          <w:rFonts w:hint="eastAsia" w:ascii="仿宋" w:hAnsi="仿宋" w:eastAsia="仿宋_GB2312" w:cs="仿宋"/>
          <w:color w:val="auto"/>
          <w:spacing w:val="0"/>
          <w:sz w:val="32"/>
          <w:szCs w:val="32"/>
          <w:lang w:val="en-US" w:eastAsia="zh-CN"/>
        </w:rPr>
        <w:t>山歌</w:t>
      </w:r>
      <w:r>
        <w:rPr>
          <w:rFonts w:hint="eastAsia" w:ascii="仿宋" w:hAnsi="仿宋" w:eastAsia="仿宋_GB2312" w:cs="仿宋"/>
          <w:color w:val="auto"/>
          <w:spacing w:val="0"/>
          <w:sz w:val="32"/>
          <w:szCs w:val="32"/>
          <w:lang w:eastAsia="zh-CN"/>
        </w:rPr>
        <w:t>等非物质文化遗产与法治宣传深度融合，</w:t>
      </w:r>
      <w:r>
        <w:rPr>
          <w:rFonts w:hint="eastAsia" w:ascii="仿宋" w:hAnsi="仿宋" w:eastAsia="仿宋_GB2312" w:cs="仿宋"/>
          <w:color w:val="auto"/>
          <w:spacing w:val="0"/>
          <w:sz w:val="32"/>
          <w:szCs w:val="32"/>
        </w:rPr>
        <w:t>开展双语普法、歌谣传法等特色活动</w:t>
      </w:r>
      <w:r>
        <w:rPr>
          <w:rFonts w:hint="eastAsia" w:ascii="仿宋" w:hAnsi="仿宋" w:eastAsia="仿宋_GB2312" w:cs="仿宋"/>
          <w:color w:val="auto"/>
          <w:spacing w:val="0"/>
          <w:sz w:val="32"/>
          <w:szCs w:val="32"/>
          <w:lang w:val="en-US" w:eastAsia="zh-CN"/>
        </w:rPr>
        <w:t>。推荐通道县坪坦村等</w:t>
      </w:r>
      <w:r>
        <w:rPr>
          <w:rFonts w:hint="eastAsia" w:ascii="Times New Roman" w:hAnsi="Times New Roman" w:eastAsia="仿宋_GB2312" w:cs="仿宋"/>
          <w:color w:val="auto"/>
          <w:spacing w:val="0"/>
          <w:sz w:val="32"/>
          <w:szCs w:val="32"/>
          <w:lang w:val="en-US" w:eastAsia="zh-CN"/>
        </w:rPr>
        <w:t>6</w:t>
      </w:r>
      <w:r>
        <w:rPr>
          <w:rFonts w:hint="eastAsia" w:ascii="仿宋" w:hAnsi="仿宋" w:eastAsia="仿宋_GB2312" w:cs="仿宋"/>
          <w:color w:val="auto"/>
          <w:spacing w:val="0"/>
          <w:sz w:val="32"/>
          <w:szCs w:val="32"/>
          <w:lang w:val="en-US" w:eastAsia="zh-CN"/>
        </w:rPr>
        <w:t>个村为第十批“全国民主法治示范村（社区）”，数量居全省首位。洪江市成功入选司法部首批“全国守法普法示范市（县、区）”创建单位。</w:t>
      </w:r>
    </w:p>
    <w:p w14:paraId="4B18D3C6">
      <w:pPr>
        <w:keepNext w:val="0"/>
        <w:keepLines w:val="0"/>
        <w:pageBreakBefore w:val="0"/>
        <w:widowControl w:val="0"/>
        <w:shd w:val="clear"/>
        <w:kinsoku/>
        <w:wordWrap/>
        <w:overflowPunct/>
        <w:topLinePunct w:val="0"/>
        <w:autoSpaceDE/>
        <w:autoSpaceDN/>
        <w:bidi w:val="0"/>
        <w:adjustRightInd/>
        <w:snapToGrid/>
        <w:spacing w:line="600" w:lineRule="exact"/>
        <w:ind w:firstLine="643" w:firstLineChars="200"/>
        <w:textAlignment w:val="auto"/>
        <w:rPr>
          <w:rFonts w:hint="eastAsia" w:ascii="仿宋" w:hAnsi="仿宋" w:eastAsia="仿宋_GB2312" w:cs="仿宋"/>
          <w:b/>
          <w:bCs/>
          <w:i w:val="0"/>
          <w:iCs w:val="0"/>
          <w:caps w:val="0"/>
          <w:color w:val="000000" w:themeColor="text1"/>
          <w:spacing w:val="0"/>
          <w:sz w:val="32"/>
          <w:szCs w:val="32"/>
          <w:shd w:val="clear" w:fill="FFFFFF"/>
          <w:lang w:val="en-US" w:eastAsia="zh-CN"/>
          <w14:textFill>
            <w14:solidFill>
              <w14:schemeClr w14:val="tx1"/>
            </w14:solidFill>
          </w14:textFill>
        </w:rPr>
      </w:pPr>
      <w:r>
        <w:rPr>
          <w:rFonts w:hint="eastAsia" w:ascii="Times New Roman" w:hAnsi="Times New Roman" w:eastAsia="仿宋_GB2312" w:cs="仿宋"/>
          <w:b/>
          <w:bCs/>
          <w:color w:val="auto"/>
          <w:spacing w:val="0"/>
          <w:sz w:val="32"/>
          <w:szCs w:val="32"/>
          <w:lang w:val="en-US" w:eastAsia="zh-CN"/>
        </w:rPr>
        <w:t>9</w:t>
      </w:r>
      <w:r>
        <w:rPr>
          <w:rFonts w:hint="eastAsia" w:ascii="仿宋" w:hAnsi="仿宋" w:eastAsia="仿宋_GB2312" w:cs="仿宋"/>
          <w:b/>
          <w:bCs/>
          <w:color w:val="auto"/>
          <w:spacing w:val="0"/>
          <w:sz w:val="32"/>
          <w:szCs w:val="32"/>
          <w:lang w:val="en-US" w:eastAsia="zh-CN"/>
        </w:rPr>
        <w:t>、从严从实管理，铁军队伍建设纵深推进。</w:t>
      </w:r>
      <w:r>
        <w:rPr>
          <w:rFonts w:hint="eastAsia" w:ascii="仿宋" w:hAnsi="仿宋" w:eastAsia="仿宋_GB2312" w:cs="仿宋"/>
          <w:color w:val="auto"/>
          <w:spacing w:val="0"/>
          <w:sz w:val="32"/>
          <w:szCs w:val="32"/>
          <w:lang w:val="en-US" w:eastAsia="zh-CN"/>
        </w:rPr>
        <w:t>深入开展中央八项规定精神学习教育，组织全系统干部职工进行专题学习</w:t>
      </w:r>
      <w:r>
        <w:rPr>
          <w:rFonts w:hint="eastAsia" w:ascii="Times New Roman" w:hAnsi="Times New Roman" w:eastAsia="仿宋_GB2312" w:cs="仿宋"/>
          <w:color w:val="auto"/>
          <w:spacing w:val="0"/>
          <w:sz w:val="32"/>
          <w:szCs w:val="32"/>
          <w:lang w:val="en-US" w:eastAsia="zh-CN"/>
        </w:rPr>
        <w:t>10</w:t>
      </w:r>
      <w:r>
        <w:rPr>
          <w:rFonts w:hint="eastAsia" w:ascii="仿宋" w:hAnsi="仿宋" w:eastAsia="仿宋_GB2312" w:cs="仿宋"/>
          <w:color w:val="auto"/>
          <w:spacing w:val="0"/>
          <w:sz w:val="32"/>
          <w:szCs w:val="32"/>
          <w:lang w:val="en-US" w:eastAsia="zh-CN"/>
        </w:rPr>
        <w:t>余次，通过邀请专家授课、开展研讨交流等形式，促使干部知敬畏存戒惧守底线。将学习教育与日常工作紧密结合，对干部职工的工作作风、服务态度等进行常态化监督检查，共开展作风督查</w:t>
      </w:r>
      <w:r>
        <w:rPr>
          <w:rFonts w:hint="eastAsia" w:ascii="Times New Roman" w:hAnsi="Times New Roman" w:eastAsia="仿宋_GB2312" w:cs="仿宋"/>
          <w:color w:val="auto"/>
          <w:spacing w:val="0"/>
          <w:sz w:val="32"/>
          <w:szCs w:val="32"/>
          <w:lang w:val="en-US" w:eastAsia="zh-CN"/>
        </w:rPr>
        <w:t>18</w:t>
      </w:r>
      <w:r>
        <w:rPr>
          <w:rFonts w:hint="eastAsia" w:ascii="仿宋" w:hAnsi="仿宋" w:eastAsia="仿宋_GB2312" w:cs="仿宋"/>
          <w:color w:val="auto"/>
          <w:spacing w:val="0"/>
          <w:sz w:val="32"/>
          <w:szCs w:val="32"/>
          <w:lang w:val="en-US" w:eastAsia="zh-CN"/>
        </w:rPr>
        <w:t>次，发现问题及时整改，有效提升了干部职工的纪律意识和工作效能。加强思想政治引领，定期开展政治理论学习、主题党日活动等，提升司法行政队伍的政治素养和党性修养。强化业务能力培训，举办各类业务培训班</w:t>
      </w:r>
      <w:r>
        <w:rPr>
          <w:rFonts w:hint="eastAsia" w:ascii="Times New Roman" w:hAnsi="Times New Roman" w:eastAsia="仿宋_GB2312" w:cs="仿宋"/>
          <w:color w:val="auto"/>
          <w:spacing w:val="0"/>
          <w:sz w:val="32"/>
          <w:szCs w:val="32"/>
          <w:lang w:val="en-US" w:eastAsia="zh-CN"/>
        </w:rPr>
        <w:t>10</w:t>
      </w:r>
      <w:r>
        <w:rPr>
          <w:rFonts w:hint="eastAsia" w:ascii="仿宋" w:hAnsi="仿宋" w:eastAsia="仿宋_GB2312" w:cs="仿宋"/>
          <w:color w:val="auto"/>
          <w:spacing w:val="0"/>
          <w:sz w:val="32"/>
          <w:szCs w:val="32"/>
          <w:lang w:val="en-US" w:eastAsia="zh-CN"/>
        </w:rPr>
        <w:t>余期，邀请专家学者和业务骨干授课，内容涵盖行政执法监督、社区矫正、矛盾调解等多个领域，参训人员达</w:t>
      </w:r>
      <w:r>
        <w:rPr>
          <w:rFonts w:hint="eastAsia" w:ascii="Times New Roman" w:hAnsi="Times New Roman" w:eastAsia="仿宋_GB2312" w:cs="仿宋"/>
          <w:color w:val="auto"/>
          <w:spacing w:val="0"/>
          <w:sz w:val="32"/>
          <w:szCs w:val="32"/>
          <w:lang w:val="en-US" w:eastAsia="zh-CN"/>
        </w:rPr>
        <w:t>2000</w:t>
      </w:r>
      <w:r>
        <w:rPr>
          <w:rFonts w:hint="eastAsia" w:ascii="仿宋" w:hAnsi="仿宋" w:eastAsia="仿宋_GB2312" w:cs="仿宋"/>
          <w:color w:val="auto"/>
          <w:spacing w:val="0"/>
          <w:sz w:val="32"/>
          <w:szCs w:val="32"/>
          <w:lang w:val="en-US" w:eastAsia="zh-CN"/>
        </w:rPr>
        <w:t>余人次。完善考核激励机制，创新构建“基础工作+创新突破+作风效能”三位一体考核体系，将创新、业绩、作风等纳入考核范围，对表现优秀的个人和集体进行表扬奖励，推动形成“比学赶超”氛围，机关党委获评全市优秀党组织，多名干部荣获全市优秀党员或党务工作者，</w:t>
      </w:r>
      <w:r>
        <w:rPr>
          <w:rFonts w:hint="eastAsia" w:ascii="Times New Roman" w:hAnsi="Times New Roman" w:eastAsia="仿宋_GB2312" w:cs="仿宋"/>
          <w:color w:val="auto"/>
          <w:spacing w:val="0"/>
          <w:sz w:val="32"/>
          <w:szCs w:val="32"/>
          <w:lang w:val="en-US" w:eastAsia="zh-CN"/>
        </w:rPr>
        <w:t>12</w:t>
      </w:r>
      <w:r>
        <w:rPr>
          <w:rFonts w:hint="eastAsia" w:ascii="仿宋" w:hAnsi="仿宋" w:eastAsia="仿宋_GB2312" w:cs="仿宋"/>
          <w:color w:val="auto"/>
          <w:spacing w:val="0"/>
          <w:sz w:val="32"/>
          <w:szCs w:val="32"/>
          <w:lang w:val="en-US" w:eastAsia="zh-CN"/>
        </w:rPr>
        <w:t>个集体</w:t>
      </w:r>
      <w:r>
        <w:rPr>
          <w:rFonts w:hint="eastAsia" w:ascii="Times New Roman" w:hAnsi="Times New Roman" w:eastAsia="仿宋_GB2312" w:cs="仿宋"/>
          <w:color w:val="auto"/>
          <w:spacing w:val="0"/>
          <w:sz w:val="32"/>
          <w:szCs w:val="32"/>
          <w:lang w:val="en-US" w:eastAsia="zh-CN"/>
        </w:rPr>
        <w:t>20</w:t>
      </w:r>
      <w:r>
        <w:rPr>
          <w:rFonts w:hint="eastAsia" w:ascii="仿宋" w:hAnsi="仿宋" w:eastAsia="仿宋_GB2312" w:cs="仿宋"/>
          <w:color w:val="auto"/>
          <w:spacing w:val="0"/>
          <w:sz w:val="32"/>
          <w:szCs w:val="32"/>
          <w:lang w:val="en-US" w:eastAsia="zh-CN"/>
        </w:rPr>
        <w:t>人次受到省级以上奖励表彰表扬。树立正确用人导向，坚持“好干部”标准，注重从基层一线和业务骨干中选拔任用干部，向市委推荐一名年轻干部提拔为副处级领导，全年提拔</w:t>
      </w:r>
      <w:r>
        <w:rPr>
          <w:rFonts w:hint="eastAsia" w:ascii="Times New Roman" w:hAnsi="Times New Roman" w:eastAsia="仿宋_GB2312" w:cs="仿宋"/>
          <w:color w:val="auto"/>
          <w:spacing w:val="0"/>
          <w:sz w:val="32"/>
          <w:szCs w:val="32"/>
          <w:lang w:val="en-US" w:eastAsia="zh-CN"/>
        </w:rPr>
        <w:t>17</w:t>
      </w:r>
      <w:r>
        <w:rPr>
          <w:rFonts w:hint="eastAsia" w:ascii="仿宋" w:hAnsi="仿宋" w:eastAsia="仿宋_GB2312" w:cs="仿宋"/>
          <w:color w:val="auto"/>
          <w:spacing w:val="0"/>
          <w:sz w:val="32"/>
          <w:szCs w:val="32"/>
          <w:lang w:val="en-US" w:eastAsia="zh-CN"/>
        </w:rPr>
        <w:t>名科级干部，为</w:t>
      </w:r>
      <w:r>
        <w:rPr>
          <w:rFonts w:hint="eastAsia" w:ascii="Times New Roman" w:hAnsi="Times New Roman" w:eastAsia="仿宋_GB2312" w:cs="仿宋"/>
          <w:color w:val="auto"/>
          <w:spacing w:val="0"/>
          <w:sz w:val="32"/>
          <w:szCs w:val="32"/>
          <w:lang w:val="en-US" w:eastAsia="zh-CN"/>
        </w:rPr>
        <w:t>27</w:t>
      </w:r>
      <w:r>
        <w:rPr>
          <w:rFonts w:hint="eastAsia" w:ascii="仿宋" w:hAnsi="仿宋" w:eastAsia="仿宋_GB2312" w:cs="仿宋"/>
          <w:color w:val="auto"/>
          <w:spacing w:val="0"/>
          <w:sz w:val="32"/>
          <w:szCs w:val="32"/>
          <w:lang w:val="en-US" w:eastAsia="zh-CN"/>
        </w:rPr>
        <w:t>名履职尽责、表现优异的干部落实职级晋升，对</w:t>
      </w:r>
      <w:r>
        <w:rPr>
          <w:rFonts w:hint="eastAsia" w:ascii="Times New Roman" w:hAnsi="Times New Roman" w:eastAsia="仿宋_GB2312" w:cs="仿宋"/>
          <w:color w:val="auto"/>
          <w:spacing w:val="0"/>
          <w:sz w:val="32"/>
          <w:szCs w:val="32"/>
          <w:lang w:val="en-US" w:eastAsia="zh-CN"/>
        </w:rPr>
        <w:t>27</w:t>
      </w:r>
      <w:r>
        <w:rPr>
          <w:rFonts w:hint="eastAsia" w:ascii="仿宋" w:hAnsi="仿宋" w:eastAsia="仿宋_GB2312" w:cs="仿宋"/>
          <w:color w:val="auto"/>
          <w:spacing w:val="0"/>
          <w:sz w:val="32"/>
          <w:szCs w:val="32"/>
          <w:lang w:val="en-US" w:eastAsia="zh-CN"/>
        </w:rPr>
        <w:t>名干部进行跨科室、跨领域轮岗交流，有效激发了队伍积极性和创造力。</w:t>
      </w:r>
    </w:p>
    <w:p w14:paraId="6981186A">
      <w:pPr>
        <w:keepNext w:val="0"/>
        <w:keepLines w:val="0"/>
        <w:pageBreakBefore w:val="0"/>
        <w:widowControl w:val="0"/>
        <w:shd w:val="clear"/>
        <w:kinsoku/>
        <w:wordWrap/>
        <w:overflowPunct/>
        <w:topLinePunct w:val="0"/>
        <w:autoSpaceDE/>
        <w:autoSpaceDN/>
        <w:bidi w:val="0"/>
        <w:adjustRightInd/>
        <w:snapToGrid w:val="0"/>
        <w:spacing w:line="600" w:lineRule="exact"/>
        <w:ind w:firstLine="640" w:firstLineChars="200"/>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九、存在的问题及原因分析</w:t>
      </w:r>
    </w:p>
    <w:p w14:paraId="650BF82B">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val="0"/>
        <w:spacing w:before="0" w:beforeAutospacing="0" w:after="0" w:afterAutospacing="0" w:line="600" w:lineRule="exact"/>
        <w:ind w:left="0" w:leftChars="0" w:right="0" w:firstLine="643" w:firstLineChars="200"/>
        <w:jc w:val="both"/>
        <w:textAlignment w:val="auto"/>
        <w:rPr>
          <w:rFonts w:hint="eastAsia" w:ascii="楷体" w:hAnsi="楷体" w:eastAsia="楷体_GB2312" w:cs="楷体"/>
          <w:b/>
          <w:bCs/>
          <w:i w:val="0"/>
          <w:iCs w:val="0"/>
          <w:caps w:val="0"/>
          <w:color w:val="000000" w:themeColor="text1"/>
          <w:spacing w:val="0"/>
          <w:sz w:val="32"/>
          <w:szCs w:val="32"/>
          <w:shd w:val="clear" w:fill="FFFFFF"/>
          <w14:textFill>
            <w14:solidFill>
              <w14:schemeClr w14:val="tx1"/>
            </w14:solidFill>
          </w14:textFill>
        </w:rPr>
      </w:pPr>
      <w:r>
        <w:rPr>
          <w:rFonts w:hint="eastAsia" w:ascii="楷体" w:hAnsi="楷体" w:eastAsia="楷体_GB2312" w:cs="楷体"/>
          <w:b/>
          <w:bCs/>
          <w:i w:val="0"/>
          <w:iCs w:val="0"/>
          <w:caps w:val="0"/>
          <w:color w:val="000000" w:themeColor="text1"/>
          <w:spacing w:val="0"/>
          <w:sz w:val="32"/>
          <w:szCs w:val="32"/>
          <w:shd w:val="clear" w:fill="FFFFFF"/>
          <w:lang w:eastAsia="zh-CN"/>
          <w14:textFill>
            <w14:solidFill>
              <w14:schemeClr w14:val="tx1"/>
            </w14:solidFill>
          </w14:textFill>
        </w:rPr>
        <w:t>（一）</w:t>
      </w:r>
      <w:r>
        <w:rPr>
          <w:rFonts w:hint="eastAsia" w:ascii="楷体" w:hAnsi="楷体" w:eastAsia="楷体_GB2312" w:cs="楷体"/>
          <w:b/>
          <w:bCs/>
          <w:i w:val="0"/>
          <w:iCs w:val="0"/>
          <w:caps w:val="0"/>
          <w:color w:val="000000" w:themeColor="text1"/>
          <w:spacing w:val="0"/>
          <w:sz w:val="32"/>
          <w:szCs w:val="32"/>
          <w:shd w:val="clear" w:fill="FFFFFF"/>
          <w14:textFill>
            <w14:solidFill>
              <w14:schemeClr w14:val="tx1"/>
            </w14:solidFill>
          </w14:textFill>
        </w:rPr>
        <w:t>绩效目标精细化程度不足</w:t>
      </w:r>
    </w:p>
    <w:p w14:paraId="364AF3DE">
      <w:pPr>
        <w:pStyle w:val="6"/>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val="0"/>
        <w:spacing w:before="0" w:beforeAutospacing="0" w:after="0" w:afterAutospacing="0" w:line="600" w:lineRule="exact"/>
        <w:ind w:left="0" w:leftChars="0" w:right="0" w:firstLine="640" w:firstLineChars="200"/>
        <w:jc w:val="both"/>
        <w:textAlignment w:val="auto"/>
        <w:rPr>
          <w:rFonts w:hint="eastAsia" w:ascii="仿宋" w:hAnsi="仿宋" w:eastAsia="仿宋_GB2312" w:cs="仿宋"/>
          <w:b w:val="0"/>
          <w:bCs w:val="0"/>
          <w:i w:val="0"/>
          <w:iCs w:val="0"/>
          <w:caps w:val="0"/>
          <w:color w:val="000000" w:themeColor="text1"/>
          <w:spacing w:val="0"/>
          <w:sz w:val="32"/>
          <w:szCs w:val="32"/>
          <w:shd w:val="clear" w:fill="FFFFFF"/>
          <w14:textFill>
            <w14:solidFill>
              <w14:schemeClr w14:val="tx1"/>
            </w14:solidFill>
          </w14:textFill>
        </w:rPr>
      </w:pPr>
      <w:r>
        <w:rPr>
          <w:rFonts w:hint="eastAsia" w:ascii="仿宋" w:hAnsi="仿宋" w:eastAsia="仿宋_GB2312" w:cs="仿宋"/>
          <w:b w:val="0"/>
          <w:bCs w:val="0"/>
          <w:i w:val="0"/>
          <w:iCs w:val="0"/>
          <w:caps w:val="0"/>
          <w:color w:val="000000" w:themeColor="text1"/>
          <w:spacing w:val="0"/>
          <w:sz w:val="32"/>
          <w:szCs w:val="32"/>
          <w:shd w:val="clear" w:fill="FFFFFF"/>
          <w14:textFill>
            <w14:solidFill>
              <w14:schemeClr w14:val="tx1"/>
            </w14:solidFill>
          </w14:textFill>
        </w:rPr>
        <w:t>绩效目标编制时间与科室年度工作计划统筹衔接不充分，各业务科室年初工作安排尚未细化，导致部分绩效指标仅设置总量目标，细分量化、阶段性目标不够完善，绩效管理颗粒度不足。</w:t>
      </w:r>
    </w:p>
    <w:p w14:paraId="1AD22A90">
      <w:pPr>
        <w:pStyle w:val="6"/>
        <w:keepNext w:val="0"/>
        <w:keepLines w:val="0"/>
        <w:pageBreakBefore w:val="0"/>
        <w:widowControl w:val="0"/>
        <w:shd w:val="clear"/>
        <w:kinsoku/>
        <w:wordWrap/>
        <w:overflowPunct/>
        <w:topLinePunct w:val="0"/>
        <w:autoSpaceDE/>
        <w:autoSpaceDN/>
        <w:bidi w:val="0"/>
        <w:adjustRightInd/>
        <w:snapToGrid/>
        <w:spacing w:before="0" w:beforeAutospacing="0" w:after="0" w:afterAutospacing="0" w:line="600" w:lineRule="exact"/>
        <w:ind w:left="0" w:leftChars="0" w:firstLine="643" w:firstLineChars="200"/>
        <w:jc w:val="both"/>
        <w:textAlignment w:val="auto"/>
        <w:rPr>
          <w:rFonts w:hint="eastAsia" w:ascii="楷体" w:hAnsi="楷体" w:eastAsia="楷体_GB2312" w:cs="楷体"/>
          <w:b/>
          <w:bCs/>
          <w:i w:val="0"/>
          <w:iCs w:val="0"/>
          <w:caps w:val="0"/>
          <w:color w:val="000000" w:themeColor="text1"/>
          <w:spacing w:val="0"/>
          <w:sz w:val="32"/>
          <w:szCs w:val="32"/>
          <w:shd w:val="clear" w:fill="FFFFFF"/>
          <w:lang w:eastAsia="zh-CN"/>
          <w14:textFill>
            <w14:solidFill>
              <w14:schemeClr w14:val="tx1"/>
            </w14:solidFill>
          </w14:textFill>
        </w:rPr>
      </w:pPr>
      <w:r>
        <w:rPr>
          <w:rFonts w:hint="eastAsia" w:ascii="楷体" w:hAnsi="楷体" w:eastAsia="楷体_GB2312" w:cs="楷体"/>
          <w:b/>
          <w:bCs/>
          <w:i w:val="0"/>
          <w:iCs w:val="0"/>
          <w:caps w:val="0"/>
          <w:color w:val="000000" w:themeColor="text1"/>
          <w:spacing w:val="0"/>
          <w:sz w:val="32"/>
          <w:szCs w:val="32"/>
          <w:shd w:val="clear" w:fill="FFFFFF"/>
          <w:lang w:eastAsia="zh-CN"/>
          <w14:textFill>
            <w14:solidFill>
              <w14:schemeClr w14:val="tx1"/>
            </w14:solidFill>
          </w14:textFill>
        </w:rPr>
        <w:t>（二）项目预算执行率偏低，业务开展存在资金约束</w:t>
      </w:r>
    </w:p>
    <w:p w14:paraId="5ED86772">
      <w:pPr>
        <w:keepNext w:val="0"/>
        <w:keepLines w:val="0"/>
        <w:pageBreakBefore w:val="0"/>
        <w:widowControl w:val="0"/>
        <w:shd w:val="clear"/>
        <w:kinsoku/>
        <w:wordWrap/>
        <w:overflowPunct/>
        <w:topLinePunct w:val="0"/>
        <w:autoSpaceDE/>
        <w:autoSpaceDN/>
        <w:bidi w:val="0"/>
        <w:adjustRightInd/>
        <w:snapToGrid w:val="0"/>
        <w:spacing w:line="600" w:lineRule="exact"/>
        <w:ind w:firstLine="640" w:firstLineChars="200"/>
        <w:textAlignment w:val="auto"/>
        <w:rPr>
          <w:rFonts w:hint="eastAsia" w:ascii="仿宋" w:hAnsi="仿宋" w:eastAsia="仿宋_GB2312" w:cs="仿宋"/>
          <w:b w:val="0"/>
          <w:bCs w:val="0"/>
          <w:i w:val="0"/>
          <w:iCs w:val="0"/>
          <w:caps w:val="0"/>
          <w:color w:val="000000" w:themeColor="text1"/>
          <w:spacing w:val="0"/>
          <w:sz w:val="32"/>
          <w:szCs w:val="32"/>
          <w:shd w:val="clear" w:fill="FFFFFF"/>
          <w:lang w:eastAsia="zh-CN"/>
          <w14:textFill>
            <w14:solidFill>
              <w14:schemeClr w14:val="tx1"/>
            </w14:solidFill>
          </w14:textFill>
        </w:rPr>
      </w:pPr>
      <w:r>
        <w:rPr>
          <w:rFonts w:hint="eastAsia" w:ascii="仿宋" w:hAnsi="仿宋" w:eastAsia="仿宋_GB2312" w:cs="仿宋"/>
          <w:b w:val="0"/>
          <w:bCs w:val="0"/>
          <w:i w:val="0"/>
          <w:iCs w:val="0"/>
          <w:caps w:val="0"/>
          <w:color w:val="000000" w:themeColor="text1"/>
          <w:spacing w:val="0"/>
          <w:sz w:val="32"/>
          <w:szCs w:val="32"/>
          <w:shd w:val="clear" w:fill="FFFFFF"/>
          <w:lang w:eastAsia="zh-CN"/>
          <w14:textFill>
            <w14:solidFill>
              <w14:schemeClr w14:val="tx1"/>
            </w14:solidFill>
          </w14:textFill>
        </w:rPr>
        <w:t>市级财政统一压减专项预算，相关业务资金拨付不足，人民调解、法律援助等工作经费保障缺口突出，缺乏足额资金用于业务款项支付，造成项目整体资金执行率偏低，部分既定业务难以全面落地实施。</w:t>
      </w:r>
    </w:p>
    <w:p w14:paraId="5AC530E0">
      <w:pPr>
        <w:keepNext w:val="0"/>
        <w:keepLines w:val="0"/>
        <w:pageBreakBefore w:val="0"/>
        <w:widowControl w:val="0"/>
        <w:shd w:val="clear"/>
        <w:kinsoku/>
        <w:wordWrap/>
        <w:overflowPunct/>
        <w:topLinePunct w:val="0"/>
        <w:autoSpaceDE/>
        <w:autoSpaceDN/>
        <w:bidi w:val="0"/>
        <w:adjustRightInd/>
        <w:snapToGrid w:val="0"/>
        <w:spacing w:line="600" w:lineRule="exact"/>
        <w:ind w:firstLine="640" w:firstLineChars="200"/>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十、下一步改进措施</w:t>
      </w:r>
    </w:p>
    <w:p w14:paraId="224EBEBF">
      <w:pPr>
        <w:pStyle w:val="6"/>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val="0"/>
        <w:spacing w:before="0" w:beforeAutospacing="0" w:after="0" w:afterAutospacing="0" w:line="600" w:lineRule="exact"/>
        <w:ind w:left="0" w:leftChars="0" w:right="0" w:rightChars="0" w:firstLine="643" w:firstLineChars="200"/>
        <w:jc w:val="both"/>
        <w:textAlignment w:val="auto"/>
        <w:rPr>
          <w:rFonts w:hint="eastAsia" w:ascii="楷体" w:hAnsi="楷体" w:eastAsia="楷体_GB2312" w:cs="楷体"/>
          <w:b/>
          <w:bCs/>
          <w:i w:val="0"/>
          <w:iCs w:val="0"/>
          <w:caps w:val="0"/>
          <w:color w:val="000000" w:themeColor="text1"/>
          <w:spacing w:val="0"/>
          <w:sz w:val="32"/>
          <w:szCs w:val="32"/>
          <w:shd w:val="clear" w:fill="FFFFFF"/>
          <w:lang w:val="en-US" w:eastAsia="zh-CN"/>
          <w14:textFill>
            <w14:solidFill>
              <w14:schemeClr w14:val="tx1"/>
            </w14:solidFill>
          </w14:textFill>
        </w:rPr>
      </w:pPr>
      <w:r>
        <w:rPr>
          <w:rFonts w:hint="eastAsia" w:ascii="楷体" w:hAnsi="楷体" w:eastAsia="楷体_GB2312" w:cs="楷体"/>
          <w:b/>
          <w:bCs/>
          <w:i w:val="0"/>
          <w:iCs w:val="0"/>
          <w:caps w:val="0"/>
          <w:color w:val="000000" w:themeColor="text1"/>
          <w:spacing w:val="0"/>
          <w:sz w:val="32"/>
          <w:szCs w:val="32"/>
          <w:shd w:val="clear" w:fill="FFFFFF"/>
          <w:lang w:val="en-US" w:eastAsia="zh-CN"/>
          <w14:textFill>
            <w14:solidFill>
              <w14:schemeClr w14:val="tx1"/>
            </w14:solidFill>
          </w14:textFill>
        </w:rPr>
        <w:t>（一）优化预算编制，提升预算精准度</w:t>
      </w:r>
    </w:p>
    <w:p w14:paraId="3510846A">
      <w:pPr>
        <w:pStyle w:val="6"/>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val="0"/>
        <w:spacing w:before="0" w:beforeAutospacing="0" w:after="0" w:afterAutospacing="0" w:line="600" w:lineRule="exact"/>
        <w:ind w:left="0" w:leftChars="0" w:right="0" w:rightChars="0" w:firstLine="640" w:firstLineChars="200"/>
        <w:jc w:val="both"/>
        <w:textAlignment w:val="auto"/>
        <w:rPr>
          <w:rFonts w:hint="eastAsia" w:ascii="仿宋" w:hAnsi="仿宋" w:eastAsia="仿宋_GB2312" w:cs="仿宋"/>
          <w:b w:val="0"/>
          <w:bCs w:val="0"/>
          <w:i w:val="0"/>
          <w:iCs w:val="0"/>
          <w:caps w:val="0"/>
          <w:color w:val="000000" w:themeColor="text1"/>
          <w:spacing w:val="0"/>
          <w:kern w:val="0"/>
          <w:sz w:val="32"/>
          <w:szCs w:val="32"/>
          <w:shd w:val="clear" w:fill="FFFFFF"/>
          <w:lang w:val="en-US" w:eastAsia="zh-CN" w:bidi="ar"/>
          <w14:textFill>
            <w14:solidFill>
              <w14:schemeClr w14:val="tx1"/>
            </w14:solidFill>
          </w14:textFill>
        </w:rPr>
      </w:pPr>
      <w:r>
        <w:rPr>
          <w:rFonts w:hint="eastAsia" w:ascii="仿宋" w:hAnsi="仿宋" w:eastAsia="仿宋_GB2312" w:cs="仿宋"/>
          <w:b w:val="0"/>
          <w:bCs w:val="0"/>
          <w:i w:val="0"/>
          <w:iCs w:val="0"/>
          <w:caps w:val="0"/>
          <w:color w:val="000000" w:themeColor="text1"/>
          <w:spacing w:val="0"/>
          <w:sz w:val="32"/>
          <w:szCs w:val="32"/>
          <w:shd w:val="clear" w:fill="FFFFFF"/>
          <w:lang w:val="en-US" w:eastAsia="zh-CN"/>
          <w14:textFill>
            <w14:solidFill>
              <w14:schemeClr w14:val="tx1"/>
            </w14:solidFill>
          </w14:textFill>
        </w:rPr>
        <w:t>结合近三年预算执行数据、年度重点工作任务科学测算资金需求，做实项目事前调研论证；将绩效目标编制质量纳入科室年度考核，绩效目标设置不完善、未通过审核的项目不予申报预算，实现预算与绩效目标深度绑定。</w:t>
      </w:r>
    </w:p>
    <w:p w14:paraId="16BBE1E7">
      <w:pPr>
        <w:pStyle w:val="6"/>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val="0"/>
        <w:spacing w:before="0" w:beforeAutospacing="0" w:after="0" w:afterAutospacing="0" w:line="600" w:lineRule="exact"/>
        <w:ind w:left="0" w:leftChars="0" w:right="0" w:rightChars="0" w:firstLine="643" w:firstLineChars="200"/>
        <w:jc w:val="both"/>
        <w:textAlignment w:val="auto"/>
        <w:rPr>
          <w:rFonts w:hint="eastAsia" w:ascii="楷体" w:hAnsi="楷体" w:eastAsia="楷体_GB2312" w:cs="楷体"/>
          <w:b/>
          <w:bCs/>
          <w:i w:val="0"/>
          <w:iCs w:val="0"/>
          <w:caps w:val="0"/>
          <w:color w:val="000000" w:themeColor="text1"/>
          <w:spacing w:val="0"/>
          <w:sz w:val="32"/>
          <w:szCs w:val="32"/>
          <w:shd w:val="clear" w:fill="FFFFFF"/>
          <w:lang w:val="en-US" w:eastAsia="zh-CN"/>
          <w14:textFill>
            <w14:solidFill>
              <w14:schemeClr w14:val="tx1"/>
            </w14:solidFill>
          </w14:textFill>
        </w:rPr>
      </w:pPr>
      <w:r>
        <w:rPr>
          <w:rFonts w:hint="eastAsia" w:ascii="楷体" w:hAnsi="楷体" w:eastAsia="楷体_GB2312" w:cs="楷体"/>
          <w:b/>
          <w:bCs/>
          <w:i w:val="0"/>
          <w:iCs w:val="0"/>
          <w:caps w:val="0"/>
          <w:color w:val="000000" w:themeColor="text1"/>
          <w:spacing w:val="0"/>
          <w:sz w:val="32"/>
          <w:szCs w:val="32"/>
          <w:shd w:val="clear" w:fill="FFFFFF"/>
          <w:lang w:val="en-US" w:eastAsia="zh-CN"/>
          <w14:textFill>
            <w14:solidFill>
              <w14:schemeClr w14:val="tx1"/>
            </w14:solidFill>
          </w14:textFill>
        </w:rPr>
        <w:t>（二）坚持厉行节约，统筹盘活资金保障业务</w:t>
      </w:r>
    </w:p>
    <w:p w14:paraId="6184AF0D">
      <w:pPr>
        <w:pStyle w:val="6"/>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val="0"/>
        <w:spacing w:before="0" w:beforeAutospacing="0" w:after="0" w:afterAutospacing="0" w:line="600" w:lineRule="exact"/>
        <w:ind w:left="0" w:leftChars="0" w:right="0" w:rightChars="0" w:firstLine="640" w:firstLineChars="200"/>
        <w:jc w:val="both"/>
        <w:textAlignment w:val="auto"/>
        <w:rPr>
          <w:rFonts w:hint="eastAsia" w:ascii="仿宋" w:hAnsi="仿宋" w:eastAsia="仿宋_GB2312" w:cs="仿宋"/>
          <w:b w:val="0"/>
          <w:bCs w:val="0"/>
          <w:i w:val="0"/>
          <w:iCs w:val="0"/>
          <w:caps w:val="0"/>
          <w:color w:val="000000" w:themeColor="text1"/>
          <w:spacing w:val="0"/>
          <w:sz w:val="32"/>
          <w:szCs w:val="32"/>
          <w:shd w:val="clear" w:fill="FFFFFF"/>
          <w:lang w:val="en-US" w:eastAsia="zh-CN"/>
          <w14:textFill>
            <w14:solidFill>
              <w14:schemeClr w14:val="tx1"/>
            </w14:solidFill>
          </w14:textFill>
        </w:rPr>
      </w:pPr>
      <w:r>
        <w:rPr>
          <w:rFonts w:hint="eastAsia" w:ascii="仿宋" w:hAnsi="仿宋" w:eastAsia="仿宋_GB2312" w:cs="仿宋"/>
          <w:b w:val="0"/>
          <w:bCs w:val="0"/>
          <w:i w:val="0"/>
          <w:iCs w:val="0"/>
          <w:caps w:val="0"/>
          <w:color w:val="000000" w:themeColor="text1"/>
          <w:spacing w:val="0"/>
          <w:sz w:val="32"/>
          <w:szCs w:val="32"/>
          <w:shd w:val="clear" w:fill="FFFFFF"/>
          <w:lang w:val="en-US" w:eastAsia="zh-CN"/>
          <w14:textFill>
            <w14:solidFill>
              <w14:schemeClr w14:val="tx1"/>
            </w14:solidFill>
          </w14:textFill>
        </w:rPr>
        <w:t>严格执行《党政机关厉行节约反对浪费条例》，细化年度经费使用计划，持续严控“三公”经费、非必要办公开支；全部采购事项规范执行政府采购流程，降低运行成本；统筹整合存量专项资金，优先保障普法、执法监督、法律援助、基层调解等民生核心业务，缓解经费短缺压力。</w:t>
      </w:r>
    </w:p>
    <w:p w14:paraId="0D901C06">
      <w:pPr>
        <w:pStyle w:val="6"/>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val="0"/>
        <w:spacing w:before="0" w:beforeAutospacing="0" w:after="0" w:afterAutospacing="0" w:line="600" w:lineRule="exact"/>
        <w:ind w:right="0" w:rightChars="0" w:firstLine="643" w:firstLineChars="200"/>
        <w:jc w:val="both"/>
        <w:textAlignment w:val="auto"/>
        <w:rPr>
          <w:rFonts w:hint="eastAsia" w:ascii="楷体" w:hAnsi="楷体" w:eastAsia="楷体_GB2312" w:cs="楷体"/>
          <w:b/>
          <w:bCs/>
          <w:i w:val="0"/>
          <w:iCs w:val="0"/>
          <w:caps w:val="0"/>
          <w:color w:val="000000" w:themeColor="text1"/>
          <w:spacing w:val="0"/>
          <w:sz w:val="32"/>
          <w:szCs w:val="32"/>
          <w:shd w:val="clear" w:fill="FFFFFF"/>
          <w:lang w:val="en-US" w:eastAsia="zh-CN"/>
          <w14:textFill>
            <w14:solidFill>
              <w14:schemeClr w14:val="tx1"/>
            </w14:solidFill>
          </w14:textFill>
        </w:rPr>
      </w:pPr>
      <w:r>
        <w:rPr>
          <w:rFonts w:hint="eastAsia" w:ascii="楷体" w:hAnsi="楷体" w:eastAsia="楷体_GB2312" w:cs="楷体"/>
          <w:b/>
          <w:bCs/>
          <w:i w:val="0"/>
          <w:iCs w:val="0"/>
          <w:caps w:val="0"/>
          <w:color w:val="000000" w:themeColor="text1"/>
          <w:spacing w:val="0"/>
          <w:sz w:val="32"/>
          <w:szCs w:val="32"/>
          <w:shd w:val="clear" w:fill="FFFFFF"/>
          <w:lang w:val="en-US" w:eastAsia="zh-CN"/>
          <w14:textFill>
            <w14:solidFill>
              <w14:schemeClr w14:val="tx1"/>
            </w14:solidFill>
          </w14:textFill>
        </w:rPr>
        <w:t xml:space="preserve">（三）强化项目全周期绩效管理 </w:t>
      </w:r>
    </w:p>
    <w:p w14:paraId="320EB9EF">
      <w:pPr>
        <w:pStyle w:val="6"/>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val="0"/>
        <w:spacing w:before="0" w:beforeAutospacing="0" w:after="0" w:afterAutospacing="0" w:line="600" w:lineRule="exact"/>
        <w:ind w:right="0" w:rightChars="0" w:firstLine="640" w:firstLineChars="200"/>
        <w:jc w:val="both"/>
        <w:textAlignment w:val="auto"/>
        <w:rPr>
          <w:rFonts w:hint="eastAsia" w:ascii="仿宋" w:hAnsi="仿宋" w:eastAsia="仿宋_GB2312" w:cs="仿宋"/>
          <w:b w:val="0"/>
          <w:bCs w:val="0"/>
          <w:i w:val="0"/>
          <w:iCs w:val="0"/>
          <w:caps w:val="0"/>
          <w:color w:val="000000" w:themeColor="text1"/>
          <w:spacing w:val="0"/>
          <w:sz w:val="32"/>
          <w:szCs w:val="32"/>
          <w:shd w:val="clear" w:fill="FFFFFF"/>
          <w:lang w:val="en-US" w:eastAsia="zh-CN"/>
          <w14:textFill>
            <w14:solidFill>
              <w14:schemeClr w14:val="tx1"/>
            </w14:solidFill>
          </w14:textFill>
        </w:rPr>
      </w:pPr>
      <w:r>
        <w:rPr>
          <w:rFonts w:hint="eastAsia" w:ascii="仿宋" w:hAnsi="仿宋" w:eastAsia="仿宋_GB2312" w:cs="仿宋"/>
          <w:b w:val="0"/>
          <w:bCs w:val="0"/>
          <w:i w:val="0"/>
          <w:iCs w:val="0"/>
          <w:caps w:val="0"/>
          <w:color w:val="000000" w:themeColor="text1"/>
          <w:spacing w:val="0"/>
          <w:sz w:val="32"/>
          <w:szCs w:val="32"/>
          <w:shd w:val="clear" w:fill="FFFFFF"/>
          <w:lang w:val="en-US" w:eastAsia="zh-CN"/>
          <w14:textFill>
            <w14:solidFill>
              <w14:schemeClr w14:val="tx1"/>
            </w14:solidFill>
          </w14:textFill>
        </w:rPr>
        <w:t>完善年中绩效监控、年末自评机制，对执行滞后项目及时预警、调整实施计划；细化绩效指标分层设置，明确季度、年度量化任务，打通业务科室、财务科室绩效协同通道，提升绩效目标可衡量、可考核水平。</w:t>
      </w:r>
    </w:p>
    <w:p w14:paraId="2EF37019">
      <w:pPr>
        <w:keepNext w:val="0"/>
        <w:keepLines w:val="0"/>
        <w:pageBreakBefore w:val="0"/>
        <w:widowControl w:val="0"/>
        <w:numPr>
          <w:ilvl w:val="0"/>
          <w:numId w:val="0"/>
        </w:numPr>
        <w:shd w:val="clear"/>
        <w:kinsoku/>
        <w:wordWrap/>
        <w:overflowPunct/>
        <w:topLinePunct w:val="0"/>
        <w:autoSpaceDE/>
        <w:autoSpaceDN/>
        <w:bidi w:val="0"/>
        <w:adjustRightInd/>
        <w:snapToGrid w:val="0"/>
        <w:spacing w:line="600" w:lineRule="exact"/>
        <w:ind w:firstLine="640" w:firstLineChars="200"/>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十一、绩效自评结果拟应用和公开情况</w:t>
      </w:r>
    </w:p>
    <w:p w14:paraId="47F23EFD">
      <w:pPr>
        <w:keepNext w:val="0"/>
        <w:keepLines w:val="0"/>
        <w:pageBreakBefore w:val="0"/>
        <w:widowControl w:val="0"/>
        <w:numPr>
          <w:ilvl w:val="0"/>
          <w:numId w:val="0"/>
        </w:numPr>
        <w:shd w:val="clear"/>
        <w:kinsoku/>
        <w:wordWrap/>
        <w:overflowPunct/>
        <w:topLinePunct w:val="0"/>
        <w:autoSpaceDE/>
        <w:autoSpaceDN/>
        <w:bidi w:val="0"/>
        <w:adjustRightInd/>
        <w:snapToGrid w:val="0"/>
        <w:spacing w:line="600" w:lineRule="exact"/>
        <w:ind w:left="0" w:leftChars="0" w:firstLine="640" w:firstLineChars="200"/>
        <w:jc w:val="both"/>
        <w:textAlignment w:val="auto"/>
        <w:rPr>
          <w:rFonts w:hint="eastAsia" w:ascii="仿宋" w:hAnsi="仿宋" w:eastAsia="仿宋_GB2312" w:cs="仿宋"/>
          <w:b/>
          <w:bCs/>
          <w:color w:val="auto"/>
          <w:sz w:val="32"/>
          <w:szCs w:val="32"/>
          <w:highlight w:val="none"/>
          <w:lang w:val="en-US" w:eastAsia="zh-CN"/>
        </w:rPr>
      </w:pPr>
      <w:r>
        <w:rPr>
          <w:rFonts w:hint="eastAsia" w:ascii="仿宋" w:hAnsi="仿宋" w:eastAsia="仿宋_GB2312" w:cs="仿宋"/>
          <w:b w:val="0"/>
          <w:bCs w:val="0"/>
          <w:color w:val="000000" w:themeColor="text1"/>
          <w:sz w:val="32"/>
          <w:szCs w:val="32"/>
          <w:highlight w:val="none"/>
          <w:lang w:val="en-US" w:eastAsia="zh-CN"/>
          <w14:textFill>
            <w14:solidFill>
              <w14:schemeClr w14:val="tx1"/>
            </w14:solidFill>
          </w14:textFill>
        </w:rPr>
        <w:t>绩效自评结果将作为以后年度预算的重要依据，针对自评中存在的问题及时整改，加强预算绩效管理，切实提高财政资金使用效益。绩效自评将在怀化市司法局门户网站和怀化市财政局门户网站进行公开。</w:t>
      </w:r>
    </w:p>
    <w:p w14:paraId="4DC01391">
      <w:pPr>
        <w:keepNext w:val="0"/>
        <w:keepLines w:val="0"/>
        <w:pageBreakBefore w:val="0"/>
        <w:widowControl w:val="0"/>
        <w:shd w:val="clear"/>
        <w:kinsoku/>
        <w:wordWrap/>
        <w:overflowPunct/>
        <w:topLinePunct w:val="0"/>
        <w:autoSpaceDE/>
        <w:autoSpaceDN/>
        <w:bidi w:val="0"/>
        <w:adjustRightInd/>
        <w:snapToGrid w:val="0"/>
        <w:spacing w:line="600" w:lineRule="exact"/>
        <w:ind w:firstLine="640" w:firstLineChars="200"/>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十二、其他需要说明的情况</w:t>
      </w:r>
    </w:p>
    <w:p w14:paraId="7DCB2AB0">
      <w:pPr>
        <w:keepNext w:val="0"/>
        <w:keepLines w:val="0"/>
        <w:pageBreakBefore w:val="0"/>
        <w:widowControl w:val="0"/>
        <w:shd w:val="clear"/>
        <w:kinsoku/>
        <w:wordWrap/>
        <w:overflowPunct/>
        <w:topLinePunct w:val="0"/>
        <w:autoSpaceDE/>
        <w:autoSpaceDN/>
        <w:bidi w:val="0"/>
        <w:adjustRightInd/>
        <w:snapToGrid w:val="0"/>
        <w:spacing w:line="600" w:lineRule="exact"/>
        <w:ind w:firstLine="640" w:firstLineChars="200"/>
        <w:textAlignment w:val="auto"/>
        <w:rPr>
          <w:rFonts w:hint="eastAsia" w:ascii="仿宋" w:hAnsi="仿宋" w:eastAsia="仿宋_GB2312" w:cs="仿宋"/>
          <w:color w:val="auto"/>
          <w:sz w:val="32"/>
          <w:szCs w:val="32"/>
          <w:highlight w:val="none"/>
          <w:lang w:val="en-US" w:eastAsia="zh-CN"/>
        </w:rPr>
      </w:pPr>
      <w:r>
        <w:rPr>
          <w:rFonts w:hint="eastAsia" w:ascii="仿宋" w:hAnsi="仿宋" w:eastAsia="仿宋_GB2312" w:cs="仿宋"/>
          <w:color w:val="auto"/>
          <w:sz w:val="32"/>
          <w:szCs w:val="32"/>
          <w:highlight w:val="none"/>
          <w:lang w:val="en-US" w:eastAsia="zh-CN"/>
        </w:rPr>
        <w:t>整体支出报告需要以下附件：</w:t>
      </w:r>
    </w:p>
    <w:p w14:paraId="7D142469">
      <w:pPr>
        <w:keepNext w:val="0"/>
        <w:keepLines w:val="0"/>
        <w:pageBreakBefore w:val="0"/>
        <w:widowControl w:val="0"/>
        <w:numPr>
          <w:ilvl w:val="0"/>
          <w:numId w:val="0"/>
        </w:numPr>
        <w:shd w:val="clear"/>
        <w:kinsoku/>
        <w:wordWrap/>
        <w:overflowPunct/>
        <w:topLinePunct w:val="0"/>
        <w:autoSpaceDE/>
        <w:autoSpaceDN/>
        <w:bidi w:val="0"/>
        <w:adjustRightInd/>
        <w:snapToGrid w:val="0"/>
        <w:spacing w:line="600" w:lineRule="exact"/>
        <w:ind w:firstLine="640" w:firstLineChars="200"/>
        <w:textAlignment w:val="auto"/>
        <w:rPr>
          <w:rFonts w:hint="eastAsia" w:ascii="仿宋" w:hAnsi="仿宋" w:eastAsia="仿宋_GB2312" w:cs="仿宋"/>
          <w:color w:val="auto"/>
          <w:sz w:val="32"/>
          <w:szCs w:val="32"/>
          <w:highlight w:val="none"/>
          <w:lang w:val="en-US" w:eastAsia="zh-CN"/>
        </w:rPr>
      </w:pPr>
      <w:r>
        <w:rPr>
          <w:rFonts w:hint="eastAsia" w:ascii="Times New Roman" w:hAnsi="Times New Roman" w:eastAsia="仿宋_GB2312" w:cs="仿宋"/>
          <w:color w:val="auto"/>
          <w:sz w:val="32"/>
          <w:szCs w:val="32"/>
          <w:highlight w:val="none"/>
          <w:lang w:val="en-US" w:eastAsia="zh-CN"/>
        </w:rPr>
        <w:t>1</w:t>
      </w:r>
      <w:r>
        <w:rPr>
          <w:rFonts w:hint="eastAsia" w:ascii="仿宋" w:hAnsi="仿宋" w:eastAsia="仿宋_GB2312" w:cs="仿宋"/>
          <w:color w:val="auto"/>
          <w:sz w:val="32"/>
          <w:szCs w:val="32"/>
          <w:highlight w:val="none"/>
          <w:lang w:val="en-US" w:eastAsia="zh-CN"/>
        </w:rPr>
        <w:t>.部门整体支出绩效评价基础数据表</w:t>
      </w:r>
    </w:p>
    <w:p w14:paraId="24AB1744">
      <w:pPr>
        <w:keepNext w:val="0"/>
        <w:keepLines w:val="0"/>
        <w:pageBreakBefore w:val="0"/>
        <w:widowControl w:val="0"/>
        <w:numPr>
          <w:ilvl w:val="0"/>
          <w:numId w:val="0"/>
        </w:numPr>
        <w:shd w:val="clear"/>
        <w:kinsoku/>
        <w:wordWrap/>
        <w:overflowPunct/>
        <w:topLinePunct w:val="0"/>
        <w:autoSpaceDE/>
        <w:autoSpaceDN/>
        <w:bidi w:val="0"/>
        <w:adjustRightInd/>
        <w:snapToGrid w:val="0"/>
        <w:spacing w:line="600" w:lineRule="exact"/>
        <w:ind w:firstLine="640" w:firstLineChars="200"/>
        <w:textAlignment w:val="auto"/>
        <w:rPr>
          <w:rFonts w:hint="eastAsia" w:ascii="仿宋" w:hAnsi="仿宋" w:eastAsia="仿宋_GB2312" w:cs="仿宋"/>
          <w:color w:val="auto"/>
          <w:sz w:val="32"/>
          <w:szCs w:val="32"/>
          <w:highlight w:val="none"/>
          <w:lang w:val="en-US" w:eastAsia="zh-CN"/>
        </w:rPr>
      </w:pPr>
      <w:r>
        <w:rPr>
          <w:rFonts w:hint="eastAsia" w:ascii="Times New Roman" w:hAnsi="Times New Roman" w:eastAsia="仿宋_GB2312" w:cs="仿宋"/>
          <w:color w:val="auto"/>
          <w:sz w:val="32"/>
          <w:szCs w:val="32"/>
          <w:highlight w:val="none"/>
          <w:lang w:val="en-US" w:eastAsia="zh-CN"/>
        </w:rPr>
        <w:t>2</w:t>
      </w:r>
      <w:r>
        <w:rPr>
          <w:rFonts w:hint="eastAsia" w:ascii="仿宋" w:hAnsi="仿宋" w:eastAsia="仿宋_GB2312" w:cs="仿宋"/>
          <w:color w:val="auto"/>
          <w:sz w:val="32"/>
          <w:szCs w:val="32"/>
          <w:highlight w:val="none"/>
          <w:lang w:val="en-US" w:eastAsia="zh-CN"/>
        </w:rPr>
        <w:t>.部门整体支出绩效自评表</w:t>
      </w:r>
    </w:p>
    <w:p w14:paraId="0413E47B">
      <w:pPr>
        <w:keepNext w:val="0"/>
        <w:keepLines w:val="0"/>
        <w:pageBreakBefore w:val="0"/>
        <w:widowControl w:val="0"/>
        <w:shd w:val="clear"/>
        <w:kinsoku/>
        <w:wordWrap/>
        <w:overflowPunct/>
        <w:topLinePunct w:val="0"/>
        <w:autoSpaceDE/>
        <w:autoSpaceDN/>
        <w:bidi w:val="0"/>
        <w:adjustRightInd/>
        <w:snapToGrid w:val="0"/>
        <w:spacing w:line="600" w:lineRule="exact"/>
        <w:ind w:firstLine="640" w:firstLineChars="200"/>
        <w:textAlignment w:val="auto"/>
        <w:rPr>
          <w:rFonts w:hint="default" w:ascii="仿宋" w:hAnsi="仿宋" w:eastAsia="仿宋_GB2312" w:cs="仿宋"/>
          <w:color w:val="auto"/>
          <w:sz w:val="32"/>
          <w:szCs w:val="32"/>
          <w:highlight w:val="none"/>
          <w:lang w:val="en-US" w:eastAsia="zh-CN"/>
        </w:rPr>
      </w:pPr>
      <w:r>
        <w:rPr>
          <w:rFonts w:hint="eastAsia" w:ascii="Times New Roman" w:hAnsi="Times New Roman" w:eastAsia="仿宋_GB2312" w:cs="仿宋"/>
          <w:color w:val="auto"/>
          <w:sz w:val="32"/>
          <w:szCs w:val="32"/>
          <w:highlight w:val="none"/>
          <w:lang w:val="en-US" w:eastAsia="zh-CN"/>
        </w:rPr>
        <w:t>3</w:t>
      </w:r>
      <w:r>
        <w:rPr>
          <w:rFonts w:hint="eastAsia" w:ascii="仿宋" w:hAnsi="仿宋" w:eastAsia="仿宋_GB2312" w:cs="仿宋"/>
          <w:color w:val="auto"/>
          <w:sz w:val="32"/>
          <w:szCs w:val="32"/>
          <w:highlight w:val="none"/>
          <w:lang w:val="en-US" w:eastAsia="zh-CN"/>
        </w:rPr>
        <w:t>.项目支出绩效自评表</w:t>
      </w:r>
    </w:p>
    <w:p w14:paraId="7918DB1C">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6BFBA2A8">
      <w:pP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br w:type="page"/>
      </w:r>
    </w:p>
    <w:p w14:paraId="0CBE00A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t>附件</w:t>
      </w:r>
      <w:r>
        <w:rPr>
          <w:rFonts w:hint="eastAsia" w:ascii="Times New Roman" w:hAnsi="Times New Roman" w:eastAsia="方正小标宋_GBK" w:cs="方正小标宋_GBK"/>
          <w:i w:val="0"/>
          <w:iCs w:val="0"/>
          <w:caps w:val="0"/>
          <w:color w:val="000000"/>
          <w:spacing w:val="0"/>
          <w:sz w:val="24"/>
          <w:szCs w:val="24"/>
          <w:shd w:val="clear" w:fill="FFFFFF"/>
          <w:lang w:val="en-US" w:eastAsia="zh-CN"/>
        </w:rPr>
        <w:t>1</w:t>
      </w:r>
    </w:p>
    <w:p w14:paraId="5A960147">
      <w:pPr>
        <w:keepNext w:val="0"/>
        <w:keepLines w:val="0"/>
        <w:pageBreakBefore w:val="0"/>
        <w:widowControl/>
        <w:shd w:val="clear"/>
        <w:tabs>
          <w:tab w:val="left" w:pos="3611"/>
          <w:tab w:val="left" w:pos="4791"/>
          <w:tab w:val="left" w:pos="5951"/>
          <w:tab w:val="left" w:pos="7071"/>
          <w:tab w:val="left" w:pos="8191"/>
          <w:tab w:val="left" w:pos="9311"/>
        </w:tabs>
        <w:kinsoku/>
        <w:wordWrap/>
        <w:overflowPunct/>
        <w:topLinePunct w:val="0"/>
        <w:autoSpaceDE/>
        <w:autoSpaceDN/>
        <w:bidi w:val="0"/>
        <w:adjustRightInd/>
        <w:snapToGrid/>
        <w:spacing w:line="480" w:lineRule="exact"/>
        <w:ind w:left="0"/>
        <w:jc w:val="center"/>
        <w:textAlignment w:val="auto"/>
        <w:rPr>
          <w:rFonts w:hint="eastAsia" w:ascii="方正小标宋简体" w:hAnsi="方正小标宋简体" w:eastAsia="方正小标宋简体" w:cs="方正小标宋简体"/>
          <w:color w:val="000000"/>
          <w:kern w:val="0"/>
          <w:sz w:val="36"/>
          <w:szCs w:val="36"/>
          <w:lang w:val="en-US" w:eastAsia="zh-CN"/>
        </w:rPr>
      </w:pPr>
      <w:r>
        <w:rPr>
          <w:rFonts w:hint="eastAsia" w:ascii="方正小标宋简体" w:hAnsi="方正小标宋简体" w:eastAsia="方正小标宋简体" w:cs="方正小标宋简体"/>
          <w:color w:val="000000"/>
          <w:kern w:val="0"/>
          <w:sz w:val="36"/>
          <w:szCs w:val="36"/>
          <w:lang w:val="en-US" w:eastAsia="zh-CN"/>
        </w:rPr>
        <w:t>部门整体支出绩效评价基础数据表</w:t>
      </w:r>
    </w:p>
    <w:p w14:paraId="7372A84B">
      <w:pPr>
        <w:widowControl/>
        <w:shd w:val="clear"/>
        <w:tabs>
          <w:tab w:val="left" w:pos="3611"/>
          <w:tab w:val="left" w:pos="4791"/>
          <w:tab w:val="left" w:pos="5951"/>
          <w:tab w:val="left" w:pos="7071"/>
          <w:tab w:val="left" w:pos="8191"/>
          <w:tab w:val="left" w:pos="9311"/>
        </w:tabs>
        <w:ind w:left="91"/>
        <w:jc w:val="left"/>
        <w:rPr>
          <w:rFonts w:hint="default" w:eastAsia="仿宋_GB2312"/>
          <w:kern w:val="0"/>
          <w:sz w:val="24"/>
          <w:lang w:val="en-US" w:eastAsia="zh-CN"/>
        </w:rPr>
      </w:pPr>
    </w:p>
    <w:tbl>
      <w:tblPr>
        <w:tblStyle w:val="8"/>
        <w:tblW w:w="94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54"/>
        <w:gridCol w:w="1189"/>
        <w:gridCol w:w="849"/>
        <w:gridCol w:w="1129"/>
        <w:gridCol w:w="1111"/>
        <w:gridCol w:w="969"/>
        <w:gridCol w:w="863"/>
      </w:tblGrid>
      <w:tr w14:paraId="38C98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vMerge w:val="restart"/>
            <w:noWrap w:val="0"/>
            <w:vAlign w:val="center"/>
          </w:tcPr>
          <w:p w14:paraId="0F9A4FB0">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b w:val="0"/>
                <w:bCs w:val="0"/>
                <w:kern w:val="0"/>
                <w:sz w:val="20"/>
                <w:szCs w:val="20"/>
              </w:rPr>
            </w:pPr>
            <w:r>
              <w:rPr>
                <w:rFonts w:hint="eastAsia" w:ascii="仿宋" w:hAnsi="仿宋" w:eastAsia="仿宋_GB2312" w:cs="仿宋"/>
                <w:b w:val="0"/>
                <w:bCs w:val="0"/>
                <w:kern w:val="0"/>
                <w:sz w:val="20"/>
                <w:szCs w:val="20"/>
              </w:rPr>
              <w:t>财政供养人员情况</w:t>
            </w:r>
          </w:p>
        </w:tc>
        <w:tc>
          <w:tcPr>
            <w:tcW w:w="2038" w:type="dxa"/>
            <w:gridSpan w:val="2"/>
            <w:noWrap w:val="0"/>
            <w:vAlign w:val="center"/>
          </w:tcPr>
          <w:p w14:paraId="54F24324">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b w:val="0"/>
                <w:bCs w:val="0"/>
                <w:kern w:val="0"/>
                <w:sz w:val="20"/>
                <w:szCs w:val="20"/>
              </w:rPr>
            </w:pPr>
            <w:r>
              <w:rPr>
                <w:rFonts w:hint="eastAsia" w:ascii="仿宋" w:hAnsi="仿宋" w:eastAsia="仿宋_GB2312" w:cs="仿宋"/>
                <w:b w:val="0"/>
                <w:bCs w:val="0"/>
                <w:kern w:val="0"/>
                <w:sz w:val="20"/>
                <w:szCs w:val="20"/>
              </w:rPr>
              <w:t>编制数</w:t>
            </w:r>
          </w:p>
        </w:tc>
        <w:tc>
          <w:tcPr>
            <w:tcW w:w="2240" w:type="dxa"/>
            <w:gridSpan w:val="2"/>
            <w:noWrap w:val="0"/>
            <w:vAlign w:val="center"/>
          </w:tcPr>
          <w:p w14:paraId="44B27C7F">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b w:val="0"/>
                <w:bCs w:val="0"/>
                <w:kern w:val="0"/>
                <w:sz w:val="20"/>
                <w:szCs w:val="20"/>
              </w:rPr>
            </w:pPr>
            <w:r>
              <w:rPr>
                <w:rFonts w:hint="eastAsia" w:ascii="Times New Roman" w:hAnsi="Times New Roman" w:eastAsia="仿宋_GB2312" w:cs="仿宋"/>
                <w:b w:val="0"/>
                <w:bCs w:val="0"/>
                <w:kern w:val="0"/>
                <w:sz w:val="20"/>
                <w:szCs w:val="20"/>
              </w:rPr>
              <w:t>20</w:t>
            </w:r>
            <w:r>
              <w:rPr>
                <w:rFonts w:hint="eastAsia" w:ascii="Times New Roman" w:hAnsi="Times New Roman" w:eastAsia="仿宋_GB2312" w:cs="仿宋"/>
                <w:b w:val="0"/>
                <w:bCs w:val="0"/>
                <w:kern w:val="0"/>
                <w:sz w:val="20"/>
                <w:szCs w:val="20"/>
                <w:lang w:val="en-US" w:eastAsia="zh-CN"/>
              </w:rPr>
              <w:t>25</w:t>
            </w:r>
            <w:r>
              <w:rPr>
                <w:rFonts w:hint="eastAsia" w:ascii="仿宋" w:hAnsi="仿宋" w:eastAsia="仿宋_GB2312" w:cs="仿宋"/>
                <w:b w:val="0"/>
                <w:bCs w:val="0"/>
                <w:kern w:val="0"/>
                <w:sz w:val="20"/>
                <w:szCs w:val="20"/>
              </w:rPr>
              <w:t>年实际在职人数</w:t>
            </w:r>
          </w:p>
        </w:tc>
        <w:tc>
          <w:tcPr>
            <w:tcW w:w="1832" w:type="dxa"/>
            <w:gridSpan w:val="2"/>
            <w:noWrap w:val="0"/>
            <w:vAlign w:val="center"/>
          </w:tcPr>
          <w:p w14:paraId="3BC92FA6">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b w:val="0"/>
                <w:bCs w:val="0"/>
                <w:kern w:val="0"/>
                <w:sz w:val="20"/>
                <w:szCs w:val="20"/>
              </w:rPr>
            </w:pPr>
            <w:r>
              <w:rPr>
                <w:rFonts w:hint="eastAsia" w:ascii="仿宋" w:hAnsi="仿宋" w:eastAsia="仿宋_GB2312" w:cs="仿宋"/>
                <w:b w:val="0"/>
                <w:bCs w:val="0"/>
                <w:kern w:val="0"/>
                <w:sz w:val="20"/>
                <w:szCs w:val="20"/>
              </w:rPr>
              <w:t>控制率</w:t>
            </w:r>
          </w:p>
        </w:tc>
      </w:tr>
      <w:tr w14:paraId="66EE7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 w:hRule="atLeast"/>
          <w:jc w:val="center"/>
        </w:trPr>
        <w:tc>
          <w:tcPr>
            <w:tcW w:w="3354" w:type="dxa"/>
            <w:vMerge w:val="continue"/>
            <w:noWrap w:val="0"/>
            <w:vAlign w:val="center"/>
          </w:tcPr>
          <w:p w14:paraId="78AF291D">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b w:val="0"/>
                <w:bCs w:val="0"/>
                <w:kern w:val="0"/>
                <w:sz w:val="20"/>
                <w:szCs w:val="20"/>
              </w:rPr>
            </w:pPr>
          </w:p>
        </w:tc>
        <w:tc>
          <w:tcPr>
            <w:tcW w:w="2038" w:type="dxa"/>
            <w:gridSpan w:val="2"/>
            <w:noWrap w:val="0"/>
            <w:vAlign w:val="center"/>
          </w:tcPr>
          <w:p w14:paraId="1E35225C">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b w:val="0"/>
                <w:bCs w:val="0"/>
                <w:kern w:val="0"/>
                <w:sz w:val="20"/>
                <w:szCs w:val="20"/>
                <w:lang w:eastAsia="zh-CN"/>
              </w:rPr>
            </w:pPr>
          </w:p>
        </w:tc>
        <w:tc>
          <w:tcPr>
            <w:tcW w:w="2240" w:type="dxa"/>
            <w:gridSpan w:val="2"/>
            <w:noWrap w:val="0"/>
            <w:vAlign w:val="center"/>
          </w:tcPr>
          <w:p w14:paraId="738EBA04">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b w:val="0"/>
                <w:bCs w:val="0"/>
                <w:kern w:val="0"/>
                <w:sz w:val="20"/>
                <w:szCs w:val="20"/>
                <w:lang w:eastAsia="zh-CN"/>
              </w:rPr>
            </w:pPr>
          </w:p>
        </w:tc>
        <w:tc>
          <w:tcPr>
            <w:tcW w:w="1832" w:type="dxa"/>
            <w:gridSpan w:val="2"/>
            <w:noWrap w:val="0"/>
            <w:vAlign w:val="center"/>
          </w:tcPr>
          <w:p w14:paraId="4259AF3F">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b w:val="0"/>
                <w:bCs w:val="0"/>
                <w:kern w:val="0"/>
                <w:sz w:val="20"/>
                <w:szCs w:val="20"/>
                <w:lang w:eastAsia="zh-CN"/>
              </w:rPr>
            </w:pPr>
          </w:p>
        </w:tc>
      </w:tr>
      <w:tr w14:paraId="0AC01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3354" w:type="dxa"/>
            <w:noWrap w:val="0"/>
            <w:vAlign w:val="center"/>
          </w:tcPr>
          <w:p w14:paraId="70B259EA">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b w:val="0"/>
                <w:bCs w:val="0"/>
                <w:kern w:val="0"/>
                <w:sz w:val="20"/>
                <w:szCs w:val="20"/>
              </w:rPr>
            </w:pPr>
            <w:r>
              <w:rPr>
                <w:rFonts w:hint="eastAsia" w:ascii="仿宋" w:hAnsi="仿宋" w:eastAsia="仿宋_GB2312" w:cs="仿宋"/>
                <w:b w:val="0"/>
                <w:bCs w:val="0"/>
                <w:kern w:val="0"/>
                <w:sz w:val="20"/>
                <w:szCs w:val="20"/>
              </w:rPr>
              <w:t>经费控制情况</w:t>
            </w:r>
          </w:p>
        </w:tc>
        <w:tc>
          <w:tcPr>
            <w:tcW w:w="2038" w:type="dxa"/>
            <w:gridSpan w:val="2"/>
            <w:noWrap w:val="0"/>
            <w:vAlign w:val="center"/>
          </w:tcPr>
          <w:p w14:paraId="074E7243">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b w:val="0"/>
                <w:bCs w:val="0"/>
                <w:kern w:val="0"/>
                <w:sz w:val="20"/>
                <w:szCs w:val="20"/>
              </w:rPr>
            </w:pPr>
            <w:r>
              <w:rPr>
                <w:rFonts w:hint="eastAsia" w:ascii="Times New Roman" w:hAnsi="Times New Roman" w:eastAsia="仿宋_GB2312" w:cs="仿宋"/>
                <w:b w:val="0"/>
                <w:bCs w:val="0"/>
                <w:kern w:val="0"/>
                <w:sz w:val="20"/>
                <w:szCs w:val="20"/>
              </w:rPr>
              <w:t>20</w:t>
            </w:r>
            <w:r>
              <w:rPr>
                <w:rFonts w:hint="eastAsia" w:ascii="Times New Roman" w:hAnsi="Times New Roman" w:eastAsia="仿宋_GB2312" w:cs="仿宋"/>
                <w:b w:val="0"/>
                <w:bCs w:val="0"/>
                <w:kern w:val="0"/>
                <w:sz w:val="20"/>
                <w:szCs w:val="20"/>
                <w:lang w:val="en-US" w:eastAsia="zh-CN"/>
              </w:rPr>
              <w:t>24</w:t>
            </w:r>
            <w:r>
              <w:rPr>
                <w:rFonts w:hint="eastAsia" w:ascii="仿宋" w:hAnsi="仿宋" w:eastAsia="仿宋_GB2312" w:cs="仿宋"/>
                <w:b w:val="0"/>
                <w:bCs w:val="0"/>
                <w:kern w:val="0"/>
                <w:sz w:val="20"/>
                <w:szCs w:val="20"/>
              </w:rPr>
              <w:t>年决算数</w:t>
            </w:r>
          </w:p>
        </w:tc>
        <w:tc>
          <w:tcPr>
            <w:tcW w:w="2240" w:type="dxa"/>
            <w:gridSpan w:val="2"/>
            <w:noWrap w:val="0"/>
            <w:vAlign w:val="center"/>
          </w:tcPr>
          <w:p w14:paraId="56386240">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b w:val="0"/>
                <w:bCs w:val="0"/>
                <w:kern w:val="0"/>
                <w:sz w:val="20"/>
                <w:szCs w:val="20"/>
              </w:rPr>
            </w:pPr>
            <w:r>
              <w:rPr>
                <w:rFonts w:hint="eastAsia" w:ascii="Times New Roman" w:hAnsi="Times New Roman" w:eastAsia="仿宋_GB2312" w:cs="仿宋"/>
                <w:b w:val="0"/>
                <w:bCs w:val="0"/>
                <w:kern w:val="0"/>
                <w:sz w:val="20"/>
                <w:szCs w:val="20"/>
              </w:rPr>
              <w:t>20</w:t>
            </w:r>
            <w:r>
              <w:rPr>
                <w:rFonts w:hint="eastAsia" w:ascii="Times New Roman" w:hAnsi="Times New Roman" w:eastAsia="仿宋_GB2312" w:cs="仿宋"/>
                <w:b w:val="0"/>
                <w:bCs w:val="0"/>
                <w:kern w:val="0"/>
                <w:sz w:val="20"/>
                <w:szCs w:val="20"/>
                <w:lang w:val="en-US" w:eastAsia="zh-CN"/>
              </w:rPr>
              <w:t>25</w:t>
            </w:r>
            <w:r>
              <w:rPr>
                <w:rFonts w:hint="eastAsia" w:ascii="仿宋" w:hAnsi="仿宋" w:eastAsia="仿宋_GB2312" w:cs="仿宋"/>
                <w:b w:val="0"/>
                <w:bCs w:val="0"/>
                <w:kern w:val="0"/>
                <w:sz w:val="20"/>
                <w:szCs w:val="20"/>
              </w:rPr>
              <w:t>年预算数</w:t>
            </w:r>
          </w:p>
        </w:tc>
        <w:tc>
          <w:tcPr>
            <w:tcW w:w="1832" w:type="dxa"/>
            <w:gridSpan w:val="2"/>
            <w:noWrap w:val="0"/>
            <w:vAlign w:val="center"/>
          </w:tcPr>
          <w:p w14:paraId="192AF791">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b w:val="0"/>
                <w:bCs w:val="0"/>
                <w:kern w:val="0"/>
                <w:sz w:val="20"/>
                <w:szCs w:val="20"/>
              </w:rPr>
            </w:pPr>
            <w:r>
              <w:rPr>
                <w:rFonts w:hint="eastAsia" w:ascii="Times New Roman" w:hAnsi="Times New Roman" w:eastAsia="仿宋_GB2312" w:cs="仿宋"/>
                <w:b w:val="0"/>
                <w:bCs w:val="0"/>
                <w:kern w:val="0"/>
                <w:sz w:val="20"/>
                <w:szCs w:val="20"/>
              </w:rPr>
              <w:t>20</w:t>
            </w:r>
            <w:r>
              <w:rPr>
                <w:rFonts w:hint="eastAsia" w:ascii="Times New Roman" w:hAnsi="Times New Roman" w:eastAsia="仿宋_GB2312" w:cs="仿宋"/>
                <w:b w:val="0"/>
                <w:bCs w:val="0"/>
                <w:kern w:val="0"/>
                <w:sz w:val="20"/>
                <w:szCs w:val="20"/>
                <w:lang w:val="en-US" w:eastAsia="zh-CN"/>
              </w:rPr>
              <w:t>25</w:t>
            </w:r>
            <w:r>
              <w:rPr>
                <w:rFonts w:hint="eastAsia" w:ascii="仿宋" w:hAnsi="仿宋" w:eastAsia="仿宋_GB2312" w:cs="仿宋"/>
                <w:b w:val="0"/>
                <w:bCs w:val="0"/>
                <w:kern w:val="0"/>
                <w:sz w:val="20"/>
                <w:szCs w:val="20"/>
              </w:rPr>
              <w:t>年决算数</w:t>
            </w:r>
          </w:p>
        </w:tc>
      </w:tr>
      <w:tr w14:paraId="4555F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3354" w:type="dxa"/>
            <w:noWrap w:val="0"/>
            <w:vAlign w:val="center"/>
          </w:tcPr>
          <w:p w14:paraId="7A12F800">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b w:val="0"/>
                <w:bCs w:val="0"/>
                <w:kern w:val="0"/>
                <w:sz w:val="20"/>
                <w:szCs w:val="20"/>
              </w:rPr>
            </w:pPr>
            <w:r>
              <w:rPr>
                <w:rFonts w:hint="eastAsia" w:ascii="仿宋" w:hAnsi="仿宋" w:eastAsia="仿宋_GB2312" w:cs="仿宋"/>
                <w:b w:val="0"/>
                <w:bCs w:val="0"/>
                <w:kern w:val="0"/>
                <w:sz w:val="20"/>
                <w:szCs w:val="20"/>
              </w:rPr>
              <w:t>三公经费</w:t>
            </w:r>
          </w:p>
        </w:tc>
        <w:tc>
          <w:tcPr>
            <w:tcW w:w="2038" w:type="dxa"/>
            <w:gridSpan w:val="2"/>
            <w:noWrap w:val="0"/>
            <w:vAlign w:val="center"/>
          </w:tcPr>
          <w:p w14:paraId="1C520933">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_GB2312" w:cs="仿宋"/>
                <w:b w:val="0"/>
                <w:bCs w:val="0"/>
                <w:kern w:val="0"/>
                <w:sz w:val="20"/>
                <w:szCs w:val="20"/>
                <w:lang w:eastAsia="zh-CN"/>
              </w:rPr>
            </w:pPr>
            <w:r>
              <w:rPr>
                <w:rFonts w:hint="default" w:ascii="Times New Roman" w:hAnsi="Times New Roman" w:eastAsia="仿宋_GB2312" w:cs="仿宋"/>
                <w:b w:val="0"/>
                <w:bCs w:val="0"/>
                <w:kern w:val="0"/>
                <w:sz w:val="20"/>
                <w:szCs w:val="20"/>
                <w:lang w:val="en-US"/>
              </w:rPr>
              <w:t>20</w:t>
            </w:r>
            <w:r>
              <w:rPr>
                <w:rFonts w:hint="default" w:ascii="仿宋" w:hAnsi="仿宋" w:eastAsia="仿宋_GB2312" w:cs="仿宋"/>
                <w:b w:val="0"/>
                <w:bCs w:val="0"/>
                <w:kern w:val="0"/>
                <w:sz w:val="20"/>
                <w:szCs w:val="20"/>
                <w:lang w:val="en-US"/>
              </w:rPr>
              <w:t>.</w:t>
            </w:r>
            <w:r>
              <w:rPr>
                <w:rFonts w:hint="default" w:ascii="Times New Roman" w:hAnsi="Times New Roman" w:eastAsia="仿宋_GB2312" w:cs="仿宋"/>
                <w:b w:val="0"/>
                <w:bCs w:val="0"/>
                <w:kern w:val="0"/>
                <w:sz w:val="20"/>
                <w:szCs w:val="20"/>
                <w:lang w:val="en-US"/>
              </w:rPr>
              <w:t>59</w:t>
            </w:r>
          </w:p>
        </w:tc>
        <w:tc>
          <w:tcPr>
            <w:tcW w:w="2240" w:type="dxa"/>
            <w:gridSpan w:val="2"/>
            <w:noWrap w:val="0"/>
            <w:vAlign w:val="center"/>
          </w:tcPr>
          <w:p w14:paraId="387BA59D">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default" w:ascii="仿宋" w:hAnsi="仿宋" w:eastAsia="仿宋" w:cs="仿宋"/>
                <w:b w:val="0"/>
                <w:bCs w:val="0"/>
                <w:kern w:val="0"/>
                <w:sz w:val="20"/>
                <w:szCs w:val="20"/>
                <w:lang w:val="en-US"/>
              </w:rPr>
            </w:pPr>
            <w:r>
              <w:rPr>
                <w:rFonts w:hint="default" w:ascii="Times New Roman" w:hAnsi="Times New Roman" w:eastAsia="仿宋_GB2312" w:cs="仿宋"/>
                <w:b w:val="0"/>
                <w:bCs w:val="0"/>
                <w:kern w:val="0"/>
                <w:sz w:val="20"/>
                <w:szCs w:val="20"/>
                <w:lang w:val="en-US"/>
              </w:rPr>
              <w:t>24</w:t>
            </w:r>
            <w:r>
              <w:rPr>
                <w:rFonts w:hint="default" w:ascii="仿宋" w:hAnsi="仿宋" w:eastAsia="仿宋_GB2312" w:cs="仿宋"/>
                <w:b w:val="0"/>
                <w:bCs w:val="0"/>
                <w:kern w:val="0"/>
                <w:sz w:val="20"/>
                <w:szCs w:val="20"/>
                <w:lang w:val="en-US"/>
              </w:rPr>
              <w:t>.</w:t>
            </w:r>
            <w:r>
              <w:rPr>
                <w:rFonts w:hint="default" w:ascii="Times New Roman" w:hAnsi="Times New Roman" w:eastAsia="仿宋_GB2312" w:cs="仿宋"/>
                <w:b w:val="0"/>
                <w:bCs w:val="0"/>
                <w:kern w:val="0"/>
                <w:sz w:val="20"/>
                <w:szCs w:val="20"/>
                <w:lang w:val="en-US"/>
              </w:rPr>
              <w:t>8</w:t>
            </w:r>
          </w:p>
        </w:tc>
        <w:tc>
          <w:tcPr>
            <w:tcW w:w="1832" w:type="dxa"/>
            <w:gridSpan w:val="2"/>
            <w:noWrap w:val="0"/>
            <w:vAlign w:val="center"/>
          </w:tcPr>
          <w:p w14:paraId="0495E2CA">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_GB2312" w:cs="仿宋"/>
                <w:b w:val="0"/>
                <w:bCs w:val="0"/>
                <w:kern w:val="0"/>
                <w:sz w:val="20"/>
                <w:szCs w:val="20"/>
                <w:lang w:eastAsia="zh-CN"/>
              </w:rPr>
            </w:pPr>
            <w:r>
              <w:rPr>
                <w:rFonts w:hint="default" w:ascii="Times New Roman" w:hAnsi="Times New Roman" w:eastAsia="仿宋_GB2312" w:cs="仿宋"/>
                <w:b w:val="0"/>
                <w:bCs w:val="0"/>
                <w:kern w:val="0"/>
                <w:sz w:val="20"/>
                <w:szCs w:val="20"/>
                <w:lang w:val="en-US"/>
              </w:rPr>
              <w:t>7</w:t>
            </w:r>
            <w:r>
              <w:rPr>
                <w:rFonts w:hint="default" w:ascii="仿宋" w:hAnsi="仿宋" w:eastAsia="仿宋_GB2312" w:cs="仿宋"/>
                <w:b w:val="0"/>
                <w:bCs w:val="0"/>
                <w:kern w:val="0"/>
                <w:sz w:val="20"/>
                <w:szCs w:val="20"/>
                <w:lang w:val="en-US"/>
              </w:rPr>
              <w:t>.</w:t>
            </w:r>
            <w:r>
              <w:rPr>
                <w:rFonts w:hint="default" w:ascii="Times New Roman" w:hAnsi="Times New Roman" w:eastAsia="仿宋_GB2312" w:cs="仿宋"/>
                <w:b w:val="0"/>
                <w:bCs w:val="0"/>
                <w:kern w:val="0"/>
                <w:sz w:val="20"/>
                <w:szCs w:val="20"/>
                <w:lang w:val="en-US"/>
              </w:rPr>
              <w:t>3</w:t>
            </w:r>
          </w:p>
        </w:tc>
      </w:tr>
      <w:tr w14:paraId="58B10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055EB38D">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b w:val="0"/>
                <w:bCs w:val="0"/>
                <w:kern w:val="0"/>
                <w:sz w:val="20"/>
                <w:szCs w:val="20"/>
              </w:rPr>
            </w:pPr>
            <w:r>
              <w:rPr>
                <w:rFonts w:hint="eastAsia" w:ascii="仿宋" w:hAnsi="仿宋" w:eastAsia="仿宋_GB2312" w:cs="仿宋"/>
                <w:b w:val="0"/>
                <w:bCs w:val="0"/>
                <w:kern w:val="0"/>
                <w:sz w:val="20"/>
                <w:szCs w:val="20"/>
              </w:rPr>
              <w:t xml:space="preserve">   </w:t>
            </w:r>
            <w:r>
              <w:rPr>
                <w:rFonts w:hint="eastAsia" w:ascii="Times New Roman" w:hAnsi="Times New Roman" w:eastAsia="仿宋_GB2312" w:cs="仿宋"/>
                <w:b w:val="0"/>
                <w:bCs w:val="0"/>
                <w:kern w:val="0"/>
                <w:sz w:val="20"/>
                <w:szCs w:val="20"/>
              </w:rPr>
              <w:t>1</w:t>
            </w:r>
            <w:r>
              <w:rPr>
                <w:rFonts w:hint="eastAsia" w:ascii="仿宋" w:hAnsi="仿宋" w:eastAsia="仿宋_GB2312" w:cs="仿宋"/>
                <w:b w:val="0"/>
                <w:bCs w:val="0"/>
                <w:kern w:val="0"/>
                <w:sz w:val="20"/>
                <w:szCs w:val="20"/>
              </w:rPr>
              <w:t>、公务用车购置和维护经费</w:t>
            </w:r>
          </w:p>
        </w:tc>
        <w:tc>
          <w:tcPr>
            <w:tcW w:w="2038" w:type="dxa"/>
            <w:gridSpan w:val="2"/>
            <w:noWrap w:val="0"/>
            <w:vAlign w:val="center"/>
          </w:tcPr>
          <w:p w14:paraId="0E27DC71">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b w:val="0"/>
                <w:bCs w:val="0"/>
                <w:kern w:val="0"/>
                <w:sz w:val="20"/>
                <w:szCs w:val="20"/>
                <w:lang w:val="en-US" w:eastAsia="zh-CN" w:bidi="ar-SA"/>
              </w:rPr>
            </w:pPr>
            <w:r>
              <w:rPr>
                <w:rFonts w:hint="default" w:ascii="Times New Roman" w:hAnsi="Times New Roman" w:eastAsia="仿宋_GB2312" w:cs="仿宋"/>
                <w:b w:val="0"/>
                <w:bCs w:val="0"/>
                <w:kern w:val="0"/>
                <w:sz w:val="20"/>
                <w:szCs w:val="20"/>
                <w:lang w:val="en-US"/>
              </w:rPr>
              <w:t>18</w:t>
            </w:r>
            <w:r>
              <w:rPr>
                <w:rFonts w:hint="default" w:ascii="仿宋" w:hAnsi="仿宋" w:eastAsia="仿宋_GB2312" w:cs="仿宋"/>
                <w:b w:val="0"/>
                <w:bCs w:val="0"/>
                <w:kern w:val="0"/>
                <w:sz w:val="20"/>
                <w:szCs w:val="20"/>
                <w:lang w:val="en-US"/>
              </w:rPr>
              <w:t>.</w:t>
            </w:r>
            <w:r>
              <w:rPr>
                <w:rFonts w:hint="default" w:ascii="Times New Roman" w:hAnsi="Times New Roman" w:eastAsia="仿宋_GB2312" w:cs="仿宋"/>
                <w:b w:val="0"/>
                <w:bCs w:val="0"/>
                <w:kern w:val="0"/>
                <w:sz w:val="20"/>
                <w:szCs w:val="20"/>
                <w:lang w:val="en-US"/>
              </w:rPr>
              <w:t>79</w:t>
            </w:r>
          </w:p>
        </w:tc>
        <w:tc>
          <w:tcPr>
            <w:tcW w:w="2240" w:type="dxa"/>
            <w:gridSpan w:val="2"/>
            <w:noWrap w:val="0"/>
            <w:vAlign w:val="center"/>
          </w:tcPr>
          <w:p w14:paraId="6262FC1D">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b w:val="0"/>
                <w:bCs w:val="0"/>
                <w:kern w:val="0"/>
                <w:sz w:val="20"/>
                <w:szCs w:val="20"/>
                <w:lang w:val="en-US" w:eastAsia="zh-CN" w:bidi="ar-SA"/>
              </w:rPr>
            </w:pPr>
            <w:r>
              <w:rPr>
                <w:rFonts w:hint="default" w:ascii="Times New Roman" w:hAnsi="Times New Roman" w:eastAsia="仿宋_GB2312" w:cs="仿宋"/>
                <w:b w:val="0"/>
                <w:bCs w:val="0"/>
                <w:kern w:val="0"/>
                <w:sz w:val="20"/>
                <w:szCs w:val="20"/>
                <w:lang w:val="en-US"/>
              </w:rPr>
              <w:t>20</w:t>
            </w:r>
          </w:p>
        </w:tc>
        <w:tc>
          <w:tcPr>
            <w:tcW w:w="1832" w:type="dxa"/>
            <w:gridSpan w:val="2"/>
            <w:noWrap w:val="0"/>
            <w:vAlign w:val="center"/>
          </w:tcPr>
          <w:p w14:paraId="66B8ADFD">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_GB2312" w:cs="仿宋"/>
                <w:b w:val="0"/>
                <w:bCs w:val="0"/>
                <w:kern w:val="0"/>
                <w:sz w:val="20"/>
                <w:szCs w:val="20"/>
                <w:lang w:val="en-US" w:eastAsia="zh-CN" w:bidi="ar-SA"/>
              </w:rPr>
            </w:pPr>
            <w:r>
              <w:rPr>
                <w:rFonts w:hint="default" w:ascii="Times New Roman" w:hAnsi="Times New Roman" w:eastAsia="仿宋_GB2312" w:cs="仿宋"/>
                <w:b w:val="0"/>
                <w:bCs w:val="0"/>
                <w:kern w:val="0"/>
                <w:sz w:val="20"/>
                <w:szCs w:val="20"/>
                <w:lang w:val="en-US"/>
              </w:rPr>
              <w:t>7</w:t>
            </w:r>
            <w:r>
              <w:rPr>
                <w:rFonts w:hint="default" w:ascii="仿宋" w:hAnsi="仿宋" w:eastAsia="仿宋_GB2312" w:cs="仿宋"/>
                <w:b w:val="0"/>
                <w:bCs w:val="0"/>
                <w:kern w:val="0"/>
                <w:sz w:val="20"/>
                <w:szCs w:val="20"/>
                <w:lang w:val="en-US"/>
              </w:rPr>
              <w:t>.</w:t>
            </w:r>
            <w:r>
              <w:rPr>
                <w:rFonts w:hint="default" w:ascii="Times New Roman" w:hAnsi="Times New Roman" w:eastAsia="仿宋_GB2312" w:cs="仿宋"/>
                <w:b w:val="0"/>
                <w:bCs w:val="0"/>
                <w:kern w:val="0"/>
                <w:sz w:val="20"/>
                <w:szCs w:val="20"/>
                <w:lang w:val="en-US"/>
              </w:rPr>
              <w:t>21</w:t>
            </w:r>
          </w:p>
        </w:tc>
      </w:tr>
      <w:tr w14:paraId="643A7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351BEE28">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b w:val="0"/>
                <w:bCs w:val="0"/>
                <w:kern w:val="0"/>
                <w:sz w:val="20"/>
                <w:szCs w:val="20"/>
              </w:rPr>
            </w:pPr>
            <w:r>
              <w:rPr>
                <w:rFonts w:hint="eastAsia" w:ascii="仿宋" w:hAnsi="仿宋" w:eastAsia="仿宋_GB2312" w:cs="仿宋"/>
                <w:b w:val="0"/>
                <w:bCs w:val="0"/>
                <w:kern w:val="0"/>
                <w:sz w:val="20"/>
                <w:szCs w:val="20"/>
              </w:rPr>
              <w:t xml:space="preserve">       其中：公车购置</w:t>
            </w:r>
          </w:p>
        </w:tc>
        <w:tc>
          <w:tcPr>
            <w:tcW w:w="2038" w:type="dxa"/>
            <w:gridSpan w:val="2"/>
            <w:noWrap w:val="0"/>
            <w:vAlign w:val="center"/>
          </w:tcPr>
          <w:p w14:paraId="09583A70">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b w:val="0"/>
                <w:bCs w:val="0"/>
                <w:kern w:val="0"/>
                <w:sz w:val="20"/>
                <w:szCs w:val="20"/>
                <w:lang w:eastAsia="zh-CN"/>
              </w:rPr>
            </w:pPr>
          </w:p>
        </w:tc>
        <w:tc>
          <w:tcPr>
            <w:tcW w:w="2240" w:type="dxa"/>
            <w:gridSpan w:val="2"/>
            <w:noWrap w:val="0"/>
            <w:vAlign w:val="center"/>
          </w:tcPr>
          <w:p w14:paraId="7EC6973F">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b w:val="0"/>
                <w:bCs w:val="0"/>
                <w:kern w:val="0"/>
                <w:sz w:val="20"/>
                <w:szCs w:val="20"/>
                <w:lang w:eastAsia="zh-CN"/>
              </w:rPr>
            </w:pPr>
          </w:p>
        </w:tc>
        <w:tc>
          <w:tcPr>
            <w:tcW w:w="1832" w:type="dxa"/>
            <w:gridSpan w:val="2"/>
            <w:noWrap w:val="0"/>
            <w:vAlign w:val="center"/>
          </w:tcPr>
          <w:p w14:paraId="05A3982A">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b w:val="0"/>
                <w:bCs w:val="0"/>
                <w:kern w:val="0"/>
                <w:sz w:val="20"/>
                <w:szCs w:val="20"/>
                <w:lang w:eastAsia="zh-CN"/>
              </w:rPr>
            </w:pPr>
          </w:p>
        </w:tc>
      </w:tr>
      <w:tr w14:paraId="2EA26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3A2F8463">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b w:val="0"/>
                <w:bCs w:val="0"/>
                <w:kern w:val="0"/>
                <w:sz w:val="20"/>
                <w:szCs w:val="20"/>
              </w:rPr>
            </w:pPr>
            <w:r>
              <w:rPr>
                <w:rFonts w:hint="eastAsia" w:ascii="仿宋" w:hAnsi="仿宋" w:eastAsia="仿宋_GB2312" w:cs="仿宋"/>
                <w:b w:val="0"/>
                <w:bCs w:val="0"/>
                <w:kern w:val="0"/>
                <w:sz w:val="20"/>
                <w:szCs w:val="20"/>
              </w:rPr>
              <w:t xml:space="preserve">             公车运行维护</w:t>
            </w:r>
          </w:p>
        </w:tc>
        <w:tc>
          <w:tcPr>
            <w:tcW w:w="2038" w:type="dxa"/>
            <w:gridSpan w:val="2"/>
            <w:noWrap w:val="0"/>
            <w:vAlign w:val="center"/>
          </w:tcPr>
          <w:p w14:paraId="2F47ABBE">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default" w:ascii="仿宋" w:hAnsi="仿宋" w:eastAsia="仿宋" w:cs="仿宋"/>
                <w:b w:val="0"/>
                <w:bCs w:val="0"/>
                <w:kern w:val="0"/>
                <w:sz w:val="20"/>
                <w:szCs w:val="20"/>
                <w:lang w:val="en-US"/>
              </w:rPr>
            </w:pPr>
            <w:r>
              <w:rPr>
                <w:rFonts w:hint="default" w:ascii="Times New Roman" w:hAnsi="Times New Roman" w:eastAsia="仿宋_GB2312" w:cs="仿宋"/>
                <w:b w:val="0"/>
                <w:bCs w:val="0"/>
                <w:kern w:val="0"/>
                <w:sz w:val="20"/>
                <w:szCs w:val="20"/>
                <w:lang w:val="en-US"/>
              </w:rPr>
              <w:t>18</w:t>
            </w:r>
            <w:r>
              <w:rPr>
                <w:rFonts w:hint="default" w:ascii="仿宋" w:hAnsi="仿宋" w:eastAsia="仿宋_GB2312" w:cs="仿宋"/>
                <w:b w:val="0"/>
                <w:bCs w:val="0"/>
                <w:kern w:val="0"/>
                <w:sz w:val="20"/>
                <w:szCs w:val="20"/>
                <w:lang w:val="en-US"/>
              </w:rPr>
              <w:t>.</w:t>
            </w:r>
            <w:r>
              <w:rPr>
                <w:rFonts w:hint="default" w:ascii="Times New Roman" w:hAnsi="Times New Roman" w:eastAsia="仿宋_GB2312" w:cs="仿宋"/>
                <w:b w:val="0"/>
                <w:bCs w:val="0"/>
                <w:kern w:val="0"/>
                <w:sz w:val="20"/>
                <w:szCs w:val="20"/>
                <w:lang w:val="en-US"/>
              </w:rPr>
              <w:t>79</w:t>
            </w:r>
          </w:p>
        </w:tc>
        <w:tc>
          <w:tcPr>
            <w:tcW w:w="2240" w:type="dxa"/>
            <w:gridSpan w:val="2"/>
            <w:noWrap w:val="0"/>
            <w:vAlign w:val="center"/>
          </w:tcPr>
          <w:p w14:paraId="413DBEC0">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default" w:ascii="仿宋" w:hAnsi="仿宋" w:eastAsia="仿宋" w:cs="仿宋"/>
                <w:b w:val="0"/>
                <w:bCs w:val="0"/>
                <w:kern w:val="0"/>
                <w:sz w:val="20"/>
                <w:szCs w:val="20"/>
                <w:lang w:val="en-US"/>
              </w:rPr>
            </w:pPr>
            <w:r>
              <w:rPr>
                <w:rFonts w:hint="default" w:ascii="Times New Roman" w:hAnsi="Times New Roman" w:eastAsia="仿宋_GB2312" w:cs="仿宋"/>
                <w:b w:val="0"/>
                <w:bCs w:val="0"/>
                <w:kern w:val="0"/>
                <w:sz w:val="20"/>
                <w:szCs w:val="20"/>
                <w:lang w:val="en-US"/>
              </w:rPr>
              <w:t>20</w:t>
            </w:r>
          </w:p>
        </w:tc>
        <w:tc>
          <w:tcPr>
            <w:tcW w:w="1832" w:type="dxa"/>
            <w:gridSpan w:val="2"/>
            <w:noWrap w:val="0"/>
            <w:vAlign w:val="center"/>
          </w:tcPr>
          <w:p w14:paraId="4CD76A6B">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_GB2312" w:cs="仿宋"/>
                <w:b w:val="0"/>
                <w:bCs w:val="0"/>
                <w:kern w:val="0"/>
                <w:sz w:val="20"/>
                <w:szCs w:val="20"/>
                <w:lang w:eastAsia="zh-CN"/>
              </w:rPr>
            </w:pPr>
            <w:r>
              <w:rPr>
                <w:rFonts w:hint="default" w:ascii="Times New Roman" w:hAnsi="Times New Roman" w:eastAsia="仿宋_GB2312" w:cs="仿宋"/>
                <w:b w:val="0"/>
                <w:bCs w:val="0"/>
                <w:kern w:val="0"/>
                <w:sz w:val="20"/>
                <w:szCs w:val="20"/>
                <w:lang w:val="en-US"/>
              </w:rPr>
              <w:t>7</w:t>
            </w:r>
            <w:r>
              <w:rPr>
                <w:rFonts w:hint="default" w:ascii="仿宋" w:hAnsi="仿宋" w:eastAsia="仿宋_GB2312" w:cs="仿宋"/>
                <w:b w:val="0"/>
                <w:bCs w:val="0"/>
                <w:kern w:val="0"/>
                <w:sz w:val="20"/>
                <w:szCs w:val="20"/>
                <w:lang w:val="en-US"/>
              </w:rPr>
              <w:t>.</w:t>
            </w:r>
            <w:r>
              <w:rPr>
                <w:rFonts w:hint="default" w:ascii="Times New Roman" w:hAnsi="Times New Roman" w:eastAsia="仿宋_GB2312" w:cs="仿宋"/>
                <w:b w:val="0"/>
                <w:bCs w:val="0"/>
                <w:kern w:val="0"/>
                <w:sz w:val="20"/>
                <w:szCs w:val="20"/>
                <w:lang w:val="en-US"/>
              </w:rPr>
              <w:t>21</w:t>
            </w:r>
          </w:p>
        </w:tc>
      </w:tr>
      <w:tr w14:paraId="7C4B2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0A7AED7C">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b w:val="0"/>
                <w:bCs w:val="0"/>
                <w:kern w:val="0"/>
                <w:sz w:val="20"/>
                <w:szCs w:val="20"/>
              </w:rPr>
            </w:pPr>
            <w:r>
              <w:rPr>
                <w:rFonts w:hint="eastAsia" w:ascii="仿宋" w:hAnsi="仿宋" w:eastAsia="仿宋_GB2312" w:cs="仿宋"/>
                <w:b w:val="0"/>
                <w:bCs w:val="0"/>
                <w:kern w:val="0"/>
                <w:sz w:val="20"/>
                <w:szCs w:val="20"/>
              </w:rPr>
              <w:t xml:space="preserve">   </w:t>
            </w:r>
            <w:r>
              <w:rPr>
                <w:rFonts w:hint="eastAsia" w:ascii="Times New Roman" w:hAnsi="Times New Roman" w:eastAsia="仿宋_GB2312" w:cs="仿宋"/>
                <w:b w:val="0"/>
                <w:bCs w:val="0"/>
                <w:kern w:val="0"/>
                <w:sz w:val="20"/>
                <w:szCs w:val="20"/>
              </w:rPr>
              <w:t>2</w:t>
            </w:r>
            <w:r>
              <w:rPr>
                <w:rFonts w:hint="eastAsia" w:ascii="仿宋" w:hAnsi="仿宋" w:eastAsia="仿宋_GB2312" w:cs="仿宋"/>
                <w:b w:val="0"/>
                <w:bCs w:val="0"/>
                <w:kern w:val="0"/>
                <w:sz w:val="20"/>
                <w:szCs w:val="20"/>
              </w:rPr>
              <w:t>、出国经费</w:t>
            </w:r>
          </w:p>
        </w:tc>
        <w:tc>
          <w:tcPr>
            <w:tcW w:w="2038" w:type="dxa"/>
            <w:gridSpan w:val="2"/>
            <w:noWrap w:val="0"/>
            <w:vAlign w:val="center"/>
          </w:tcPr>
          <w:p w14:paraId="42F21F58">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b w:val="0"/>
                <w:bCs w:val="0"/>
                <w:kern w:val="0"/>
                <w:sz w:val="20"/>
                <w:szCs w:val="20"/>
                <w:lang w:eastAsia="zh-CN"/>
              </w:rPr>
            </w:pPr>
          </w:p>
        </w:tc>
        <w:tc>
          <w:tcPr>
            <w:tcW w:w="2240" w:type="dxa"/>
            <w:gridSpan w:val="2"/>
            <w:noWrap w:val="0"/>
            <w:vAlign w:val="center"/>
          </w:tcPr>
          <w:p w14:paraId="36938B3D">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b w:val="0"/>
                <w:bCs w:val="0"/>
                <w:kern w:val="0"/>
                <w:sz w:val="20"/>
                <w:szCs w:val="20"/>
                <w:lang w:eastAsia="zh-CN"/>
              </w:rPr>
            </w:pPr>
          </w:p>
        </w:tc>
        <w:tc>
          <w:tcPr>
            <w:tcW w:w="1832" w:type="dxa"/>
            <w:gridSpan w:val="2"/>
            <w:noWrap w:val="0"/>
            <w:vAlign w:val="center"/>
          </w:tcPr>
          <w:p w14:paraId="290E8137">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b w:val="0"/>
                <w:bCs w:val="0"/>
                <w:kern w:val="0"/>
                <w:sz w:val="20"/>
                <w:szCs w:val="20"/>
                <w:lang w:eastAsia="zh-CN"/>
              </w:rPr>
            </w:pPr>
          </w:p>
        </w:tc>
      </w:tr>
      <w:tr w14:paraId="44C77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5F21D21A">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b w:val="0"/>
                <w:bCs w:val="0"/>
                <w:kern w:val="0"/>
                <w:sz w:val="20"/>
                <w:szCs w:val="20"/>
              </w:rPr>
            </w:pPr>
            <w:r>
              <w:rPr>
                <w:rFonts w:hint="eastAsia" w:ascii="仿宋" w:hAnsi="仿宋" w:eastAsia="仿宋_GB2312" w:cs="仿宋"/>
                <w:b w:val="0"/>
                <w:bCs w:val="0"/>
                <w:kern w:val="0"/>
                <w:sz w:val="20"/>
                <w:szCs w:val="20"/>
              </w:rPr>
              <w:t xml:space="preserve">   </w:t>
            </w:r>
            <w:r>
              <w:rPr>
                <w:rFonts w:hint="eastAsia" w:ascii="Times New Roman" w:hAnsi="Times New Roman" w:eastAsia="仿宋_GB2312" w:cs="仿宋"/>
                <w:b w:val="0"/>
                <w:bCs w:val="0"/>
                <w:kern w:val="0"/>
                <w:sz w:val="20"/>
                <w:szCs w:val="20"/>
              </w:rPr>
              <w:t>3</w:t>
            </w:r>
            <w:r>
              <w:rPr>
                <w:rFonts w:hint="eastAsia" w:ascii="仿宋" w:hAnsi="仿宋" w:eastAsia="仿宋_GB2312" w:cs="仿宋"/>
                <w:b w:val="0"/>
                <w:bCs w:val="0"/>
                <w:kern w:val="0"/>
                <w:sz w:val="20"/>
                <w:szCs w:val="20"/>
              </w:rPr>
              <w:t>、公务接待</w:t>
            </w:r>
          </w:p>
        </w:tc>
        <w:tc>
          <w:tcPr>
            <w:tcW w:w="2038" w:type="dxa"/>
            <w:gridSpan w:val="2"/>
            <w:noWrap w:val="0"/>
            <w:vAlign w:val="center"/>
          </w:tcPr>
          <w:p w14:paraId="1B1E3D99">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default" w:ascii="仿宋" w:hAnsi="仿宋" w:eastAsia="仿宋" w:cs="仿宋"/>
                <w:b w:val="0"/>
                <w:bCs w:val="0"/>
                <w:kern w:val="0"/>
                <w:sz w:val="20"/>
                <w:szCs w:val="20"/>
                <w:lang w:val="en-US"/>
              </w:rPr>
            </w:pPr>
            <w:r>
              <w:rPr>
                <w:rFonts w:hint="default" w:ascii="Times New Roman" w:hAnsi="Times New Roman" w:eastAsia="仿宋_GB2312" w:cs="仿宋"/>
                <w:b w:val="0"/>
                <w:bCs w:val="0"/>
                <w:kern w:val="0"/>
                <w:sz w:val="20"/>
                <w:szCs w:val="20"/>
                <w:lang w:val="en-US"/>
              </w:rPr>
              <w:t>1</w:t>
            </w:r>
            <w:r>
              <w:rPr>
                <w:rFonts w:hint="default" w:ascii="仿宋" w:hAnsi="仿宋" w:eastAsia="仿宋_GB2312" w:cs="仿宋"/>
                <w:b w:val="0"/>
                <w:bCs w:val="0"/>
                <w:kern w:val="0"/>
                <w:sz w:val="20"/>
                <w:szCs w:val="20"/>
                <w:lang w:val="en-US"/>
              </w:rPr>
              <w:t>.</w:t>
            </w:r>
            <w:r>
              <w:rPr>
                <w:rFonts w:hint="default" w:ascii="Times New Roman" w:hAnsi="Times New Roman" w:eastAsia="仿宋_GB2312" w:cs="仿宋"/>
                <w:b w:val="0"/>
                <w:bCs w:val="0"/>
                <w:kern w:val="0"/>
                <w:sz w:val="20"/>
                <w:szCs w:val="20"/>
                <w:lang w:val="en-US"/>
              </w:rPr>
              <w:t>8</w:t>
            </w:r>
          </w:p>
        </w:tc>
        <w:tc>
          <w:tcPr>
            <w:tcW w:w="2240" w:type="dxa"/>
            <w:gridSpan w:val="2"/>
            <w:noWrap w:val="0"/>
            <w:vAlign w:val="center"/>
          </w:tcPr>
          <w:p w14:paraId="7116EC1C">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default" w:ascii="仿宋" w:hAnsi="仿宋" w:eastAsia="仿宋" w:cs="仿宋"/>
                <w:b w:val="0"/>
                <w:bCs w:val="0"/>
                <w:kern w:val="0"/>
                <w:sz w:val="20"/>
                <w:szCs w:val="20"/>
                <w:lang w:val="en-US"/>
              </w:rPr>
            </w:pPr>
            <w:r>
              <w:rPr>
                <w:rFonts w:hint="default" w:ascii="Times New Roman" w:hAnsi="Times New Roman" w:eastAsia="仿宋_GB2312" w:cs="仿宋"/>
                <w:b w:val="0"/>
                <w:bCs w:val="0"/>
                <w:kern w:val="0"/>
                <w:sz w:val="20"/>
                <w:szCs w:val="20"/>
                <w:lang w:val="en-US"/>
              </w:rPr>
              <w:t>4</w:t>
            </w:r>
            <w:r>
              <w:rPr>
                <w:rFonts w:hint="default" w:ascii="仿宋" w:hAnsi="仿宋" w:eastAsia="仿宋_GB2312" w:cs="仿宋"/>
                <w:b w:val="0"/>
                <w:bCs w:val="0"/>
                <w:kern w:val="0"/>
                <w:sz w:val="20"/>
                <w:szCs w:val="20"/>
                <w:lang w:val="en-US"/>
              </w:rPr>
              <w:t>.</w:t>
            </w:r>
            <w:r>
              <w:rPr>
                <w:rFonts w:hint="default" w:ascii="Times New Roman" w:hAnsi="Times New Roman" w:eastAsia="仿宋_GB2312" w:cs="仿宋"/>
                <w:b w:val="0"/>
                <w:bCs w:val="0"/>
                <w:kern w:val="0"/>
                <w:sz w:val="20"/>
                <w:szCs w:val="20"/>
                <w:lang w:val="en-US"/>
              </w:rPr>
              <w:t>8</w:t>
            </w:r>
          </w:p>
        </w:tc>
        <w:tc>
          <w:tcPr>
            <w:tcW w:w="1832" w:type="dxa"/>
            <w:gridSpan w:val="2"/>
            <w:noWrap w:val="0"/>
            <w:vAlign w:val="center"/>
          </w:tcPr>
          <w:p w14:paraId="495663AC">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_GB2312" w:cs="仿宋"/>
                <w:b w:val="0"/>
                <w:bCs w:val="0"/>
                <w:kern w:val="0"/>
                <w:sz w:val="20"/>
                <w:szCs w:val="20"/>
                <w:lang w:eastAsia="zh-CN"/>
              </w:rPr>
            </w:pPr>
            <w:r>
              <w:rPr>
                <w:rFonts w:hint="default" w:ascii="Times New Roman" w:hAnsi="Times New Roman" w:eastAsia="仿宋_GB2312" w:cs="仿宋"/>
                <w:b w:val="0"/>
                <w:bCs w:val="0"/>
                <w:kern w:val="0"/>
                <w:sz w:val="20"/>
                <w:szCs w:val="20"/>
                <w:lang w:val="en-US"/>
              </w:rPr>
              <w:t>0</w:t>
            </w:r>
            <w:r>
              <w:rPr>
                <w:rFonts w:hint="default" w:ascii="仿宋" w:hAnsi="仿宋" w:eastAsia="仿宋_GB2312" w:cs="仿宋"/>
                <w:b w:val="0"/>
                <w:bCs w:val="0"/>
                <w:kern w:val="0"/>
                <w:sz w:val="20"/>
                <w:szCs w:val="20"/>
                <w:lang w:val="en-US"/>
              </w:rPr>
              <w:t>.</w:t>
            </w:r>
            <w:r>
              <w:rPr>
                <w:rFonts w:hint="default" w:ascii="Times New Roman" w:hAnsi="Times New Roman" w:eastAsia="仿宋_GB2312" w:cs="仿宋"/>
                <w:b w:val="0"/>
                <w:bCs w:val="0"/>
                <w:kern w:val="0"/>
                <w:sz w:val="20"/>
                <w:szCs w:val="20"/>
                <w:lang w:val="en-US"/>
              </w:rPr>
              <w:t>09</w:t>
            </w:r>
          </w:p>
        </w:tc>
      </w:tr>
      <w:tr w14:paraId="461DC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17ECE868">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b w:val="0"/>
                <w:bCs w:val="0"/>
                <w:kern w:val="0"/>
                <w:sz w:val="20"/>
                <w:szCs w:val="20"/>
              </w:rPr>
            </w:pPr>
            <w:r>
              <w:rPr>
                <w:rFonts w:hint="eastAsia" w:ascii="仿宋" w:hAnsi="仿宋" w:eastAsia="仿宋_GB2312" w:cs="仿宋"/>
                <w:b w:val="0"/>
                <w:bCs w:val="0"/>
                <w:kern w:val="0"/>
                <w:sz w:val="20"/>
                <w:szCs w:val="20"/>
              </w:rPr>
              <w:t>项目支出：</w:t>
            </w:r>
          </w:p>
        </w:tc>
        <w:tc>
          <w:tcPr>
            <w:tcW w:w="2038" w:type="dxa"/>
            <w:gridSpan w:val="2"/>
            <w:noWrap w:val="0"/>
            <w:vAlign w:val="center"/>
          </w:tcPr>
          <w:p w14:paraId="563346D9">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b w:val="0"/>
                <w:bCs w:val="0"/>
                <w:kern w:val="0"/>
                <w:sz w:val="20"/>
                <w:szCs w:val="20"/>
                <w:lang w:eastAsia="zh-CN"/>
              </w:rPr>
            </w:pPr>
          </w:p>
        </w:tc>
        <w:tc>
          <w:tcPr>
            <w:tcW w:w="2240" w:type="dxa"/>
            <w:gridSpan w:val="2"/>
            <w:noWrap w:val="0"/>
            <w:vAlign w:val="center"/>
          </w:tcPr>
          <w:p w14:paraId="215F8703">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b w:val="0"/>
                <w:bCs w:val="0"/>
                <w:kern w:val="0"/>
                <w:sz w:val="20"/>
                <w:szCs w:val="20"/>
                <w:lang w:eastAsia="zh-CN"/>
              </w:rPr>
            </w:pPr>
          </w:p>
        </w:tc>
        <w:tc>
          <w:tcPr>
            <w:tcW w:w="1832" w:type="dxa"/>
            <w:gridSpan w:val="2"/>
            <w:noWrap w:val="0"/>
            <w:vAlign w:val="center"/>
          </w:tcPr>
          <w:p w14:paraId="72F234F5">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b w:val="0"/>
                <w:bCs w:val="0"/>
                <w:kern w:val="0"/>
                <w:sz w:val="20"/>
                <w:szCs w:val="20"/>
                <w:lang w:eastAsia="zh-CN"/>
              </w:rPr>
            </w:pPr>
          </w:p>
        </w:tc>
      </w:tr>
      <w:tr w14:paraId="5A448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2C7E7132">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b w:val="0"/>
                <w:bCs w:val="0"/>
                <w:kern w:val="0"/>
                <w:sz w:val="20"/>
                <w:szCs w:val="20"/>
              </w:rPr>
            </w:pPr>
            <w:r>
              <w:rPr>
                <w:rFonts w:hint="eastAsia" w:ascii="仿宋" w:hAnsi="仿宋" w:eastAsia="仿宋_GB2312" w:cs="仿宋"/>
                <w:b w:val="0"/>
                <w:bCs w:val="0"/>
                <w:kern w:val="0"/>
                <w:sz w:val="20"/>
                <w:szCs w:val="20"/>
              </w:rPr>
              <w:t xml:space="preserve">    </w:t>
            </w:r>
            <w:r>
              <w:rPr>
                <w:rFonts w:hint="eastAsia" w:ascii="Times New Roman" w:hAnsi="Times New Roman" w:eastAsia="仿宋_GB2312" w:cs="仿宋"/>
                <w:b w:val="0"/>
                <w:bCs w:val="0"/>
                <w:kern w:val="0"/>
                <w:sz w:val="20"/>
                <w:szCs w:val="20"/>
              </w:rPr>
              <w:t>1</w:t>
            </w:r>
            <w:r>
              <w:rPr>
                <w:rFonts w:hint="eastAsia" w:ascii="仿宋" w:hAnsi="仿宋" w:eastAsia="仿宋_GB2312" w:cs="仿宋"/>
                <w:b w:val="0"/>
                <w:bCs w:val="0"/>
                <w:kern w:val="0"/>
                <w:sz w:val="20"/>
                <w:szCs w:val="20"/>
              </w:rPr>
              <w:t>、业务工作经费</w:t>
            </w:r>
          </w:p>
        </w:tc>
        <w:tc>
          <w:tcPr>
            <w:tcW w:w="2038" w:type="dxa"/>
            <w:gridSpan w:val="2"/>
            <w:noWrap w:val="0"/>
            <w:vAlign w:val="center"/>
          </w:tcPr>
          <w:p w14:paraId="74E9C7DD">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b w:val="0"/>
                <w:bCs w:val="0"/>
                <w:kern w:val="0"/>
                <w:sz w:val="20"/>
                <w:szCs w:val="20"/>
                <w:lang w:eastAsia="zh-CN"/>
              </w:rPr>
            </w:pPr>
          </w:p>
        </w:tc>
        <w:tc>
          <w:tcPr>
            <w:tcW w:w="2240" w:type="dxa"/>
            <w:gridSpan w:val="2"/>
            <w:noWrap w:val="0"/>
            <w:vAlign w:val="center"/>
          </w:tcPr>
          <w:p w14:paraId="70AECACB">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b w:val="0"/>
                <w:bCs w:val="0"/>
                <w:kern w:val="0"/>
                <w:sz w:val="20"/>
                <w:szCs w:val="20"/>
                <w:lang w:eastAsia="zh-CN"/>
              </w:rPr>
            </w:pPr>
          </w:p>
        </w:tc>
        <w:tc>
          <w:tcPr>
            <w:tcW w:w="1832" w:type="dxa"/>
            <w:gridSpan w:val="2"/>
            <w:noWrap w:val="0"/>
            <w:vAlign w:val="center"/>
          </w:tcPr>
          <w:p w14:paraId="745AFC20">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b w:val="0"/>
                <w:bCs w:val="0"/>
                <w:kern w:val="0"/>
                <w:sz w:val="20"/>
                <w:szCs w:val="20"/>
                <w:lang w:eastAsia="zh-CN"/>
              </w:rPr>
            </w:pPr>
          </w:p>
        </w:tc>
      </w:tr>
      <w:tr w14:paraId="1B9F5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3354" w:type="dxa"/>
            <w:noWrap w:val="0"/>
            <w:vAlign w:val="center"/>
          </w:tcPr>
          <w:p w14:paraId="55D1ACF8">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b w:val="0"/>
                <w:bCs w:val="0"/>
                <w:kern w:val="0"/>
                <w:sz w:val="20"/>
                <w:szCs w:val="20"/>
              </w:rPr>
            </w:pPr>
            <w:r>
              <w:rPr>
                <w:rFonts w:hint="eastAsia" w:ascii="仿宋" w:hAnsi="仿宋" w:eastAsia="仿宋_GB2312" w:cs="仿宋"/>
                <w:b w:val="0"/>
                <w:bCs w:val="0"/>
                <w:kern w:val="0"/>
                <w:sz w:val="20"/>
                <w:szCs w:val="20"/>
              </w:rPr>
              <w:t xml:space="preserve">    </w:t>
            </w:r>
            <w:r>
              <w:rPr>
                <w:rFonts w:hint="eastAsia" w:ascii="Times New Roman" w:hAnsi="Times New Roman" w:eastAsia="仿宋_GB2312" w:cs="仿宋"/>
                <w:b w:val="0"/>
                <w:bCs w:val="0"/>
                <w:kern w:val="0"/>
                <w:sz w:val="20"/>
                <w:szCs w:val="20"/>
              </w:rPr>
              <w:t>2</w:t>
            </w:r>
            <w:r>
              <w:rPr>
                <w:rFonts w:hint="eastAsia" w:ascii="仿宋" w:hAnsi="仿宋" w:eastAsia="仿宋_GB2312" w:cs="仿宋"/>
                <w:b w:val="0"/>
                <w:bCs w:val="0"/>
                <w:kern w:val="0"/>
                <w:sz w:val="20"/>
                <w:szCs w:val="20"/>
              </w:rPr>
              <w:t>、运行维护经费</w:t>
            </w:r>
          </w:p>
        </w:tc>
        <w:tc>
          <w:tcPr>
            <w:tcW w:w="2038" w:type="dxa"/>
            <w:gridSpan w:val="2"/>
            <w:noWrap w:val="0"/>
            <w:vAlign w:val="center"/>
          </w:tcPr>
          <w:p w14:paraId="33B5686E">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b w:val="0"/>
                <w:bCs w:val="0"/>
                <w:kern w:val="0"/>
                <w:sz w:val="20"/>
                <w:szCs w:val="20"/>
                <w:lang w:eastAsia="zh-CN"/>
              </w:rPr>
            </w:pPr>
          </w:p>
        </w:tc>
        <w:tc>
          <w:tcPr>
            <w:tcW w:w="2240" w:type="dxa"/>
            <w:gridSpan w:val="2"/>
            <w:noWrap w:val="0"/>
            <w:vAlign w:val="center"/>
          </w:tcPr>
          <w:p w14:paraId="39291756">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b w:val="0"/>
                <w:bCs w:val="0"/>
                <w:kern w:val="0"/>
                <w:sz w:val="20"/>
                <w:szCs w:val="20"/>
                <w:lang w:eastAsia="zh-CN"/>
              </w:rPr>
            </w:pPr>
          </w:p>
        </w:tc>
        <w:tc>
          <w:tcPr>
            <w:tcW w:w="1832" w:type="dxa"/>
            <w:gridSpan w:val="2"/>
            <w:noWrap w:val="0"/>
            <w:vAlign w:val="center"/>
          </w:tcPr>
          <w:p w14:paraId="7FDFD4B6">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b w:val="0"/>
                <w:bCs w:val="0"/>
                <w:kern w:val="0"/>
                <w:sz w:val="20"/>
                <w:szCs w:val="20"/>
                <w:lang w:eastAsia="zh-CN"/>
              </w:rPr>
            </w:pPr>
          </w:p>
        </w:tc>
      </w:tr>
      <w:tr w14:paraId="76DC1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3354" w:type="dxa"/>
            <w:noWrap w:val="0"/>
            <w:vAlign w:val="center"/>
          </w:tcPr>
          <w:p w14:paraId="4583EEBF">
            <w:pPr>
              <w:keepNext w:val="0"/>
              <w:keepLines w:val="0"/>
              <w:pageBreakBefore w:val="0"/>
              <w:widowControl/>
              <w:shd w:val="clear"/>
              <w:kinsoku/>
              <w:wordWrap/>
              <w:overflowPunct/>
              <w:topLinePunct w:val="0"/>
              <w:autoSpaceDE/>
              <w:autoSpaceDN/>
              <w:bidi w:val="0"/>
              <w:adjustRightInd/>
              <w:snapToGrid/>
              <w:spacing w:line="240" w:lineRule="exact"/>
              <w:ind w:firstLine="400" w:firstLineChars="200"/>
              <w:jc w:val="left"/>
              <w:textAlignment w:val="auto"/>
              <w:rPr>
                <w:rFonts w:hint="eastAsia" w:ascii="仿宋" w:hAnsi="仿宋" w:eastAsia="仿宋_GB2312" w:cs="仿宋"/>
                <w:b w:val="0"/>
                <w:bCs w:val="0"/>
                <w:kern w:val="0"/>
                <w:sz w:val="20"/>
                <w:szCs w:val="20"/>
              </w:rPr>
            </w:pPr>
            <w:r>
              <w:rPr>
                <w:rFonts w:hint="eastAsia" w:ascii="Times New Roman" w:hAnsi="Times New Roman" w:eastAsia="仿宋_GB2312" w:cs="仿宋"/>
                <w:b w:val="0"/>
                <w:bCs w:val="0"/>
                <w:kern w:val="0"/>
                <w:sz w:val="20"/>
                <w:szCs w:val="20"/>
              </w:rPr>
              <w:t>3</w:t>
            </w:r>
            <w:r>
              <w:rPr>
                <w:rFonts w:hint="eastAsia" w:ascii="仿宋" w:hAnsi="仿宋" w:eastAsia="仿宋_GB2312" w:cs="仿宋"/>
                <w:b w:val="0"/>
                <w:bCs w:val="0"/>
                <w:kern w:val="0"/>
                <w:sz w:val="20"/>
                <w:szCs w:val="20"/>
              </w:rPr>
              <w:t>、</w:t>
            </w:r>
            <w:r>
              <w:rPr>
                <w:rFonts w:hint="eastAsia" w:ascii="仿宋" w:hAnsi="仿宋" w:eastAsia="仿宋_GB2312" w:cs="仿宋"/>
                <w:b w:val="0"/>
                <w:bCs w:val="0"/>
                <w:kern w:val="0"/>
                <w:sz w:val="20"/>
                <w:szCs w:val="20"/>
                <w:lang w:eastAsia="zh-CN"/>
              </w:rPr>
              <w:t>本级</w:t>
            </w:r>
            <w:r>
              <w:rPr>
                <w:rFonts w:hint="eastAsia" w:ascii="仿宋" w:hAnsi="仿宋" w:eastAsia="仿宋_GB2312" w:cs="仿宋"/>
                <w:b w:val="0"/>
                <w:bCs w:val="0"/>
                <w:kern w:val="0"/>
                <w:sz w:val="20"/>
                <w:szCs w:val="20"/>
              </w:rPr>
              <w:t>专项资金</w:t>
            </w:r>
          </w:p>
          <w:p w14:paraId="744F256B">
            <w:pPr>
              <w:keepNext w:val="0"/>
              <w:keepLines w:val="0"/>
              <w:pageBreakBefore w:val="0"/>
              <w:widowControl/>
              <w:shd w:val="clear"/>
              <w:kinsoku/>
              <w:wordWrap/>
              <w:overflowPunct/>
              <w:topLinePunct w:val="0"/>
              <w:autoSpaceDE/>
              <w:autoSpaceDN/>
              <w:bidi w:val="0"/>
              <w:adjustRightInd/>
              <w:snapToGrid/>
              <w:spacing w:line="240" w:lineRule="exact"/>
              <w:ind w:firstLine="600" w:firstLineChars="300"/>
              <w:jc w:val="left"/>
              <w:textAlignment w:val="auto"/>
              <w:rPr>
                <w:rFonts w:hint="eastAsia" w:ascii="仿宋" w:hAnsi="仿宋" w:eastAsia="仿宋" w:cs="仿宋"/>
                <w:b w:val="0"/>
                <w:bCs w:val="0"/>
                <w:kern w:val="0"/>
                <w:sz w:val="20"/>
                <w:szCs w:val="20"/>
              </w:rPr>
            </w:pPr>
            <w:r>
              <w:rPr>
                <w:rFonts w:hint="eastAsia" w:ascii="仿宋" w:hAnsi="仿宋" w:eastAsia="仿宋_GB2312" w:cs="仿宋"/>
                <w:b w:val="0"/>
                <w:bCs w:val="0"/>
                <w:kern w:val="0"/>
                <w:sz w:val="20"/>
                <w:szCs w:val="20"/>
              </w:rPr>
              <w:t>（一个专项一行）</w:t>
            </w:r>
          </w:p>
        </w:tc>
        <w:tc>
          <w:tcPr>
            <w:tcW w:w="2038" w:type="dxa"/>
            <w:gridSpan w:val="2"/>
            <w:noWrap w:val="0"/>
            <w:vAlign w:val="center"/>
          </w:tcPr>
          <w:p w14:paraId="4CAE2D27">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b w:val="0"/>
                <w:bCs w:val="0"/>
                <w:kern w:val="0"/>
                <w:sz w:val="20"/>
                <w:szCs w:val="20"/>
              </w:rPr>
            </w:pPr>
          </w:p>
        </w:tc>
        <w:tc>
          <w:tcPr>
            <w:tcW w:w="2240" w:type="dxa"/>
            <w:gridSpan w:val="2"/>
            <w:noWrap w:val="0"/>
            <w:vAlign w:val="center"/>
          </w:tcPr>
          <w:p w14:paraId="5D81976D">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b w:val="0"/>
                <w:bCs w:val="0"/>
                <w:kern w:val="0"/>
                <w:sz w:val="20"/>
                <w:szCs w:val="20"/>
              </w:rPr>
            </w:pPr>
          </w:p>
        </w:tc>
        <w:tc>
          <w:tcPr>
            <w:tcW w:w="1832" w:type="dxa"/>
            <w:gridSpan w:val="2"/>
            <w:noWrap w:val="0"/>
            <w:vAlign w:val="center"/>
          </w:tcPr>
          <w:p w14:paraId="0EBA1A07">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b w:val="0"/>
                <w:bCs w:val="0"/>
                <w:kern w:val="0"/>
                <w:sz w:val="20"/>
                <w:szCs w:val="20"/>
              </w:rPr>
            </w:pPr>
          </w:p>
        </w:tc>
      </w:tr>
      <w:tr w14:paraId="11709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3354" w:type="dxa"/>
            <w:noWrap w:val="0"/>
            <w:vAlign w:val="center"/>
          </w:tcPr>
          <w:p w14:paraId="719124B6">
            <w:pPr>
              <w:keepNext w:val="0"/>
              <w:keepLines w:val="0"/>
              <w:pageBreakBefore w:val="0"/>
              <w:widowControl/>
              <w:shd w:val="clear"/>
              <w:kinsoku/>
              <w:wordWrap/>
              <w:overflowPunct/>
              <w:topLinePunct w:val="0"/>
              <w:autoSpaceDE/>
              <w:autoSpaceDN/>
              <w:bidi w:val="0"/>
              <w:adjustRightInd/>
              <w:snapToGrid/>
              <w:spacing w:line="240" w:lineRule="exact"/>
              <w:ind w:firstLine="600" w:firstLineChars="300"/>
              <w:jc w:val="left"/>
              <w:textAlignment w:val="auto"/>
              <w:rPr>
                <w:rFonts w:hint="eastAsia" w:ascii="仿宋" w:hAnsi="仿宋" w:eastAsia="仿宋" w:cs="仿宋"/>
                <w:b w:val="0"/>
                <w:bCs w:val="0"/>
                <w:kern w:val="0"/>
                <w:sz w:val="20"/>
                <w:szCs w:val="20"/>
              </w:rPr>
            </w:pPr>
            <w:r>
              <w:rPr>
                <w:rFonts w:hint="eastAsia" w:ascii="仿宋" w:hAnsi="仿宋" w:eastAsia="仿宋_GB2312" w:cs="仿宋"/>
                <w:b w:val="0"/>
                <w:bCs w:val="0"/>
                <w:kern w:val="0"/>
                <w:sz w:val="20"/>
                <w:szCs w:val="20"/>
              </w:rPr>
              <w:t xml:space="preserve"> 法治督察经费</w:t>
            </w:r>
          </w:p>
        </w:tc>
        <w:tc>
          <w:tcPr>
            <w:tcW w:w="2038" w:type="dxa"/>
            <w:gridSpan w:val="2"/>
            <w:noWrap w:val="0"/>
            <w:vAlign w:val="center"/>
          </w:tcPr>
          <w:p w14:paraId="5BDFF478">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default" w:ascii="仿宋" w:hAnsi="仿宋" w:eastAsia="仿宋" w:cs="仿宋"/>
                <w:b w:val="0"/>
                <w:bCs w:val="0"/>
                <w:kern w:val="0"/>
                <w:sz w:val="20"/>
                <w:szCs w:val="20"/>
                <w:lang w:val="en-US"/>
              </w:rPr>
            </w:pPr>
            <w:r>
              <w:rPr>
                <w:rFonts w:hint="default" w:ascii="Times New Roman" w:hAnsi="Times New Roman" w:eastAsia="仿宋_GB2312" w:cs="仿宋"/>
                <w:b w:val="0"/>
                <w:bCs w:val="0"/>
                <w:kern w:val="0"/>
                <w:sz w:val="20"/>
                <w:szCs w:val="20"/>
                <w:lang w:val="en-US"/>
              </w:rPr>
              <w:t>5</w:t>
            </w:r>
          </w:p>
        </w:tc>
        <w:tc>
          <w:tcPr>
            <w:tcW w:w="2240" w:type="dxa"/>
            <w:gridSpan w:val="2"/>
            <w:noWrap w:val="0"/>
            <w:vAlign w:val="center"/>
          </w:tcPr>
          <w:p w14:paraId="2916B5D3">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default" w:ascii="仿宋" w:hAnsi="仿宋" w:eastAsia="仿宋" w:cs="仿宋"/>
                <w:b w:val="0"/>
                <w:bCs w:val="0"/>
                <w:kern w:val="0"/>
                <w:sz w:val="20"/>
                <w:szCs w:val="20"/>
                <w:lang w:val="en-US"/>
              </w:rPr>
            </w:pPr>
            <w:r>
              <w:rPr>
                <w:rFonts w:hint="default" w:ascii="Times New Roman" w:hAnsi="Times New Roman" w:eastAsia="仿宋_GB2312" w:cs="仿宋"/>
                <w:b w:val="0"/>
                <w:bCs w:val="0"/>
                <w:kern w:val="0"/>
                <w:sz w:val="20"/>
                <w:szCs w:val="20"/>
                <w:lang w:val="en-US"/>
              </w:rPr>
              <w:t>0</w:t>
            </w:r>
          </w:p>
        </w:tc>
        <w:tc>
          <w:tcPr>
            <w:tcW w:w="1832" w:type="dxa"/>
            <w:gridSpan w:val="2"/>
            <w:noWrap w:val="0"/>
            <w:vAlign w:val="center"/>
          </w:tcPr>
          <w:p w14:paraId="05588F4B">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b w:val="0"/>
                <w:bCs w:val="0"/>
                <w:kern w:val="0"/>
                <w:sz w:val="20"/>
                <w:szCs w:val="20"/>
                <w:lang w:val="en-US" w:eastAsia="zh-CN"/>
              </w:rPr>
            </w:pPr>
            <w:r>
              <w:rPr>
                <w:rFonts w:hint="eastAsia" w:ascii="Times New Roman" w:hAnsi="Times New Roman" w:eastAsia="仿宋_GB2312" w:cs="仿宋"/>
                <w:b w:val="0"/>
                <w:bCs w:val="0"/>
                <w:kern w:val="0"/>
                <w:sz w:val="20"/>
                <w:szCs w:val="20"/>
                <w:lang w:val="en-US" w:eastAsia="zh-CN"/>
              </w:rPr>
              <w:t>0</w:t>
            </w:r>
          </w:p>
        </w:tc>
      </w:tr>
      <w:tr w14:paraId="6CFAF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3354" w:type="dxa"/>
            <w:noWrap w:val="0"/>
            <w:vAlign w:val="center"/>
          </w:tcPr>
          <w:p w14:paraId="0C2C0807">
            <w:pPr>
              <w:keepNext w:val="0"/>
              <w:keepLines w:val="0"/>
              <w:pageBreakBefore w:val="0"/>
              <w:widowControl/>
              <w:shd w:val="clear"/>
              <w:kinsoku/>
              <w:wordWrap/>
              <w:overflowPunct/>
              <w:topLinePunct w:val="0"/>
              <w:autoSpaceDE/>
              <w:autoSpaceDN/>
              <w:bidi w:val="0"/>
              <w:adjustRightInd/>
              <w:snapToGrid/>
              <w:spacing w:line="240" w:lineRule="exact"/>
              <w:ind w:firstLine="600" w:firstLineChars="300"/>
              <w:jc w:val="left"/>
              <w:textAlignment w:val="auto"/>
              <w:rPr>
                <w:rFonts w:hint="eastAsia" w:ascii="仿宋" w:hAnsi="仿宋" w:eastAsia="仿宋" w:cs="仿宋"/>
                <w:b w:val="0"/>
                <w:bCs w:val="0"/>
                <w:kern w:val="0"/>
                <w:sz w:val="20"/>
                <w:szCs w:val="20"/>
              </w:rPr>
            </w:pPr>
            <w:r>
              <w:rPr>
                <w:rFonts w:hint="eastAsia" w:ascii="仿宋" w:hAnsi="仿宋" w:eastAsia="仿宋_GB2312" w:cs="仿宋"/>
                <w:b w:val="0"/>
                <w:bCs w:val="0"/>
                <w:kern w:val="0"/>
                <w:sz w:val="20"/>
                <w:szCs w:val="20"/>
              </w:rPr>
              <w:t>社区矫正政府购买服务经费</w:t>
            </w:r>
          </w:p>
        </w:tc>
        <w:tc>
          <w:tcPr>
            <w:tcW w:w="2038" w:type="dxa"/>
            <w:gridSpan w:val="2"/>
            <w:noWrap w:val="0"/>
            <w:vAlign w:val="center"/>
          </w:tcPr>
          <w:p w14:paraId="385F8BCE">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default" w:ascii="仿宋" w:hAnsi="仿宋" w:eastAsia="仿宋" w:cs="仿宋"/>
                <w:b w:val="0"/>
                <w:bCs w:val="0"/>
                <w:kern w:val="0"/>
                <w:sz w:val="20"/>
                <w:szCs w:val="20"/>
                <w:lang w:val="en-US"/>
              </w:rPr>
            </w:pPr>
            <w:r>
              <w:rPr>
                <w:rFonts w:hint="default" w:ascii="Times New Roman" w:hAnsi="Times New Roman" w:eastAsia="仿宋_GB2312" w:cs="仿宋"/>
                <w:b w:val="0"/>
                <w:bCs w:val="0"/>
                <w:kern w:val="0"/>
                <w:sz w:val="20"/>
                <w:szCs w:val="20"/>
                <w:lang w:val="en-US"/>
              </w:rPr>
              <w:t>9</w:t>
            </w:r>
            <w:r>
              <w:rPr>
                <w:rFonts w:hint="default" w:ascii="仿宋" w:hAnsi="仿宋" w:eastAsia="仿宋_GB2312" w:cs="仿宋"/>
                <w:b w:val="0"/>
                <w:bCs w:val="0"/>
                <w:kern w:val="0"/>
                <w:sz w:val="20"/>
                <w:szCs w:val="20"/>
                <w:lang w:val="en-US"/>
              </w:rPr>
              <w:t>.</w:t>
            </w:r>
            <w:r>
              <w:rPr>
                <w:rFonts w:hint="default" w:ascii="Times New Roman" w:hAnsi="Times New Roman" w:eastAsia="仿宋_GB2312" w:cs="仿宋"/>
                <w:b w:val="0"/>
                <w:bCs w:val="0"/>
                <w:kern w:val="0"/>
                <w:sz w:val="20"/>
                <w:szCs w:val="20"/>
                <w:lang w:val="en-US"/>
              </w:rPr>
              <w:t>37</w:t>
            </w:r>
          </w:p>
        </w:tc>
        <w:tc>
          <w:tcPr>
            <w:tcW w:w="2240" w:type="dxa"/>
            <w:gridSpan w:val="2"/>
            <w:noWrap w:val="0"/>
            <w:vAlign w:val="center"/>
          </w:tcPr>
          <w:p w14:paraId="5BA69AFB">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default" w:ascii="仿宋" w:hAnsi="仿宋" w:eastAsia="仿宋" w:cs="仿宋"/>
                <w:b w:val="0"/>
                <w:bCs w:val="0"/>
                <w:kern w:val="0"/>
                <w:sz w:val="20"/>
                <w:szCs w:val="20"/>
                <w:lang w:val="en-US"/>
              </w:rPr>
            </w:pPr>
            <w:r>
              <w:rPr>
                <w:rFonts w:hint="default" w:ascii="Times New Roman" w:hAnsi="Times New Roman" w:eastAsia="仿宋_GB2312" w:cs="仿宋"/>
                <w:b w:val="0"/>
                <w:bCs w:val="0"/>
                <w:kern w:val="0"/>
                <w:sz w:val="20"/>
                <w:szCs w:val="20"/>
                <w:lang w:val="en-US"/>
              </w:rPr>
              <w:t>10</w:t>
            </w:r>
          </w:p>
        </w:tc>
        <w:tc>
          <w:tcPr>
            <w:tcW w:w="1832" w:type="dxa"/>
            <w:gridSpan w:val="2"/>
            <w:noWrap w:val="0"/>
            <w:vAlign w:val="center"/>
          </w:tcPr>
          <w:p w14:paraId="165F6E06">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b w:val="0"/>
                <w:bCs w:val="0"/>
                <w:kern w:val="0"/>
                <w:sz w:val="20"/>
                <w:szCs w:val="20"/>
                <w:lang w:val="en-US" w:eastAsia="zh-CN"/>
              </w:rPr>
            </w:pPr>
            <w:r>
              <w:rPr>
                <w:rFonts w:hint="eastAsia" w:ascii="Times New Roman" w:hAnsi="Times New Roman" w:eastAsia="仿宋_GB2312" w:cs="仿宋"/>
                <w:b w:val="0"/>
                <w:bCs w:val="0"/>
                <w:kern w:val="0"/>
                <w:sz w:val="20"/>
                <w:szCs w:val="20"/>
                <w:lang w:val="en-US" w:eastAsia="zh-CN"/>
              </w:rPr>
              <w:t>0</w:t>
            </w:r>
          </w:p>
        </w:tc>
      </w:tr>
      <w:tr w14:paraId="18A34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3354" w:type="dxa"/>
            <w:noWrap w:val="0"/>
            <w:vAlign w:val="center"/>
          </w:tcPr>
          <w:p w14:paraId="32726C99">
            <w:pPr>
              <w:keepNext w:val="0"/>
              <w:keepLines w:val="0"/>
              <w:pageBreakBefore w:val="0"/>
              <w:widowControl/>
              <w:shd w:val="clear"/>
              <w:tabs>
                <w:tab w:val="left" w:pos="1306"/>
              </w:tabs>
              <w:kinsoku/>
              <w:wordWrap/>
              <w:overflowPunct/>
              <w:topLinePunct w:val="0"/>
              <w:autoSpaceDE/>
              <w:autoSpaceDN/>
              <w:bidi w:val="0"/>
              <w:adjustRightInd/>
              <w:snapToGrid/>
              <w:spacing w:line="240" w:lineRule="exact"/>
              <w:ind w:firstLine="600" w:firstLineChars="300"/>
              <w:jc w:val="left"/>
              <w:textAlignment w:val="auto"/>
              <w:rPr>
                <w:rFonts w:hint="default" w:ascii="仿宋" w:hAnsi="仿宋" w:eastAsia="仿宋" w:cs="仿宋"/>
                <w:b w:val="0"/>
                <w:bCs w:val="0"/>
                <w:kern w:val="0"/>
                <w:sz w:val="20"/>
                <w:szCs w:val="20"/>
                <w:lang w:val="en-US"/>
              </w:rPr>
            </w:pPr>
            <w:r>
              <w:rPr>
                <w:rFonts w:hint="default" w:ascii="仿宋" w:hAnsi="仿宋" w:eastAsia="仿宋_GB2312" w:cs="仿宋"/>
                <w:b w:val="0"/>
                <w:bCs w:val="0"/>
                <w:kern w:val="0"/>
                <w:sz w:val="20"/>
                <w:szCs w:val="20"/>
                <w:lang w:val="en-US"/>
              </w:rPr>
              <w:t>专项业务工作经费</w:t>
            </w:r>
          </w:p>
        </w:tc>
        <w:tc>
          <w:tcPr>
            <w:tcW w:w="2038" w:type="dxa"/>
            <w:gridSpan w:val="2"/>
            <w:noWrap w:val="0"/>
            <w:vAlign w:val="center"/>
          </w:tcPr>
          <w:p w14:paraId="33B81245">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default" w:ascii="仿宋" w:hAnsi="仿宋" w:eastAsia="仿宋" w:cs="仿宋"/>
                <w:b w:val="0"/>
                <w:bCs w:val="0"/>
                <w:kern w:val="0"/>
                <w:sz w:val="20"/>
                <w:szCs w:val="20"/>
                <w:lang w:val="en-US"/>
              </w:rPr>
            </w:pPr>
            <w:r>
              <w:rPr>
                <w:rFonts w:hint="default" w:ascii="Times New Roman" w:hAnsi="Times New Roman" w:eastAsia="仿宋_GB2312" w:cs="仿宋"/>
                <w:b w:val="0"/>
                <w:bCs w:val="0"/>
                <w:kern w:val="0"/>
                <w:sz w:val="20"/>
                <w:szCs w:val="20"/>
                <w:lang w:val="en-US"/>
              </w:rPr>
              <w:t>47</w:t>
            </w:r>
            <w:r>
              <w:rPr>
                <w:rFonts w:hint="default" w:ascii="仿宋" w:hAnsi="仿宋" w:eastAsia="仿宋_GB2312" w:cs="仿宋"/>
                <w:b w:val="0"/>
                <w:bCs w:val="0"/>
                <w:kern w:val="0"/>
                <w:sz w:val="20"/>
                <w:szCs w:val="20"/>
                <w:lang w:val="en-US"/>
              </w:rPr>
              <w:t>.</w:t>
            </w:r>
            <w:r>
              <w:rPr>
                <w:rFonts w:hint="default" w:ascii="Times New Roman" w:hAnsi="Times New Roman" w:eastAsia="仿宋_GB2312" w:cs="仿宋"/>
                <w:b w:val="0"/>
                <w:bCs w:val="0"/>
                <w:kern w:val="0"/>
                <w:sz w:val="20"/>
                <w:szCs w:val="20"/>
                <w:lang w:val="en-US"/>
              </w:rPr>
              <w:t>81</w:t>
            </w:r>
          </w:p>
        </w:tc>
        <w:tc>
          <w:tcPr>
            <w:tcW w:w="2240" w:type="dxa"/>
            <w:gridSpan w:val="2"/>
            <w:noWrap w:val="0"/>
            <w:vAlign w:val="center"/>
          </w:tcPr>
          <w:p w14:paraId="72C4D86B">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default" w:ascii="仿宋" w:hAnsi="仿宋" w:eastAsia="仿宋" w:cs="仿宋"/>
                <w:b w:val="0"/>
                <w:bCs w:val="0"/>
                <w:kern w:val="0"/>
                <w:sz w:val="20"/>
                <w:szCs w:val="20"/>
                <w:lang w:val="en-US"/>
              </w:rPr>
            </w:pPr>
            <w:r>
              <w:rPr>
                <w:rFonts w:hint="default" w:ascii="Times New Roman" w:hAnsi="Times New Roman" w:eastAsia="仿宋_GB2312" w:cs="仿宋"/>
                <w:b w:val="0"/>
                <w:bCs w:val="0"/>
                <w:kern w:val="0"/>
                <w:sz w:val="20"/>
                <w:szCs w:val="20"/>
                <w:lang w:val="en-US"/>
              </w:rPr>
              <w:t>0</w:t>
            </w:r>
          </w:p>
        </w:tc>
        <w:tc>
          <w:tcPr>
            <w:tcW w:w="1832" w:type="dxa"/>
            <w:gridSpan w:val="2"/>
            <w:noWrap w:val="0"/>
            <w:vAlign w:val="center"/>
          </w:tcPr>
          <w:p w14:paraId="1C25DC25">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b w:val="0"/>
                <w:bCs w:val="0"/>
                <w:kern w:val="0"/>
                <w:sz w:val="20"/>
                <w:szCs w:val="20"/>
                <w:lang w:val="en-US" w:eastAsia="zh-CN"/>
              </w:rPr>
            </w:pPr>
            <w:r>
              <w:rPr>
                <w:rFonts w:hint="eastAsia" w:ascii="Times New Roman" w:hAnsi="Times New Roman" w:eastAsia="仿宋_GB2312" w:cs="仿宋"/>
                <w:b w:val="0"/>
                <w:bCs w:val="0"/>
                <w:kern w:val="0"/>
                <w:sz w:val="20"/>
                <w:szCs w:val="20"/>
                <w:lang w:val="en-US" w:eastAsia="zh-CN"/>
              </w:rPr>
              <w:t>0</w:t>
            </w:r>
          </w:p>
        </w:tc>
      </w:tr>
      <w:tr w14:paraId="77436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3354" w:type="dxa"/>
            <w:noWrap w:val="0"/>
            <w:vAlign w:val="center"/>
          </w:tcPr>
          <w:p w14:paraId="0B047A8C">
            <w:pPr>
              <w:keepNext w:val="0"/>
              <w:keepLines w:val="0"/>
              <w:pageBreakBefore w:val="0"/>
              <w:widowControl/>
              <w:shd w:val="clear"/>
              <w:kinsoku/>
              <w:wordWrap/>
              <w:overflowPunct/>
              <w:topLinePunct w:val="0"/>
              <w:autoSpaceDE/>
              <w:autoSpaceDN/>
              <w:bidi w:val="0"/>
              <w:adjustRightInd/>
              <w:snapToGrid/>
              <w:spacing w:line="240" w:lineRule="exact"/>
              <w:ind w:firstLine="100" w:firstLineChars="50"/>
              <w:jc w:val="left"/>
              <w:textAlignment w:val="auto"/>
              <w:rPr>
                <w:rFonts w:hint="eastAsia" w:ascii="仿宋" w:hAnsi="仿宋" w:eastAsia="仿宋" w:cs="仿宋"/>
                <w:b w:val="0"/>
                <w:bCs w:val="0"/>
                <w:kern w:val="0"/>
                <w:sz w:val="20"/>
                <w:szCs w:val="20"/>
              </w:rPr>
            </w:pPr>
            <w:r>
              <w:rPr>
                <w:rFonts w:hint="eastAsia" w:ascii="仿宋" w:hAnsi="仿宋" w:eastAsia="仿宋_GB2312" w:cs="仿宋"/>
                <w:b w:val="0"/>
                <w:bCs w:val="0"/>
                <w:kern w:val="0"/>
                <w:sz w:val="20"/>
                <w:szCs w:val="20"/>
              </w:rPr>
              <w:t>国家统一法律职业资格考试经费</w:t>
            </w:r>
          </w:p>
        </w:tc>
        <w:tc>
          <w:tcPr>
            <w:tcW w:w="2038" w:type="dxa"/>
            <w:gridSpan w:val="2"/>
            <w:noWrap w:val="0"/>
            <w:vAlign w:val="center"/>
          </w:tcPr>
          <w:p w14:paraId="79ED45AE">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default" w:ascii="仿宋" w:hAnsi="仿宋" w:eastAsia="仿宋" w:cs="仿宋"/>
                <w:b w:val="0"/>
                <w:bCs w:val="0"/>
                <w:kern w:val="0"/>
                <w:sz w:val="20"/>
                <w:szCs w:val="20"/>
                <w:lang w:val="en-US"/>
              </w:rPr>
            </w:pPr>
            <w:r>
              <w:rPr>
                <w:rFonts w:hint="default" w:ascii="Times New Roman" w:hAnsi="Times New Roman" w:eastAsia="仿宋_GB2312" w:cs="仿宋"/>
                <w:b w:val="0"/>
                <w:bCs w:val="0"/>
                <w:kern w:val="0"/>
                <w:sz w:val="20"/>
                <w:szCs w:val="20"/>
                <w:lang w:val="en-US"/>
              </w:rPr>
              <w:t>33</w:t>
            </w:r>
            <w:r>
              <w:rPr>
                <w:rFonts w:hint="default" w:ascii="仿宋" w:hAnsi="仿宋" w:eastAsia="仿宋_GB2312" w:cs="仿宋"/>
                <w:b w:val="0"/>
                <w:bCs w:val="0"/>
                <w:kern w:val="0"/>
                <w:sz w:val="20"/>
                <w:szCs w:val="20"/>
                <w:lang w:val="en-US"/>
              </w:rPr>
              <w:t>.</w:t>
            </w:r>
            <w:r>
              <w:rPr>
                <w:rFonts w:hint="default" w:ascii="Times New Roman" w:hAnsi="Times New Roman" w:eastAsia="仿宋_GB2312" w:cs="仿宋"/>
                <w:b w:val="0"/>
                <w:bCs w:val="0"/>
                <w:kern w:val="0"/>
                <w:sz w:val="20"/>
                <w:szCs w:val="20"/>
                <w:lang w:val="en-US"/>
              </w:rPr>
              <w:t>3</w:t>
            </w:r>
          </w:p>
        </w:tc>
        <w:tc>
          <w:tcPr>
            <w:tcW w:w="2240" w:type="dxa"/>
            <w:gridSpan w:val="2"/>
            <w:noWrap w:val="0"/>
            <w:vAlign w:val="center"/>
          </w:tcPr>
          <w:p w14:paraId="0DBA95DF">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default" w:ascii="仿宋" w:hAnsi="仿宋" w:eastAsia="仿宋" w:cs="仿宋"/>
                <w:b w:val="0"/>
                <w:bCs w:val="0"/>
                <w:kern w:val="0"/>
                <w:sz w:val="20"/>
                <w:szCs w:val="20"/>
                <w:lang w:val="en-US"/>
              </w:rPr>
            </w:pPr>
            <w:r>
              <w:rPr>
                <w:rFonts w:hint="default" w:ascii="Times New Roman" w:hAnsi="Times New Roman" w:eastAsia="仿宋_GB2312" w:cs="仿宋"/>
                <w:b w:val="0"/>
                <w:bCs w:val="0"/>
                <w:kern w:val="0"/>
                <w:sz w:val="20"/>
                <w:szCs w:val="20"/>
                <w:lang w:val="en-US"/>
              </w:rPr>
              <w:t>35</w:t>
            </w:r>
          </w:p>
        </w:tc>
        <w:tc>
          <w:tcPr>
            <w:tcW w:w="1832" w:type="dxa"/>
            <w:gridSpan w:val="2"/>
            <w:noWrap w:val="0"/>
            <w:vAlign w:val="center"/>
          </w:tcPr>
          <w:p w14:paraId="0CD55EC0">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default" w:ascii="仿宋" w:hAnsi="仿宋" w:eastAsia="仿宋" w:cs="仿宋"/>
                <w:b w:val="0"/>
                <w:bCs w:val="0"/>
                <w:kern w:val="0"/>
                <w:sz w:val="20"/>
                <w:szCs w:val="20"/>
                <w:lang w:val="en-US" w:eastAsia="zh-CN"/>
              </w:rPr>
            </w:pPr>
            <w:r>
              <w:rPr>
                <w:rFonts w:hint="eastAsia" w:ascii="Times New Roman" w:hAnsi="Times New Roman" w:eastAsia="仿宋_GB2312" w:cs="仿宋"/>
                <w:b w:val="0"/>
                <w:bCs w:val="0"/>
                <w:kern w:val="0"/>
                <w:sz w:val="20"/>
                <w:szCs w:val="20"/>
                <w:lang w:val="en-US" w:eastAsia="zh-CN"/>
              </w:rPr>
              <w:t>33</w:t>
            </w:r>
            <w:r>
              <w:rPr>
                <w:rFonts w:hint="eastAsia" w:ascii="仿宋" w:hAnsi="仿宋" w:eastAsia="仿宋_GB2312" w:cs="仿宋"/>
                <w:b w:val="0"/>
                <w:bCs w:val="0"/>
                <w:kern w:val="0"/>
                <w:sz w:val="20"/>
                <w:szCs w:val="20"/>
                <w:lang w:val="en-US" w:eastAsia="zh-CN"/>
              </w:rPr>
              <w:t>.</w:t>
            </w:r>
            <w:r>
              <w:rPr>
                <w:rFonts w:hint="eastAsia" w:ascii="Times New Roman" w:hAnsi="Times New Roman" w:eastAsia="仿宋_GB2312" w:cs="仿宋"/>
                <w:b w:val="0"/>
                <w:bCs w:val="0"/>
                <w:kern w:val="0"/>
                <w:sz w:val="20"/>
                <w:szCs w:val="20"/>
                <w:lang w:val="en-US" w:eastAsia="zh-CN"/>
              </w:rPr>
              <w:t>15</w:t>
            </w:r>
          </w:p>
        </w:tc>
      </w:tr>
      <w:tr w14:paraId="40CFB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3354" w:type="dxa"/>
            <w:noWrap w:val="0"/>
            <w:vAlign w:val="center"/>
          </w:tcPr>
          <w:p w14:paraId="08408D15">
            <w:pPr>
              <w:keepNext w:val="0"/>
              <w:keepLines w:val="0"/>
              <w:pageBreakBefore w:val="0"/>
              <w:widowControl/>
              <w:shd w:val="clear"/>
              <w:kinsoku/>
              <w:wordWrap/>
              <w:overflowPunct/>
              <w:topLinePunct w:val="0"/>
              <w:autoSpaceDE/>
              <w:autoSpaceDN/>
              <w:bidi w:val="0"/>
              <w:adjustRightInd/>
              <w:snapToGrid/>
              <w:spacing w:line="240" w:lineRule="exact"/>
              <w:ind w:firstLine="100" w:firstLineChars="50"/>
              <w:jc w:val="left"/>
              <w:textAlignment w:val="auto"/>
              <w:rPr>
                <w:rFonts w:hint="eastAsia" w:ascii="仿宋" w:hAnsi="仿宋" w:eastAsia="仿宋" w:cs="仿宋"/>
                <w:b w:val="0"/>
                <w:bCs w:val="0"/>
                <w:kern w:val="0"/>
                <w:sz w:val="20"/>
                <w:szCs w:val="20"/>
                <w:lang w:eastAsia="zh-CN"/>
              </w:rPr>
            </w:pPr>
            <w:r>
              <w:rPr>
                <w:rFonts w:hint="eastAsia" w:ascii="仿宋" w:hAnsi="仿宋" w:eastAsia="仿宋_GB2312" w:cs="仿宋"/>
                <w:b w:val="0"/>
                <w:bCs w:val="0"/>
                <w:kern w:val="0"/>
                <w:sz w:val="20"/>
                <w:szCs w:val="20"/>
                <w:lang w:eastAsia="zh-CN"/>
              </w:rPr>
              <w:t>国家统一法律职业资格考试基地建设经费</w:t>
            </w:r>
          </w:p>
        </w:tc>
        <w:tc>
          <w:tcPr>
            <w:tcW w:w="2038" w:type="dxa"/>
            <w:gridSpan w:val="2"/>
            <w:noWrap w:val="0"/>
            <w:vAlign w:val="center"/>
          </w:tcPr>
          <w:p w14:paraId="64510AEE">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default" w:ascii="仿宋" w:hAnsi="仿宋" w:eastAsia="仿宋" w:cs="仿宋"/>
                <w:b w:val="0"/>
                <w:bCs w:val="0"/>
                <w:kern w:val="0"/>
                <w:sz w:val="20"/>
                <w:szCs w:val="20"/>
                <w:lang w:val="en-US" w:eastAsia="zh-CN"/>
              </w:rPr>
            </w:pPr>
            <w:r>
              <w:rPr>
                <w:rFonts w:hint="eastAsia" w:ascii="Times New Roman" w:hAnsi="Times New Roman" w:eastAsia="仿宋_GB2312" w:cs="仿宋"/>
                <w:b w:val="0"/>
                <w:bCs w:val="0"/>
                <w:kern w:val="0"/>
                <w:sz w:val="20"/>
                <w:szCs w:val="20"/>
                <w:lang w:val="en-US" w:eastAsia="zh-CN"/>
              </w:rPr>
              <w:t>40</w:t>
            </w:r>
          </w:p>
        </w:tc>
        <w:tc>
          <w:tcPr>
            <w:tcW w:w="2240" w:type="dxa"/>
            <w:gridSpan w:val="2"/>
            <w:noWrap w:val="0"/>
            <w:vAlign w:val="center"/>
          </w:tcPr>
          <w:p w14:paraId="1AC34F49">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default" w:ascii="仿宋" w:hAnsi="仿宋" w:eastAsia="仿宋" w:cs="仿宋"/>
                <w:b w:val="0"/>
                <w:bCs w:val="0"/>
                <w:kern w:val="0"/>
                <w:sz w:val="20"/>
                <w:szCs w:val="20"/>
                <w:lang w:val="en-US" w:eastAsia="zh-CN"/>
              </w:rPr>
            </w:pPr>
            <w:r>
              <w:rPr>
                <w:rFonts w:hint="eastAsia" w:ascii="Times New Roman" w:hAnsi="Times New Roman" w:eastAsia="仿宋_GB2312" w:cs="仿宋"/>
                <w:b w:val="0"/>
                <w:bCs w:val="0"/>
                <w:kern w:val="0"/>
                <w:sz w:val="20"/>
                <w:szCs w:val="20"/>
                <w:lang w:val="en-US" w:eastAsia="zh-CN"/>
              </w:rPr>
              <w:t>40</w:t>
            </w:r>
          </w:p>
        </w:tc>
        <w:tc>
          <w:tcPr>
            <w:tcW w:w="1832" w:type="dxa"/>
            <w:gridSpan w:val="2"/>
            <w:noWrap w:val="0"/>
            <w:vAlign w:val="center"/>
          </w:tcPr>
          <w:p w14:paraId="2CFEA80C">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b w:val="0"/>
                <w:bCs w:val="0"/>
                <w:kern w:val="0"/>
                <w:sz w:val="20"/>
                <w:szCs w:val="20"/>
                <w:lang w:val="en-US" w:eastAsia="zh-CN"/>
              </w:rPr>
            </w:pPr>
            <w:r>
              <w:rPr>
                <w:rFonts w:hint="eastAsia" w:ascii="Times New Roman" w:hAnsi="Times New Roman" w:eastAsia="仿宋_GB2312" w:cs="仿宋"/>
                <w:b w:val="0"/>
                <w:bCs w:val="0"/>
                <w:kern w:val="0"/>
                <w:sz w:val="20"/>
                <w:szCs w:val="20"/>
                <w:lang w:val="en-US" w:eastAsia="zh-CN"/>
              </w:rPr>
              <w:t>0</w:t>
            </w:r>
          </w:p>
        </w:tc>
      </w:tr>
      <w:tr w14:paraId="6D890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3354" w:type="dxa"/>
            <w:noWrap w:val="0"/>
            <w:vAlign w:val="center"/>
          </w:tcPr>
          <w:p w14:paraId="322C365D">
            <w:pPr>
              <w:keepNext w:val="0"/>
              <w:keepLines w:val="0"/>
              <w:pageBreakBefore w:val="0"/>
              <w:widowControl/>
              <w:shd w:val="clear"/>
              <w:kinsoku/>
              <w:wordWrap/>
              <w:overflowPunct/>
              <w:topLinePunct w:val="0"/>
              <w:autoSpaceDE/>
              <w:autoSpaceDN/>
              <w:bidi w:val="0"/>
              <w:adjustRightInd/>
              <w:snapToGrid/>
              <w:spacing w:line="240" w:lineRule="exact"/>
              <w:ind w:firstLine="600" w:firstLineChars="300"/>
              <w:jc w:val="left"/>
              <w:textAlignment w:val="auto"/>
              <w:rPr>
                <w:rFonts w:hint="eastAsia" w:ascii="仿宋" w:hAnsi="仿宋" w:eastAsia="仿宋" w:cs="仿宋"/>
                <w:b w:val="0"/>
                <w:bCs w:val="0"/>
                <w:kern w:val="0"/>
                <w:sz w:val="20"/>
                <w:szCs w:val="20"/>
              </w:rPr>
            </w:pPr>
            <w:r>
              <w:rPr>
                <w:rFonts w:hint="eastAsia" w:ascii="仿宋" w:hAnsi="仿宋" w:eastAsia="仿宋_GB2312" w:cs="仿宋"/>
                <w:b w:val="0"/>
                <w:bCs w:val="0"/>
                <w:kern w:val="0"/>
                <w:sz w:val="20"/>
                <w:szCs w:val="20"/>
              </w:rPr>
              <w:t xml:space="preserve"> 普法宣传经费</w:t>
            </w:r>
          </w:p>
        </w:tc>
        <w:tc>
          <w:tcPr>
            <w:tcW w:w="2038" w:type="dxa"/>
            <w:gridSpan w:val="2"/>
            <w:noWrap w:val="0"/>
            <w:vAlign w:val="center"/>
          </w:tcPr>
          <w:p w14:paraId="1370836F">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default" w:ascii="仿宋" w:hAnsi="仿宋" w:eastAsia="仿宋" w:cs="仿宋"/>
                <w:b w:val="0"/>
                <w:bCs w:val="0"/>
                <w:kern w:val="0"/>
                <w:sz w:val="20"/>
                <w:szCs w:val="20"/>
                <w:lang w:val="en-US"/>
              </w:rPr>
            </w:pPr>
            <w:r>
              <w:rPr>
                <w:rFonts w:hint="default" w:ascii="Times New Roman" w:hAnsi="Times New Roman" w:eastAsia="仿宋_GB2312" w:cs="仿宋"/>
                <w:b w:val="0"/>
                <w:bCs w:val="0"/>
                <w:kern w:val="0"/>
                <w:sz w:val="20"/>
                <w:szCs w:val="20"/>
                <w:lang w:val="en-US"/>
              </w:rPr>
              <w:t>50</w:t>
            </w:r>
          </w:p>
        </w:tc>
        <w:tc>
          <w:tcPr>
            <w:tcW w:w="2240" w:type="dxa"/>
            <w:gridSpan w:val="2"/>
            <w:noWrap w:val="0"/>
            <w:vAlign w:val="center"/>
          </w:tcPr>
          <w:p w14:paraId="724027F1">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default" w:ascii="仿宋" w:hAnsi="仿宋" w:eastAsia="仿宋" w:cs="仿宋"/>
                <w:b w:val="0"/>
                <w:bCs w:val="0"/>
                <w:kern w:val="0"/>
                <w:sz w:val="20"/>
                <w:szCs w:val="20"/>
                <w:lang w:val="en-US"/>
              </w:rPr>
            </w:pPr>
            <w:r>
              <w:rPr>
                <w:rFonts w:hint="default" w:ascii="Times New Roman" w:hAnsi="Times New Roman" w:eastAsia="仿宋_GB2312" w:cs="仿宋"/>
                <w:b w:val="0"/>
                <w:bCs w:val="0"/>
                <w:kern w:val="0"/>
                <w:sz w:val="20"/>
                <w:szCs w:val="20"/>
                <w:lang w:val="en-US"/>
              </w:rPr>
              <w:t>50</w:t>
            </w:r>
          </w:p>
        </w:tc>
        <w:tc>
          <w:tcPr>
            <w:tcW w:w="1832" w:type="dxa"/>
            <w:gridSpan w:val="2"/>
            <w:noWrap w:val="0"/>
            <w:vAlign w:val="center"/>
          </w:tcPr>
          <w:p w14:paraId="0E91BDA7">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default" w:ascii="仿宋" w:hAnsi="仿宋" w:eastAsia="仿宋" w:cs="仿宋"/>
                <w:b w:val="0"/>
                <w:bCs w:val="0"/>
                <w:kern w:val="0"/>
                <w:sz w:val="20"/>
                <w:szCs w:val="20"/>
                <w:lang w:val="en-US" w:eastAsia="zh-CN"/>
              </w:rPr>
            </w:pPr>
            <w:r>
              <w:rPr>
                <w:rFonts w:hint="eastAsia" w:ascii="Times New Roman" w:hAnsi="Times New Roman" w:eastAsia="仿宋_GB2312" w:cs="仿宋"/>
                <w:b w:val="0"/>
                <w:bCs w:val="0"/>
                <w:kern w:val="0"/>
                <w:sz w:val="20"/>
                <w:szCs w:val="20"/>
                <w:lang w:val="en-US" w:eastAsia="zh-CN"/>
              </w:rPr>
              <w:t>5</w:t>
            </w:r>
            <w:r>
              <w:rPr>
                <w:rFonts w:hint="eastAsia" w:ascii="仿宋" w:hAnsi="仿宋" w:eastAsia="仿宋_GB2312" w:cs="仿宋"/>
                <w:b w:val="0"/>
                <w:bCs w:val="0"/>
                <w:kern w:val="0"/>
                <w:sz w:val="20"/>
                <w:szCs w:val="20"/>
                <w:lang w:val="en-US" w:eastAsia="zh-CN"/>
              </w:rPr>
              <w:t>.</w:t>
            </w:r>
            <w:r>
              <w:rPr>
                <w:rFonts w:hint="eastAsia" w:ascii="Times New Roman" w:hAnsi="Times New Roman" w:eastAsia="仿宋_GB2312" w:cs="仿宋"/>
                <w:b w:val="0"/>
                <w:bCs w:val="0"/>
                <w:kern w:val="0"/>
                <w:sz w:val="20"/>
                <w:szCs w:val="20"/>
                <w:lang w:val="en-US" w:eastAsia="zh-CN"/>
              </w:rPr>
              <w:t>5</w:t>
            </w:r>
          </w:p>
        </w:tc>
      </w:tr>
      <w:tr w14:paraId="461DB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3354" w:type="dxa"/>
            <w:noWrap w:val="0"/>
            <w:vAlign w:val="center"/>
          </w:tcPr>
          <w:p w14:paraId="51A40F14">
            <w:pPr>
              <w:keepNext w:val="0"/>
              <w:keepLines w:val="0"/>
              <w:pageBreakBefore w:val="0"/>
              <w:widowControl/>
              <w:shd w:val="clear"/>
              <w:kinsoku/>
              <w:wordWrap/>
              <w:overflowPunct/>
              <w:topLinePunct w:val="0"/>
              <w:autoSpaceDE/>
              <w:autoSpaceDN/>
              <w:bidi w:val="0"/>
              <w:adjustRightInd/>
              <w:snapToGrid/>
              <w:spacing w:line="240" w:lineRule="exact"/>
              <w:ind w:firstLine="600" w:firstLineChars="300"/>
              <w:jc w:val="left"/>
              <w:textAlignment w:val="auto"/>
              <w:rPr>
                <w:rFonts w:hint="eastAsia" w:ascii="仿宋" w:hAnsi="仿宋" w:eastAsia="仿宋" w:cs="仿宋"/>
                <w:b w:val="0"/>
                <w:bCs w:val="0"/>
                <w:kern w:val="0"/>
                <w:sz w:val="20"/>
                <w:szCs w:val="20"/>
              </w:rPr>
            </w:pPr>
            <w:r>
              <w:rPr>
                <w:rFonts w:hint="eastAsia" w:ascii="仿宋" w:hAnsi="仿宋" w:eastAsia="仿宋_GB2312" w:cs="仿宋"/>
                <w:b w:val="0"/>
                <w:bCs w:val="0"/>
                <w:kern w:val="0"/>
                <w:sz w:val="20"/>
                <w:szCs w:val="20"/>
              </w:rPr>
              <w:t xml:space="preserve"> 人民监督员经费</w:t>
            </w:r>
          </w:p>
        </w:tc>
        <w:tc>
          <w:tcPr>
            <w:tcW w:w="2038" w:type="dxa"/>
            <w:gridSpan w:val="2"/>
            <w:noWrap w:val="0"/>
            <w:vAlign w:val="center"/>
          </w:tcPr>
          <w:p w14:paraId="074D2DC5">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default" w:ascii="仿宋" w:hAnsi="仿宋" w:eastAsia="仿宋" w:cs="仿宋"/>
                <w:b w:val="0"/>
                <w:bCs w:val="0"/>
                <w:kern w:val="0"/>
                <w:sz w:val="20"/>
                <w:szCs w:val="20"/>
                <w:lang w:val="en-US"/>
              </w:rPr>
            </w:pPr>
            <w:r>
              <w:rPr>
                <w:rFonts w:hint="default" w:ascii="Times New Roman" w:hAnsi="Times New Roman" w:eastAsia="仿宋_GB2312" w:cs="仿宋"/>
                <w:b w:val="0"/>
                <w:bCs w:val="0"/>
                <w:kern w:val="0"/>
                <w:sz w:val="20"/>
                <w:szCs w:val="20"/>
                <w:lang w:val="en-US"/>
              </w:rPr>
              <w:t>10</w:t>
            </w:r>
          </w:p>
        </w:tc>
        <w:tc>
          <w:tcPr>
            <w:tcW w:w="2240" w:type="dxa"/>
            <w:gridSpan w:val="2"/>
            <w:noWrap w:val="0"/>
            <w:vAlign w:val="center"/>
          </w:tcPr>
          <w:p w14:paraId="45969E35">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b w:val="0"/>
                <w:bCs w:val="0"/>
                <w:kern w:val="0"/>
                <w:sz w:val="20"/>
                <w:szCs w:val="20"/>
                <w:lang w:val="en-US" w:eastAsia="zh-CN"/>
              </w:rPr>
            </w:pPr>
            <w:r>
              <w:rPr>
                <w:rFonts w:hint="eastAsia" w:ascii="Times New Roman" w:hAnsi="Times New Roman" w:eastAsia="仿宋_GB2312" w:cs="仿宋"/>
                <w:b w:val="0"/>
                <w:bCs w:val="0"/>
                <w:kern w:val="0"/>
                <w:sz w:val="20"/>
                <w:szCs w:val="20"/>
                <w:lang w:val="en-US" w:eastAsia="zh-CN"/>
              </w:rPr>
              <w:t>0</w:t>
            </w:r>
          </w:p>
        </w:tc>
        <w:tc>
          <w:tcPr>
            <w:tcW w:w="1832" w:type="dxa"/>
            <w:gridSpan w:val="2"/>
            <w:noWrap w:val="0"/>
            <w:vAlign w:val="center"/>
          </w:tcPr>
          <w:p w14:paraId="125834C1">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b w:val="0"/>
                <w:bCs w:val="0"/>
                <w:kern w:val="0"/>
                <w:sz w:val="20"/>
                <w:szCs w:val="20"/>
                <w:lang w:val="en-US" w:eastAsia="zh-CN"/>
              </w:rPr>
            </w:pPr>
            <w:r>
              <w:rPr>
                <w:rFonts w:hint="eastAsia" w:ascii="Times New Roman" w:hAnsi="Times New Roman" w:eastAsia="仿宋_GB2312" w:cs="仿宋"/>
                <w:b w:val="0"/>
                <w:bCs w:val="0"/>
                <w:kern w:val="0"/>
                <w:sz w:val="20"/>
                <w:szCs w:val="20"/>
                <w:lang w:val="en-US" w:eastAsia="zh-CN"/>
              </w:rPr>
              <w:t>0</w:t>
            </w:r>
          </w:p>
        </w:tc>
      </w:tr>
      <w:tr w14:paraId="40F86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3354" w:type="dxa"/>
            <w:noWrap w:val="0"/>
            <w:vAlign w:val="center"/>
          </w:tcPr>
          <w:p w14:paraId="0726D423">
            <w:pPr>
              <w:keepNext w:val="0"/>
              <w:keepLines w:val="0"/>
              <w:pageBreakBefore w:val="0"/>
              <w:widowControl/>
              <w:shd w:val="clear"/>
              <w:kinsoku/>
              <w:wordWrap/>
              <w:overflowPunct/>
              <w:topLinePunct w:val="0"/>
              <w:autoSpaceDE/>
              <w:autoSpaceDN/>
              <w:bidi w:val="0"/>
              <w:adjustRightInd/>
              <w:snapToGrid/>
              <w:spacing w:line="240" w:lineRule="exact"/>
              <w:ind w:firstLine="600" w:firstLineChars="300"/>
              <w:jc w:val="left"/>
              <w:textAlignment w:val="auto"/>
              <w:rPr>
                <w:rFonts w:hint="eastAsia" w:ascii="仿宋" w:hAnsi="仿宋" w:eastAsia="仿宋" w:cs="仿宋"/>
                <w:b w:val="0"/>
                <w:bCs w:val="0"/>
                <w:kern w:val="0"/>
                <w:sz w:val="20"/>
                <w:szCs w:val="20"/>
              </w:rPr>
            </w:pPr>
            <w:r>
              <w:rPr>
                <w:rFonts w:hint="eastAsia" w:ascii="仿宋" w:hAnsi="仿宋" w:eastAsia="仿宋_GB2312" w:cs="仿宋"/>
                <w:b w:val="0"/>
                <w:bCs w:val="0"/>
                <w:kern w:val="0"/>
                <w:sz w:val="20"/>
                <w:szCs w:val="20"/>
              </w:rPr>
              <w:t>人民调解“以奖代补”经费</w:t>
            </w:r>
          </w:p>
        </w:tc>
        <w:tc>
          <w:tcPr>
            <w:tcW w:w="2038" w:type="dxa"/>
            <w:gridSpan w:val="2"/>
            <w:noWrap w:val="0"/>
            <w:vAlign w:val="center"/>
          </w:tcPr>
          <w:p w14:paraId="462CA7E1">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default" w:ascii="仿宋" w:hAnsi="仿宋" w:eastAsia="仿宋" w:cs="仿宋"/>
                <w:b w:val="0"/>
                <w:bCs w:val="0"/>
                <w:kern w:val="0"/>
                <w:sz w:val="20"/>
                <w:szCs w:val="20"/>
                <w:lang w:val="en-US"/>
              </w:rPr>
            </w:pPr>
            <w:r>
              <w:rPr>
                <w:rFonts w:hint="default" w:ascii="Times New Roman" w:hAnsi="Times New Roman" w:eastAsia="仿宋_GB2312" w:cs="仿宋"/>
                <w:b w:val="0"/>
                <w:bCs w:val="0"/>
                <w:kern w:val="0"/>
                <w:sz w:val="20"/>
                <w:szCs w:val="20"/>
                <w:lang w:val="en-US"/>
              </w:rPr>
              <w:t>20</w:t>
            </w:r>
          </w:p>
        </w:tc>
        <w:tc>
          <w:tcPr>
            <w:tcW w:w="2240" w:type="dxa"/>
            <w:gridSpan w:val="2"/>
            <w:noWrap w:val="0"/>
            <w:vAlign w:val="center"/>
          </w:tcPr>
          <w:p w14:paraId="7C07DDC0">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b w:val="0"/>
                <w:bCs w:val="0"/>
                <w:kern w:val="0"/>
                <w:sz w:val="20"/>
                <w:szCs w:val="20"/>
                <w:lang w:val="en-US" w:eastAsia="zh-CN"/>
              </w:rPr>
            </w:pPr>
            <w:r>
              <w:rPr>
                <w:rFonts w:hint="eastAsia" w:ascii="Times New Roman" w:hAnsi="Times New Roman" w:eastAsia="仿宋_GB2312" w:cs="仿宋"/>
                <w:b w:val="0"/>
                <w:bCs w:val="0"/>
                <w:kern w:val="0"/>
                <w:sz w:val="20"/>
                <w:szCs w:val="20"/>
                <w:lang w:val="en-US" w:eastAsia="zh-CN"/>
              </w:rPr>
              <w:t>0</w:t>
            </w:r>
          </w:p>
        </w:tc>
        <w:tc>
          <w:tcPr>
            <w:tcW w:w="1832" w:type="dxa"/>
            <w:gridSpan w:val="2"/>
            <w:noWrap w:val="0"/>
            <w:vAlign w:val="center"/>
          </w:tcPr>
          <w:p w14:paraId="3B7CE152">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b w:val="0"/>
                <w:bCs w:val="0"/>
                <w:kern w:val="0"/>
                <w:sz w:val="20"/>
                <w:szCs w:val="20"/>
                <w:lang w:val="en-US" w:eastAsia="zh-CN"/>
              </w:rPr>
            </w:pPr>
            <w:r>
              <w:rPr>
                <w:rFonts w:hint="eastAsia" w:ascii="Times New Roman" w:hAnsi="Times New Roman" w:eastAsia="仿宋_GB2312" w:cs="仿宋"/>
                <w:b w:val="0"/>
                <w:bCs w:val="0"/>
                <w:kern w:val="0"/>
                <w:sz w:val="20"/>
                <w:szCs w:val="20"/>
                <w:lang w:val="en-US" w:eastAsia="zh-CN"/>
              </w:rPr>
              <w:t>0</w:t>
            </w:r>
          </w:p>
        </w:tc>
      </w:tr>
      <w:tr w14:paraId="5E049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64" w:hRule="atLeast"/>
          <w:jc w:val="center"/>
        </w:trPr>
        <w:tc>
          <w:tcPr>
            <w:tcW w:w="3354" w:type="dxa"/>
            <w:noWrap w:val="0"/>
            <w:vAlign w:val="center"/>
          </w:tcPr>
          <w:p w14:paraId="74D0F4FD">
            <w:pPr>
              <w:keepNext w:val="0"/>
              <w:keepLines w:val="0"/>
              <w:pageBreakBefore w:val="0"/>
              <w:widowControl/>
              <w:shd w:val="clear"/>
              <w:kinsoku/>
              <w:wordWrap/>
              <w:overflowPunct/>
              <w:topLinePunct w:val="0"/>
              <w:autoSpaceDE/>
              <w:autoSpaceDN/>
              <w:bidi w:val="0"/>
              <w:adjustRightInd/>
              <w:snapToGrid/>
              <w:spacing w:line="240" w:lineRule="exact"/>
              <w:ind w:firstLine="600" w:firstLineChars="300"/>
              <w:jc w:val="left"/>
              <w:textAlignment w:val="auto"/>
              <w:rPr>
                <w:rFonts w:hint="eastAsia" w:ascii="仿宋" w:hAnsi="仿宋" w:eastAsia="仿宋" w:cs="仿宋"/>
                <w:b w:val="0"/>
                <w:bCs w:val="0"/>
                <w:kern w:val="0"/>
                <w:sz w:val="20"/>
                <w:szCs w:val="20"/>
              </w:rPr>
            </w:pPr>
            <w:r>
              <w:rPr>
                <w:rFonts w:hint="eastAsia" w:ascii="仿宋" w:hAnsi="仿宋" w:eastAsia="仿宋_GB2312" w:cs="仿宋"/>
                <w:b w:val="0"/>
                <w:bCs w:val="0"/>
                <w:kern w:val="0"/>
                <w:sz w:val="20"/>
                <w:szCs w:val="20"/>
              </w:rPr>
              <w:t xml:space="preserve"> 立法工作经费</w:t>
            </w:r>
          </w:p>
        </w:tc>
        <w:tc>
          <w:tcPr>
            <w:tcW w:w="2038" w:type="dxa"/>
            <w:gridSpan w:val="2"/>
            <w:noWrap w:val="0"/>
            <w:vAlign w:val="center"/>
          </w:tcPr>
          <w:p w14:paraId="4AB2E0FC">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default" w:ascii="仿宋" w:hAnsi="仿宋" w:eastAsia="仿宋" w:cs="仿宋"/>
                <w:b w:val="0"/>
                <w:bCs w:val="0"/>
                <w:kern w:val="0"/>
                <w:sz w:val="20"/>
                <w:szCs w:val="20"/>
                <w:lang w:val="en-US"/>
              </w:rPr>
            </w:pPr>
            <w:r>
              <w:rPr>
                <w:rFonts w:hint="default" w:ascii="Times New Roman" w:hAnsi="Times New Roman" w:eastAsia="仿宋_GB2312" w:cs="仿宋"/>
                <w:b w:val="0"/>
                <w:bCs w:val="0"/>
                <w:kern w:val="0"/>
                <w:sz w:val="20"/>
                <w:szCs w:val="20"/>
                <w:lang w:val="en-US"/>
              </w:rPr>
              <w:t>10</w:t>
            </w:r>
          </w:p>
        </w:tc>
        <w:tc>
          <w:tcPr>
            <w:tcW w:w="2240" w:type="dxa"/>
            <w:gridSpan w:val="2"/>
            <w:noWrap w:val="0"/>
            <w:vAlign w:val="center"/>
          </w:tcPr>
          <w:p w14:paraId="085F2BB9">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b w:val="0"/>
                <w:bCs w:val="0"/>
                <w:kern w:val="0"/>
                <w:sz w:val="20"/>
                <w:szCs w:val="20"/>
                <w:lang w:val="en-US" w:eastAsia="zh-CN"/>
              </w:rPr>
            </w:pPr>
            <w:r>
              <w:rPr>
                <w:rFonts w:hint="eastAsia" w:ascii="Times New Roman" w:hAnsi="Times New Roman" w:eastAsia="仿宋_GB2312" w:cs="仿宋"/>
                <w:b w:val="0"/>
                <w:bCs w:val="0"/>
                <w:kern w:val="0"/>
                <w:sz w:val="20"/>
                <w:szCs w:val="20"/>
                <w:lang w:val="en-US" w:eastAsia="zh-CN"/>
              </w:rPr>
              <w:t>0</w:t>
            </w:r>
          </w:p>
        </w:tc>
        <w:tc>
          <w:tcPr>
            <w:tcW w:w="1832" w:type="dxa"/>
            <w:gridSpan w:val="2"/>
            <w:noWrap w:val="0"/>
            <w:vAlign w:val="center"/>
          </w:tcPr>
          <w:p w14:paraId="1B8ADFB9">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b w:val="0"/>
                <w:bCs w:val="0"/>
                <w:kern w:val="0"/>
                <w:sz w:val="20"/>
                <w:szCs w:val="20"/>
                <w:lang w:val="en-US" w:eastAsia="zh-CN"/>
              </w:rPr>
            </w:pPr>
            <w:r>
              <w:rPr>
                <w:rFonts w:hint="eastAsia" w:ascii="Times New Roman" w:hAnsi="Times New Roman" w:eastAsia="仿宋_GB2312" w:cs="仿宋"/>
                <w:b w:val="0"/>
                <w:bCs w:val="0"/>
                <w:kern w:val="0"/>
                <w:sz w:val="20"/>
                <w:szCs w:val="20"/>
                <w:lang w:val="en-US" w:eastAsia="zh-CN"/>
              </w:rPr>
              <w:t>0</w:t>
            </w:r>
          </w:p>
        </w:tc>
      </w:tr>
      <w:tr w14:paraId="3CC12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3354" w:type="dxa"/>
            <w:noWrap w:val="0"/>
            <w:vAlign w:val="center"/>
          </w:tcPr>
          <w:p w14:paraId="1F49979F">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b w:val="0"/>
                <w:bCs w:val="0"/>
                <w:kern w:val="0"/>
                <w:sz w:val="20"/>
                <w:szCs w:val="20"/>
              </w:rPr>
            </w:pPr>
            <w:r>
              <w:rPr>
                <w:rFonts w:hint="eastAsia" w:ascii="仿宋" w:hAnsi="仿宋" w:eastAsia="仿宋_GB2312" w:cs="仿宋"/>
                <w:b w:val="0"/>
                <w:bCs w:val="0"/>
                <w:kern w:val="0"/>
                <w:sz w:val="20"/>
                <w:szCs w:val="20"/>
              </w:rPr>
              <w:t>行政复议与应诉及依法行政经费</w:t>
            </w:r>
          </w:p>
        </w:tc>
        <w:tc>
          <w:tcPr>
            <w:tcW w:w="2038" w:type="dxa"/>
            <w:gridSpan w:val="2"/>
            <w:noWrap w:val="0"/>
            <w:vAlign w:val="center"/>
          </w:tcPr>
          <w:p w14:paraId="22FA8411">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default" w:ascii="仿宋" w:hAnsi="仿宋" w:eastAsia="仿宋" w:cs="仿宋"/>
                <w:b w:val="0"/>
                <w:bCs w:val="0"/>
                <w:kern w:val="0"/>
                <w:sz w:val="20"/>
                <w:szCs w:val="20"/>
                <w:lang w:val="en-US"/>
              </w:rPr>
            </w:pPr>
            <w:r>
              <w:rPr>
                <w:rFonts w:hint="default" w:ascii="Times New Roman" w:hAnsi="Times New Roman" w:eastAsia="仿宋_GB2312" w:cs="仿宋"/>
                <w:b w:val="0"/>
                <w:bCs w:val="0"/>
                <w:kern w:val="0"/>
                <w:sz w:val="20"/>
                <w:szCs w:val="20"/>
                <w:lang w:val="en-US"/>
              </w:rPr>
              <w:t>25</w:t>
            </w:r>
          </w:p>
        </w:tc>
        <w:tc>
          <w:tcPr>
            <w:tcW w:w="2240" w:type="dxa"/>
            <w:gridSpan w:val="2"/>
            <w:noWrap w:val="0"/>
            <w:vAlign w:val="center"/>
          </w:tcPr>
          <w:p w14:paraId="594B7E54">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b w:val="0"/>
                <w:bCs w:val="0"/>
                <w:kern w:val="0"/>
                <w:sz w:val="20"/>
                <w:szCs w:val="20"/>
                <w:lang w:val="en-US" w:eastAsia="zh-CN"/>
              </w:rPr>
            </w:pPr>
            <w:r>
              <w:rPr>
                <w:rFonts w:hint="eastAsia" w:ascii="Times New Roman" w:hAnsi="Times New Roman" w:eastAsia="仿宋_GB2312" w:cs="仿宋"/>
                <w:b w:val="0"/>
                <w:bCs w:val="0"/>
                <w:kern w:val="0"/>
                <w:sz w:val="20"/>
                <w:szCs w:val="20"/>
                <w:lang w:val="en-US" w:eastAsia="zh-CN"/>
              </w:rPr>
              <w:t>0</w:t>
            </w:r>
          </w:p>
        </w:tc>
        <w:tc>
          <w:tcPr>
            <w:tcW w:w="1832" w:type="dxa"/>
            <w:gridSpan w:val="2"/>
            <w:noWrap w:val="0"/>
            <w:vAlign w:val="center"/>
          </w:tcPr>
          <w:p w14:paraId="034D672F">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b w:val="0"/>
                <w:bCs w:val="0"/>
                <w:kern w:val="0"/>
                <w:sz w:val="20"/>
                <w:szCs w:val="20"/>
                <w:lang w:val="en-US" w:eastAsia="zh-CN"/>
              </w:rPr>
            </w:pPr>
            <w:r>
              <w:rPr>
                <w:rFonts w:hint="eastAsia" w:ascii="Times New Roman" w:hAnsi="Times New Roman" w:eastAsia="仿宋_GB2312" w:cs="仿宋"/>
                <w:b w:val="0"/>
                <w:bCs w:val="0"/>
                <w:kern w:val="0"/>
                <w:sz w:val="20"/>
                <w:szCs w:val="20"/>
                <w:lang w:val="en-US" w:eastAsia="zh-CN"/>
              </w:rPr>
              <w:t>0</w:t>
            </w:r>
          </w:p>
        </w:tc>
      </w:tr>
      <w:tr w14:paraId="40CFE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3354" w:type="dxa"/>
            <w:noWrap w:val="0"/>
            <w:vAlign w:val="center"/>
          </w:tcPr>
          <w:p w14:paraId="6035DFD3">
            <w:pPr>
              <w:keepNext w:val="0"/>
              <w:keepLines w:val="0"/>
              <w:pageBreakBefore w:val="0"/>
              <w:widowControl/>
              <w:shd w:val="clear"/>
              <w:kinsoku/>
              <w:wordWrap/>
              <w:overflowPunct/>
              <w:topLinePunct w:val="0"/>
              <w:autoSpaceDE/>
              <w:autoSpaceDN/>
              <w:bidi w:val="0"/>
              <w:adjustRightInd/>
              <w:snapToGrid/>
              <w:spacing w:line="240" w:lineRule="exact"/>
              <w:ind w:firstLine="600" w:firstLineChars="300"/>
              <w:jc w:val="left"/>
              <w:textAlignment w:val="auto"/>
              <w:rPr>
                <w:rFonts w:hint="eastAsia" w:ascii="仿宋" w:hAnsi="仿宋" w:eastAsia="仿宋" w:cs="仿宋"/>
                <w:b w:val="0"/>
                <w:bCs w:val="0"/>
                <w:kern w:val="0"/>
                <w:sz w:val="20"/>
                <w:szCs w:val="20"/>
              </w:rPr>
            </w:pPr>
            <w:r>
              <w:rPr>
                <w:rFonts w:hint="eastAsia" w:ascii="仿宋" w:hAnsi="仿宋" w:eastAsia="仿宋_GB2312" w:cs="仿宋"/>
                <w:b w:val="0"/>
                <w:bCs w:val="0"/>
                <w:kern w:val="0"/>
                <w:sz w:val="20"/>
                <w:szCs w:val="20"/>
              </w:rPr>
              <w:t xml:space="preserve"> 法律顾问工作经费</w:t>
            </w:r>
          </w:p>
        </w:tc>
        <w:tc>
          <w:tcPr>
            <w:tcW w:w="2038" w:type="dxa"/>
            <w:gridSpan w:val="2"/>
            <w:noWrap w:val="0"/>
            <w:vAlign w:val="center"/>
          </w:tcPr>
          <w:p w14:paraId="101F8CCD">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default" w:ascii="仿宋" w:hAnsi="仿宋" w:eastAsia="仿宋" w:cs="仿宋"/>
                <w:b w:val="0"/>
                <w:bCs w:val="0"/>
                <w:kern w:val="0"/>
                <w:sz w:val="20"/>
                <w:szCs w:val="20"/>
                <w:lang w:val="en-US"/>
              </w:rPr>
            </w:pPr>
            <w:r>
              <w:rPr>
                <w:rFonts w:hint="default" w:ascii="Times New Roman" w:hAnsi="Times New Roman" w:eastAsia="仿宋_GB2312" w:cs="仿宋"/>
                <w:b w:val="0"/>
                <w:bCs w:val="0"/>
                <w:kern w:val="0"/>
                <w:sz w:val="20"/>
                <w:szCs w:val="20"/>
                <w:lang w:val="en-US"/>
              </w:rPr>
              <w:t>12</w:t>
            </w:r>
            <w:r>
              <w:rPr>
                <w:rFonts w:hint="default" w:ascii="仿宋" w:hAnsi="仿宋" w:eastAsia="仿宋_GB2312" w:cs="仿宋"/>
                <w:b w:val="0"/>
                <w:bCs w:val="0"/>
                <w:kern w:val="0"/>
                <w:sz w:val="20"/>
                <w:szCs w:val="20"/>
                <w:lang w:val="en-US"/>
              </w:rPr>
              <w:t>.</w:t>
            </w:r>
            <w:r>
              <w:rPr>
                <w:rFonts w:hint="default" w:ascii="Times New Roman" w:hAnsi="Times New Roman" w:eastAsia="仿宋_GB2312" w:cs="仿宋"/>
                <w:b w:val="0"/>
                <w:bCs w:val="0"/>
                <w:kern w:val="0"/>
                <w:sz w:val="20"/>
                <w:szCs w:val="20"/>
                <w:lang w:val="en-US"/>
              </w:rPr>
              <w:t>5</w:t>
            </w:r>
          </w:p>
        </w:tc>
        <w:tc>
          <w:tcPr>
            <w:tcW w:w="2240" w:type="dxa"/>
            <w:gridSpan w:val="2"/>
            <w:noWrap w:val="0"/>
            <w:vAlign w:val="center"/>
          </w:tcPr>
          <w:p w14:paraId="4D0D5B31">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default" w:ascii="仿宋" w:hAnsi="仿宋" w:eastAsia="仿宋" w:cs="仿宋"/>
                <w:b w:val="0"/>
                <w:bCs w:val="0"/>
                <w:kern w:val="0"/>
                <w:sz w:val="20"/>
                <w:szCs w:val="20"/>
                <w:lang w:val="en-US"/>
              </w:rPr>
            </w:pPr>
            <w:r>
              <w:rPr>
                <w:rFonts w:hint="default" w:ascii="Times New Roman" w:hAnsi="Times New Roman" w:eastAsia="仿宋_GB2312" w:cs="仿宋"/>
                <w:b w:val="0"/>
                <w:bCs w:val="0"/>
                <w:kern w:val="0"/>
                <w:sz w:val="20"/>
                <w:szCs w:val="20"/>
                <w:lang w:val="en-US"/>
              </w:rPr>
              <w:t>35</w:t>
            </w:r>
          </w:p>
        </w:tc>
        <w:tc>
          <w:tcPr>
            <w:tcW w:w="1832" w:type="dxa"/>
            <w:gridSpan w:val="2"/>
            <w:noWrap w:val="0"/>
            <w:vAlign w:val="center"/>
          </w:tcPr>
          <w:p w14:paraId="420554E4">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b w:val="0"/>
                <w:bCs w:val="0"/>
                <w:kern w:val="0"/>
                <w:sz w:val="20"/>
                <w:szCs w:val="20"/>
                <w:lang w:val="en-US" w:eastAsia="zh-CN"/>
              </w:rPr>
            </w:pPr>
            <w:r>
              <w:rPr>
                <w:rFonts w:hint="eastAsia" w:ascii="Times New Roman" w:hAnsi="Times New Roman" w:eastAsia="仿宋_GB2312" w:cs="仿宋"/>
                <w:b w:val="0"/>
                <w:bCs w:val="0"/>
                <w:kern w:val="0"/>
                <w:sz w:val="20"/>
                <w:szCs w:val="20"/>
                <w:lang w:val="en-US" w:eastAsia="zh-CN"/>
              </w:rPr>
              <w:t>0</w:t>
            </w:r>
          </w:p>
        </w:tc>
      </w:tr>
      <w:tr w14:paraId="39454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64" w:hRule="atLeast"/>
          <w:jc w:val="center"/>
        </w:trPr>
        <w:tc>
          <w:tcPr>
            <w:tcW w:w="3354" w:type="dxa"/>
            <w:noWrap w:val="0"/>
            <w:vAlign w:val="center"/>
          </w:tcPr>
          <w:p w14:paraId="4797032F">
            <w:pPr>
              <w:keepNext w:val="0"/>
              <w:keepLines w:val="0"/>
              <w:pageBreakBefore w:val="0"/>
              <w:widowControl/>
              <w:shd w:val="clear"/>
              <w:kinsoku/>
              <w:wordWrap/>
              <w:overflowPunct/>
              <w:topLinePunct w:val="0"/>
              <w:autoSpaceDE/>
              <w:autoSpaceDN/>
              <w:bidi w:val="0"/>
              <w:adjustRightInd/>
              <w:snapToGrid/>
              <w:spacing w:line="240" w:lineRule="exact"/>
              <w:ind w:firstLine="600" w:firstLineChars="300"/>
              <w:jc w:val="left"/>
              <w:textAlignment w:val="auto"/>
              <w:rPr>
                <w:rFonts w:hint="eastAsia" w:ascii="仿宋" w:hAnsi="仿宋" w:eastAsia="仿宋" w:cs="仿宋"/>
                <w:b w:val="0"/>
                <w:bCs w:val="0"/>
                <w:kern w:val="0"/>
                <w:sz w:val="20"/>
                <w:szCs w:val="20"/>
              </w:rPr>
            </w:pPr>
            <w:r>
              <w:rPr>
                <w:rFonts w:hint="eastAsia" w:ascii="仿宋" w:hAnsi="仿宋" w:eastAsia="仿宋_GB2312" w:cs="仿宋"/>
                <w:b w:val="0"/>
                <w:bCs w:val="0"/>
                <w:kern w:val="0"/>
                <w:sz w:val="20"/>
                <w:szCs w:val="20"/>
              </w:rPr>
              <w:t xml:space="preserve"> 涉法涉诉经费</w:t>
            </w:r>
          </w:p>
        </w:tc>
        <w:tc>
          <w:tcPr>
            <w:tcW w:w="2038" w:type="dxa"/>
            <w:gridSpan w:val="2"/>
            <w:noWrap w:val="0"/>
            <w:vAlign w:val="center"/>
          </w:tcPr>
          <w:p w14:paraId="0E24D70D">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default" w:ascii="仿宋" w:hAnsi="仿宋" w:eastAsia="仿宋" w:cs="仿宋"/>
                <w:b w:val="0"/>
                <w:bCs w:val="0"/>
                <w:kern w:val="0"/>
                <w:sz w:val="20"/>
                <w:szCs w:val="20"/>
                <w:lang w:val="en-US"/>
              </w:rPr>
            </w:pPr>
            <w:r>
              <w:rPr>
                <w:rFonts w:hint="default" w:ascii="Times New Roman" w:hAnsi="Times New Roman" w:eastAsia="仿宋_GB2312" w:cs="仿宋"/>
                <w:b w:val="0"/>
                <w:bCs w:val="0"/>
                <w:kern w:val="0"/>
                <w:sz w:val="20"/>
                <w:szCs w:val="20"/>
                <w:lang w:val="en-US"/>
              </w:rPr>
              <w:t>6</w:t>
            </w:r>
          </w:p>
        </w:tc>
        <w:tc>
          <w:tcPr>
            <w:tcW w:w="2240" w:type="dxa"/>
            <w:gridSpan w:val="2"/>
            <w:noWrap w:val="0"/>
            <w:vAlign w:val="center"/>
          </w:tcPr>
          <w:p w14:paraId="33FA8CBE">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default" w:ascii="仿宋" w:hAnsi="仿宋" w:eastAsia="仿宋" w:cs="仿宋"/>
                <w:b w:val="0"/>
                <w:bCs w:val="0"/>
                <w:kern w:val="0"/>
                <w:sz w:val="20"/>
                <w:szCs w:val="20"/>
                <w:lang w:val="en-US"/>
              </w:rPr>
            </w:pPr>
            <w:r>
              <w:rPr>
                <w:rFonts w:hint="default" w:ascii="Times New Roman" w:hAnsi="Times New Roman" w:eastAsia="仿宋_GB2312" w:cs="仿宋"/>
                <w:b w:val="0"/>
                <w:bCs w:val="0"/>
                <w:kern w:val="0"/>
                <w:sz w:val="20"/>
                <w:szCs w:val="20"/>
                <w:lang w:val="en-US"/>
              </w:rPr>
              <w:t>0</w:t>
            </w:r>
          </w:p>
        </w:tc>
        <w:tc>
          <w:tcPr>
            <w:tcW w:w="1832" w:type="dxa"/>
            <w:gridSpan w:val="2"/>
            <w:noWrap w:val="0"/>
            <w:vAlign w:val="center"/>
          </w:tcPr>
          <w:p w14:paraId="497CB574">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b w:val="0"/>
                <w:bCs w:val="0"/>
                <w:kern w:val="0"/>
                <w:sz w:val="20"/>
                <w:szCs w:val="20"/>
                <w:lang w:val="en-US" w:eastAsia="zh-CN"/>
              </w:rPr>
            </w:pPr>
            <w:r>
              <w:rPr>
                <w:rFonts w:hint="eastAsia" w:ascii="Times New Roman" w:hAnsi="Times New Roman" w:eastAsia="仿宋_GB2312" w:cs="仿宋"/>
                <w:b w:val="0"/>
                <w:bCs w:val="0"/>
                <w:kern w:val="0"/>
                <w:sz w:val="20"/>
                <w:szCs w:val="20"/>
                <w:lang w:val="en-US" w:eastAsia="zh-CN"/>
              </w:rPr>
              <w:t>0</w:t>
            </w:r>
          </w:p>
        </w:tc>
      </w:tr>
      <w:tr w14:paraId="1BF6A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3354" w:type="dxa"/>
            <w:noWrap w:val="0"/>
            <w:vAlign w:val="center"/>
          </w:tcPr>
          <w:p w14:paraId="4C67D2E2">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b w:val="0"/>
                <w:bCs w:val="0"/>
                <w:kern w:val="0"/>
                <w:sz w:val="20"/>
                <w:szCs w:val="20"/>
                <w:lang w:val="en-US" w:eastAsia="zh-CN"/>
              </w:rPr>
            </w:pPr>
            <w:r>
              <w:rPr>
                <w:rFonts w:hint="eastAsia" w:ascii="仿宋" w:hAnsi="仿宋" w:eastAsia="仿宋_GB2312" w:cs="仿宋"/>
                <w:b w:val="0"/>
                <w:bCs w:val="0"/>
                <w:kern w:val="0"/>
                <w:sz w:val="20"/>
                <w:szCs w:val="20"/>
                <w:lang w:val="en-US" w:eastAsia="zh-CN"/>
              </w:rPr>
              <w:t>法律援助经费</w:t>
            </w:r>
          </w:p>
        </w:tc>
        <w:tc>
          <w:tcPr>
            <w:tcW w:w="2038" w:type="dxa"/>
            <w:gridSpan w:val="2"/>
            <w:noWrap w:val="0"/>
            <w:vAlign w:val="center"/>
          </w:tcPr>
          <w:p w14:paraId="48348547">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default" w:ascii="仿宋" w:hAnsi="仿宋" w:eastAsia="仿宋" w:cs="仿宋"/>
                <w:b w:val="0"/>
                <w:bCs w:val="0"/>
                <w:kern w:val="0"/>
                <w:sz w:val="20"/>
                <w:szCs w:val="20"/>
                <w:lang w:val="en-US"/>
              </w:rPr>
            </w:pPr>
            <w:r>
              <w:rPr>
                <w:rFonts w:hint="default" w:ascii="Times New Roman" w:hAnsi="Times New Roman" w:eastAsia="仿宋_GB2312" w:cs="仿宋"/>
                <w:b w:val="0"/>
                <w:bCs w:val="0"/>
                <w:kern w:val="0"/>
                <w:sz w:val="20"/>
                <w:szCs w:val="20"/>
                <w:lang w:val="en-US"/>
              </w:rPr>
              <w:t>55</w:t>
            </w:r>
          </w:p>
        </w:tc>
        <w:tc>
          <w:tcPr>
            <w:tcW w:w="2240" w:type="dxa"/>
            <w:gridSpan w:val="2"/>
            <w:noWrap w:val="0"/>
            <w:vAlign w:val="center"/>
          </w:tcPr>
          <w:p w14:paraId="5344479C">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default" w:ascii="仿宋" w:hAnsi="仿宋" w:eastAsia="仿宋" w:cs="仿宋"/>
                <w:b w:val="0"/>
                <w:bCs w:val="0"/>
                <w:kern w:val="0"/>
                <w:sz w:val="20"/>
                <w:szCs w:val="20"/>
                <w:lang w:val="en-US"/>
              </w:rPr>
            </w:pPr>
            <w:r>
              <w:rPr>
                <w:rFonts w:hint="default" w:ascii="Times New Roman" w:hAnsi="Times New Roman" w:eastAsia="仿宋_GB2312" w:cs="仿宋"/>
                <w:b w:val="0"/>
                <w:bCs w:val="0"/>
                <w:kern w:val="0"/>
                <w:sz w:val="20"/>
                <w:szCs w:val="20"/>
                <w:lang w:val="en-US"/>
              </w:rPr>
              <w:t>55</w:t>
            </w:r>
          </w:p>
        </w:tc>
        <w:tc>
          <w:tcPr>
            <w:tcW w:w="1832" w:type="dxa"/>
            <w:gridSpan w:val="2"/>
            <w:noWrap w:val="0"/>
            <w:vAlign w:val="center"/>
          </w:tcPr>
          <w:p w14:paraId="1F663BF2">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b w:val="0"/>
                <w:bCs w:val="0"/>
                <w:kern w:val="0"/>
                <w:sz w:val="20"/>
                <w:szCs w:val="20"/>
                <w:lang w:val="en-US" w:eastAsia="zh-CN"/>
              </w:rPr>
            </w:pPr>
            <w:r>
              <w:rPr>
                <w:rFonts w:hint="eastAsia" w:ascii="Times New Roman" w:hAnsi="Times New Roman" w:eastAsia="仿宋_GB2312" w:cs="仿宋"/>
                <w:b w:val="0"/>
                <w:bCs w:val="0"/>
                <w:kern w:val="0"/>
                <w:sz w:val="20"/>
                <w:szCs w:val="20"/>
                <w:lang w:val="en-US" w:eastAsia="zh-CN"/>
              </w:rPr>
              <w:t>0</w:t>
            </w:r>
          </w:p>
        </w:tc>
      </w:tr>
      <w:tr w14:paraId="02376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3354" w:type="dxa"/>
            <w:noWrap w:val="0"/>
            <w:vAlign w:val="center"/>
          </w:tcPr>
          <w:p w14:paraId="084DB422">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b w:val="0"/>
                <w:bCs w:val="0"/>
                <w:kern w:val="0"/>
                <w:sz w:val="20"/>
                <w:szCs w:val="20"/>
                <w:lang w:val="en-US" w:eastAsia="zh-CN"/>
              </w:rPr>
            </w:pPr>
            <w:r>
              <w:rPr>
                <w:rFonts w:hint="eastAsia" w:ascii="仿宋" w:hAnsi="仿宋" w:eastAsia="仿宋_GB2312" w:cs="仿宋"/>
                <w:b w:val="0"/>
                <w:bCs w:val="0"/>
                <w:kern w:val="0"/>
                <w:sz w:val="20"/>
                <w:szCs w:val="20"/>
                <w:lang w:val="en-US" w:eastAsia="zh-CN"/>
              </w:rPr>
              <w:t>基层司法业务经费</w:t>
            </w:r>
          </w:p>
        </w:tc>
        <w:tc>
          <w:tcPr>
            <w:tcW w:w="2038" w:type="dxa"/>
            <w:gridSpan w:val="2"/>
            <w:noWrap w:val="0"/>
            <w:vAlign w:val="center"/>
          </w:tcPr>
          <w:p w14:paraId="581B1A46">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default" w:ascii="仿宋" w:hAnsi="仿宋" w:eastAsia="仿宋" w:cs="仿宋"/>
                <w:b w:val="0"/>
                <w:bCs w:val="0"/>
                <w:kern w:val="0"/>
                <w:sz w:val="20"/>
                <w:szCs w:val="20"/>
                <w:lang w:val="en-US" w:eastAsia="zh-CN"/>
              </w:rPr>
            </w:pPr>
            <w:r>
              <w:rPr>
                <w:rFonts w:hint="eastAsia" w:ascii="Times New Roman" w:hAnsi="Times New Roman" w:eastAsia="仿宋_GB2312" w:cs="仿宋"/>
                <w:b w:val="0"/>
                <w:bCs w:val="0"/>
                <w:kern w:val="0"/>
                <w:sz w:val="20"/>
                <w:szCs w:val="20"/>
                <w:lang w:val="en-US" w:eastAsia="zh-CN"/>
              </w:rPr>
              <w:t>0</w:t>
            </w:r>
          </w:p>
        </w:tc>
        <w:tc>
          <w:tcPr>
            <w:tcW w:w="2240" w:type="dxa"/>
            <w:gridSpan w:val="2"/>
            <w:noWrap w:val="0"/>
            <w:vAlign w:val="center"/>
          </w:tcPr>
          <w:p w14:paraId="0791F435">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default" w:ascii="仿宋" w:hAnsi="仿宋" w:eastAsia="仿宋" w:cs="仿宋"/>
                <w:b w:val="0"/>
                <w:bCs w:val="0"/>
                <w:kern w:val="0"/>
                <w:sz w:val="20"/>
                <w:szCs w:val="20"/>
                <w:lang w:val="en-US" w:eastAsia="zh-CN"/>
              </w:rPr>
            </w:pPr>
            <w:r>
              <w:rPr>
                <w:rFonts w:hint="eastAsia" w:ascii="Times New Roman" w:hAnsi="Times New Roman" w:eastAsia="仿宋_GB2312" w:cs="仿宋"/>
                <w:b w:val="0"/>
                <w:bCs w:val="0"/>
                <w:kern w:val="0"/>
                <w:sz w:val="20"/>
                <w:szCs w:val="20"/>
                <w:lang w:val="en-US" w:eastAsia="zh-CN"/>
              </w:rPr>
              <w:t>20</w:t>
            </w:r>
          </w:p>
        </w:tc>
        <w:tc>
          <w:tcPr>
            <w:tcW w:w="1832" w:type="dxa"/>
            <w:gridSpan w:val="2"/>
            <w:noWrap w:val="0"/>
            <w:vAlign w:val="center"/>
          </w:tcPr>
          <w:p w14:paraId="06A5F87E">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b w:val="0"/>
                <w:bCs w:val="0"/>
                <w:kern w:val="0"/>
                <w:sz w:val="20"/>
                <w:szCs w:val="20"/>
                <w:lang w:val="en-US" w:eastAsia="zh-CN"/>
              </w:rPr>
            </w:pPr>
            <w:r>
              <w:rPr>
                <w:rFonts w:hint="eastAsia" w:ascii="Times New Roman" w:hAnsi="Times New Roman" w:eastAsia="仿宋_GB2312" w:cs="仿宋"/>
                <w:b w:val="0"/>
                <w:bCs w:val="0"/>
                <w:kern w:val="0"/>
                <w:sz w:val="20"/>
                <w:szCs w:val="20"/>
                <w:lang w:val="en-US" w:eastAsia="zh-CN"/>
              </w:rPr>
              <w:t>0</w:t>
            </w:r>
          </w:p>
        </w:tc>
      </w:tr>
      <w:tr w14:paraId="6CD3B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64" w:hRule="atLeast"/>
          <w:jc w:val="center"/>
        </w:trPr>
        <w:tc>
          <w:tcPr>
            <w:tcW w:w="3354" w:type="dxa"/>
            <w:noWrap w:val="0"/>
            <w:vAlign w:val="center"/>
          </w:tcPr>
          <w:p w14:paraId="6A2A77BA">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b w:val="0"/>
                <w:bCs w:val="0"/>
                <w:kern w:val="0"/>
                <w:sz w:val="20"/>
                <w:szCs w:val="20"/>
                <w:lang w:val="en-US" w:eastAsia="zh-CN"/>
              </w:rPr>
            </w:pPr>
            <w:r>
              <w:rPr>
                <w:rFonts w:hint="eastAsia" w:ascii="仿宋" w:hAnsi="仿宋" w:eastAsia="仿宋_GB2312" w:cs="仿宋"/>
                <w:b w:val="0"/>
                <w:bCs w:val="0"/>
                <w:kern w:val="0"/>
                <w:sz w:val="20"/>
                <w:szCs w:val="20"/>
                <w:lang w:val="en-US" w:eastAsia="zh-CN"/>
              </w:rPr>
              <w:t>法治建设经费</w:t>
            </w:r>
          </w:p>
        </w:tc>
        <w:tc>
          <w:tcPr>
            <w:tcW w:w="2038" w:type="dxa"/>
            <w:gridSpan w:val="2"/>
            <w:noWrap w:val="0"/>
            <w:vAlign w:val="center"/>
          </w:tcPr>
          <w:p w14:paraId="4556766C">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b w:val="0"/>
                <w:bCs w:val="0"/>
                <w:kern w:val="0"/>
                <w:sz w:val="20"/>
                <w:szCs w:val="20"/>
                <w:lang w:val="en-US" w:eastAsia="zh-CN"/>
              </w:rPr>
            </w:pPr>
            <w:r>
              <w:rPr>
                <w:rFonts w:hint="eastAsia" w:ascii="Times New Roman" w:hAnsi="Times New Roman" w:eastAsia="仿宋_GB2312" w:cs="仿宋"/>
                <w:b w:val="0"/>
                <w:bCs w:val="0"/>
                <w:kern w:val="0"/>
                <w:sz w:val="20"/>
                <w:szCs w:val="20"/>
                <w:lang w:val="en-US" w:eastAsia="zh-CN"/>
              </w:rPr>
              <w:t>0</w:t>
            </w:r>
          </w:p>
        </w:tc>
        <w:tc>
          <w:tcPr>
            <w:tcW w:w="2240" w:type="dxa"/>
            <w:gridSpan w:val="2"/>
            <w:noWrap w:val="0"/>
            <w:vAlign w:val="center"/>
          </w:tcPr>
          <w:p w14:paraId="639D54A3">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default" w:ascii="仿宋" w:hAnsi="仿宋" w:eastAsia="仿宋" w:cs="仿宋"/>
                <w:b w:val="0"/>
                <w:bCs w:val="0"/>
                <w:kern w:val="0"/>
                <w:sz w:val="20"/>
                <w:szCs w:val="20"/>
                <w:lang w:val="en-US" w:eastAsia="zh-CN"/>
              </w:rPr>
            </w:pPr>
            <w:r>
              <w:rPr>
                <w:rFonts w:hint="eastAsia" w:ascii="Times New Roman" w:hAnsi="Times New Roman" w:eastAsia="仿宋_GB2312" w:cs="仿宋"/>
                <w:b w:val="0"/>
                <w:bCs w:val="0"/>
                <w:kern w:val="0"/>
                <w:sz w:val="20"/>
                <w:szCs w:val="20"/>
                <w:lang w:val="en-US" w:eastAsia="zh-CN"/>
              </w:rPr>
              <w:t>50</w:t>
            </w:r>
          </w:p>
        </w:tc>
        <w:tc>
          <w:tcPr>
            <w:tcW w:w="1832" w:type="dxa"/>
            <w:gridSpan w:val="2"/>
            <w:noWrap w:val="0"/>
            <w:vAlign w:val="center"/>
          </w:tcPr>
          <w:p w14:paraId="64B0AFB2">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default" w:ascii="仿宋" w:hAnsi="仿宋" w:eastAsia="仿宋" w:cs="仿宋"/>
                <w:b w:val="0"/>
                <w:bCs w:val="0"/>
                <w:kern w:val="0"/>
                <w:sz w:val="20"/>
                <w:szCs w:val="20"/>
                <w:lang w:val="en-US" w:eastAsia="zh-CN"/>
              </w:rPr>
            </w:pPr>
            <w:r>
              <w:rPr>
                <w:rFonts w:hint="eastAsia" w:ascii="Times New Roman" w:hAnsi="Times New Roman" w:eastAsia="仿宋_GB2312" w:cs="仿宋"/>
                <w:b w:val="0"/>
                <w:bCs w:val="0"/>
                <w:kern w:val="0"/>
                <w:sz w:val="20"/>
                <w:szCs w:val="20"/>
                <w:lang w:val="en-US" w:eastAsia="zh-CN"/>
              </w:rPr>
              <w:t>31</w:t>
            </w:r>
            <w:r>
              <w:rPr>
                <w:rFonts w:hint="eastAsia" w:ascii="仿宋" w:hAnsi="仿宋" w:eastAsia="仿宋_GB2312" w:cs="仿宋"/>
                <w:b w:val="0"/>
                <w:bCs w:val="0"/>
                <w:kern w:val="0"/>
                <w:sz w:val="20"/>
                <w:szCs w:val="20"/>
                <w:lang w:val="en-US" w:eastAsia="zh-CN"/>
              </w:rPr>
              <w:t>.</w:t>
            </w:r>
            <w:r>
              <w:rPr>
                <w:rFonts w:hint="eastAsia" w:ascii="Times New Roman" w:hAnsi="Times New Roman" w:eastAsia="仿宋_GB2312" w:cs="仿宋"/>
                <w:b w:val="0"/>
                <w:bCs w:val="0"/>
                <w:kern w:val="0"/>
                <w:sz w:val="20"/>
                <w:szCs w:val="20"/>
                <w:lang w:val="en-US" w:eastAsia="zh-CN"/>
              </w:rPr>
              <w:t>5</w:t>
            </w:r>
          </w:p>
        </w:tc>
      </w:tr>
      <w:tr w14:paraId="4A9B5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3354" w:type="dxa"/>
            <w:noWrap w:val="0"/>
            <w:vAlign w:val="center"/>
          </w:tcPr>
          <w:p w14:paraId="08947197">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b w:val="0"/>
                <w:bCs w:val="0"/>
                <w:kern w:val="0"/>
                <w:sz w:val="20"/>
                <w:szCs w:val="20"/>
                <w:lang w:val="en-US" w:eastAsia="zh-CN"/>
              </w:rPr>
            </w:pPr>
            <w:r>
              <w:rPr>
                <w:rFonts w:hint="eastAsia" w:ascii="仿宋" w:hAnsi="仿宋" w:eastAsia="仿宋_GB2312" w:cs="仿宋"/>
                <w:b w:val="0"/>
                <w:bCs w:val="0"/>
                <w:color w:val="000000" w:themeColor="text1"/>
                <w:kern w:val="0"/>
                <w:sz w:val="20"/>
                <w:szCs w:val="20"/>
                <w:lang w:eastAsia="zh-CN"/>
                <w14:textFill>
                  <w14:solidFill>
                    <w14:schemeClr w14:val="tx1"/>
                  </w14:solidFill>
                </w14:textFill>
              </w:rPr>
              <w:t>其他项目经费涉密不公开</w:t>
            </w:r>
          </w:p>
        </w:tc>
        <w:tc>
          <w:tcPr>
            <w:tcW w:w="2038" w:type="dxa"/>
            <w:gridSpan w:val="2"/>
            <w:noWrap w:val="0"/>
            <w:vAlign w:val="center"/>
          </w:tcPr>
          <w:p w14:paraId="28284218">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default" w:ascii="仿宋" w:hAnsi="仿宋" w:eastAsia="仿宋" w:cs="仿宋"/>
                <w:b w:val="0"/>
                <w:bCs w:val="0"/>
                <w:kern w:val="0"/>
                <w:sz w:val="20"/>
                <w:szCs w:val="20"/>
                <w:lang w:val="en-US"/>
              </w:rPr>
            </w:pPr>
          </w:p>
        </w:tc>
        <w:tc>
          <w:tcPr>
            <w:tcW w:w="2240" w:type="dxa"/>
            <w:gridSpan w:val="2"/>
            <w:noWrap w:val="0"/>
            <w:vAlign w:val="center"/>
          </w:tcPr>
          <w:p w14:paraId="20708723">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default" w:ascii="仿宋" w:hAnsi="仿宋" w:eastAsia="仿宋" w:cs="仿宋"/>
                <w:b w:val="0"/>
                <w:bCs w:val="0"/>
                <w:kern w:val="0"/>
                <w:sz w:val="20"/>
                <w:szCs w:val="20"/>
                <w:lang w:val="en-US"/>
              </w:rPr>
            </w:pPr>
          </w:p>
        </w:tc>
        <w:tc>
          <w:tcPr>
            <w:tcW w:w="1832" w:type="dxa"/>
            <w:gridSpan w:val="2"/>
            <w:noWrap w:val="0"/>
            <w:vAlign w:val="center"/>
          </w:tcPr>
          <w:p w14:paraId="3D921750">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b w:val="0"/>
                <w:bCs w:val="0"/>
                <w:kern w:val="0"/>
                <w:sz w:val="20"/>
                <w:szCs w:val="20"/>
              </w:rPr>
            </w:pPr>
          </w:p>
        </w:tc>
      </w:tr>
      <w:tr w14:paraId="178A9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505FB5BA">
            <w:pPr>
              <w:keepNext w:val="0"/>
              <w:keepLines w:val="0"/>
              <w:pageBreakBefore w:val="0"/>
              <w:widowControl/>
              <w:shd w:val="clear"/>
              <w:kinsoku/>
              <w:wordWrap/>
              <w:overflowPunct/>
              <w:topLinePunct w:val="0"/>
              <w:autoSpaceDE/>
              <w:autoSpaceDN/>
              <w:bidi w:val="0"/>
              <w:adjustRightInd/>
              <w:snapToGrid/>
              <w:spacing w:line="240" w:lineRule="exact"/>
              <w:ind w:firstLine="400" w:firstLineChars="200"/>
              <w:jc w:val="left"/>
              <w:textAlignment w:val="auto"/>
              <w:rPr>
                <w:rFonts w:hint="eastAsia" w:ascii="仿宋" w:hAnsi="仿宋" w:eastAsia="仿宋" w:cs="仿宋"/>
                <w:b w:val="0"/>
                <w:bCs w:val="0"/>
                <w:kern w:val="0"/>
                <w:sz w:val="20"/>
                <w:szCs w:val="20"/>
              </w:rPr>
            </w:pPr>
            <w:r>
              <w:rPr>
                <w:rFonts w:hint="eastAsia" w:ascii="Times New Roman" w:hAnsi="Times New Roman" w:eastAsia="仿宋_GB2312" w:cs="仿宋"/>
                <w:b w:val="0"/>
                <w:bCs w:val="0"/>
                <w:kern w:val="0"/>
                <w:sz w:val="20"/>
                <w:szCs w:val="20"/>
              </w:rPr>
              <w:t>4</w:t>
            </w:r>
            <w:r>
              <w:rPr>
                <w:rFonts w:hint="eastAsia" w:ascii="仿宋" w:hAnsi="仿宋" w:eastAsia="仿宋_GB2312" w:cs="仿宋"/>
                <w:b w:val="0"/>
                <w:bCs w:val="0"/>
                <w:kern w:val="0"/>
                <w:sz w:val="20"/>
                <w:szCs w:val="20"/>
              </w:rPr>
              <w:t>、其他事业类发展资金</w:t>
            </w:r>
          </w:p>
        </w:tc>
        <w:tc>
          <w:tcPr>
            <w:tcW w:w="2038" w:type="dxa"/>
            <w:gridSpan w:val="2"/>
            <w:noWrap w:val="0"/>
            <w:vAlign w:val="center"/>
          </w:tcPr>
          <w:p w14:paraId="2750F340">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b w:val="0"/>
                <w:bCs w:val="0"/>
                <w:kern w:val="0"/>
                <w:sz w:val="20"/>
                <w:szCs w:val="20"/>
                <w:lang w:eastAsia="zh-CN"/>
              </w:rPr>
            </w:pPr>
          </w:p>
        </w:tc>
        <w:tc>
          <w:tcPr>
            <w:tcW w:w="2240" w:type="dxa"/>
            <w:gridSpan w:val="2"/>
            <w:noWrap w:val="0"/>
            <w:vAlign w:val="center"/>
          </w:tcPr>
          <w:p w14:paraId="1C40CCF9">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b w:val="0"/>
                <w:bCs w:val="0"/>
                <w:kern w:val="0"/>
                <w:sz w:val="20"/>
                <w:szCs w:val="20"/>
                <w:lang w:eastAsia="zh-CN"/>
              </w:rPr>
            </w:pPr>
          </w:p>
        </w:tc>
        <w:tc>
          <w:tcPr>
            <w:tcW w:w="1832" w:type="dxa"/>
            <w:gridSpan w:val="2"/>
            <w:noWrap w:val="0"/>
            <w:vAlign w:val="center"/>
          </w:tcPr>
          <w:p w14:paraId="0AD0996C">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b w:val="0"/>
                <w:bCs w:val="0"/>
                <w:kern w:val="0"/>
                <w:sz w:val="20"/>
                <w:szCs w:val="20"/>
                <w:lang w:eastAsia="zh-CN"/>
              </w:rPr>
            </w:pPr>
          </w:p>
        </w:tc>
      </w:tr>
      <w:tr w14:paraId="5AF6C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3354" w:type="dxa"/>
            <w:noWrap w:val="0"/>
            <w:vAlign w:val="center"/>
          </w:tcPr>
          <w:p w14:paraId="156A61C5">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b w:val="0"/>
                <w:bCs w:val="0"/>
                <w:kern w:val="0"/>
                <w:sz w:val="20"/>
                <w:szCs w:val="20"/>
              </w:rPr>
            </w:pPr>
          </w:p>
        </w:tc>
        <w:tc>
          <w:tcPr>
            <w:tcW w:w="2038" w:type="dxa"/>
            <w:gridSpan w:val="2"/>
            <w:noWrap w:val="0"/>
            <w:vAlign w:val="center"/>
          </w:tcPr>
          <w:p w14:paraId="3AF3D697">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b w:val="0"/>
                <w:bCs w:val="0"/>
                <w:kern w:val="0"/>
                <w:sz w:val="20"/>
                <w:szCs w:val="20"/>
              </w:rPr>
            </w:pPr>
          </w:p>
        </w:tc>
        <w:tc>
          <w:tcPr>
            <w:tcW w:w="2240" w:type="dxa"/>
            <w:gridSpan w:val="2"/>
            <w:noWrap w:val="0"/>
            <w:vAlign w:val="center"/>
          </w:tcPr>
          <w:p w14:paraId="2A87D003">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b w:val="0"/>
                <w:bCs w:val="0"/>
                <w:kern w:val="0"/>
                <w:sz w:val="20"/>
                <w:szCs w:val="20"/>
              </w:rPr>
            </w:pPr>
          </w:p>
        </w:tc>
        <w:tc>
          <w:tcPr>
            <w:tcW w:w="1832" w:type="dxa"/>
            <w:gridSpan w:val="2"/>
            <w:noWrap w:val="0"/>
            <w:vAlign w:val="center"/>
          </w:tcPr>
          <w:p w14:paraId="23763E63">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b w:val="0"/>
                <w:bCs w:val="0"/>
                <w:kern w:val="0"/>
                <w:sz w:val="20"/>
                <w:szCs w:val="20"/>
              </w:rPr>
            </w:pPr>
          </w:p>
        </w:tc>
      </w:tr>
      <w:tr w14:paraId="56D9A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4ADC46AC">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default" w:ascii="仿宋" w:hAnsi="仿宋" w:eastAsia="仿宋" w:cs="仿宋"/>
                <w:b w:val="0"/>
                <w:bCs w:val="0"/>
                <w:kern w:val="0"/>
                <w:sz w:val="20"/>
                <w:szCs w:val="20"/>
                <w:lang w:val="en-US" w:eastAsia="zh-CN"/>
              </w:rPr>
            </w:pPr>
            <w:r>
              <w:rPr>
                <w:rFonts w:hint="eastAsia" w:ascii="仿宋" w:hAnsi="仿宋" w:eastAsia="仿宋_GB2312" w:cs="仿宋"/>
                <w:b w:val="0"/>
                <w:bCs w:val="0"/>
                <w:kern w:val="0"/>
                <w:sz w:val="20"/>
                <w:szCs w:val="20"/>
                <w:lang w:val="en-US" w:eastAsia="zh-CN"/>
              </w:rPr>
              <w:t>公用经费</w:t>
            </w:r>
          </w:p>
        </w:tc>
        <w:tc>
          <w:tcPr>
            <w:tcW w:w="2038" w:type="dxa"/>
            <w:gridSpan w:val="2"/>
            <w:noWrap w:val="0"/>
            <w:vAlign w:val="center"/>
          </w:tcPr>
          <w:p w14:paraId="084E5E1A">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b w:val="0"/>
                <w:bCs w:val="0"/>
                <w:kern w:val="0"/>
                <w:sz w:val="20"/>
                <w:szCs w:val="20"/>
                <w:lang w:eastAsia="zh-CN"/>
              </w:rPr>
            </w:pPr>
          </w:p>
        </w:tc>
        <w:tc>
          <w:tcPr>
            <w:tcW w:w="2240" w:type="dxa"/>
            <w:gridSpan w:val="2"/>
            <w:noWrap w:val="0"/>
            <w:vAlign w:val="center"/>
          </w:tcPr>
          <w:p w14:paraId="2A2A1011">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b w:val="0"/>
                <w:bCs w:val="0"/>
                <w:kern w:val="0"/>
                <w:sz w:val="20"/>
                <w:szCs w:val="20"/>
                <w:lang w:eastAsia="zh-CN"/>
              </w:rPr>
            </w:pPr>
          </w:p>
        </w:tc>
        <w:tc>
          <w:tcPr>
            <w:tcW w:w="1832" w:type="dxa"/>
            <w:gridSpan w:val="2"/>
            <w:noWrap w:val="0"/>
            <w:vAlign w:val="center"/>
          </w:tcPr>
          <w:p w14:paraId="3B51637D">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b w:val="0"/>
                <w:bCs w:val="0"/>
                <w:kern w:val="0"/>
                <w:sz w:val="20"/>
                <w:szCs w:val="20"/>
                <w:lang w:eastAsia="zh-CN"/>
              </w:rPr>
            </w:pPr>
          </w:p>
        </w:tc>
      </w:tr>
      <w:tr w14:paraId="1B2F3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46506348">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b w:val="0"/>
                <w:bCs w:val="0"/>
                <w:kern w:val="0"/>
                <w:sz w:val="20"/>
                <w:szCs w:val="20"/>
              </w:rPr>
            </w:pPr>
            <w:r>
              <w:rPr>
                <w:rFonts w:hint="eastAsia" w:ascii="仿宋" w:hAnsi="仿宋" w:eastAsia="仿宋_GB2312" w:cs="仿宋"/>
                <w:b w:val="0"/>
                <w:bCs w:val="0"/>
                <w:kern w:val="0"/>
                <w:sz w:val="20"/>
                <w:szCs w:val="20"/>
              </w:rPr>
              <w:t xml:space="preserve">    其中：办公费</w:t>
            </w:r>
          </w:p>
        </w:tc>
        <w:tc>
          <w:tcPr>
            <w:tcW w:w="2038" w:type="dxa"/>
            <w:gridSpan w:val="2"/>
            <w:noWrap w:val="0"/>
            <w:vAlign w:val="center"/>
          </w:tcPr>
          <w:p w14:paraId="58515A07">
            <w:pPr>
              <w:keepNext w:val="0"/>
              <w:keepLines w:val="0"/>
              <w:pageBreakBefore w:val="0"/>
              <w:widowControl/>
              <w:shd w:val="clear"/>
              <w:kinsoku/>
              <w:wordWrap/>
              <w:overflowPunct/>
              <w:topLinePunct w:val="0"/>
              <w:autoSpaceDE/>
              <w:autoSpaceDN/>
              <w:bidi w:val="0"/>
              <w:adjustRightInd/>
              <w:snapToGrid/>
              <w:spacing w:line="240" w:lineRule="exact"/>
              <w:jc w:val="both"/>
              <w:textAlignment w:val="auto"/>
              <w:rPr>
                <w:rFonts w:hint="default" w:ascii="仿宋" w:hAnsi="仿宋" w:eastAsia="仿宋" w:cs="仿宋"/>
                <w:b w:val="0"/>
                <w:bCs w:val="0"/>
                <w:color w:val="FF0000"/>
                <w:kern w:val="0"/>
                <w:sz w:val="20"/>
                <w:szCs w:val="20"/>
                <w:lang w:val="en-US"/>
              </w:rPr>
            </w:pPr>
          </w:p>
        </w:tc>
        <w:tc>
          <w:tcPr>
            <w:tcW w:w="2240" w:type="dxa"/>
            <w:gridSpan w:val="2"/>
            <w:noWrap w:val="0"/>
            <w:vAlign w:val="center"/>
          </w:tcPr>
          <w:p w14:paraId="6927BFBC">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b w:val="0"/>
                <w:bCs w:val="0"/>
                <w:color w:val="FF0000"/>
                <w:kern w:val="0"/>
                <w:sz w:val="20"/>
                <w:szCs w:val="20"/>
                <w:lang w:eastAsia="zh-CN"/>
              </w:rPr>
            </w:pPr>
          </w:p>
        </w:tc>
        <w:tc>
          <w:tcPr>
            <w:tcW w:w="1832" w:type="dxa"/>
            <w:gridSpan w:val="2"/>
            <w:noWrap w:val="0"/>
            <w:vAlign w:val="center"/>
          </w:tcPr>
          <w:p w14:paraId="3801301A">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b w:val="0"/>
                <w:bCs w:val="0"/>
                <w:color w:val="FF0000"/>
                <w:kern w:val="0"/>
                <w:sz w:val="20"/>
                <w:szCs w:val="20"/>
                <w:lang w:eastAsia="zh-CN"/>
              </w:rPr>
            </w:pPr>
          </w:p>
        </w:tc>
      </w:tr>
      <w:tr w14:paraId="34413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09770095">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b w:val="0"/>
                <w:bCs w:val="0"/>
                <w:kern w:val="0"/>
                <w:sz w:val="20"/>
                <w:szCs w:val="20"/>
              </w:rPr>
            </w:pPr>
            <w:r>
              <w:rPr>
                <w:rFonts w:hint="eastAsia" w:ascii="仿宋" w:hAnsi="仿宋" w:eastAsia="仿宋_GB2312" w:cs="仿宋"/>
                <w:b w:val="0"/>
                <w:bCs w:val="0"/>
                <w:kern w:val="0"/>
                <w:sz w:val="20"/>
                <w:szCs w:val="20"/>
              </w:rPr>
              <w:t xml:space="preserve">          水费、电费、差旅费</w:t>
            </w:r>
          </w:p>
        </w:tc>
        <w:tc>
          <w:tcPr>
            <w:tcW w:w="2038" w:type="dxa"/>
            <w:gridSpan w:val="2"/>
            <w:noWrap w:val="0"/>
            <w:vAlign w:val="center"/>
          </w:tcPr>
          <w:p w14:paraId="65D407C6">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b w:val="0"/>
                <w:bCs w:val="0"/>
                <w:color w:val="FF0000"/>
                <w:kern w:val="0"/>
                <w:sz w:val="20"/>
                <w:szCs w:val="20"/>
                <w:lang w:eastAsia="zh-CN"/>
              </w:rPr>
            </w:pPr>
          </w:p>
        </w:tc>
        <w:tc>
          <w:tcPr>
            <w:tcW w:w="2240" w:type="dxa"/>
            <w:gridSpan w:val="2"/>
            <w:noWrap w:val="0"/>
            <w:vAlign w:val="center"/>
          </w:tcPr>
          <w:p w14:paraId="7848A1F6">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b w:val="0"/>
                <w:bCs w:val="0"/>
                <w:color w:val="FF0000"/>
                <w:kern w:val="0"/>
                <w:sz w:val="20"/>
                <w:szCs w:val="20"/>
                <w:lang w:eastAsia="zh-CN"/>
              </w:rPr>
            </w:pPr>
          </w:p>
        </w:tc>
        <w:tc>
          <w:tcPr>
            <w:tcW w:w="1832" w:type="dxa"/>
            <w:gridSpan w:val="2"/>
            <w:noWrap w:val="0"/>
            <w:vAlign w:val="center"/>
          </w:tcPr>
          <w:p w14:paraId="1121BFE2">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b w:val="0"/>
                <w:bCs w:val="0"/>
                <w:color w:val="FF0000"/>
                <w:kern w:val="0"/>
                <w:sz w:val="20"/>
                <w:szCs w:val="20"/>
                <w:lang w:eastAsia="zh-CN"/>
              </w:rPr>
            </w:pPr>
          </w:p>
        </w:tc>
      </w:tr>
      <w:tr w14:paraId="730CD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3354" w:type="dxa"/>
            <w:noWrap w:val="0"/>
            <w:vAlign w:val="center"/>
          </w:tcPr>
          <w:p w14:paraId="66DB6868">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b w:val="0"/>
                <w:bCs w:val="0"/>
                <w:kern w:val="0"/>
                <w:sz w:val="20"/>
                <w:szCs w:val="20"/>
              </w:rPr>
            </w:pPr>
            <w:r>
              <w:rPr>
                <w:rFonts w:hint="eastAsia" w:ascii="仿宋" w:hAnsi="仿宋" w:eastAsia="仿宋_GB2312" w:cs="仿宋"/>
                <w:b w:val="0"/>
                <w:bCs w:val="0"/>
                <w:kern w:val="0"/>
                <w:sz w:val="20"/>
                <w:szCs w:val="20"/>
              </w:rPr>
              <w:t xml:space="preserve">          会议费、培训费</w:t>
            </w:r>
          </w:p>
        </w:tc>
        <w:tc>
          <w:tcPr>
            <w:tcW w:w="2038" w:type="dxa"/>
            <w:gridSpan w:val="2"/>
            <w:noWrap w:val="0"/>
            <w:vAlign w:val="center"/>
          </w:tcPr>
          <w:p w14:paraId="4D0ECF04">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b w:val="0"/>
                <w:bCs w:val="0"/>
                <w:color w:val="FF0000"/>
                <w:kern w:val="0"/>
                <w:sz w:val="20"/>
                <w:szCs w:val="20"/>
                <w:lang w:eastAsia="zh-CN"/>
              </w:rPr>
            </w:pPr>
          </w:p>
        </w:tc>
        <w:tc>
          <w:tcPr>
            <w:tcW w:w="2240" w:type="dxa"/>
            <w:gridSpan w:val="2"/>
            <w:noWrap w:val="0"/>
            <w:vAlign w:val="center"/>
          </w:tcPr>
          <w:p w14:paraId="40433F9C">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b w:val="0"/>
                <w:bCs w:val="0"/>
                <w:color w:val="FF0000"/>
                <w:kern w:val="0"/>
                <w:sz w:val="20"/>
                <w:szCs w:val="20"/>
                <w:lang w:eastAsia="zh-CN"/>
              </w:rPr>
            </w:pPr>
          </w:p>
        </w:tc>
        <w:tc>
          <w:tcPr>
            <w:tcW w:w="1832" w:type="dxa"/>
            <w:gridSpan w:val="2"/>
            <w:noWrap w:val="0"/>
            <w:vAlign w:val="center"/>
          </w:tcPr>
          <w:p w14:paraId="3DCB56CF">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b w:val="0"/>
                <w:bCs w:val="0"/>
                <w:color w:val="FF0000"/>
                <w:kern w:val="0"/>
                <w:sz w:val="20"/>
                <w:szCs w:val="20"/>
                <w:lang w:eastAsia="zh-CN"/>
              </w:rPr>
            </w:pPr>
          </w:p>
        </w:tc>
      </w:tr>
      <w:tr w14:paraId="46F05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05F2EC79">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b w:val="0"/>
                <w:bCs w:val="0"/>
                <w:kern w:val="0"/>
                <w:sz w:val="20"/>
                <w:szCs w:val="20"/>
              </w:rPr>
            </w:pPr>
            <w:r>
              <w:rPr>
                <w:rFonts w:hint="eastAsia" w:ascii="仿宋" w:hAnsi="仿宋" w:eastAsia="仿宋_GB2312" w:cs="仿宋"/>
                <w:b w:val="0"/>
                <w:bCs w:val="0"/>
                <w:kern w:val="0"/>
                <w:sz w:val="20"/>
                <w:szCs w:val="20"/>
              </w:rPr>
              <w:t>政府采购金额</w:t>
            </w:r>
          </w:p>
        </w:tc>
        <w:tc>
          <w:tcPr>
            <w:tcW w:w="2038" w:type="dxa"/>
            <w:gridSpan w:val="2"/>
            <w:noWrap w:val="0"/>
            <w:vAlign w:val="center"/>
          </w:tcPr>
          <w:p w14:paraId="426C46CF">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b w:val="0"/>
                <w:bCs w:val="0"/>
                <w:kern w:val="0"/>
                <w:sz w:val="20"/>
                <w:szCs w:val="20"/>
              </w:rPr>
            </w:pPr>
            <w:r>
              <w:rPr>
                <w:rFonts w:hint="eastAsia" w:ascii="仿宋" w:hAnsi="仿宋" w:eastAsia="仿宋_GB2312" w:cs="仿宋"/>
                <w:b w:val="0"/>
                <w:bCs w:val="0"/>
                <w:kern w:val="0"/>
                <w:sz w:val="20"/>
                <w:szCs w:val="20"/>
              </w:rPr>
              <w:t>——</w:t>
            </w:r>
          </w:p>
        </w:tc>
        <w:tc>
          <w:tcPr>
            <w:tcW w:w="2240" w:type="dxa"/>
            <w:gridSpan w:val="2"/>
            <w:noWrap w:val="0"/>
            <w:vAlign w:val="center"/>
          </w:tcPr>
          <w:p w14:paraId="0C482465">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b w:val="0"/>
                <w:bCs w:val="0"/>
                <w:kern w:val="0"/>
                <w:sz w:val="20"/>
                <w:szCs w:val="20"/>
                <w:lang w:eastAsia="zh-CN"/>
              </w:rPr>
            </w:pPr>
          </w:p>
        </w:tc>
        <w:tc>
          <w:tcPr>
            <w:tcW w:w="1832" w:type="dxa"/>
            <w:gridSpan w:val="2"/>
            <w:noWrap w:val="0"/>
            <w:vAlign w:val="center"/>
          </w:tcPr>
          <w:p w14:paraId="7CEA0E33">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_GB2312" w:cs="仿宋"/>
                <w:b w:val="0"/>
                <w:bCs w:val="0"/>
                <w:kern w:val="0"/>
                <w:sz w:val="20"/>
                <w:szCs w:val="20"/>
                <w:lang w:eastAsia="zh-CN"/>
              </w:rPr>
            </w:pPr>
            <w:r>
              <w:rPr>
                <w:rFonts w:hint="eastAsia" w:ascii="Times New Roman" w:hAnsi="Times New Roman" w:eastAsia="仿宋_GB2312" w:cs="仿宋"/>
                <w:b w:val="0"/>
                <w:bCs w:val="0"/>
                <w:kern w:val="0"/>
                <w:sz w:val="20"/>
                <w:szCs w:val="20"/>
                <w:lang w:val="en-US" w:eastAsia="zh-CN"/>
              </w:rPr>
              <w:t>69</w:t>
            </w:r>
            <w:r>
              <w:rPr>
                <w:rFonts w:hint="eastAsia" w:ascii="仿宋" w:hAnsi="仿宋" w:eastAsia="仿宋_GB2312" w:cs="仿宋"/>
                <w:b w:val="0"/>
                <w:bCs w:val="0"/>
                <w:kern w:val="0"/>
                <w:sz w:val="20"/>
                <w:szCs w:val="20"/>
                <w:lang w:val="en-US" w:eastAsia="zh-CN"/>
              </w:rPr>
              <w:t>.</w:t>
            </w:r>
            <w:r>
              <w:rPr>
                <w:rFonts w:hint="eastAsia" w:ascii="Times New Roman" w:hAnsi="Times New Roman" w:eastAsia="仿宋_GB2312" w:cs="仿宋"/>
                <w:b w:val="0"/>
                <w:bCs w:val="0"/>
                <w:kern w:val="0"/>
                <w:sz w:val="20"/>
                <w:szCs w:val="20"/>
                <w:lang w:val="en-US" w:eastAsia="zh-CN"/>
              </w:rPr>
              <w:t>23</w:t>
            </w:r>
          </w:p>
        </w:tc>
      </w:tr>
      <w:tr w14:paraId="75724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354" w:type="dxa"/>
            <w:noWrap w:val="0"/>
            <w:vAlign w:val="center"/>
          </w:tcPr>
          <w:p w14:paraId="10DE85BA">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b w:val="0"/>
                <w:bCs w:val="0"/>
                <w:kern w:val="0"/>
                <w:sz w:val="20"/>
                <w:szCs w:val="20"/>
              </w:rPr>
            </w:pPr>
            <w:r>
              <w:rPr>
                <w:rFonts w:hint="eastAsia" w:ascii="仿宋" w:hAnsi="仿宋" w:eastAsia="仿宋_GB2312" w:cs="仿宋"/>
                <w:b w:val="0"/>
                <w:bCs w:val="0"/>
                <w:kern w:val="0"/>
                <w:sz w:val="20"/>
                <w:szCs w:val="20"/>
              </w:rPr>
              <w:t xml:space="preserve">部门基本支出预算调整 </w:t>
            </w:r>
          </w:p>
        </w:tc>
        <w:tc>
          <w:tcPr>
            <w:tcW w:w="2038" w:type="dxa"/>
            <w:gridSpan w:val="2"/>
            <w:noWrap w:val="0"/>
            <w:vAlign w:val="center"/>
          </w:tcPr>
          <w:p w14:paraId="0245631E">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b w:val="0"/>
                <w:bCs w:val="0"/>
                <w:kern w:val="0"/>
                <w:sz w:val="20"/>
                <w:szCs w:val="20"/>
              </w:rPr>
            </w:pPr>
            <w:r>
              <w:rPr>
                <w:rFonts w:hint="eastAsia" w:ascii="仿宋" w:hAnsi="仿宋" w:eastAsia="仿宋_GB2312" w:cs="仿宋"/>
                <w:b w:val="0"/>
                <w:bCs w:val="0"/>
                <w:kern w:val="0"/>
                <w:sz w:val="20"/>
                <w:szCs w:val="20"/>
              </w:rPr>
              <w:t>——</w:t>
            </w:r>
          </w:p>
        </w:tc>
        <w:tc>
          <w:tcPr>
            <w:tcW w:w="2240" w:type="dxa"/>
            <w:gridSpan w:val="2"/>
            <w:noWrap w:val="0"/>
            <w:vAlign w:val="center"/>
          </w:tcPr>
          <w:p w14:paraId="58A4D4AA">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b w:val="0"/>
                <w:bCs w:val="0"/>
                <w:kern w:val="0"/>
                <w:sz w:val="20"/>
                <w:szCs w:val="20"/>
                <w:lang w:eastAsia="zh-CN"/>
              </w:rPr>
            </w:pPr>
          </w:p>
        </w:tc>
        <w:tc>
          <w:tcPr>
            <w:tcW w:w="1832" w:type="dxa"/>
            <w:gridSpan w:val="2"/>
            <w:noWrap w:val="0"/>
            <w:vAlign w:val="center"/>
          </w:tcPr>
          <w:p w14:paraId="20FE3002">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b w:val="0"/>
                <w:bCs w:val="0"/>
                <w:kern w:val="0"/>
                <w:sz w:val="20"/>
                <w:szCs w:val="20"/>
                <w:lang w:eastAsia="zh-CN"/>
              </w:rPr>
            </w:pPr>
          </w:p>
        </w:tc>
      </w:tr>
      <w:tr w14:paraId="026E7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jc w:val="center"/>
        </w:trPr>
        <w:tc>
          <w:tcPr>
            <w:tcW w:w="3354" w:type="dxa"/>
            <w:vMerge w:val="restart"/>
            <w:noWrap w:val="0"/>
            <w:vAlign w:val="center"/>
          </w:tcPr>
          <w:p w14:paraId="66FA11C1">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b w:val="0"/>
                <w:bCs w:val="0"/>
                <w:kern w:val="0"/>
                <w:sz w:val="20"/>
                <w:szCs w:val="20"/>
                <w:lang w:eastAsia="zh-CN"/>
              </w:rPr>
            </w:pPr>
            <w:r>
              <w:rPr>
                <w:rFonts w:hint="eastAsia" w:ascii="仿宋" w:hAnsi="仿宋" w:eastAsia="仿宋_GB2312" w:cs="仿宋"/>
                <w:b w:val="0"/>
                <w:bCs w:val="0"/>
                <w:kern w:val="0"/>
                <w:sz w:val="20"/>
                <w:szCs w:val="20"/>
              </w:rPr>
              <w:t>楼堂馆所控制情况</w:t>
            </w:r>
            <w:r>
              <w:rPr>
                <w:rFonts w:hint="eastAsia" w:ascii="仿宋" w:hAnsi="仿宋" w:eastAsia="仿宋_GB2312" w:cs="仿宋"/>
                <w:b w:val="0"/>
                <w:bCs w:val="0"/>
                <w:kern w:val="0"/>
                <w:sz w:val="20"/>
                <w:szCs w:val="20"/>
              </w:rPr>
              <w:br w:type="textWrapping"/>
            </w:r>
            <w:r>
              <w:rPr>
                <w:rFonts w:hint="eastAsia" w:ascii="仿宋" w:hAnsi="仿宋" w:eastAsia="仿宋_GB2312" w:cs="仿宋"/>
                <w:b w:val="0"/>
                <w:bCs w:val="0"/>
                <w:kern w:val="0"/>
                <w:sz w:val="20"/>
                <w:szCs w:val="20"/>
                <w:lang w:eastAsia="zh-CN"/>
              </w:rPr>
              <w:t>（</w:t>
            </w:r>
            <w:r>
              <w:rPr>
                <w:rFonts w:hint="eastAsia" w:ascii="Times New Roman" w:hAnsi="Times New Roman" w:eastAsia="仿宋_GB2312" w:cs="仿宋"/>
                <w:b w:val="0"/>
                <w:bCs w:val="0"/>
                <w:kern w:val="0"/>
                <w:sz w:val="20"/>
                <w:szCs w:val="20"/>
                <w:lang w:val="en-US" w:eastAsia="zh-CN"/>
              </w:rPr>
              <w:t>2025</w:t>
            </w:r>
            <w:r>
              <w:rPr>
                <w:rFonts w:hint="eastAsia" w:ascii="仿宋" w:hAnsi="仿宋" w:eastAsia="仿宋_GB2312" w:cs="仿宋"/>
                <w:b w:val="0"/>
                <w:bCs w:val="0"/>
                <w:kern w:val="0"/>
                <w:sz w:val="20"/>
                <w:szCs w:val="20"/>
                <w:lang w:val="en-US" w:eastAsia="zh-CN"/>
              </w:rPr>
              <w:t>年完工情况</w:t>
            </w:r>
            <w:r>
              <w:rPr>
                <w:rFonts w:hint="eastAsia" w:ascii="仿宋" w:hAnsi="仿宋" w:eastAsia="仿宋_GB2312" w:cs="仿宋"/>
                <w:b w:val="0"/>
                <w:bCs w:val="0"/>
                <w:kern w:val="0"/>
                <w:sz w:val="20"/>
                <w:szCs w:val="20"/>
                <w:lang w:eastAsia="zh-CN"/>
              </w:rPr>
              <w:t>）</w:t>
            </w:r>
          </w:p>
        </w:tc>
        <w:tc>
          <w:tcPr>
            <w:tcW w:w="1189" w:type="dxa"/>
            <w:noWrap w:val="0"/>
            <w:vAlign w:val="center"/>
          </w:tcPr>
          <w:p w14:paraId="539794A9">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b w:val="0"/>
                <w:bCs w:val="0"/>
                <w:kern w:val="0"/>
                <w:sz w:val="20"/>
                <w:szCs w:val="20"/>
              </w:rPr>
            </w:pPr>
            <w:r>
              <w:rPr>
                <w:rFonts w:hint="eastAsia" w:ascii="仿宋" w:hAnsi="仿宋" w:eastAsia="仿宋_GB2312" w:cs="仿宋"/>
                <w:b w:val="0"/>
                <w:bCs w:val="0"/>
                <w:kern w:val="0"/>
                <w:sz w:val="20"/>
                <w:szCs w:val="20"/>
              </w:rPr>
              <w:t>批复规模</w:t>
            </w:r>
            <w:r>
              <w:rPr>
                <w:rFonts w:hint="eastAsia" w:ascii="仿宋" w:hAnsi="仿宋" w:eastAsia="仿宋_GB2312" w:cs="仿宋"/>
                <w:b w:val="0"/>
                <w:bCs w:val="0"/>
                <w:kern w:val="0"/>
                <w:sz w:val="20"/>
                <w:szCs w:val="20"/>
              </w:rPr>
              <w:br w:type="textWrapping"/>
            </w:r>
            <w:r>
              <w:rPr>
                <w:rFonts w:hint="eastAsia" w:ascii="仿宋" w:hAnsi="仿宋" w:eastAsia="仿宋_GB2312" w:cs="仿宋"/>
                <w:b w:val="0"/>
                <w:bCs w:val="0"/>
                <w:kern w:val="0"/>
                <w:sz w:val="20"/>
                <w:szCs w:val="20"/>
              </w:rPr>
              <w:t>（㎡）</w:t>
            </w:r>
          </w:p>
        </w:tc>
        <w:tc>
          <w:tcPr>
            <w:tcW w:w="849" w:type="dxa"/>
            <w:noWrap w:val="0"/>
            <w:vAlign w:val="center"/>
          </w:tcPr>
          <w:p w14:paraId="75046CAA">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b w:val="0"/>
                <w:bCs w:val="0"/>
                <w:kern w:val="0"/>
                <w:sz w:val="20"/>
                <w:szCs w:val="20"/>
              </w:rPr>
            </w:pPr>
            <w:r>
              <w:rPr>
                <w:rFonts w:hint="eastAsia" w:ascii="仿宋" w:hAnsi="仿宋" w:eastAsia="仿宋_GB2312" w:cs="仿宋"/>
                <w:b w:val="0"/>
                <w:bCs w:val="0"/>
                <w:kern w:val="0"/>
                <w:sz w:val="20"/>
                <w:szCs w:val="20"/>
              </w:rPr>
              <w:t>实际规模（㎡）</w:t>
            </w:r>
          </w:p>
        </w:tc>
        <w:tc>
          <w:tcPr>
            <w:tcW w:w="1129" w:type="dxa"/>
            <w:noWrap w:val="0"/>
            <w:vAlign w:val="center"/>
          </w:tcPr>
          <w:p w14:paraId="755F89DF">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b w:val="0"/>
                <w:bCs w:val="0"/>
                <w:kern w:val="0"/>
                <w:sz w:val="20"/>
                <w:szCs w:val="20"/>
              </w:rPr>
            </w:pPr>
            <w:r>
              <w:rPr>
                <w:rFonts w:hint="eastAsia" w:ascii="仿宋" w:hAnsi="仿宋" w:eastAsia="仿宋_GB2312" w:cs="仿宋"/>
                <w:b w:val="0"/>
                <w:bCs w:val="0"/>
                <w:kern w:val="0"/>
                <w:sz w:val="20"/>
                <w:szCs w:val="20"/>
              </w:rPr>
              <w:t>规模控制率</w:t>
            </w:r>
          </w:p>
        </w:tc>
        <w:tc>
          <w:tcPr>
            <w:tcW w:w="1111" w:type="dxa"/>
            <w:noWrap w:val="0"/>
            <w:vAlign w:val="center"/>
          </w:tcPr>
          <w:p w14:paraId="7A929A10">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b w:val="0"/>
                <w:bCs w:val="0"/>
                <w:kern w:val="0"/>
                <w:sz w:val="20"/>
                <w:szCs w:val="20"/>
              </w:rPr>
            </w:pPr>
            <w:r>
              <w:rPr>
                <w:rFonts w:hint="eastAsia" w:ascii="仿宋" w:hAnsi="仿宋" w:eastAsia="仿宋_GB2312" w:cs="仿宋"/>
                <w:b w:val="0"/>
                <w:bCs w:val="0"/>
                <w:kern w:val="0"/>
                <w:sz w:val="20"/>
                <w:szCs w:val="20"/>
              </w:rPr>
              <w:t>预算投资（万元）</w:t>
            </w:r>
          </w:p>
        </w:tc>
        <w:tc>
          <w:tcPr>
            <w:tcW w:w="969" w:type="dxa"/>
            <w:noWrap w:val="0"/>
            <w:vAlign w:val="center"/>
          </w:tcPr>
          <w:p w14:paraId="3575B1A2">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b w:val="0"/>
                <w:bCs w:val="0"/>
                <w:kern w:val="0"/>
                <w:sz w:val="20"/>
                <w:szCs w:val="20"/>
              </w:rPr>
            </w:pPr>
            <w:r>
              <w:rPr>
                <w:rFonts w:hint="eastAsia" w:ascii="仿宋" w:hAnsi="仿宋" w:eastAsia="仿宋_GB2312" w:cs="仿宋"/>
                <w:b w:val="0"/>
                <w:bCs w:val="0"/>
                <w:kern w:val="0"/>
                <w:sz w:val="20"/>
                <w:szCs w:val="20"/>
              </w:rPr>
              <w:t>实际投资（万元）</w:t>
            </w:r>
          </w:p>
        </w:tc>
        <w:tc>
          <w:tcPr>
            <w:tcW w:w="863" w:type="dxa"/>
            <w:noWrap w:val="0"/>
            <w:vAlign w:val="center"/>
          </w:tcPr>
          <w:p w14:paraId="10FA8922">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b w:val="0"/>
                <w:bCs w:val="0"/>
                <w:kern w:val="0"/>
                <w:sz w:val="20"/>
                <w:szCs w:val="20"/>
              </w:rPr>
            </w:pPr>
            <w:r>
              <w:rPr>
                <w:rFonts w:hint="eastAsia" w:ascii="仿宋" w:hAnsi="仿宋" w:eastAsia="仿宋_GB2312" w:cs="仿宋"/>
                <w:b w:val="0"/>
                <w:bCs w:val="0"/>
                <w:kern w:val="0"/>
                <w:sz w:val="20"/>
                <w:szCs w:val="20"/>
              </w:rPr>
              <w:t>投资概算控制率</w:t>
            </w:r>
          </w:p>
        </w:tc>
      </w:tr>
      <w:tr w14:paraId="01FBD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4" w:hRule="atLeast"/>
          <w:jc w:val="center"/>
        </w:trPr>
        <w:tc>
          <w:tcPr>
            <w:tcW w:w="3354" w:type="dxa"/>
            <w:vMerge w:val="continue"/>
            <w:noWrap w:val="0"/>
            <w:vAlign w:val="center"/>
          </w:tcPr>
          <w:p w14:paraId="79CA42DA">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b w:val="0"/>
                <w:bCs w:val="0"/>
                <w:kern w:val="0"/>
                <w:sz w:val="20"/>
                <w:szCs w:val="20"/>
              </w:rPr>
            </w:pPr>
          </w:p>
        </w:tc>
        <w:tc>
          <w:tcPr>
            <w:tcW w:w="1189" w:type="dxa"/>
            <w:noWrap w:val="0"/>
            <w:vAlign w:val="center"/>
          </w:tcPr>
          <w:p w14:paraId="3EAA0897">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b w:val="0"/>
                <w:bCs w:val="0"/>
                <w:kern w:val="0"/>
                <w:sz w:val="20"/>
                <w:szCs w:val="20"/>
                <w:lang w:eastAsia="zh-CN"/>
              </w:rPr>
            </w:pPr>
          </w:p>
        </w:tc>
        <w:tc>
          <w:tcPr>
            <w:tcW w:w="849" w:type="dxa"/>
            <w:noWrap w:val="0"/>
            <w:vAlign w:val="center"/>
          </w:tcPr>
          <w:p w14:paraId="6B507950">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b w:val="0"/>
                <w:bCs w:val="0"/>
                <w:kern w:val="0"/>
                <w:sz w:val="20"/>
                <w:szCs w:val="20"/>
                <w:lang w:eastAsia="zh-CN"/>
              </w:rPr>
            </w:pPr>
          </w:p>
        </w:tc>
        <w:tc>
          <w:tcPr>
            <w:tcW w:w="1129" w:type="dxa"/>
            <w:noWrap w:val="0"/>
            <w:vAlign w:val="center"/>
          </w:tcPr>
          <w:p w14:paraId="741E13C3">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b w:val="0"/>
                <w:bCs w:val="0"/>
                <w:kern w:val="0"/>
                <w:sz w:val="20"/>
                <w:szCs w:val="20"/>
                <w:lang w:eastAsia="zh-CN"/>
              </w:rPr>
            </w:pPr>
          </w:p>
        </w:tc>
        <w:tc>
          <w:tcPr>
            <w:tcW w:w="1111" w:type="dxa"/>
            <w:noWrap w:val="0"/>
            <w:vAlign w:val="center"/>
          </w:tcPr>
          <w:p w14:paraId="45F4C796">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b w:val="0"/>
                <w:bCs w:val="0"/>
                <w:kern w:val="0"/>
                <w:sz w:val="20"/>
                <w:szCs w:val="20"/>
                <w:lang w:eastAsia="zh-CN"/>
              </w:rPr>
            </w:pPr>
          </w:p>
        </w:tc>
        <w:tc>
          <w:tcPr>
            <w:tcW w:w="969" w:type="dxa"/>
            <w:noWrap w:val="0"/>
            <w:vAlign w:val="center"/>
          </w:tcPr>
          <w:p w14:paraId="6E62DA8E">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b w:val="0"/>
                <w:bCs w:val="0"/>
                <w:kern w:val="0"/>
                <w:sz w:val="20"/>
                <w:szCs w:val="20"/>
                <w:lang w:eastAsia="zh-CN"/>
              </w:rPr>
            </w:pPr>
          </w:p>
        </w:tc>
        <w:tc>
          <w:tcPr>
            <w:tcW w:w="863" w:type="dxa"/>
            <w:noWrap w:val="0"/>
            <w:vAlign w:val="center"/>
          </w:tcPr>
          <w:p w14:paraId="3FB572FB">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b w:val="0"/>
                <w:bCs w:val="0"/>
                <w:kern w:val="0"/>
                <w:sz w:val="20"/>
                <w:szCs w:val="20"/>
                <w:lang w:eastAsia="zh-CN"/>
              </w:rPr>
            </w:pPr>
          </w:p>
        </w:tc>
      </w:tr>
      <w:tr w14:paraId="40EEE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3354" w:type="dxa"/>
            <w:noWrap w:val="0"/>
            <w:vAlign w:val="center"/>
          </w:tcPr>
          <w:p w14:paraId="21D750AA">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b w:val="0"/>
                <w:bCs w:val="0"/>
                <w:kern w:val="0"/>
                <w:sz w:val="20"/>
                <w:szCs w:val="20"/>
              </w:rPr>
            </w:pPr>
            <w:r>
              <w:rPr>
                <w:rFonts w:hint="eastAsia" w:ascii="仿宋" w:hAnsi="仿宋" w:eastAsia="仿宋_GB2312" w:cs="仿宋"/>
                <w:b w:val="0"/>
                <w:bCs w:val="0"/>
                <w:kern w:val="0"/>
                <w:sz w:val="20"/>
                <w:szCs w:val="20"/>
              </w:rPr>
              <w:t>厉行节约保障措施</w:t>
            </w:r>
          </w:p>
        </w:tc>
        <w:tc>
          <w:tcPr>
            <w:tcW w:w="6110" w:type="dxa"/>
            <w:gridSpan w:val="6"/>
            <w:noWrap w:val="0"/>
            <w:vAlign w:val="center"/>
          </w:tcPr>
          <w:p w14:paraId="3189C7BA">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_GB2312" w:cs="仿宋"/>
                <w:b w:val="0"/>
                <w:bCs w:val="0"/>
                <w:kern w:val="0"/>
                <w:sz w:val="20"/>
                <w:szCs w:val="20"/>
                <w:lang w:eastAsia="zh-CN"/>
              </w:rPr>
            </w:pPr>
            <w:r>
              <w:rPr>
                <w:rFonts w:hint="eastAsia" w:ascii="仿宋" w:hAnsi="仿宋" w:eastAsia="仿宋_GB2312" w:cs="仿宋"/>
                <w:b w:val="0"/>
                <w:bCs w:val="0"/>
                <w:color w:val="000000" w:themeColor="text1"/>
                <w:kern w:val="0"/>
                <w:sz w:val="20"/>
                <w:szCs w:val="20"/>
                <w:lang w:eastAsia="zh-CN"/>
                <w14:textFill>
                  <w14:solidFill>
                    <w14:schemeClr w14:val="tx1"/>
                  </w14:solidFill>
                </w14:textFill>
              </w:rPr>
              <w:t>科学精准编制预算，严格执行预算、严禁超预算、无预算支出。</w:t>
            </w:r>
          </w:p>
        </w:tc>
      </w:tr>
    </w:tbl>
    <w:p w14:paraId="46E53041">
      <w:pPr>
        <w:pStyle w:val="11"/>
        <w:keepNext/>
        <w:keepLines/>
        <w:pageBreakBefore w:val="0"/>
        <w:widowControl w:val="0"/>
        <w:shd w:val="clear"/>
        <w:kinsoku/>
        <w:wordWrap/>
        <w:overflowPunct/>
        <w:topLinePunct w:val="0"/>
        <w:autoSpaceDE/>
        <w:autoSpaceDN/>
        <w:bidi w:val="0"/>
        <w:adjustRightInd/>
        <w:snapToGrid/>
        <w:spacing w:line="280" w:lineRule="exact"/>
        <w:textAlignment w:val="auto"/>
        <w:rPr>
          <w:rFonts w:hint="eastAsia"/>
          <w:lang w:val="en-US" w:eastAsia="zh-CN"/>
        </w:rPr>
      </w:pPr>
      <w:r>
        <w:rPr>
          <w:rFonts w:eastAsia="仿宋_GB2312"/>
          <w:kern w:val="0"/>
          <w:sz w:val="22"/>
        </w:rPr>
        <w:t>说明：“项目支出”需要填报基本支出以外的所有项目支出情况，“公用经费”填报基本支出中的一般商品和服务支出。</w:t>
      </w:r>
    </w:p>
    <w:p w14:paraId="1DC4AF54">
      <w:pPr>
        <w:widowControl w:val="0"/>
        <w:shd w:val="clear"/>
        <w:kinsoku/>
        <w:autoSpaceDE/>
        <w:autoSpaceDN/>
        <w:adjustRightInd/>
        <w:snapToGrid/>
        <w:spacing w:line="600" w:lineRule="exact"/>
        <w:jc w:val="both"/>
        <w:textAlignment w:val="auto"/>
        <w:rPr>
          <w:rFonts w:hint="default" w:ascii="方正小标宋_GBK" w:hAnsi="方正小标宋_GBK" w:eastAsia="方正小标宋_GBK" w:cs="方正小标宋_GBK"/>
          <w:i w:val="0"/>
          <w:iCs w:val="0"/>
          <w:caps w:val="0"/>
          <w:color w:val="000000"/>
          <w:spacing w:val="0"/>
          <w:sz w:val="32"/>
          <w:szCs w:val="32"/>
          <w:shd w:val="clear" w:fill="FFFFFF"/>
          <w:lang w:val="en-US" w:eastAsia="zh-CN"/>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刘希敏     </w:t>
      </w:r>
      <w:r>
        <w:rPr>
          <w:rFonts w:hint="default" w:ascii="Times New Roman" w:hAnsi="Times New Roman" w:eastAsia="仿宋_GB2312" w:cs="Times New Roman"/>
          <w:snapToGrid/>
          <w:color w:val="000000"/>
          <w:kern w:val="0"/>
          <w:sz w:val="24"/>
          <w:szCs w:val="24"/>
          <w:lang w:val="en-US" w:eastAsia="zh-CN" w:bidi="ar-SA"/>
        </w:rPr>
        <w:t xml:space="preserve">  填报日期：</w:t>
      </w:r>
      <w:r>
        <w:rPr>
          <w:rFonts w:hint="eastAsia" w:ascii="Times New Roman" w:hAnsi="Times New Roman" w:eastAsia="仿宋_GB2312" w:cs="Times New Roman"/>
          <w:snapToGrid/>
          <w:color w:val="000000"/>
          <w:kern w:val="0"/>
          <w:sz w:val="24"/>
          <w:szCs w:val="24"/>
          <w:lang w:val="en-US" w:eastAsia="zh-CN" w:bidi="ar-SA"/>
        </w:rPr>
        <w:t xml:space="preserve">2026年6月9日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2711853</w:t>
      </w:r>
    </w:p>
    <w:p w14:paraId="7FACCCE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pPr>
    </w:p>
    <w:p w14:paraId="5EE57F01">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pPr>
    </w:p>
    <w:p w14:paraId="002532B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t>附件</w:t>
      </w:r>
      <w:r>
        <w:rPr>
          <w:rFonts w:hint="default" w:ascii="Times New Roman" w:hAnsi="Times New Roman" w:eastAsia="方正小标宋_GBK" w:cs="方正小标宋_GBK"/>
          <w:i w:val="0"/>
          <w:iCs w:val="0"/>
          <w:caps w:val="0"/>
          <w:color w:val="000000"/>
          <w:spacing w:val="0"/>
          <w:sz w:val="24"/>
          <w:szCs w:val="24"/>
          <w:shd w:val="clear" w:fill="FFFFFF"/>
          <w:lang w:val="en-US" w:eastAsia="zh-CN"/>
        </w:rPr>
        <w:t>2</w:t>
      </w:r>
    </w:p>
    <w:p w14:paraId="49A0E908">
      <w:pPr>
        <w:keepNext w:val="0"/>
        <w:keepLines w:val="0"/>
        <w:pageBreakBefore w:val="0"/>
        <w:widowControl/>
        <w:shd w:val="clear"/>
        <w:tabs>
          <w:tab w:val="left" w:pos="2555"/>
          <w:tab w:val="left" w:pos="3611"/>
          <w:tab w:val="center" w:pos="4365"/>
          <w:tab w:val="left" w:pos="4791"/>
          <w:tab w:val="left" w:pos="5951"/>
          <w:tab w:val="left" w:pos="7071"/>
          <w:tab w:val="left" w:pos="8191"/>
          <w:tab w:val="left" w:pos="9311"/>
        </w:tabs>
        <w:kinsoku/>
        <w:wordWrap/>
        <w:overflowPunct/>
        <w:topLinePunct w:val="0"/>
        <w:autoSpaceDE/>
        <w:autoSpaceDN/>
        <w:bidi w:val="0"/>
        <w:adjustRightInd/>
        <w:snapToGrid/>
        <w:spacing w:line="480" w:lineRule="exact"/>
        <w:jc w:val="center"/>
        <w:textAlignment w:val="auto"/>
        <w:rPr>
          <w:rFonts w:hint="eastAsia" w:ascii="方正小标宋简体" w:hAnsi="方正小标宋简体" w:eastAsia="方正小标宋简体" w:cs="方正小标宋简体"/>
          <w:color w:val="000000"/>
          <w:kern w:val="0"/>
          <w:sz w:val="36"/>
          <w:szCs w:val="36"/>
          <w:lang w:val="en-US" w:eastAsia="zh-CN"/>
        </w:rPr>
      </w:pPr>
      <w:r>
        <w:rPr>
          <w:rFonts w:hint="eastAsia" w:ascii="方正小标宋简体" w:hAnsi="方正小标宋简体" w:eastAsia="方正小标宋简体" w:cs="方正小标宋简体"/>
          <w:color w:val="000000"/>
          <w:kern w:val="0"/>
          <w:sz w:val="36"/>
          <w:szCs w:val="36"/>
          <w:lang w:val="en-US" w:eastAsia="zh-CN"/>
        </w:rPr>
        <w:t>部门整体支出绩效自评表</w:t>
      </w:r>
    </w:p>
    <w:tbl>
      <w:tblPr>
        <w:tblStyle w:val="8"/>
        <w:tblW w:w="92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1"/>
        <w:gridCol w:w="1111"/>
        <w:gridCol w:w="1067"/>
        <w:gridCol w:w="990"/>
        <w:gridCol w:w="87"/>
        <w:gridCol w:w="1175"/>
        <w:gridCol w:w="1115"/>
        <w:gridCol w:w="693"/>
        <w:gridCol w:w="775"/>
        <w:gridCol w:w="1128"/>
      </w:tblGrid>
      <w:tr w14:paraId="710A7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130" w:type="dxa"/>
            <w:noWrap w:val="0"/>
            <w:vAlign w:val="center"/>
          </w:tcPr>
          <w:p w14:paraId="43BA7593">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预算</w:t>
            </w:r>
            <w:r>
              <w:rPr>
                <w:rFonts w:hint="eastAsia" w:ascii="仿宋" w:hAnsi="仿宋" w:eastAsia="仿宋_GB2312" w:cs="仿宋"/>
                <w:color w:val="000000"/>
                <w:kern w:val="0"/>
                <w:sz w:val="20"/>
                <w:szCs w:val="20"/>
                <w:lang w:eastAsia="zh-CN"/>
              </w:rPr>
              <w:t>部门</w:t>
            </w:r>
            <w:r>
              <w:rPr>
                <w:rFonts w:hint="eastAsia" w:ascii="仿宋" w:hAnsi="仿宋" w:eastAsia="仿宋_GB2312" w:cs="仿宋"/>
                <w:color w:val="000000"/>
                <w:kern w:val="0"/>
                <w:sz w:val="20"/>
                <w:szCs w:val="20"/>
              </w:rPr>
              <w:t>名称</w:t>
            </w:r>
          </w:p>
        </w:tc>
        <w:tc>
          <w:tcPr>
            <w:tcW w:w="8132" w:type="dxa"/>
            <w:gridSpan w:val="9"/>
            <w:noWrap w:val="0"/>
            <w:vAlign w:val="center"/>
          </w:tcPr>
          <w:p w14:paraId="32CACD32">
            <w:pPr>
              <w:keepNext w:val="0"/>
              <w:keepLines w:val="0"/>
              <w:pageBreakBefore w:val="0"/>
              <w:widowControl/>
              <w:shd w:val="clear"/>
              <w:kinsoku/>
              <w:wordWrap/>
              <w:overflowPunct/>
              <w:topLinePunct w:val="0"/>
              <w:autoSpaceDE/>
              <w:autoSpaceDN/>
              <w:bidi w:val="0"/>
              <w:adjustRightInd/>
              <w:snapToGrid/>
              <w:spacing w:line="240" w:lineRule="exact"/>
              <w:jc w:val="both"/>
              <w:textAlignment w:val="auto"/>
              <w:rPr>
                <w:rFonts w:hint="eastAsia" w:ascii="仿宋" w:hAnsi="仿宋" w:eastAsia="仿宋_GB2312" w:cs="仿宋"/>
                <w:color w:val="000000"/>
                <w:kern w:val="0"/>
                <w:sz w:val="20"/>
                <w:szCs w:val="20"/>
                <w:lang w:eastAsia="zh-CN"/>
              </w:rPr>
            </w:pPr>
            <w:r>
              <w:rPr>
                <w:rFonts w:hint="eastAsia" w:ascii="仿宋" w:hAnsi="仿宋" w:eastAsia="仿宋_GB2312" w:cs="仿宋"/>
                <w:color w:val="000000"/>
                <w:kern w:val="0"/>
                <w:sz w:val="20"/>
                <w:szCs w:val="20"/>
                <w:lang w:val="en-US" w:eastAsia="zh-CN"/>
              </w:rPr>
              <w:t>怀化市司法局</w:t>
            </w:r>
          </w:p>
        </w:tc>
      </w:tr>
      <w:tr w14:paraId="78782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05" w:hRule="atLeast"/>
          <w:jc w:val="center"/>
        </w:trPr>
        <w:tc>
          <w:tcPr>
            <w:tcW w:w="1130" w:type="dxa"/>
            <w:vMerge w:val="restart"/>
            <w:noWrap w:val="0"/>
            <w:vAlign w:val="center"/>
          </w:tcPr>
          <w:p w14:paraId="23742E22">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_GB2312" w:cs="仿宋"/>
                <w:color w:val="000000"/>
                <w:kern w:val="0"/>
                <w:sz w:val="20"/>
                <w:szCs w:val="20"/>
              </w:rPr>
            </w:pPr>
            <w:r>
              <w:rPr>
                <w:rFonts w:hint="eastAsia" w:ascii="仿宋" w:hAnsi="仿宋" w:eastAsia="仿宋_GB2312" w:cs="仿宋"/>
                <w:color w:val="000000"/>
                <w:kern w:val="0"/>
                <w:sz w:val="20"/>
                <w:szCs w:val="20"/>
              </w:rPr>
              <w:t>年度预</w:t>
            </w:r>
          </w:p>
          <w:p w14:paraId="6DE5BC34">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算申请</w:t>
            </w:r>
            <w:r>
              <w:rPr>
                <w:rFonts w:hint="eastAsia" w:ascii="仿宋" w:hAnsi="仿宋" w:eastAsia="仿宋_GB2312" w:cs="仿宋"/>
                <w:color w:val="000000"/>
                <w:kern w:val="0"/>
                <w:sz w:val="20"/>
                <w:szCs w:val="20"/>
              </w:rPr>
              <w:br w:type="textWrapping"/>
            </w:r>
            <w:r>
              <w:rPr>
                <w:rFonts w:hint="eastAsia" w:ascii="仿宋" w:hAnsi="仿宋" w:eastAsia="仿宋_GB2312" w:cs="仿宋"/>
                <w:color w:val="000000"/>
                <w:kern w:val="0"/>
                <w:sz w:val="20"/>
                <w:szCs w:val="20"/>
              </w:rPr>
              <w:t>（万元）</w:t>
            </w:r>
          </w:p>
        </w:tc>
        <w:tc>
          <w:tcPr>
            <w:tcW w:w="2201" w:type="dxa"/>
            <w:gridSpan w:val="2"/>
            <w:noWrap w:val="0"/>
            <w:vAlign w:val="center"/>
          </w:tcPr>
          <w:p w14:paraId="4995BBFB">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p>
        </w:tc>
        <w:tc>
          <w:tcPr>
            <w:tcW w:w="992" w:type="dxa"/>
            <w:noWrap w:val="0"/>
            <w:vAlign w:val="center"/>
          </w:tcPr>
          <w:p w14:paraId="2009D983">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_GB2312" w:cs="仿宋"/>
                <w:sz w:val="20"/>
                <w:szCs w:val="20"/>
              </w:rPr>
            </w:pPr>
            <w:r>
              <w:rPr>
                <w:rFonts w:hint="eastAsia" w:ascii="仿宋" w:hAnsi="仿宋" w:eastAsia="仿宋_GB2312" w:cs="仿宋"/>
                <w:sz w:val="20"/>
                <w:szCs w:val="20"/>
              </w:rPr>
              <w:t>年初</w:t>
            </w:r>
          </w:p>
          <w:p w14:paraId="6E7A073A">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_GB2312" w:cs="仿宋"/>
                <w:sz w:val="20"/>
                <w:szCs w:val="20"/>
              </w:rPr>
              <w:t>预算数</w:t>
            </w:r>
          </w:p>
        </w:tc>
        <w:tc>
          <w:tcPr>
            <w:tcW w:w="1268" w:type="dxa"/>
            <w:gridSpan w:val="2"/>
            <w:noWrap w:val="0"/>
            <w:vAlign w:val="center"/>
          </w:tcPr>
          <w:p w14:paraId="735421D0">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_GB2312" w:cs="仿宋"/>
                <w:sz w:val="20"/>
                <w:szCs w:val="20"/>
              </w:rPr>
              <w:t>全年预算数</w:t>
            </w:r>
          </w:p>
        </w:tc>
        <w:tc>
          <w:tcPr>
            <w:tcW w:w="1119" w:type="dxa"/>
            <w:noWrap w:val="0"/>
            <w:vAlign w:val="center"/>
          </w:tcPr>
          <w:p w14:paraId="6218E09B">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_GB2312" w:cs="仿宋"/>
                <w:sz w:val="20"/>
                <w:szCs w:val="20"/>
              </w:rPr>
            </w:pPr>
            <w:r>
              <w:rPr>
                <w:rFonts w:hint="eastAsia" w:ascii="仿宋" w:hAnsi="仿宋" w:eastAsia="仿宋_GB2312" w:cs="仿宋"/>
                <w:sz w:val="20"/>
                <w:szCs w:val="20"/>
              </w:rPr>
              <w:t>全年</w:t>
            </w:r>
          </w:p>
          <w:p w14:paraId="7FC2A023">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_GB2312" w:cs="仿宋"/>
                <w:sz w:val="20"/>
                <w:szCs w:val="20"/>
              </w:rPr>
              <w:t>执行数</w:t>
            </w:r>
          </w:p>
        </w:tc>
        <w:tc>
          <w:tcPr>
            <w:tcW w:w="696" w:type="dxa"/>
            <w:noWrap w:val="0"/>
            <w:vAlign w:val="center"/>
          </w:tcPr>
          <w:p w14:paraId="702383F9">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_GB2312" w:cs="仿宋"/>
                <w:sz w:val="20"/>
                <w:szCs w:val="20"/>
              </w:rPr>
              <w:t>分值</w:t>
            </w:r>
          </w:p>
        </w:tc>
        <w:tc>
          <w:tcPr>
            <w:tcW w:w="716" w:type="dxa"/>
            <w:noWrap w:val="0"/>
            <w:vAlign w:val="center"/>
          </w:tcPr>
          <w:p w14:paraId="1A8CB296">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_GB2312" w:cs="仿宋"/>
                <w:sz w:val="20"/>
                <w:szCs w:val="20"/>
              </w:rPr>
              <w:t>执行率</w:t>
            </w:r>
          </w:p>
        </w:tc>
        <w:tc>
          <w:tcPr>
            <w:tcW w:w="1140" w:type="dxa"/>
            <w:noWrap w:val="0"/>
            <w:vAlign w:val="center"/>
          </w:tcPr>
          <w:p w14:paraId="3756562D">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_GB2312" w:cs="仿宋"/>
                <w:sz w:val="20"/>
                <w:szCs w:val="20"/>
              </w:rPr>
              <w:t>得分</w:t>
            </w:r>
          </w:p>
        </w:tc>
      </w:tr>
      <w:tr w14:paraId="3BD90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1130" w:type="dxa"/>
            <w:vMerge w:val="continue"/>
            <w:noWrap w:val="0"/>
            <w:vAlign w:val="center"/>
          </w:tcPr>
          <w:p w14:paraId="6EE635EE">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2201" w:type="dxa"/>
            <w:gridSpan w:val="2"/>
            <w:noWrap w:val="0"/>
            <w:vAlign w:val="center"/>
          </w:tcPr>
          <w:p w14:paraId="2DC180F9">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sz w:val="20"/>
                <w:szCs w:val="20"/>
              </w:rPr>
            </w:pPr>
            <w:r>
              <w:rPr>
                <w:rFonts w:hint="eastAsia" w:ascii="仿宋" w:hAnsi="仿宋" w:eastAsia="仿宋_GB2312" w:cs="仿宋"/>
                <w:color w:val="000000"/>
                <w:kern w:val="0"/>
                <w:sz w:val="20"/>
                <w:szCs w:val="20"/>
              </w:rPr>
              <w:t>年度资金总额</w:t>
            </w:r>
          </w:p>
        </w:tc>
        <w:tc>
          <w:tcPr>
            <w:tcW w:w="992" w:type="dxa"/>
            <w:noWrap w:val="0"/>
            <w:vAlign w:val="center"/>
          </w:tcPr>
          <w:p w14:paraId="453E3853">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auto"/>
                <w:sz w:val="20"/>
                <w:szCs w:val="20"/>
                <w:lang w:val="en-US" w:eastAsia="zh-CN"/>
              </w:rPr>
            </w:pPr>
            <w:r>
              <w:rPr>
                <w:rFonts w:hint="eastAsia" w:ascii="Times New Roman" w:hAnsi="Times New Roman" w:eastAsia="仿宋_GB2312" w:cs="仿宋"/>
                <w:color w:val="auto"/>
                <w:sz w:val="20"/>
                <w:szCs w:val="20"/>
                <w:lang w:val="en-US" w:eastAsia="zh-CN"/>
              </w:rPr>
              <w:t>2043</w:t>
            </w:r>
            <w:r>
              <w:rPr>
                <w:rFonts w:hint="eastAsia" w:ascii="仿宋" w:hAnsi="仿宋" w:eastAsia="仿宋_GB2312" w:cs="仿宋"/>
                <w:color w:val="auto"/>
                <w:sz w:val="20"/>
                <w:szCs w:val="20"/>
                <w:lang w:val="en-US" w:eastAsia="zh-CN"/>
              </w:rPr>
              <w:t>.</w:t>
            </w:r>
            <w:r>
              <w:rPr>
                <w:rFonts w:hint="eastAsia" w:ascii="Times New Roman" w:hAnsi="Times New Roman" w:eastAsia="仿宋_GB2312" w:cs="仿宋"/>
                <w:color w:val="auto"/>
                <w:sz w:val="20"/>
                <w:szCs w:val="20"/>
                <w:lang w:val="en-US" w:eastAsia="zh-CN"/>
              </w:rPr>
              <w:t>57</w:t>
            </w:r>
          </w:p>
        </w:tc>
        <w:tc>
          <w:tcPr>
            <w:tcW w:w="1268" w:type="dxa"/>
            <w:gridSpan w:val="2"/>
            <w:noWrap w:val="0"/>
            <w:vAlign w:val="center"/>
          </w:tcPr>
          <w:p w14:paraId="1BA2FFF8">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auto"/>
                <w:sz w:val="20"/>
                <w:szCs w:val="20"/>
                <w:lang w:val="en-US" w:eastAsia="zh-CN"/>
              </w:rPr>
            </w:pPr>
            <w:r>
              <w:rPr>
                <w:rFonts w:hint="eastAsia" w:ascii="Times New Roman" w:hAnsi="Times New Roman" w:eastAsia="仿宋_GB2312" w:cs="仿宋"/>
                <w:color w:val="auto"/>
                <w:sz w:val="20"/>
                <w:szCs w:val="20"/>
                <w:lang w:val="en-US" w:eastAsia="zh-CN"/>
              </w:rPr>
              <w:t>3125.94</w:t>
            </w:r>
          </w:p>
        </w:tc>
        <w:tc>
          <w:tcPr>
            <w:tcW w:w="1119" w:type="dxa"/>
            <w:noWrap w:val="0"/>
            <w:vAlign w:val="center"/>
          </w:tcPr>
          <w:p w14:paraId="6B78A1AA">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auto"/>
                <w:sz w:val="20"/>
                <w:szCs w:val="20"/>
                <w:lang w:val="en-US" w:eastAsia="zh-CN"/>
              </w:rPr>
            </w:pPr>
            <w:r>
              <w:rPr>
                <w:rFonts w:hint="eastAsia" w:ascii="Times New Roman" w:hAnsi="Times New Roman" w:eastAsia="仿宋_GB2312" w:cs="仿宋"/>
                <w:color w:val="auto"/>
                <w:sz w:val="20"/>
                <w:szCs w:val="20"/>
                <w:lang w:val="en-US" w:eastAsia="zh-CN"/>
              </w:rPr>
              <w:t>1896</w:t>
            </w:r>
            <w:r>
              <w:rPr>
                <w:rFonts w:hint="eastAsia" w:ascii="仿宋" w:hAnsi="仿宋" w:eastAsia="仿宋_GB2312" w:cs="仿宋"/>
                <w:color w:val="auto"/>
                <w:sz w:val="20"/>
                <w:szCs w:val="20"/>
                <w:lang w:val="en-US" w:eastAsia="zh-CN"/>
              </w:rPr>
              <w:t>.</w:t>
            </w:r>
            <w:r>
              <w:rPr>
                <w:rFonts w:hint="eastAsia" w:ascii="Times New Roman" w:hAnsi="Times New Roman" w:eastAsia="仿宋_GB2312" w:cs="仿宋"/>
                <w:color w:val="auto"/>
                <w:sz w:val="20"/>
                <w:szCs w:val="20"/>
                <w:lang w:val="en-US" w:eastAsia="zh-CN"/>
              </w:rPr>
              <w:t>28</w:t>
            </w:r>
          </w:p>
        </w:tc>
        <w:tc>
          <w:tcPr>
            <w:tcW w:w="696" w:type="dxa"/>
            <w:noWrap w:val="0"/>
            <w:vAlign w:val="center"/>
          </w:tcPr>
          <w:p w14:paraId="2AD6DE02">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auto"/>
                <w:sz w:val="20"/>
                <w:szCs w:val="20"/>
              </w:rPr>
            </w:pPr>
            <w:r>
              <w:rPr>
                <w:rFonts w:hint="eastAsia" w:ascii="Times New Roman" w:hAnsi="Times New Roman" w:eastAsia="仿宋_GB2312" w:cs="仿宋"/>
                <w:color w:val="auto"/>
                <w:sz w:val="20"/>
                <w:szCs w:val="20"/>
              </w:rPr>
              <w:t>10</w:t>
            </w:r>
          </w:p>
        </w:tc>
        <w:tc>
          <w:tcPr>
            <w:tcW w:w="716" w:type="dxa"/>
            <w:noWrap w:val="0"/>
            <w:vAlign w:val="center"/>
          </w:tcPr>
          <w:p w14:paraId="36B46801">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auto"/>
                <w:sz w:val="20"/>
                <w:szCs w:val="20"/>
                <w:lang w:val="en-US" w:eastAsia="zh-CN"/>
              </w:rPr>
            </w:pPr>
            <w:r>
              <w:rPr>
                <w:rFonts w:hint="eastAsia" w:ascii="仿宋" w:hAnsi="仿宋" w:eastAsia="仿宋" w:cs="仿宋"/>
                <w:color w:val="auto"/>
                <w:sz w:val="20"/>
                <w:szCs w:val="20"/>
                <w:lang w:val="en-US" w:eastAsia="zh-CN"/>
              </w:rPr>
              <w:t>60.67%</w:t>
            </w:r>
          </w:p>
        </w:tc>
        <w:tc>
          <w:tcPr>
            <w:tcW w:w="1140" w:type="dxa"/>
            <w:noWrap w:val="0"/>
            <w:vAlign w:val="center"/>
          </w:tcPr>
          <w:p w14:paraId="0ED0D640">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default" w:ascii="仿宋" w:hAnsi="仿宋" w:eastAsia="仿宋" w:cs="仿宋"/>
                <w:color w:val="auto"/>
                <w:sz w:val="20"/>
                <w:szCs w:val="20"/>
                <w:lang w:val="en-US" w:eastAsia="zh-CN"/>
              </w:rPr>
            </w:pPr>
            <w:r>
              <w:rPr>
                <w:rFonts w:hint="eastAsia" w:ascii="Times New Roman" w:hAnsi="Times New Roman" w:eastAsia="仿宋_GB2312" w:cs="仿宋"/>
                <w:color w:val="auto"/>
                <w:sz w:val="20"/>
                <w:szCs w:val="20"/>
                <w:lang w:val="en-US" w:eastAsia="zh-CN"/>
              </w:rPr>
              <w:t>9</w:t>
            </w:r>
          </w:p>
        </w:tc>
      </w:tr>
      <w:tr w14:paraId="16F4F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1130" w:type="dxa"/>
            <w:vMerge w:val="continue"/>
            <w:noWrap w:val="0"/>
            <w:vAlign w:val="center"/>
          </w:tcPr>
          <w:p w14:paraId="3438E976">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461" w:type="dxa"/>
            <w:gridSpan w:val="5"/>
            <w:noWrap w:val="0"/>
            <w:vAlign w:val="center"/>
          </w:tcPr>
          <w:p w14:paraId="608CA162">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按收入性质分：</w:t>
            </w:r>
          </w:p>
        </w:tc>
        <w:tc>
          <w:tcPr>
            <w:tcW w:w="3671" w:type="dxa"/>
            <w:gridSpan w:val="4"/>
            <w:noWrap w:val="0"/>
            <w:vAlign w:val="center"/>
          </w:tcPr>
          <w:p w14:paraId="64BF79BB">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按支出性质分：</w:t>
            </w:r>
          </w:p>
        </w:tc>
      </w:tr>
      <w:tr w14:paraId="6B846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0" w:type="dxa"/>
            <w:vMerge w:val="continue"/>
            <w:noWrap w:val="0"/>
            <w:vAlign w:val="center"/>
          </w:tcPr>
          <w:p w14:paraId="334CF189">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461" w:type="dxa"/>
            <w:gridSpan w:val="5"/>
            <w:noWrap w:val="0"/>
            <w:vAlign w:val="center"/>
          </w:tcPr>
          <w:p w14:paraId="5837B99A">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_GB2312" w:cs="仿宋"/>
                <w:color w:val="000000"/>
                <w:kern w:val="0"/>
                <w:sz w:val="20"/>
                <w:szCs w:val="20"/>
              </w:rPr>
              <w:t xml:space="preserve">  其中：  一般公共预算：</w:t>
            </w:r>
            <w:r>
              <w:rPr>
                <w:rFonts w:hint="eastAsia" w:ascii="Times New Roman" w:hAnsi="Times New Roman" w:eastAsia="仿宋_GB2312" w:cs="仿宋"/>
                <w:color w:val="000000"/>
                <w:kern w:val="0"/>
                <w:sz w:val="20"/>
                <w:szCs w:val="20"/>
                <w:lang w:val="en-US" w:eastAsia="zh-CN"/>
              </w:rPr>
              <w:t>1896</w:t>
            </w:r>
            <w:r>
              <w:rPr>
                <w:rFonts w:hint="eastAsia" w:ascii="仿宋" w:hAnsi="仿宋" w:eastAsia="仿宋_GB2312" w:cs="仿宋"/>
                <w:color w:val="000000"/>
                <w:kern w:val="0"/>
                <w:sz w:val="20"/>
                <w:szCs w:val="20"/>
                <w:lang w:val="en-US" w:eastAsia="zh-CN"/>
              </w:rPr>
              <w:t>.</w:t>
            </w:r>
            <w:r>
              <w:rPr>
                <w:rFonts w:hint="eastAsia" w:ascii="Times New Roman" w:hAnsi="Times New Roman" w:eastAsia="仿宋_GB2312" w:cs="仿宋"/>
                <w:color w:val="000000"/>
                <w:kern w:val="0"/>
                <w:sz w:val="20"/>
                <w:szCs w:val="20"/>
                <w:lang w:val="en-US" w:eastAsia="zh-CN"/>
              </w:rPr>
              <w:t>28</w:t>
            </w:r>
          </w:p>
        </w:tc>
        <w:tc>
          <w:tcPr>
            <w:tcW w:w="3671" w:type="dxa"/>
            <w:gridSpan w:val="4"/>
            <w:noWrap w:val="0"/>
            <w:vAlign w:val="center"/>
          </w:tcPr>
          <w:p w14:paraId="4B38F9B4">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_GB2312" w:cs="仿宋"/>
                <w:color w:val="000000"/>
                <w:kern w:val="0"/>
                <w:sz w:val="20"/>
                <w:szCs w:val="20"/>
              </w:rPr>
              <w:t>其中：基本支出：</w:t>
            </w:r>
            <w:r>
              <w:rPr>
                <w:rFonts w:hint="eastAsia" w:ascii="Times New Roman" w:hAnsi="Times New Roman" w:eastAsia="仿宋_GB2312" w:cs="仿宋"/>
                <w:color w:val="000000"/>
                <w:kern w:val="0"/>
                <w:sz w:val="20"/>
                <w:szCs w:val="20"/>
                <w:lang w:val="en-US" w:eastAsia="zh-CN"/>
              </w:rPr>
              <w:t>1616</w:t>
            </w:r>
            <w:r>
              <w:rPr>
                <w:rFonts w:hint="eastAsia" w:ascii="仿宋" w:hAnsi="仿宋" w:eastAsia="仿宋_GB2312" w:cs="仿宋"/>
                <w:color w:val="000000"/>
                <w:kern w:val="0"/>
                <w:sz w:val="20"/>
                <w:szCs w:val="20"/>
                <w:lang w:val="en-US" w:eastAsia="zh-CN"/>
              </w:rPr>
              <w:t>.</w:t>
            </w:r>
            <w:r>
              <w:rPr>
                <w:rFonts w:hint="eastAsia" w:ascii="Times New Roman" w:hAnsi="Times New Roman" w:eastAsia="仿宋_GB2312" w:cs="仿宋"/>
                <w:color w:val="000000"/>
                <w:kern w:val="0"/>
                <w:sz w:val="20"/>
                <w:szCs w:val="20"/>
                <w:lang w:val="en-US" w:eastAsia="zh-CN"/>
              </w:rPr>
              <w:t>77</w:t>
            </w:r>
          </w:p>
        </w:tc>
      </w:tr>
      <w:tr w14:paraId="467F2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0" w:type="dxa"/>
            <w:vMerge w:val="continue"/>
            <w:noWrap w:val="0"/>
            <w:vAlign w:val="center"/>
          </w:tcPr>
          <w:p w14:paraId="0F11159A">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461" w:type="dxa"/>
            <w:gridSpan w:val="5"/>
            <w:noWrap w:val="0"/>
            <w:vAlign w:val="center"/>
          </w:tcPr>
          <w:p w14:paraId="4EA007DC">
            <w:pPr>
              <w:keepNext w:val="0"/>
              <w:keepLines w:val="0"/>
              <w:pageBreakBefore w:val="0"/>
              <w:widowControl/>
              <w:shd w:val="clear"/>
              <w:kinsoku/>
              <w:wordWrap/>
              <w:overflowPunct/>
              <w:topLinePunct w:val="0"/>
              <w:autoSpaceDE/>
              <w:autoSpaceDN/>
              <w:bidi w:val="0"/>
              <w:adjustRightInd/>
              <w:snapToGrid/>
              <w:spacing w:line="240" w:lineRule="exact"/>
              <w:ind w:firstLine="800" w:firstLineChars="400"/>
              <w:jc w:val="left"/>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政府性基金拨款：</w:t>
            </w:r>
          </w:p>
        </w:tc>
        <w:tc>
          <w:tcPr>
            <w:tcW w:w="3671" w:type="dxa"/>
            <w:gridSpan w:val="4"/>
            <w:noWrap w:val="0"/>
            <w:vAlign w:val="center"/>
          </w:tcPr>
          <w:p w14:paraId="2385B0BE">
            <w:pPr>
              <w:keepNext w:val="0"/>
              <w:keepLines w:val="0"/>
              <w:pageBreakBefore w:val="0"/>
              <w:widowControl/>
              <w:shd w:val="clear"/>
              <w:kinsoku/>
              <w:wordWrap/>
              <w:overflowPunct/>
              <w:topLinePunct w:val="0"/>
              <w:autoSpaceDE/>
              <w:autoSpaceDN/>
              <w:bidi w:val="0"/>
              <w:adjustRightInd/>
              <w:snapToGrid/>
              <w:spacing w:line="240" w:lineRule="exact"/>
              <w:ind w:firstLine="600" w:firstLineChars="300"/>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_GB2312" w:cs="仿宋"/>
                <w:color w:val="000000"/>
                <w:kern w:val="0"/>
                <w:sz w:val="20"/>
                <w:szCs w:val="20"/>
              </w:rPr>
              <w:t>项目支出：</w:t>
            </w:r>
            <w:r>
              <w:rPr>
                <w:rFonts w:hint="eastAsia" w:ascii="Times New Roman" w:hAnsi="Times New Roman" w:eastAsia="仿宋_GB2312" w:cs="仿宋"/>
                <w:color w:val="000000"/>
                <w:kern w:val="0"/>
                <w:sz w:val="20"/>
                <w:szCs w:val="20"/>
                <w:lang w:val="en-US" w:eastAsia="zh-CN"/>
              </w:rPr>
              <w:t>279</w:t>
            </w:r>
            <w:r>
              <w:rPr>
                <w:rFonts w:hint="eastAsia" w:ascii="仿宋" w:hAnsi="仿宋" w:eastAsia="仿宋_GB2312" w:cs="仿宋"/>
                <w:color w:val="000000"/>
                <w:kern w:val="0"/>
                <w:sz w:val="20"/>
                <w:szCs w:val="20"/>
                <w:lang w:val="en-US" w:eastAsia="zh-CN"/>
              </w:rPr>
              <w:t>.</w:t>
            </w:r>
            <w:r>
              <w:rPr>
                <w:rFonts w:hint="eastAsia" w:ascii="Times New Roman" w:hAnsi="Times New Roman" w:eastAsia="仿宋_GB2312" w:cs="仿宋"/>
                <w:color w:val="000000"/>
                <w:kern w:val="0"/>
                <w:sz w:val="20"/>
                <w:szCs w:val="20"/>
                <w:lang w:val="en-US" w:eastAsia="zh-CN"/>
              </w:rPr>
              <w:t>5</w:t>
            </w:r>
          </w:p>
        </w:tc>
      </w:tr>
      <w:tr w14:paraId="662E5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30" w:type="dxa"/>
            <w:vMerge w:val="continue"/>
            <w:noWrap w:val="0"/>
            <w:vAlign w:val="center"/>
          </w:tcPr>
          <w:p w14:paraId="6D635426">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461" w:type="dxa"/>
            <w:gridSpan w:val="5"/>
            <w:noWrap w:val="0"/>
            <w:vAlign w:val="center"/>
          </w:tcPr>
          <w:p w14:paraId="67F4069D">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纳入专户管理的非税收入拨款：</w:t>
            </w:r>
          </w:p>
        </w:tc>
        <w:tc>
          <w:tcPr>
            <w:tcW w:w="3671" w:type="dxa"/>
            <w:gridSpan w:val="4"/>
            <w:noWrap w:val="0"/>
            <w:vAlign w:val="center"/>
          </w:tcPr>
          <w:p w14:paraId="197E53FF">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4D1B6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130" w:type="dxa"/>
            <w:vMerge w:val="continue"/>
            <w:noWrap w:val="0"/>
            <w:vAlign w:val="center"/>
          </w:tcPr>
          <w:p w14:paraId="5EE54CC4">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461" w:type="dxa"/>
            <w:gridSpan w:val="5"/>
            <w:noWrap w:val="0"/>
            <w:vAlign w:val="center"/>
          </w:tcPr>
          <w:p w14:paraId="5F4C8512">
            <w:pPr>
              <w:keepNext w:val="0"/>
              <w:keepLines w:val="0"/>
              <w:pageBreakBefore w:val="0"/>
              <w:widowControl/>
              <w:shd w:val="clear"/>
              <w:kinsoku/>
              <w:wordWrap/>
              <w:overflowPunct/>
              <w:topLinePunct w:val="0"/>
              <w:autoSpaceDE/>
              <w:autoSpaceDN/>
              <w:bidi w:val="0"/>
              <w:adjustRightInd/>
              <w:snapToGrid/>
              <w:spacing w:line="240" w:lineRule="exact"/>
              <w:ind w:firstLine="1400" w:firstLineChars="700"/>
              <w:jc w:val="left"/>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其他资金：</w:t>
            </w:r>
          </w:p>
        </w:tc>
        <w:tc>
          <w:tcPr>
            <w:tcW w:w="3671" w:type="dxa"/>
            <w:gridSpan w:val="4"/>
            <w:noWrap w:val="0"/>
            <w:vAlign w:val="center"/>
          </w:tcPr>
          <w:p w14:paraId="7C623695">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65499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jc w:val="center"/>
        </w:trPr>
        <w:tc>
          <w:tcPr>
            <w:tcW w:w="1130" w:type="dxa"/>
            <w:vMerge w:val="restart"/>
            <w:noWrap w:val="0"/>
            <w:vAlign w:val="center"/>
          </w:tcPr>
          <w:p w14:paraId="7EF6BD24">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年度总体目标</w:t>
            </w:r>
          </w:p>
        </w:tc>
        <w:tc>
          <w:tcPr>
            <w:tcW w:w="4461" w:type="dxa"/>
            <w:gridSpan w:val="5"/>
            <w:noWrap w:val="0"/>
            <w:vAlign w:val="center"/>
          </w:tcPr>
          <w:p w14:paraId="321AF5D8">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预期目标</w:t>
            </w:r>
          </w:p>
        </w:tc>
        <w:tc>
          <w:tcPr>
            <w:tcW w:w="3671" w:type="dxa"/>
            <w:gridSpan w:val="4"/>
            <w:noWrap w:val="0"/>
            <w:vAlign w:val="center"/>
          </w:tcPr>
          <w:p w14:paraId="4D28D80C">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_GB2312" w:cs="仿宋"/>
                <w:color w:val="000000"/>
                <w:kern w:val="0"/>
                <w:sz w:val="20"/>
                <w:szCs w:val="20"/>
                <w:lang w:eastAsia="zh-CN"/>
              </w:rPr>
            </w:pPr>
            <w:r>
              <w:rPr>
                <w:rFonts w:hint="eastAsia" w:ascii="仿宋" w:hAnsi="仿宋" w:eastAsia="仿宋_GB2312" w:cs="仿宋"/>
                <w:color w:val="000000"/>
                <w:kern w:val="0"/>
                <w:sz w:val="20"/>
                <w:szCs w:val="20"/>
              </w:rPr>
              <w:t>实际完成情况</w:t>
            </w:r>
          </w:p>
        </w:tc>
      </w:tr>
      <w:tr w14:paraId="6E079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7" w:hRule="atLeast"/>
          <w:jc w:val="center"/>
        </w:trPr>
        <w:tc>
          <w:tcPr>
            <w:tcW w:w="1130" w:type="dxa"/>
            <w:vMerge w:val="continue"/>
            <w:noWrap w:val="0"/>
            <w:vAlign w:val="center"/>
          </w:tcPr>
          <w:p w14:paraId="7046D1CB">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4461" w:type="dxa"/>
            <w:gridSpan w:val="5"/>
            <w:noWrap w:val="0"/>
            <w:vAlign w:val="center"/>
          </w:tcPr>
          <w:p w14:paraId="5CD2A6DF">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_GB2312" w:cs="仿宋"/>
                <w:color w:val="000000"/>
                <w:kern w:val="0"/>
                <w:sz w:val="20"/>
                <w:szCs w:val="20"/>
                <w:lang w:eastAsia="zh-CN"/>
              </w:rPr>
            </w:pPr>
            <w:r>
              <w:rPr>
                <w:rFonts w:hint="eastAsia" w:ascii="仿宋" w:hAnsi="仿宋" w:eastAsia="仿宋_GB2312" w:cs="仿宋"/>
                <w:color w:val="000000"/>
                <w:kern w:val="0"/>
                <w:sz w:val="20"/>
                <w:szCs w:val="20"/>
              </w:rPr>
              <w:t>紧扣“一条主线”，落实“两个抓手”，创新“三个赛道”，做到“四个结合”，为锚定实现“三高四新”美好蓝图、深入实施“五新四城”战略贡献司法行政力量。一是聚焦凝心铸魂强根基。一是聚焦凝心铸魂强根基。二是聚焦法治统抓强合力。三是聚焦法治政府强职能。四是聚焦法治护航强保障。五是聚焦法治为民强服务。六是聚焦基层基础强根基。七是聚焦底板底线强安全。</w:t>
            </w:r>
          </w:p>
        </w:tc>
        <w:tc>
          <w:tcPr>
            <w:tcW w:w="3671" w:type="dxa"/>
            <w:gridSpan w:val="4"/>
            <w:noWrap w:val="0"/>
            <w:vAlign w:val="center"/>
          </w:tcPr>
          <w:p w14:paraId="0A8DFB41">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_GB2312" w:cs="仿宋"/>
                <w:color w:val="000000" w:themeColor="text1"/>
                <w:kern w:val="0"/>
                <w:sz w:val="20"/>
                <w:szCs w:val="20"/>
                <w:lang w:val="en-US" w:eastAsia="zh-CN"/>
                <w14:textFill>
                  <w14:solidFill>
                    <w14:schemeClr w14:val="tx1"/>
                  </w14:solidFill>
                </w14:textFill>
              </w:rPr>
            </w:pPr>
            <w:r>
              <w:rPr>
                <w:rFonts w:hint="eastAsia" w:ascii="仿宋" w:hAnsi="仿宋" w:eastAsia="仿宋_GB2312" w:cs="仿宋"/>
                <w:color w:val="000000" w:themeColor="text1"/>
                <w:kern w:val="0"/>
                <w:sz w:val="20"/>
                <w:szCs w:val="20"/>
                <w:lang w:eastAsia="zh-CN"/>
                <w14:textFill>
                  <w14:solidFill>
                    <w14:schemeClr w14:val="tx1"/>
                  </w14:solidFill>
                </w14:textFill>
              </w:rPr>
              <w:t>见附件</w:t>
            </w:r>
            <w:r>
              <w:rPr>
                <w:rFonts w:hint="eastAsia" w:ascii="Times New Roman" w:hAnsi="Times New Roman" w:eastAsia="仿宋_GB2312" w:cs="仿宋"/>
                <w:color w:val="000000" w:themeColor="text1"/>
                <w:kern w:val="0"/>
                <w:sz w:val="20"/>
                <w:szCs w:val="20"/>
                <w:lang w:val="en-US" w:eastAsia="zh-CN"/>
                <w14:textFill>
                  <w14:solidFill>
                    <w14:schemeClr w14:val="tx1"/>
                  </w14:solidFill>
                </w14:textFill>
              </w:rPr>
              <w:t>5</w:t>
            </w:r>
            <w:r>
              <w:rPr>
                <w:rFonts w:hint="eastAsia" w:ascii="仿宋" w:hAnsi="仿宋" w:eastAsia="仿宋_GB2312" w:cs="仿宋"/>
                <w:color w:val="000000" w:themeColor="text1"/>
                <w:kern w:val="0"/>
                <w:sz w:val="20"/>
                <w:szCs w:val="20"/>
                <w:lang w:val="en-US" w:eastAsia="zh-CN"/>
                <w14:textFill>
                  <w14:solidFill>
                    <w14:schemeClr w14:val="tx1"/>
                  </w14:solidFill>
                </w14:textFill>
              </w:rPr>
              <w:t>：</w:t>
            </w:r>
            <w:r>
              <w:rPr>
                <w:rFonts w:hint="eastAsia" w:ascii="Times New Roman" w:hAnsi="Times New Roman" w:eastAsia="仿宋_GB2312" w:cs="仿宋"/>
                <w:color w:val="000000" w:themeColor="text1"/>
                <w:kern w:val="0"/>
                <w:sz w:val="20"/>
                <w:szCs w:val="20"/>
                <w:lang w:val="en-US" w:eastAsia="zh-CN"/>
                <w14:textFill>
                  <w14:solidFill>
                    <w14:schemeClr w14:val="tx1"/>
                  </w14:solidFill>
                </w14:textFill>
              </w:rPr>
              <w:t>2025</w:t>
            </w:r>
            <w:r>
              <w:rPr>
                <w:rFonts w:hint="eastAsia" w:ascii="仿宋" w:hAnsi="仿宋" w:eastAsia="仿宋_GB2312" w:cs="仿宋"/>
                <w:color w:val="000000" w:themeColor="text1"/>
                <w:kern w:val="0"/>
                <w:sz w:val="20"/>
                <w:szCs w:val="20"/>
                <w:lang w:val="en-US" w:eastAsia="zh-CN"/>
                <w14:textFill>
                  <w14:solidFill>
                    <w14:schemeClr w14:val="tx1"/>
                  </w14:solidFill>
                </w14:textFill>
              </w:rPr>
              <w:t>年度怀化市司法局整体支出绩效自评报告。</w:t>
            </w:r>
          </w:p>
          <w:p w14:paraId="6C95238A">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7BB9A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1130" w:type="dxa"/>
            <w:vMerge w:val="restart"/>
            <w:noWrap w:val="0"/>
            <w:vAlign w:val="center"/>
          </w:tcPr>
          <w:p w14:paraId="6057A1B3">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_GB2312" w:cs="仿宋"/>
                <w:color w:val="000000"/>
                <w:kern w:val="0"/>
                <w:sz w:val="20"/>
                <w:szCs w:val="20"/>
              </w:rPr>
            </w:pPr>
            <w:r>
              <w:rPr>
                <w:rFonts w:hint="eastAsia" w:ascii="仿宋" w:hAnsi="仿宋" w:eastAsia="仿宋_GB2312" w:cs="仿宋"/>
                <w:color w:val="000000"/>
                <w:kern w:val="0"/>
                <w:sz w:val="20"/>
                <w:szCs w:val="20"/>
              </w:rPr>
              <w:t>绩</w:t>
            </w:r>
          </w:p>
          <w:p w14:paraId="60ABF9A2">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_GB2312" w:cs="仿宋"/>
                <w:color w:val="000000"/>
                <w:kern w:val="0"/>
                <w:sz w:val="20"/>
                <w:szCs w:val="20"/>
              </w:rPr>
            </w:pPr>
            <w:r>
              <w:rPr>
                <w:rFonts w:hint="eastAsia" w:ascii="仿宋" w:hAnsi="仿宋" w:eastAsia="仿宋_GB2312" w:cs="仿宋"/>
                <w:color w:val="000000"/>
                <w:kern w:val="0"/>
                <w:sz w:val="20"/>
                <w:szCs w:val="20"/>
              </w:rPr>
              <w:t>效</w:t>
            </w:r>
          </w:p>
          <w:p w14:paraId="30033919">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_GB2312" w:cs="仿宋"/>
                <w:color w:val="000000"/>
                <w:kern w:val="0"/>
                <w:sz w:val="20"/>
                <w:szCs w:val="20"/>
              </w:rPr>
            </w:pPr>
            <w:r>
              <w:rPr>
                <w:rFonts w:hint="eastAsia" w:ascii="仿宋" w:hAnsi="仿宋" w:eastAsia="仿宋_GB2312" w:cs="仿宋"/>
                <w:color w:val="000000"/>
                <w:kern w:val="0"/>
                <w:sz w:val="20"/>
                <w:szCs w:val="20"/>
              </w:rPr>
              <w:t>指</w:t>
            </w:r>
          </w:p>
          <w:p w14:paraId="75872C5C">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标</w:t>
            </w:r>
          </w:p>
        </w:tc>
        <w:tc>
          <w:tcPr>
            <w:tcW w:w="1123" w:type="dxa"/>
            <w:noWrap w:val="0"/>
            <w:vAlign w:val="center"/>
          </w:tcPr>
          <w:p w14:paraId="3C7EF431">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一级指标</w:t>
            </w:r>
          </w:p>
        </w:tc>
        <w:tc>
          <w:tcPr>
            <w:tcW w:w="1078" w:type="dxa"/>
            <w:noWrap w:val="0"/>
            <w:vAlign w:val="center"/>
          </w:tcPr>
          <w:p w14:paraId="65770991">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二级指标</w:t>
            </w:r>
          </w:p>
        </w:tc>
        <w:tc>
          <w:tcPr>
            <w:tcW w:w="1080" w:type="dxa"/>
            <w:gridSpan w:val="2"/>
            <w:noWrap w:val="0"/>
            <w:vAlign w:val="center"/>
          </w:tcPr>
          <w:p w14:paraId="01C4939F">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三级指标</w:t>
            </w:r>
          </w:p>
        </w:tc>
        <w:tc>
          <w:tcPr>
            <w:tcW w:w="1180" w:type="dxa"/>
            <w:noWrap w:val="0"/>
            <w:vAlign w:val="center"/>
          </w:tcPr>
          <w:p w14:paraId="77158652">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_GB2312" w:cs="仿宋"/>
                <w:color w:val="000000"/>
                <w:kern w:val="0"/>
                <w:sz w:val="20"/>
                <w:szCs w:val="20"/>
              </w:rPr>
            </w:pPr>
            <w:r>
              <w:rPr>
                <w:rFonts w:hint="eastAsia" w:ascii="仿宋" w:hAnsi="仿宋" w:eastAsia="仿宋_GB2312" w:cs="仿宋"/>
                <w:color w:val="000000"/>
                <w:kern w:val="0"/>
                <w:sz w:val="20"/>
                <w:szCs w:val="20"/>
              </w:rPr>
              <w:t>年度</w:t>
            </w:r>
          </w:p>
          <w:p w14:paraId="7D661973">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指标值</w:t>
            </w:r>
          </w:p>
        </w:tc>
        <w:tc>
          <w:tcPr>
            <w:tcW w:w="1119" w:type="dxa"/>
            <w:noWrap w:val="0"/>
            <w:vAlign w:val="center"/>
          </w:tcPr>
          <w:p w14:paraId="6F8BFD38">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_GB2312" w:cs="仿宋"/>
                <w:color w:val="000000"/>
                <w:kern w:val="0"/>
                <w:sz w:val="20"/>
                <w:szCs w:val="20"/>
              </w:rPr>
            </w:pPr>
            <w:r>
              <w:rPr>
                <w:rFonts w:hint="eastAsia" w:ascii="仿宋" w:hAnsi="仿宋" w:eastAsia="仿宋_GB2312" w:cs="仿宋"/>
                <w:color w:val="000000"/>
                <w:kern w:val="0"/>
                <w:sz w:val="20"/>
                <w:szCs w:val="20"/>
              </w:rPr>
              <w:t>实际</w:t>
            </w:r>
          </w:p>
          <w:p w14:paraId="4BECB8F4">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完成值</w:t>
            </w:r>
          </w:p>
        </w:tc>
        <w:tc>
          <w:tcPr>
            <w:tcW w:w="696" w:type="dxa"/>
            <w:noWrap w:val="0"/>
            <w:vAlign w:val="center"/>
          </w:tcPr>
          <w:p w14:paraId="2E748E33">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分值</w:t>
            </w:r>
          </w:p>
        </w:tc>
        <w:tc>
          <w:tcPr>
            <w:tcW w:w="716" w:type="dxa"/>
            <w:noWrap w:val="0"/>
            <w:vAlign w:val="center"/>
          </w:tcPr>
          <w:p w14:paraId="0711BD89">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得分</w:t>
            </w:r>
          </w:p>
        </w:tc>
        <w:tc>
          <w:tcPr>
            <w:tcW w:w="1140" w:type="dxa"/>
            <w:noWrap w:val="0"/>
            <w:vAlign w:val="top"/>
          </w:tcPr>
          <w:p w14:paraId="42C0E07F">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_GB2312" w:cs="仿宋"/>
                <w:color w:val="000000"/>
                <w:kern w:val="0"/>
                <w:sz w:val="20"/>
                <w:szCs w:val="20"/>
              </w:rPr>
            </w:pPr>
            <w:r>
              <w:rPr>
                <w:rFonts w:hint="eastAsia" w:ascii="仿宋" w:hAnsi="仿宋" w:eastAsia="仿宋_GB2312" w:cs="仿宋"/>
                <w:color w:val="000000"/>
                <w:kern w:val="0"/>
                <w:sz w:val="20"/>
                <w:szCs w:val="20"/>
              </w:rPr>
              <w:t>偏差原因</w:t>
            </w:r>
          </w:p>
          <w:p w14:paraId="53050AB5">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_GB2312" w:cs="仿宋"/>
                <w:color w:val="000000"/>
                <w:kern w:val="0"/>
                <w:sz w:val="20"/>
                <w:szCs w:val="20"/>
              </w:rPr>
            </w:pPr>
            <w:r>
              <w:rPr>
                <w:rFonts w:hint="eastAsia" w:ascii="仿宋" w:hAnsi="仿宋" w:eastAsia="仿宋_GB2312" w:cs="仿宋"/>
                <w:color w:val="000000"/>
                <w:kern w:val="0"/>
                <w:sz w:val="20"/>
                <w:szCs w:val="20"/>
              </w:rPr>
              <w:t>分析及</w:t>
            </w:r>
          </w:p>
          <w:p w14:paraId="54830B5A">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改进措施</w:t>
            </w:r>
          </w:p>
        </w:tc>
      </w:tr>
      <w:tr w14:paraId="445D9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jc w:val="center"/>
        </w:trPr>
        <w:tc>
          <w:tcPr>
            <w:tcW w:w="1130" w:type="dxa"/>
            <w:vMerge w:val="continue"/>
            <w:noWrap w:val="0"/>
            <w:vAlign w:val="center"/>
          </w:tcPr>
          <w:p w14:paraId="1F77FB84">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23" w:type="dxa"/>
            <w:vMerge w:val="restart"/>
            <w:noWrap w:val="0"/>
            <w:vAlign w:val="center"/>
          </w:tcPr>
          <w:p w14:paraId="36991000">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_GB2312" w:cs="仿宋"/>
                <w:color w:val="000000"/>
                <w:kern w:val="0"/>
                <w:sz w:val="20"/>
                <w:szCs w:val="20"/>
                <w:lang w:eastAsia="zh-CN"/>
              </w:rPr>
              <w:t>成本指标</w:t>
            </w:r>
          </w:p>
        </w:tc>
        <w:tc>
          <w:tcPr>
            <w:tcW w:w="1078" w:type="dxa"/>
            <w:noWrap w:val="0"/>
            <w:vAlign w:val="center"/>
          </w:tcPr>
          <w:p w14:paraId="53EBAF75">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_GB2312" w:cs="仿宋"/>
                <w:color w:val="000000"/>
                <w:kern w:val="0"/>
                <w:sz w:val="20"/>
                <w:szCs w:val="20"/>
                <w:lang w:eastAsia="zh-CN"/>
              </w:rPr>
              <w:t>经济成本指标</w:t>
            </w:r>
          </w:p>
        </w:tc>
        <w:tc>
          <w:tcPr>
            <w:tcW w:w="1080" w:type="dxa"/>
            <w:gridSpan w:val="2"/>
            <w:noWrap w:val="0"/>
            <w:vAlign w:val="center"/>
          </w:tcPr>
          <w:p w14:paraId="2B41BCFB">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部门整体支出成本</w:t>
            </w:r>
          </w:p>
        </w:tc>
        <w:tc>
          <w:tcPr>
            <w:tcW w:w="1180" w:type="dxa"/>
            <w:noWrap w:val="0"/>
            <w:vAlign w:val="center"/>
          </w:tcPr>
          <w:p w14:paraId="3FE52436">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_GB2312" w:cs="仿宋"/>
                <w:sz w:val="20"/>
                <w:szCs w:val="20"/>
                <w:lang w:val="en-US" w:eastAsia="zh-CN"/>
              </w:rPr>
              <w:t>≤</w:t>
            </w:r>
            <w:r>
              <w:rPr>
                <w:rFonts w:hint="eastAsia" w:ascii="Times New Roman" w:hAnsi="Times New Roman" w:eastAsia="仿宋_GB2312" w:cs="仿宋"/>
                <w:sz w:val="20"/>
                <w:szCs w:val="20"/>
                <w:lang w:val="en-US" w:eastAsia="zh-CN"/>
              </w:rPr>
              <w:t>2043</w:t>
            </w:r>
            <w:r>
              <w:rPr>
                <w:rFonts w:hint="eastAsia" w:ascii="仿宋" w:hAnsi="仿宋" w:eastAsia="仿宋_GB2312" w:cs="仿宋"/>
                <w:sz w:val="20"/>
                <w:szCs w:val="20"/>
                <w:lang w:val="en-US" w:eastAsia="zh-CN"/>
              </w:rPr>
              <w:t>.</w:t>
            </w:r>
            <w:r>
              <w:rPr>
                <w:rFonts w:hint="eastAsia" w:ascii="Times New Roman" w:hAnsi="Times New Roman" w:eastAsia="仿宋_GB2312" w:cs="仿宋"/>
                <w:sz w:val="20"/>
                <w:szCs w:val="20"/>
                <w:lang w:val="en-US" w:eastAsia="zh-CN"/>
              </w:rPr>
              <w:t>57</w:t>
            </w:r>
            <w:r>
              <w:rPr>
                <w:rFonts w:hint="eastAsia" w:ascii="仿宋" w:hAnsi="仿宋" w:eastAsia="仿宋_GB2312" w:cs="仿宋"/>
                <w:sz w:val="20"/>
                <w:szCs w:val="20"/>
                <w:lang w:val="en-US" w:eastAsia="zh-CN"/>
              </w:rPr>
              <w:t>万元</w:t>
            </w:r>
          </w:p>
        </w:tc>
        <w:tc>
          <w:tcPr>
            <w:tcW w:w="1119" w:type="dxa"/>
            <w:noWrap w:val="0"/>
            <w:vAlign w:val="center"/>
          </w:tcPr>
          <w:p w14:paraId="51EE8DFB">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Times New Roman" w:hAnsi="Times New Roman" w:eastAsia="仿宋_GB2312" w:cs="仿宋"/>
                <w:sz w:val="20"/>
                <w:szCs w:val="20"/>
                <w:lang w:val="en-US" w:eastAsia="zh-CN"/>
              </w:rPr>
              <w:t>1896</w:t>
            </w:r>
            <w:r>
              <w:rPr>
                <w:rFonts w:hint="eastAsia" w:ascii="仿宋" w:hAnsi="仿宋" w:eastAsia="仿宋_GB2312" w:cs="仿宋"/>
                <w:sz w:val="20"/>
                <w:szCs w:val="20"/>
                <w:lang w:val="en-US" w:eastAsia="zh-CN"/>
              </w:rPr>
              <w:t>.</w:t>
            </w:r>
            <w:r>
              <w:rPr>
                <w:rFonts w:hint="eastAsia" w:ascii="Times New Roman" w:hAnsi="Times New Roman" w:eastAsia="仿宋_GB2312" w:cs="仿宋"/>
                <w:sz w:val="20"/>
                <w:szCs w:val="20"/>
                <w:lang w:val="en-US" w:eastAsia="zh-CN"/>
              </w:rPr>
              <w:t>28</w:t>
            </w:r>
          </w:p>
        </w:tc>
        <w:tc>
          <w:tcPr>
            <w:tcW w:w="696" w:type="dxa"/>
            <w:noWrap w:val="0"/>
            <w:vAlign w:val="center"/>
          </w:tcPr>
          <w:p w14:paraId="6B1B4C72">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Times New Roman" w:hAnsi="Times New Roman" w:eastAsia="仿宋_GB2312" w:cs="仿宋"/>
                <w:color w:val="000000"/>
                <w:kern w:val="0"/>
                <w:sz w:val="20"/>
                <w:szCs w:val="20"/>
                <w:lang w:val="en-US" w:eastAsia="zh-CN"/>
              </w:rPr>
              <w:t>20</w:t>
            </w:r>
          </w:p>
        </w:tc>
        <w:tc>
          <w:tcPr>
            <w:tcW w:w="716" w:type="dxa"/>
            <w:noWrap w:val="0"/>
            <w:vAlign w:val="center"/>
          </w:tcPr>
          <w:p w14:paraId="36D9A3F2">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Times New Roman" w:hAnsi="Times New Roman" w:eastAsia="仿宋_GB2312" w:cs="仿宋"/>
                <w:color w:val="000000"/>
                <w:kern w:val="0"/>
                <w:sz w:val="20"/>
                <w:szCs w:val="20"/>
                <w:lang w:val="en-US" w:eastAsia="zh-CN"/>
              </w:rPr>
              <w:t>20</w:t>
            </w:r>
          </w:p>
        </w:tc>
        <w:tc>
          <w:tcPr>
            <w:tcW w:w="1140" w:type="dxa"/>
            <w:noWrap w:val="0"/>
            <w:vAlign w:val="center"/>
          </w:tcPr>
          <w:p w14:paraId="13B2D399">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6598D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130" w:type="dxa"/>
            <w:vMerge w:val="continue"/>
            <w:noWrap w:val="0"/>
            <w:vAlign w:val="center"/>
          </w:tcPr>
          <w:p w14:paraId="59CDEC8A">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23" w:type="dxa"/>
            <w:vMerge w:val="continue"/>
            <w:noWrap w:val="0"/>
            <w:vAlign w:val="center"/>
          </w:tcPr>
          <w:p w14:paraId="7287D28C">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78" w:type="dxa"/>
            <w:noWrap w:val="0"/>
            <w:vAlign w:val="center"/>
          </w:tcPr>
          <w:p w14:paraId="52AE4032">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_GB2312" w:cs="仿宋"/>
                <w:color w:val="000000"/>
                <w:kern w:val="0"/>
                <w:sz w:val="20"/>
                <w:szCs w:val="20"/>
                <w:lang w:eastAsia="zh-CN"/>
              </w:rPr>
              <w:t>社会成本指标</w:t>
            </w:r>
          </w:p>
        </w:tc>
        <w:tc>
          <w:tcPr>
            <w:tcW w:w="1080" w:type="dxa"/>
            <w:gridSpan w:val="2"/>
            <w:noWrap w:val="0"/>
            <w:vAlign w:val="center"/>
          </w:tcPr>
          <w:p w14:paraId="5A9695D4">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_GB2312" w:cs="仿宋"/>
                <w:color w:val="000000"/>
                <w:kern w:val="0"/>
                <w:sz w:val="20"/>
                <w:szCs w:val="20"/>
                <w:lang w:eastAsia="zh-CN"/>
              </w:rPr>
              <w:t>不适应</w:t>
            </w:r>
          </w:p>
        </w:tc>
        <w:tc>
          <w:tcPr>
            <w:tcW w:w="1180" w:type="dxa"/>
            <w:noWrap w:val="0"/>
            <w:vAlign w:val="center"/>
          </w:tcPr>
          <w:p w14:paraId="594AD5FE">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119" w:type="dxa"/>
            <w:noWrap w:val="0"/>
            <w:vAlign w:val="center"/>
          </w:tcPr>
          <w:p w14:paraId="6F80A680">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696" w:type="dxa"/>
            <w:noWrap w:val="0"/>
            <w:vAlign w:val="center"/>
          </w:tcPr>
          <w:p w14:paraId="32A003C2">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716" w:type="dxa"/>
            <w:noWrap w:val="0"/>
            <w:vAlign w:val="center"/>
          </w:tcPr>
          <w:p w14:paraId="3142B67F">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140" w:type="dxa"/>
            <w:noWrap w:val="0"/>
            <w:vAlign w:val="center"/>
          </w:tcPr>
          <w:p w14:paraId="2780BD33">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234BE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jc w:val="center"/>
        </w:trPr>
        <w:tc>
          <w:tcPr>
            <w:tcW w:w="1130" w:type="dxa"/>
            <w:vMerge w:val="continue"/>
            <w:noWrap w:val="0"/>
            <w:vAlign w:val="center"/>
          </w:tcPr>
          <w:p w14:paraId="2F4AE05B">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23" w:type="dxa"/>
            <w:vMerge w:val="continue"/>
            <w:noWrap w:val="0"/>
            <w:vAlign w:val="center"/>
          </w:tcPr>
          <w:p w14:paraId="643BDA72">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78" w:type="dxa"/>
            <w:noWrap w:val="0"/>
            <w:vAlign w:val="center"/>
          </w:tcPr>
          <w:p w14:paraId="2483C929">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_GB2312" w:cs="仿宋"/>
                <w:color w:val="000000"/>
                <w:kern w:val="0"/>
                <w:sz w:val="20"/>
                <w:szCs w:val="20"/>
                <w:lang w:eastAsia="zh-CN"/>
              </w:rPr>
              <w:t>生态成本指标</w:t>
            </w:r>
          </w:p>
        </w:tc>
        <w:tc>
          <w:tcPr>
            <w:tcW w:w="1080" w:type="dxa"/>
            <w:gridSpan w:val="2"/>
            <w:noWrap w:val="0"/>
            <w:vAlign w:val="center"/>
          </w:tcPr>
          <w:p w14:paraId="01F89786">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_GB2312" w:cs="仿宋"/>
                <w:color w:val="000000"/>
                <w:kern w:val="0"/>
                <w:sz w:val="20"/>
                <w:szCs w:val="20"/>
                <w:lang w:eastAsia="zh-CN"/>
              </w:rPr>
              <w:t>不适应</w:t>
            </w:r>
          </w:p>
        </w:tc>
        <w:tc>
          <w:tcPr>
            <w:tcW w:w="1180" w:type="dxa"/>
            <w:noWrap w:val="0"/>
            <w:vAlign w:val="center"/>
          </w:tcPr>
          <w:p w14:paraId="20B0E864">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119" w:type="dxa"/>
            <w:noWrap w:val="0"/>
            <w:vAlign w:val="center"/>
          </w:tcPr>
          <w:p w14:paraId="38DE6896">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696" w:type="dxa"/>
            <w:noWrap w:val="0"/>
            <w:vAlign w:val="center"/>
          </w:tcPr>
          <w:p w14:paraId="1F375A8B">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716" w:type="dxa"/>
            <w:noWrap w:val="0"/>
            <w:vAlign w:val="center"/>
          </w:tcPr>
          <w:p w14:paraId="12054BA7">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140" w:type="dxa"/>
            <w:noWrap w:val="0"/>
            <w:vAlign w:val="center"/>
          </w:tcPr>
          <w:p w14:paraId="64EAD957">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279D5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130" w:type="dxa"/>
            <w:vMerge w:val="continue"/>
            <w:noWrap w:val="0"/>
            <w:vAlign w:val="center"/>
          </w:tcPr>
          <w:p w14:paraId="37F50C77">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23" w:type="dxa"/>
            <w:vMerge w:val="restart"/>
            <w:noWrap w:val="0"/>
            <w:vAlign w:val="center"/>
          </w:tcPr>
          <w:p w14:paraId="6942CAD0">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产出指标</w:t>
            </w:r>
          </w:p>
        </w:tc>
        <w:tc>
          <w:tcPr>
            <w:tcW w:w="1078" w:type="dxa"/>
            <w:vMerge w:val="restart"/>
            <w:noWrap w:val="0"/>
            <w:vAlign w:val="center"/>
          </w:tcPr>
          <w:p w14:paraId="6E4470A3">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_GB2312" w:cs="仿宋"/>
                <w:color w:val="000000"/>
                <w:kern w:val="0"/>
                <w:sz w:val="20"/>
                <w:szCs w:val="20"/>
              </w:rPr>
            </w:pPr>
            <w:r>
              <w:rPr>
                <w:rFonts w:hint="eastAsia" w:ascii="仿宋" w:hAnsi="仿宋" w:eastAsia="仿宋_GB2312" w:cs="仿宋"/>
                <w:color w:val="000000"/>
                <w:kern w:val="0"/>
                <w:sz w:val="20"/>
                <w:szCs w:val="20"/>
              </w:rPr>
              <w:t>数量</w:t>
            </w:r>
          </w:p>
          <w:p w14:paraId="1F3DDD2C">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指标</w:t>
            </w:r>
          </w:p>
        </w:tc>
        <w:tc>
          <w:tcPr>
            <w:tcW w:w="1080" w:type="dxa"/>
            <w:gridSpan w:val="2"/>
            <w:noWrap w:val="0"/>
            <w:vAlign w:val="center"/>
          </w:tcPr>
          <w:p w14:paraId="6E995CBF">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行政执法人员培训人次</w:t>
            </w:r>
          </w:p>
        </w:tc>
        <w:tc>
          <w:tcPr>
            <w:tcW w:w="1180" w:type="dxa"/>
            <w:noWrap w:val="0"/>
            <w:vAlign w:val="center"/>
          </w:tcPr>
          <w:p w14:paraId="6486C161">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_GB2312" w:cs="仿宋"/>
                <w:color w:val="000000"/>
                <w:kern w:val="0"/>
                <w:sz w:val="20"/>
                <w:szCs w:val="20"/>
              </w:rPr>
              <w:t>≥</w:t>
            </w:r>
            <w:r>
              <w:rPr>
                <w:rFonts w:hint="eastAsia" w:ascii="Times New Roman" w:hAnsi="Times New Roman" w:eastAsia="仿宋_GB2312" w:cs="仿宋"/>
                <w:color w:val="000000"/>
                <w:kern w:val="0"/>
                <w:sz w:val="20"/>
                <w:szCs w:val="20"/>
                <w:lang w:val="en-US" w:eastAsia="zh-CN"/>
              </w:rPr>
              <w:t>1000</w:t>
            </w:r>
            <w:r>
              <w:rPr>
                <w:rFonts w:hint="eastAsia" w:ascii="仿宋" w:hAnsi="仿宋" w:eastAsia="仿宋_GB2312" w:cs="仿宋"/>
                <w:color w:val="000000"/>
                <w:kern w:val="0"/>
                <w:sz w:val="20"/>
                <w:szCs w:val="20"/>
                <w:lang w:val="en-US" w:eastAsia="zh-CN"/>
              </w:rPr>
              <w:t>人次</w:t>
            </w:r>
          </w:p>
        </w:tc>
        <w:tc>
          <w:tcPr>
            <w:tcW w:w="1119" w:type="dxa"/>
            <w:noWrap w:val="0"/>
            <w:vAlign w:val="center"/>
          </w:tcPr>
          <w:p w14:paraId="005F804E">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default" w:ascii="Times New Roman" w:hAnsi="Times New Roman" w:eastAsia="仿宋_GB2312" w:cs="仿宋"/>
                <w:color w:val="000000"/>
                <w:kern w:val="0"/>
                <w:sz w:val="20"/>
                <w:szCs w:val="20"/>
                <w:lang w:val="en-US"/>
              </w:rPr>
              <w:t>3000</w:t>
            </w:r>
            <w:r>
              <w:rPr>
                <w:rFonts w:hint="eastAsia" w:ascii="仿宋" w:hAnsi="仿宋" w:eastAsia="仿宋_GB2312" w:cs="仿宋"/>
                <w:color w:val="000000"/>
                <w:kern w:val="0"/>
                <w:sz w:val="20"/>
                <w:szCs w:val="20"/>
                <w:lang w:val="en-US" w:eastAsia="zh-CN"/>
              </w:rPr>
              <w:t>人次</w:t>
            </w:r>
          </w:p>
        </w:tc>
        <w:tc>
          <w:tcPr>
            <w:tcW w:w="696" w:type="dxa"/>
            <w:noWrap w:val="0"/>
            <w:vAlign w:val="center"/>
          </w:tcPr>
          <w:p w14:paraId="5E55CA4F">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Times New Roman" w:hAnsi="Times New Roman" w:eastAsia="仿宋_GB2312" w:cs="仿宋"/>
                <w:color w:val="000000"/>
                <w:kern w:val="0"/>
                <w:sz w:val="20"/>
                <w:szCs w:val="20"/>
                <w:lang w:val="en-US" w:eastAsia="zh-CN"/>
              </w:rPr>
              <w:t>3</w:t>
            </w:r>
          </w:p>
        </w:tc>
        <w:tc>
          <w:tcPr>
            <w:tcW w:w="716" w:type="dxa"/>
            <w:noWrap w:val="0"/>
            <w:vAlign w:val="center"/>
          </w:tcPr>
          <w:p w14:paraId="79E1F450">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Times New Roman" w:hAnsi="Times New Roman" w:eastAsia="仿宋_GB2312" w:cs="仿宋"/>
                <w:color w:val="000000"/>
                <w:kern w:val="0"/>
                <w:sz w:val="20"/>
                <w:szCs w:val="20"/>
                <w:lang w:val="en-US" w:eastAsia="zh-CN"/>
              </w:rPr>
              <w:t>3</w:t>
            </w:r>
          </w:p>
        </w:tc>
        <w:tc>
          <w:tcPr>
            <w:tcW w:w="1140" w:type="dxa"/>
            <w:noWrap w:val="0"/>
            <w:vAlign w:val="center"/>
          </w:tcPr>
          <w:p w14:paraId="55FB9EE7">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eastAsia="zh-CN"/>
              </w:rPr>
            </w:pPr>
          </w:p>
        </w:tc>
      </w:tr>
      <w:tr w14:paraId="69B93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70" w:hRule="atLeast"/>
          <w:jc w:val="center"/>
        </w:trPr>
        <w:tc>
          <w:tcPr>
            <w:tcW w:w="1130" w:type="dxa"/>
            <w:vMerge w:val="continue"/>
            <w:noWrap w:val="0"/>
            <w:vAlign w:val="center"/>
          </w:tcPr>
          <w:p w14:paraId="51C4AF5B">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23" w:type="dxa"/>
            <w:vMerge w:val="continue"/>
            <w:noWrap w:val="0"/>
            <w:vAlign w:val="center"/>
          </w:tcPr>
          <w:p w14:paraId="4D828242">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78" w:type="dxa"/>
            <w:vMerge w:val="continue"/>
            <w:noWrap w:val="0"/>
            <w:vAlign w:val="center"/>
          </w:tcPr>
          <w:p w14:paraId="0CCE4BAE">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80" w:type="dxa"/>
            <w:gridSpan w:val="2"/>
            <w:noWrap w:val="0"/>
            <w:vAlign w:val="center"/>
          </w:tcPr>
          <w:p w14:paraId="18444F1D">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行政执法案卷评查</w:t>
            </w:r>
          </w:p>
        </w:tc>
        <w:tc>
          <w:tcPr>
            <w:tcW w:w="1180" w:type="dxa"/>
            <w:noWrap w:val="0"/>
            <w:vAlign w:val="center"/>
          </w:tcPr>
          <w:p w14:paraId="09194A8E">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_GB2312" w:cs="仿宋"/>
                <w:color w:val="000000"/>
                <w:kern w:val="0"/>
                <w:sz w:val="20"/>
                <w:szCs w:val="20"/>
              </w:rPr>
              <w:t>≥</w:t>
            </w:r>
            <w:r>
              <w:rPr>
                <w:rFonts w:hint="eastAsia" w:ascii="Times New Roman" w:hAnsi="Times New Roman" w:eastAsia="仿宋_GB2312" w:cs="仿宋"/>
                <w:color w:val="000000"/>
                <w:kern w:val="0"/>
                <w:sz w:val="20"/>
                <w:szCs w:val="20"/>
                <w:lang w:val="en-US" w:eastAsia="zh-CN"/>
              </w:rPr>
              <w:t>400</w:t>
            </w:r>
            <w:r>
              <w:rPr>
                <w:rFonts w:hint="eastAsia" w:ascii="仿宋" w:hAnsi="仿宋" w:eastAsia="仿宋_GB2312" w:cs="仿宋"/>
                <w:color w:val="000000"/>
                <w:kern w:val="0"/>
                <w:sz w:val="20"/>
                <w:szCs w:val="20"/>
                <w:lang w:val="en-US" w:eastAsia="zh-CN"/>
              </w:rPr>
              <w:t>本</w:t>
            </w:r>
          </w:p>
        </w:tc>
        <w:tc>
          <w:tcPr>
            <w:tcW w:w="1119" w:type="dxa"/>
            <w:noWrap w:val="0"/>
            <w:vAlign w:val="center"/>
          </w:tcPr>
          <w:p w14:paraId="767E5603">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default" w:ascii="Times New Roman" w:hAnsi="Times New Roman" w:eastAsia="仿宋_GB2312" w:cs="仿宋"/>
                <w:color w:val="000000"/>
                <w:kern w:val="0"/>
                <w:sz w:val="20"/>
                <w:szCs w:val="20"/>
                <w:lang w:val="en-US"/>
              </w:rPr>
              <w:t>2060</w:t>
            </w:r>
            <w:r>
              <w:rPr>
                <w:rFonts w:hint="eastAsia" w:ascii="仿宋" w:hAnsi="仿宋" w:eastAsia="仿宋_GB2312" w:cs="仿宋"/>
                <w:color w:val="000000"/>
                <w:kern w:val="0"/>
                <w:sz w:val="20"/>
                <w:szCs w:val="20"/>
                <w:lang w:val="en-US" w:eastAsia="zh-CN"/>
              </w:rPr>
              <w:t>本</w:t>
            </w:r>
          </w:p>
        </w:tc>
        <w:tc>
          <w:tcPr>
            <w:tcW w:w="696" w:type="dxa"/>
            <w:noWrap w:val="0"/>
            <w:vAlign w:val="center"/>
          </w:tcPr>
          <w:p w14:paraId="471210D6">
            <w:pPr>
              <w:keepNext w:val="0"/>
              <w:keepLines w:val="0"/>
              <w:pageBreakBefore w:val="0"/>
              <w:widowControl/>
              <w:shd w:val="clear"/>
              <w:kinsoku/>
              <w:wordWrap/>
              <w:overflowPunct/>
              <w:topLinePunct w:val="0"/>
              <w:autoSpaceDE/>
              <w:autoSpaceDN/>
              <w:bidi w:val="0"/>
              <w:adjustRightInd/>
              <w:snapToGrid/>
              <w:spacing w:line="240" w:lineRule="exact"/>
              <w:ind w:firstLine="200" w:firstLineChars="100"/>
              <w:jc w:val="both"/>
              <w:textAlignment w:val="auto"/>
              <w:rPr>
                <w:rFonts w:hint="eastAsia" w:ascii="仿宋" w:hAnsi="仿宋" w:eastAsia="仿宋" w:cs="仿宋"/>
                <w:color w:val="000000"/>
                <w:kern w:val="0"/>
                <w:sz w:val="20"/>
                <w:szCs w:val="20"/>
                <w:lang w:val="en-US" w:eastAsia="zh-CN"/>
              </w:rPr>
            </w:pPr>
            <w:r>
              <w:rPr>
                <w:rFonts w:hint="eastAsia" w:ascii="Times New Roman" w:hAnsi="Times New Roman" w:eastAsia="仿宋_GB2312" w:cs="仿宋"/>
                <w:color w:val="000000"/>
                <w:kern w:val="0"/>
                <w:sz w:val="20"/>
                <w:szCs w:val="20"/>
                <w:lang w:val="en-US" w:eastAsia="zh-CN"/>
              </w:rPr>
              <w:t>3</w:t>
            </w:r>
          </w:p>
        </w:tc>
        <w:tc>
          <w:tcPr>
            <w:tcW w:w="716" w:type="dxa"/>
            <w:noWrap w:val="0"/>
            <w:vAlign w:val="center"/>
          </w:tcPr>
          <w:p w14:paraId="26137D04">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Times New Roman" w:hAnsi="Times New Roman" w:eastAsia="仿宋_GB2312" w:cs="仿宋"/>
                <w:color w:val="000000"/>
                <w:kern w:val="0"/>
                <w:sz w:val="20"/>
                <w:szCs w:val="20"/>
                <w:lang w:val="en-US" w:eastAsia="zh-CN"/>
              </w:rPr>
              <w:t>3</w:t>
            </w:r>
          </w:p>
        </w:tc>
        <w:tc>
          <w:tcPr>
            <w:tcW w:w="1140" w:type="dxa"/>
            <w:noWrap w:val="0"/>
            <w:vAlign w:val="center"/>
          </w:tcPr>
          <w:p w14:paraId="27179E08">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54B68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jc w:val="center"/>
        </w:trPr>
        <w:tc>
          <w:tcPr>
            <w:tcW w:w="1130" w:type="dxa"/>
            <w:vMerge w:val="continue"/>
            <w:noWrap w:val="0"/>
            <w:vAlign w:val="center"/>
          </w:tcPr>
          <w:p w14:paraId="47AE7412">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23" w:type="dxa"/>
            <w:vMerge w:val="continue"/>
            <w:noWrap w:val="0"/>
            <w:vAlign w:val="center"/>
          </w:tcPr>
          <w:p w14:paraId="0477E47D">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78" w:type="dxa"/>
            <w:vMerge w:val="continue"/>
            <w:noWrap w:val="0"/>
            <w:vAlign w:val="center"/>
          </w:tcPr>
          <w:p w14:paraId="4882C3F4">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80" w:type="dxa"/>
            <w:gridSpan w:val="2"/>
            <w:noWrap w:val="0"/>
            <w:vAlign w:val="center"/>
          </w:tcPr>
          <w:p w14:paraId="65053BAE">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法律职业资格考试报名人数</w:t>
            </w:r>
          </w:p>
        </w:tc>
        <w:tc>
          <w:tcPr>
            <w:tcW w:w="1180" w:type="dxa"/>
            <w:noWrap w:val="0"/>
            <w:vAlign w:val="center"/>
          </w:tcPr>
          <w:p w14:paraId="404EE42D">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_GB2312" w:cs="仿宋"/>
                <w:color w:val="000000"/>
                <w:kern w:val="0"/>
                <w:sz w:val="20"/>
                <w:szCs w:val="20"/>
              </w:rPr>
              <w:t>≥</w:t>
            </w:r>
            <w:r>
              <w:rPr>
                <w:rFonts w:hint="eastAsia" w:ascii="Times New Roman" w:hAnsi="Times New Roman" w:eastAsia="仿宋_GB2312" w:cs="仿宋"/>
                <w:color w:val="000000"/>
                <w:kern w:val="0"/>
                <w:sz w:val="20"/>
                <w:szCs w:val="20"/>
                <w:lang w:val="en-US" w:eastAsia="zh-CN"/>
              </w:rPr>
              <w:t>2000</w:t>
            </w:r>
            <w:r>
              <w:rPr>
                <w:rFonts w:hint="eastAsia" w:ascii="仿宋" w:hAnsi="仿宋" w:eastAsia="仿宋_GB2312" w:cs="仿宋"/>
                <w:color w:val="000000"/>
                <w:kern w:val="0"/>
                <w:sz w:val="20"/>
                <w:szCs w:val="20"/>
                <w:lang w:val="en-US" w:eastAsia="zh-CN"/>
              </w:rPr>
              <w:t>人</w:t>
            </w:r>
          </w:p>
        </w:tc>
        <w:tc>
          <w:tcPr>
            <w:tcW w:w="1119" w:type="dxa"/>
            <w:noWrap w:val="0"/>
            <w:vAlign w:val="center"/>
          </w:tcPr>
          <w:p w14:paraId="3A7DAC9E">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Times New Roman" w:hAnsi="Times New Roman" w:eastAsia="仿宋_GB2312" w:cs="仿宋"/>
                <w:color w:val="000000"/>
                <w:kern w:val="0"/>
                <w:sz w:val="20"/>
                <w:szCs w:val="20"/>
                <w:lang w:val="en-US" w:eastAsia="zh-CN"/>
              </w:rPr>
              <w:t>2563</w:t>
            </w:r>
            <w:r>
              <w:rPr>
                <w:rFonts w:hint="eastAsia" w:ascii="仿宋" w:hAnsi="仿宋" w:eastAsia="仿宋_GB2312" w:cs="仿宋"/>
                <w:color w:val="000000"/>
                <w:kern w:val="0"/>
                <w:sz w:val="20"/>
                <w:szCs w:val="20"/>
                <w:lang w:val="en-US" w:eastAsia="zh-CN"/>
              </w:rPr>
              <w:t>人</w:t>
            </w:r>
          </w:p>
        </w:tc>
        <w:tc>
          <w:tcPr>
            <w:tcW w:w="696" w:type="dxa"/>
            <w:noWrap w:val="0"/>
            <w:vAlign w:val="center"/>
          </w:tcPr>
          <w:p w14:paraId="7CBC1B26">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Times New Roman" w:hAnsi="Times New Roman" w:eastAsia="仿宋_GB2312" w:cs="仿宋"/>
                <w:color w:val="000000"/>
                <w:kern w:val="0"/>
                <w:sz w:val="20"/>
                <w:szCs w:val="20"/>
                <w:lang w:val="en-US" w:eastAsia="zh-CN"/>
              </w:rPr>
              <w:t>3</w:t>
            </w:r>
          </w:p>
        </w:tc>
        <w:tc>
          <w:tcPr>
            <w:tcW w:w="716" w:type="dxa"/>
            <w:noWrap w:val="0"/>
            <w:vAlign w:val="center"/>
          </w:tcPr>
          <w:p w14:paraId="7357256D">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Times New Roman" w:hAnsi="Times New Roman" w:eastAsia="仿宋_GB2312" w:cs="仿宋"/>
                <w:color w:val="000000"/>
                <w:kern w:val="0"/>
                <w:sz w:val="20"/>
                <w:szCs w:val="20"/>
                <w:lang w:val="en-US" w:eastAsia="zh-CN"/>
              </w:rPr>
              <w:t>3</w:t>
            </w:r>
          </w:p>
        </w:tc>
        <w:tc>
          <w:tcPr>
            <w:tcW w:w="1140" w:type="dxa"/>
            <w:noWrap w:val="0"/>
            <w:vAlign w:val="center"/>
          </w:tcPr>
          <w:p w14:paraId="666E47FF">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443C3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14" w:hRule="atLeast"/>
          <w:jc w:val="center"/>
        </w:trPr>
        <w:tc>
          <w:tcPr>
            <w:tcW w:w="1130" w:type="dxa"/>
            <w:vMerge w:val="continue"/>
            <w:noWrap w:val="0"/>
            <w:vAlign w:val="center"/>
          </w:tcPr>
          <w:p w14:paraId="40B01791">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23" w:type="dxa"/>
            <w:vMerge w:val="continue"/>
            <w:noWrap w:val="0"/>
            <w:vAlign w:val="center"/>
          </w:tcPr>
          <w:p w14:paraId="54B1A726">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78" w:type="dxa"/>
            <w:vMerge w:val="continue"/>
            <w:noWrap w:val="0"/>
            <w:vAlign w:val="center"/>
          </w:tcPr>
          <w:p w14:paraId="70F11C4E">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80" w:type="dxa"/>
            <w:gridSpan w:val="2"/>
            <w:noWrap w:val="0"/>
            <w:vAlign w:val="center"/>
          </w:tcPr>
          <w:p w14:paraId="2A38518F">
            <w:pPr>
              <w:keepNext w:val="0"/>
              <w:keepLines w:val="0"/>
              <w:pageBreakBefore w:val="0"/>
              <w:widowControl/>
              <w:suppressLineNumbers w:val="0"/>
              <w:shd w:val="clear"/>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承办市政府作为行政复议机关的案件数</w:t>
            </w:r>
          </w:p>
        </w:tc>
        <w:tc>
          <w:tcPr>
            <w:tcW w:w="1180" w:type="dxa"/>
            <w:noWrap w:val="0"/>
            <w:vAlign w:val="center"/>
          </w:tcPr>
          <w:p w14:paraId="3887BA13">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_GB2312" w:cs="仿宋"/>
                <w:color w:val="000000"/>
                <w:kern w:val="0"/>
                <w:sz w:val="20"/>
                <w:szCs w:val="20"/>
              </w:rPr>
              <w:t>≥</w:t>
            </w:r>
            <w:r>
              <w:rPr>
                <w:rFonts w:hint="eastAsia" w:ascii="Times New Roman" w:hAnsi="Times New Roman" w:eastAsia="仿宋_GB2312" w:cs="仿宋"/>
                <w:color w:val="000000"/>
                <w:kern w:val="0"/>
                <w:sz w:val="20"/>
                <w:szCs w:val="20"/>
                <w:lang w:val="en-US" w:eastAsia="zh-CN"/>
              </w:rPr>
              <w:t>150</w:t>
            </w:r>
            <w:r>
              <w:rPr>
                <w:rFonts w:hint="eastAsia" w:ascii="仿宋" w:hAnsi="仿宋" w:eastAsia="仿宋_GB2312" w:cs="仿宋"/>
                <w:color w:val="000000"/>
                <w:kern w:val="0"/>
                <w:sz w:val="20"/>
                <w:szCs w:val="20"/>
                <w:lang w:val="en-US" w:eastAsia="zh-CN"/>
              </w:rPr>
              <w:t>件</w:t>
            </w:r>
          </w:p>
        </w:tc>
        <w:tc>
          <w:tcPr>
            <w:tcW w:w="1119" w:type="dxa"/>
            <w:noWrap w:val="0"/>
            <w:vAlign w:val="center"/>
          </w:tcPr>
          <w:p w14:paraId="7A32A943">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Times New Roman" w:hAnsi="Times New Roman" w:eastAsia="仿宋_GB2312" w:cs="仿宋"/>
                <w:color w:val="000000"/>
                <w:kern w:val="0"/>
                <w:sz w:val="20"/>
                <w:szCs w:val="20"/>
                <w:lang w:val="en-US" w:eastAsia="zh-CN"/>
              </w:rPr>
              <w:t>387</w:t>
            </w:r>
            <w:r>
              <w:rPr>
                <w:rFonts w:hint="eastAsia" w:ascii="仿宋" w:hAnsi="仿宋" w:eastAsia="仿宋_GB2312" w:cs="仿宋"/>
                <w:color w:val="000000"/>
                <w:kern w:val="0"/>
                <w:sz w:val="20"/>
                <w:szCs w:val="20"/>
                <w:lang w:val="en-US" w:eastAsia="zh-CN"/>
              </w:rPr>
              <w:t>件</w:t>
            </w:r>
          </w:p>
        </w:tc>
        <w:tc>
          <w:tcPr>
            <w:tcW w:w="696" w:type="dxa"/>
            <w:noWrap w:val="0"/>
            <w:vAlign w:val="center"/>
          </w:tcPr>
          <w:p w14:paraId="248EA92F">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Times New Roman" w:hAnsi="Times New Roman" w:eastAsia="仿宋_GB2312" w:cs="仿宋"/>
                <w:color w:val="000000"/>
                <w:kern w:val="0"/>
                <w:sz w:val="20"/>
                <w:szCs w:val="20"/>
                <w:lang w:val="en-US" w:eastAsia="zh-CN"/>
              </w:rPr>
              <w:t>3</w:t>
            </w:r>
          </w:p>
        </w:tc>
        <w:tc>
          <w:tcPr>
            <w:tcW w:w="716" w:type="dxa"/>
            <w:noWrap w:val="0"/>
            <w:vAlign w:val="center"/>
          </w:tcPr>
          <w:p w14:paraId="31BA9935">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lang w:val="en-US" w:eastAsia="zh-CN"/>
              </w:rPr>
            </w:pPr>
            <w:r>
              <w:rPr>
                <w:rFonts w:hint="eastAsia" w:ascii="Times New Roman" w:hAnsi="Times New Roman" w:eastAsia="仿宋_GB2312" w:cs="仿宋"/>
                <w:color w:val="000000"/>
                <w:kern w:val="0"/>
                <w:sz w:val="20"/>
                <w:szCs w:val="20"/>
                <w:lang w:val="en-US" w:eastAsia="zh-CN"/>
              </w:rPr>
              <w:t>3</w:t>
            </w:r>
          </w:p>
        </w:tc>
        <w:tc>
          <w:tcPr>
            <w:tcW w:w="1140" w:type="dxa"/>
            <w:noWrap w:val="0"/>
            <w:vAlign w:val="center"/>
          </w:tcPr>
          <w:p w14:paraId="14C4C688">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65615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0" w:hRule="atLeast"/>
          <w:jc w:val="center"/>
        </w:trPr>
        <w:tc>
          <w:tcPr>
            <w:tcW w:w="1130" w:type="dxa"/>
            <w:vMerge w:val="continue"/>
            <w:noWrap w:val="0"/>
            <w:vAlign w:val="center"/>
          </w:tcPr>
          <w:p w14:paraId="09FC3280">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23" w:type="dxa"/>
            <w:vMerge w:val="continue"/>
            <w:noWrap w:val="0"/>
            <w:vAlign w:val="center"/>
          </w:tcPr>
          <w:p w14:paraId="44C73384">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78" w:type="dxa"/>
            <w:vMerge w:val="restart"/>
            <w:noWrap w:val="0"/>
            <w:vAlign w:val="center"/>
          </w:tcPr>
          <w:p w14:paraId="59A865BB">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_GB2312" w:cs="仿宋"/>
                <w:color w:val="000000"/>
                <w:kern w:val="0"/>
                <w:sz w:val="20"/>
                <w:szCs w:val="20"/>
              </w:rPr>
            </w:pPr>
            <w:r>
              <w:rPr>
                <w:rFonts w:hint="eastAsia" w:ascii="仿宋" w:hAnsi="仿宋" w:eastAsia="仿宋_GB2312" w:cs="仿宋"/>
                <w:color w:val="000000"/>
                <w:kern w:val="0"/>
                <w:sz w:val="20"/>
                <w:szCs w:val="20"/>
              </w:rPr>
              <w:t>质量</w:t>
            </w:r>
          </w:p>
          <w:p w14:paraId="1ED0EBF4">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指标</w:t>
            </w:r>
          </w:p>
        </w:tc>
        <w:tc>
          <w:tcPr>
            <w:tcW w:w="1080" w:type="dxa"/>
            <w:gridSpan w:val="2"/>
            <w:noWrap w:val="0"/>
            <w:vAlign w:val="center"/>
          </w:tcPr>
          <w:p w14:paraId="0EF7A8FD">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随机抽查市级和县市区行政执法机关行政执法案卷覆盖率</w:t>
            </w:r>
          </w:p>
        </w:tc>
        <w:tc>
          <w:tcPr>
            <w:tcW w:w="1180" w:type="dxa"/>
            <w:noWrap w:val="0"/>
            <w:vAlign w:val="center"/>
          </w:tcPr>
          <w:p w14:paraId="75B70805">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_GB2312" w:cs="仿宋"/>
                <w:color w:val="000000"/>
                <w:kern w:val="0"/>
                <w:sz w:val="20"/>
                <w:szCs w:val="20"/>
                <w:lang w:val="en-US" w:eastAsia="zh-CN"/>
              </w:rPr>
              <w:t>=</w:t>
            </w:r>
            <w:r>
              <w:rPr>
                <w:rFonts w:hint="eastAsia" w:ascii="Times New Roman" w:hAnsi="Times New Roman" w:eastAsia="仿宋_GB2312" w:cs="仿宋"/>
                <w:color w:val="000000"/>
                <w:kern w:val="0"/>
                <w:sz w:val="20"/>
                <w:szCs w:val="20"/>
              </w:rPr>
              <w:t>100</w:t>
            </w:r>
            <w:r>
              <w:rPr>
                <w:rFonts w:hint="eastAsia" w:ascii="Times New Roman" w:hAnsi="Times New Roman" w:eastAsia="仿宋_GB2312" w:cs="仿宋"/>
                <w:color w:val="000000"/>
                <w:kern w:val="0"/>
                <w:sz w:val="20"/>
                <w:szCs w:val="20"/>
                <w:lang w:val="en-US" w:eastAsia="zh-CN"/>
              </w:rPr>
              <w:t>%</w:t>
            </w:r>
          </w:p>
        </w:tc>
        <w:tc>
          <w:tcPr>
            <w:tcW w:w="1119" w:type="dxa"/>
            <w:noWrap w:val="0"/>
            <w:vAlign w:val="center"/>
          </w:tcPr>
          <w:p w14:paraId="2FF89E73">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Times New Roman" w:hAnsi="Times New Roman" w:eastAsia="仿宋_GB2312" w:cs="仿宋"/>
                <w:color w:val="000000"/>
                <w:kern w:val="0"/>
                <w:sz w:val="20"/>
                <w:szCs w:val="20"/>
              </w:rPr>
              <w:t>100</w:t>
            </w:r>
            <w:r>
              <w:rPr>
                <w:rFonts w:hint="eastAsia" w:ascii="Times New Roman" w:hAnsi="Times New Roman" w:eastAsia="仿宋_GB2312" w:cs="仿宋"/>
                <w:color w:val="000000"/>
                <w:kern w:val="0"/>
                <w:sz w:val="20"/>
                <w:szCs w:val="20"/>
                <w:lang w:val="en-US" w:eastAsia="zh-CN"/>
              </w:rPr>
              <w:t>%</w:t>
            </w:r>
          </w:p>
        </w:tc>
        <w:tc>
          <w:tcPr>
            <w:tcW w:w="696" w:type="dxa"/>
            <w:noWrap w:val="0"/>
            <w:vAlign w:val="center"/>
          </w:tcPr>
          <w:p w14:paraId="2FB12EDD">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Times New Roman" w:hAnsi="Times New Roman" w:eastAsia="仿宋_GB2312" w:cs="仿宋"/>
                <w:color w:val="000000"/>
                <w:kern w:val="0"/>
                <w:sz w:val="20"/>
                <w:szCs w:val="20"/>
                <w:lang w:val="en-US" w:eastAsia="zh-CN"/>
              </w:rPr>
              <w:t>4</w:t>
            </w:r>
          </w:p>
        </w:tc>
        <w:tc>
          <w:tcPr>
            <w:tcW w:w="716" w:type="dxa"/>
            <w:noWrap w:val="0"/>
            <w:vAlign w:val="center"/>
          </w:tcPr>
          <w:p w14:paraId="7F5A7B3A">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Times New Roman" w:hAnsi="Times New Roman" w:eastAsia="仿宋_GB2312" w:cs="仿宋"/>
                <w:color w:val="000000"/>
                <w:kern w:val="0"/>
                <w:sz w:val="20"/>
                <w:szCs w:val="20"/>
                <w:lang w:val="en-US" w:eastAsia="zh-CN"/>
              </w:rPr>
              <w:t>4</w:t>
            </w:r>
          </w:p>
        </w:tc>
        <w:tc>
          <w:tcPr>
            <w:tcW w:w="1140" w:type="dxa"/>
            <w:noWrap w:val="0"/>
            <w:vAlign w:val="center"/>
          </w:tcPr>
          <w:p w14:paraId="65DCFE2A">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eastAsia="zh-CN"/>
              </w:rPr>
            </w:pPr>
          </w:p>
        </w:tc>
      </w:tr>
      <w:tr w14:paraId="24335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1" w:hRule="atLeast"/>
          <w:jc w:val="center"/>
        </w:trPr>
        <w:tc>
          <w:tcPr>
            <w:tcW w:w="1130" w:type="dxa"/>
            <w:vMerge w:val="continue"/>
            <w:noWrap w:val="0"/>
            <w:vAlign w:val="center"/>
          </w:tcPr>
          <w:p w14:paraId="564121CC">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23" w:type="dxa"/>
            <w:vMerge w:val="continue"/>
            <w:noWrap w:val="0"/>
            <w:vAlign w:val="center"/>
          </w:tcPr>
          <w:p w14:paraId="1917CC2D">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78" w:type="dxa"/>
            <w:vMerge w:val="continue"/>
            <w:noWrap w:val="0"/>
            <w:vAlign w:val="center"/>
          </w:tcPr>
          <w:p w14:paraId="5403ABA3">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80" w:type="dxa"/>
            <w:gridSpan w:val="2"/>
            <w:noWrap w:val="0"/>
            <w:vAlign w:val="center"/>
          </w:tcPr>
          <w:p w14:paraId="16C5F5A1">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lang w:val="en-US" w:eastAsia="zh-CN"/>
              </w:rPr>
              <w:t>人民调解案件办结率</w:t>
            </w:r>
          </w:p>
        </w:tc>
        <w:tc>
          <w:tcPr>
            <w:tcW w:w="1180" w:type="dxa"/>
            <w:noWrap w:val="0"/>
            <w:vAlign w:val="center"/>
          </w:tcPr>
          <w:p w14:paraId="45C8C40E">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_GB2312" w:cs="仿宋"/>
                <w:color w:val="000000"/>
                <w:kern w:val="0"/>
                <w:sz w:val="20"/>
                <w:szCs w:val="20"/>
              </w:rPr>
              <w:t>≥</w:t>
            </w:r>
            <w:r>
              <w:rPr>
                <w:rFonts w:hint="eastAsia" w:ascii="Times New Roman" w:hAnsi="Times New Roman" w:eastAsia="仿宋_GB2312" w:cs="仿宋"/>
                <w:color w:val="000000"/>
                <w:kern w:val="0"/>
                <w:sz w:val="20"/>
                <w:szCs w:val="20"/>
              </w:rPr>
              <w:t>95</w:t>
            </w:r>
            <w:r>
              <w:rPr>
                <w:rFonts w:hint="eastAsia" w:ascii="Times New Roman" w:hAnsi="Times New Roman" w:eastAsia="仿宋_GB2312" w:cs="仿宋"/>
                <w:color w:val="000000"/>
                <w:kern w:val="0"/>
                <w:sz w:val="20"/>
                <w:szCs w:val="20"/>
                <w:lang w:val="en-US" w:eastAsia="zh-CN"/>
              </w:rPr>
              <w:t>%</w:t>
            </w:r>
          </w:p>
        </w:tc>
        <w:tc>
          <w:tcPr>
            <w:tcW w:w="1119" w:type="dxa"/>
            <w:noWrap w:val="0"/>
            <w:vAlign w:val="center"/>
          </w:tcPr>
          <w:p w14:paraId="4A14A451">
            <w:pPr>
              <w:keepNext w:val="0"/>
              <w:keepLines w:val="0"/>
              <w:pageBreakBefore w:val="0"/>
              <w:widowControl/>
              <w:shd w:val="clear"/>
              <w:kinsoku/>
              <w:wordWrap/>
              <w:overflowPunct/>
              <w:topLinePunct w:val="0"/>
              <w:autoSpaceDE/>
              <w:autoSpaceDN/>
              <w:bidi w:val="0"/>
              <w:adjustRightInd/>
              <w:snapToGrid/>
              <w:spacing w:line="240" w:lineRule="exact"/>
              <w:ind w:firstLine="200" w:firstLineChars="100"/>
              <w:jc w:val="left"/>
              <w:textAlignment w:val="auto"/>
              <w:rPr>
                <w:rFonts w:hint="default" w:ascii="仿宋" w:hAnsi="仿宋" w:eastAsia="仿宋" w:cs="仿宋"/>
                <w:color w:val="000000"/>
                <w:kern w:val="0"/>
                <w:sz w:val="20"/>
                <w:szCs w:val="20"/>
                <w:lang w:val="en-US" w:eastAsia="zh-CN"/>
              </w:rPr>
            </w:pPr>
            <w:r>
              <w:rPr>
                <w:rFonts w:hint="eastAsia" w:ascii="Times New Roman" w:hAnsi="Times New Roman" w:eastAsia="仿宋_GB2312" w:cs="仿宋"/>
                <w:color w:val="000000"/>
                <w:kern w:val="0"/>
                <w:sz w:val="20"/>
                <w:szCs w:val="20"/>
                <w:lang w:val="en-US" w:eastAsia="zh-CN"/>
              </w:rPr>
              <w:t>97%</w:t>
            </w:r>
          </w:p>
        </w:tc>
        <w:tc>
          <w:tcPr>
            <w:tcW w:w="696" w:type="dxa"/>
            <w:noWrap w:val="0"/>
            <w:vAlign w:val="center"/>
          </w:tcPr>
          <w:p w14:paraId="1D140D8B">
            <w:pPr>
              <w:keepNext w:val="0"/>
              <w:keepLines w:val="0"/>
              <w:pageBreakBefore w:val="0"/>
              <w:widowControl/>
              <w:shd w:val="clear"/>
              <w:kinsoku/>
              <w:wordWrap/>
              <w:overflowPunct/>
              <w:topLinePunct w:val="0"/>
              <w:autoSpaceDE/>
              <w:autoSpaceDN/>
              <w:bidi w:val="0"/>
              <w:adjustRightInd/>
              <w:snapToGrid/>
              <w:spacing w:line="240" w:lineRule="exact"/>
              <w:ind w:firstLine="200" w:firstLineChars="100"/>
              <w:jc w:val="left"/>
              <w:textAlignment w:val="auto"/>
              <w:rPr>
                <w:rFonts w:hint="eastAsia" w:ascii="仿宋" w:hAnsi="仿宋" w:eastAsia="仿宋" w:cs="仿宋"/>
                <w:color w:val="000000"/>
                <w:kern w:val="0"/>
                <w:sz w:val="20"/>
                <w:szCs w:val="20"/>
                <w:lang w:val="en-US" w:eastAsia="zh-CN"/>
              </w:rPr>
            </w:pPr>
            <w:r>
              <w:rPr>
                <w:rFonts w:hint="eastAsia" w:ascii="Times New Roman" w:hAnsi="Times New Roman" w:eastAsia="仿宋_GB2312" w:cs="仿宋"/>
                <w:color w:val="000000"/>
                <w:kern w:val="0"/>
                <w:sz w:val="20"/>
                <w:szCs w:val="20"/>
                <w:lang w:val="en-US" w:eastAsia="zh-CN"/>
              </w:rPr>
              <w:t>4</w:t>
            </w:r>
          </w:p>
        </w:tc>
        <w:tc>
          <w:tcPr>
            <w:tcW w:w="716" w:type="dxa"/>
            <w:noWrap w:val="0"/>
            <w:vAlign w:val="center"/>
          </w:tcPr>
          <w:p w14:paraId="2B8604F0">
            <w:pPr>
              <w:keepNext w:val="0"/>
              <w:keepLines w:val="0"/>
              <w:pageBreakBefore w:val="0"/>
              <w:widowControl/>
              <w:shd w:val="clear"/>
              <w:kinsoku/>
              <w:wordWrap/>
              <w:overflowPunct/>
              <w:topLinePunct w:val="0"/>
              <w:autoSpaceDE/>
              <w:autoSpaceDN/>
              <w:bidi w:val="0"/>
              <w:adjustRightInd/>
              <w:snapToGrid/>
              <w:spacing w:line="240" w:lineRule="exact"/>
              <w:ind w:firstLine="200" w:firstLineChars="100"/>
              <w:jc w:val="left"/>
              <w:textAlignment w:val="auto"/>
              <w:rPr>
                <w:rFonts w:hint="eastAsia" w:ascii="仿宋" w:hAnsi="仿宋" w:eastAsia="仿宋" w:cs="仿宋"/>
                <w:color w:val="000000"/>
                <w:kern w:val="0"/>
                <w:sz w:val="20"/>
                <w:szCs w:val="20"/>
                <w:lang w:val="en-US" w:eastAsia="zh-CN"/>
              </w:rPr>
            </w:pPr>
            <w:r>
              <w:rPr>
                <w:rFonts w:hint="eastAsia" w:ascii="Times New Roman" w:hAnsi="Times New Roman" w:eastAsia="仿宋_GB2312" w:cs="仿宋"/>
                <w:color w:val="000000"/>
                <w:kern w:val="0"/>
                <w:sz w:val="20"/>
                <w:szCs w:val="20"/>
                <w:lang w:val="en-US" w:eastAsia="zh-CN"/>
              </w:rPr>
              <w:t>4</w:t>
            </w:r>
          </w:p>
        </w:tc>
        <w:tc>
          <w:tcPr>
            <w:tcW w:w="1140" w:type="dxa"/>
            <w:noWrap w:val="0"/>
            <w:vAlign w:val="center"/>
          </w:tcPr>
          <w:p w14:paraId="2EC7CECD">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04A1A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jc w:val="center"/>
        </w:trPr>
        <w:tc>
          <w:tcPr>
            <w:tcW w:w="1130" w:type="dxa"/>
            <w:vMerge w:val="continue"/>
            <w:noWrap w:val="0"/>
            <w:vAlign w:val="center"/>
          </w:tcPr>
          <w:p w14:paraId="679C3A33">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23" w:type="dxa"/>
            <w:vMerge w:val="continue"/>
            <w:noWrap w:val="0"/>
            <w:vAlign w:val="center"/>
          </w:tcPr>
          <w:p w14:paraId="1B3A7A7D">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78" w:type="dxa"/>
            <w:vMerge w:val="continue"/>
            <w:noWrap w:val="0"/>
            <w:vAlign w:val="center"/>
          </w:tcPr>
          <w:p w14:paraId="4EAD148A">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80" w:type="dxa"/>
            <w:gridSpan w:val="2"/>
            <w:noWrap w:val="0"/>
            <w:vAlign w:val="center"/>
          </w:tcPr>
          <w:p w14:paraId="4AECC5BB">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采购验收合格率</w:t>
            </w:r>
          </w:p>
        </w:tc>
        <w:tc>
          <w:tcPr>
            <w:tcW w:w="1180" w:type="dxa"/>
            <w:noWrap w:val="0"/>
            <w:vAlign w:val="center"/>
          </w:tcPr>
          <w:p w14:paraId="18DDF527">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lang w:val="en-US" w:eastAsia="zh-CN"/>
              </w:rPr>
              <w:t>=</w:t>
            </w:r>
            <w:r>
              <w:rPr>
                <w:rFonts w:hint="eastAsia" w:ascii="Times New Roman" w:hAnsi="Times New Roman" w:eastAsia="仿宋_GB2312" w:cs="仿宋"/>
                <w:color w:val="000000"/>
                <w:kern w:val="0"/>
                <w:sz w:val="20"/>
                <w:szCs w:val="20"/>
              </w:rPr>
              <w:t>100</w:t>
            </w:r>
            <w:r>
              <w:rPr>
                <w:rFonts w:hint="eastAsia" w:ascii="Times New Roman" w:hAnsi="Times New Roman" w:eastAsia="仿宋_GB2312" w:cs="仿宋"/>
                <w:color w:val="000000"/>
                <w:kern w:val="0"/>
                <w:sz w:val="20"/>
                <w:szCs w:val="20"/>
                <w:lang w:val="en-US" w:eastAsia="zh-CN"/>
              </w:rPr>
              <w:t>%</w:t>
            </w:r>
          </w:p>
        </w:tc>
        <w:tc>
          <w:tcPr>
            <w:tcW w:w="1119" w:type="dxa"/>
            <w:noWrap w:val="0"/>
            <w:vAlign w:val="center"/>
          </w:tcPr>
          <w:p w14:paraId="1C10BAFC">
            <w:pPr>
              <w:keepNext w:val="0"/>
              <w:keepLines w:val="0"/>
              <w:pageBreakBefore w:val="0"/>
              <w:widowControl/>
              <w:shd w:val="clear"/>
              <w:kinsoku/>
              <w:wordWrap/>
              <w:overflowPunct/>
              <w:topLinePunct w:val="0"/>
              <w:autoSpaceDE/>
              <w:autoSpaceDN/>
              <w:bidi w:val="0"/>
              <w:adjustRightInd/>
              <w:snapToGrid/>
              <w:spacing w:line="240" w:lineRule="exact"/>
              <w:ind w:firstLine="200" w:firstLineChars="100"/>
              <w:jc w:val="left"/>
              <w:textAlignment w:val="auto"/>
              <w:rPr>
                <w:rFonts w:hint="eastAsia" w:ascii="仿宋" w:hAnsi="仿宋" w:eastAsia="仿宋" w:cs="仿宋"/>
                <w:color w:val="000000"/>
                <w:kern w:val="0"/>
                <w:sz w:val="20"/>
                <w:szCs w:val="20"/>
                <w:lang w:val="en-US" w:eastAsia="zh-CN" w:bidi="ar-SA"/>
              </w:rPr>
            </w:pPr>
            <w:r>
              <w:rPr>
                <w:rFonts w:hint="eastAsia" w:ascii="Times New Roman" w:hAnsi="Times New Roman" w:eastAsia="仿宋_GB2312" w:cs="仿宋"/>
                <w:color w:val="000000"/>
                <w:kern w:val="0"/>
                <w:sz w:val="20"/>
                <w:szCs w:val="20"/>
              </w:rPr>
              <w:t>100</w:t>
            </w:r>
            <w:r>
              <w:rPr>
                <w:rFonts w:hint="eastAsia" w:ascii="Times New Roman" w:hAnsi="Times New Roman" w:eastAsia="仿宋_GB2312" w:cs="仿宋"/>
                <w:color w:val="000000"/>
                <w:kern w:val="0"/>
                <w:sz w:val="20"/>
                <w:szCs w:val="20"/>
                <w:lang w:val="en-US" w:eastAsia="zh-CN"/>
              </w:rPr>
              <w:t>%</w:t>
            </w:r>
          </w:p>
        </w:tc>
        <w:tc>
          <w:tcPr>
            <w:tcW w:w="696" w:type="dxa"/>
            <w:noWrap w:val="0"/>
            <w:vAlign w:val="center"/>
          </w:tcPr>
          <w:p w14:paraId="7C077DCF">
            <w:pPr>
              <w:keepNext w:val="0"/>
              <w:keepLines w:val="0"/>
              <w:pageBreakBefore w:val="0"/>
              <w:widowControl/>
              <w:shd w:val="clear"/>
              <w:kinsoku/>
              <w:wordWrap/>
              <w:overflowPunct/>
              <w:topLinePunct w:val="0"/>
              <w:autoSpaceDE/>
              <w:autoSpaceDN/>
              <w:bidi w:val="0"/>
              <w:adjustRightInd/>
              <w:snapToGrid/>
              <w:spacing w:line="240" w:lineRule="exact"/>
              <w:ind w:firstLine="200" w:firstLineChars="100"/>
              <w:jc w:val="left"/>
              <w:textAlignment w:val="auto"/>
              <w:rPr>
                <w:rFonts w:hint="eastAsia" w:ascii="仿宋" w:hAnsi="仿宋" w:eastAsia="仿宋" w:cs="仿宋"/>
                <w:color w:val="000000"/>
                <w:kern w:val="0"/>
                <w:sz w:val="20"/>
                <w:szCs w:val="20"/>
                <w:lang w:val="en-US" w:eastAsia="zh-CN"/>
              </w:rPr>
            </w:pPr>
            <w:r>
              <w:rPr>
                <w:rFonts w:hint="eastAsia" w:ascii="Times New Roman" w:hAnsi="Times New Roman" w:eastAsia="仿宋_GB2312" w:cs="仿宋"/>
                <w:color w:val="000000"/>
                <w:kern w:val="0"/>
                <w:sz w:val="20"/>
                <w:szCs w:val="20"/>
                <w:lang w:val="en-US" w:eastAsia="zh-CN"/>
              </w:rPr>
              <w:t>4</w:t>
            </w:r>
          </w:p>
        </w:tc>
        <w:tc>
          <w:tcPr>
            <w:tcW w:w="716" w:type="dxa"/>
            <w:noWrap w:val="0"/>
            <w:vAlign w:val="center"/>
          </w:tcPr>
          <w:p w14:paraId="1A638F7C">
            <w:pPr>
              <w:keepNext w:val="0"/>
              <w:keepLines w:val="0"/>
              <w:pageBreakBefore w:val="0"/>
              <w:widowControl/>
              <w:shd w:val="clear"/>
              <w:kinsoku/>
              <w:wordWrap/>
              <w:overflowPunct/>
              <w:topLinePunct w:val="0"/>
              <w:autoSpaceDE/>
              <w:autoSpaceDN/>
              <w:bidi w:val="0"/>
              <w:adjustRightInd/>
              <w:snapToGrid/>
              <w:spacing w:line="240" w:lineRule="exact"/>
              <w:ind w:firstLine="200" w:firstLineChars="100"/>
              <w:jc w:val="left"/>
              <w:textAlignment w:val="auto"/>
              <w:rPr>
                <w:rFonts w:hint="eastAsia" w:ascii="仿宋" w:hAnsi="仿宋" w:eastAsia="仿宋" w:cs="仿宋"/>
                <w:color w:val="000000"/>
                <w:kern w:val="0"/>
                <w:sz w:val="20"/>
                <w:szCs w:val="20"/>
                <w:lang w:val="en-US" w:eastAsia="zh-CN"/>
              </w:rPr>
            </w:pPr>
            <w:r>
              <w:rPr>
                <w:rFonts w:hint="eastAsia" w:ascii="Times New Roman" w:hAnsi="Times New Roman" w:eastAsia="仿宋_GB2312" w:cs="仿宋"/>
                <w:color w:val="000000"/>
                <w:kern w:val="0"/>
                <w:sz w:val="20"/>
                <w:szCs w:val="20"/>
                <w:lang w:val="en-US" w:eastAsia="zh-CN"/>
              </w:rPr>
              <w:t>4</w:t>
            </w:r>
          </w:p>
        </w:tc>
        <w:tc>
          <w:tcPr>
            <w:tcW w:w="1140" w:type="dxa"/>
            <w:noWrap w:val="0"/>
            <w:vAlign w:val="center"/>
          </w:tcPr>
          <w:p w14:paraId="1B2E8FE7">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r>
      <w:tr w14:paraId="5AB53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26" w:hRule="atLeast"/>
          <w:jc w:val="center"/>
        </w:trPr>
        <w:tc>
          <w:tcPr>
            <w:tcW w:w="1130" w:type="dxa"/>
            <w:vMerge w:val="continue"/>
            <w:noWrap w:val="0"/>
            <w:vAlign w:val="center"/>
          </w:tcPr>
          <w:p w14:paraId="087AAB2D">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23" w:type="dxa"/>
            <w:vMerge w:val="continue"/>
            <w:noWrap w:val="0"/>
            <w:vAlign w:val="center"/>
          </w:tcPr>
          <w:p w14:paraId="77AEB2C2">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78" w:type="dxa"/>
            <w:noWrap w:val="0"/>
            <w:vAlign w:val="center"/>
          </w:tcPr>
          <w:p w14:paraId="4C3A6737">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_GB2312" w:cs="仿宋"/>
                <w:color w:val="000000"/>
                <w:kern w:val="0"/>
                <w:sz w:val="20"/>
                <w:szCs w:val="20"/>
              </w:rPr>
            </w:pPr>
            <w:r>
              <w:rPr>
                <w:rFonts w:hint="eastAsia" w:ascii="仿宋" w:hAnsi="仿宋" w:eastAsia="仿宋_GB2312" w:cs="仿宋"/>
                <w:color w:val="000000"/>
                <w:kern w:val="0"/>
                <w:sz w:val="20"/>
                <w:szCs w:val="20"/>
              </w:rPr>
              <w:t>时效</w:t>
            </w:r>
          </w:p>
          <w:p w14:paraId="480A78AF">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指标</w:t>
            </w:r>
          </w:p>
        </w:tc>
        <w:tc>
          <w:tcPr>
            <w:tcW w:w="1080" w:type="dxa"/>
            <w:gridSpan w:val="2"/>
            <w:noWrap w:val="0"/>
            <w:vAlign w:val="center"/>
          </w:tcPr>
          <w:p w14:paraId="6E6F94D3">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培训完成进度</w:t>
            </w:r>
          </w:p>
        </w:tc>
        <w:tc>
          <w:tcPr>
            <w:tcW w:w="1180" w:type="dxa"/>
            <w:noWrap w:val="0"/>
            <w:vAlign w:val="center"/>
          </w:tcPr>
          <w:p w14:paraId="5C3DFD7B">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_GB2312" w:cs="仿宋"/>
                <w:color w:val="000000"/>
                <w:kern w:val="0"/>
                <w:sz w:val="20"/>
                <w:szCs w:val="20"/>
                <w:lang w:eastAsia="zh-CN"/>
              </w:rPr>
            </w:pPr>
            <w:r>
              <w:rPr>
                <w:rFonts w:hint="eastAsia" w:ascii="仿宋" w:hAnsi="仿宋" w:eastAsia="仿宋_GB2312" w:cs="仿宋"/>
                <w:color w:val="000000"/>
                <w:kern w:val="0"/>
                <w:sz w:val="20"/>
                <w:szCs w:val="20"/>
                <w:lang w:val="en-US" w:eastAsia="zh-CN"/>
              </w:rPr>
              <w:t>=</w:t>
            </w:r>
            <w:r>
              <w:rPr>
                <w:rFonts w:hint="eastAsia" w:ascii="Times New Roman" w:hAnsi="Times New Roman" w:eastAsia="仿宋_GB2312" w:cs="仿宋"/>
                <w:color w:val="000000"/>
                <w:kern w:val="0"/>
                <w:sz w:val="20"/>
                <w:szCs w:val="20"/>
              </w:rPr>
              <w:t>100</w:t>
            </w:r>
            <w:r>
              <w:rPr>
                <w:rFonts w:hint="eastAsia" w:ascii="Times New Roman" w:hAnsi="Times New Roman" w:eastAsia="仿宋_GB2312" w:cs="仿宋"/>
                <w:color w:val="000000"/>
                <w:kern w:val="0"/>
                <w:sz w:val="20"/>
                <w:szCs w:val="20"/>
                <w:lang w:val="en-US" w:eastAsia="zh-CN"/>
              </w:rPr>
              <w:t>%</w:t>
            </w:r>
          </w:p>
        </w:tc>
        <w:tc>
          <w:tcPr>
            <w:tcW w:w="1119" w:type="dxa"/>
            <w:noWrap w:val="0"/>
            <w:vAlign w:val="center"/>
          </w:tcPr>
          <w:p w14:paraId="1B621F42">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Times New Roman" w:hAnsi="Times New Roman" w:eastAsia="仿宋_GB2312" w:cs="仿宋"/>
                <w:color w:val="000000"/>
                <w:kern w:val="0"/>
                <w:sz w:val="20"/>
                <w:szCs w:val="20"/>
              </w:rPr>
              <w:t>100</w:t>
            </w:r>
            <w:r>
              <w:rPr>
                <w:rFonts w:hint="eastAsia" w:ascii="Times New Roman" w:hAnsi="Times New Roman" w:eastAsia="仿宋_GB2312" w:cs="仿宋"/>
                <w:color w:val="000000"/>
                <w:kern w:val="0"/>
                <w:sz w:val="20"/>
                <w:szCs w:val="20"/>
                <w:lang w:val="en-US" w:eastAsia="zh-CN"/>
              </w:rPr>
              <w:t>%</w:t>
            </w:r>
          </w:p>
        </w:tc>
        <w:tc>
          <w:tcPr>
            <w:tcW w:w="696" w:type="dxa"/>
            <w:noWrap w:val="0"/>
            <w:vAlign w:val="center"/>
          </w:tcPr>
          <w:p w14:paraId="1610A061">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Times New Roman" w:hAnsi="Times New Roman" w:eastAsia="仿宋_GB2312" w:cs="仿宋"/>
                <w:color w:val="000000"/>
                <w:kern w:val="0"/>
                <w:sz w:val="20"/>
                <w:szCs w:val="20"/>
                <w:lang w:val="en-US" w:eastAsia="zh-CN"/>
              </w:rPr>
              <w:t>6</w:t>
            </w:r>
          </w:p>
        </w:tc>
        <w:tc>
          <w:tcPr>
            <w:tcW w:w="716" w:type="dxa"/>
            <w:noWrap w:val="0"/>
            <w:vAlign w:val="center"/>
          </w:tcPr>
          <w:p w14:paraId="24458ADA">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Times New Roman" w:hAnsi="Times New Roman" w:eastAsia="仿宋_GB2312" w:cs="仿宋"/>
                <w:color w:val="000000"/>
                <w:kern w:val="0"/>
                <w:sz w:val="20"/>
                <w:szCs w:val="20"/>
                <w:lang w:val="en-US" w:eastAsia="zh-CN"/>
              </w:rPr>
              <w:t>6</w:t>
            </w:r>
          </w:p>
        </w:tc>
        <w:tc>
          <w:tcPr>
            <w:tcW w:w="1140" w:type="dxa"/>
            <w:noWrap w:val="0"/>
            <w:vAlign w:val="center"/>
          </w:tcPr>
          <w:p w14:paraId="320CA53C">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eastAsia="zh-CN"/>
              </w:rPr>
            </w:pPr>
          </w:p>
        </w:tc>
      </w:tr>
      <w:tr w14:paraId="285F0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 w:hRule="atLeast"/>
          <w:jc w:val="center"/>
        </w:trPr>
        <w:tc>
          <w:tcPr>
            <w:tcW w:w="1130" w:type="dxa"/>
            <w:vMerge w:val="continue"/>
            <w:noWrap w:val="0"/>
            <w:vAlign w:val="center"/>
          </w:tcPr>
          <w:p w14:paraId="17D01FD1">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23" w:type="dxa"/>
            <w:vMerge w:val="restart"/>
            <w:noWrap w:val="0"/>
            <w:vAlign w:val="center"/>
          </w:tcPr>
          <w:p w14:paraId="00A488C8">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_GB2312" w:cs="仿宋"/>
                <w:color w:val="000000"/>
                <w:kern w:val="0"/>
                <w:sz w:val="20"/>
                <w:szCs w:val="20"/>
              </w:rPr>
            </w:pPr>
            <w:r>
              <w:rPr>
                <w:rFonts w:hint="eastAsia" w:ascii="仿宋" w:hAnsi="仿宋" w:eastAsia="仿宋_GB2312" w:cs="仿宋"/>
                <w:color w:val="000000"/>
                <w:kern w:val="0"/>
                <w:sz w:val="20"/>
                <w:szCs w:val="20"/>
              </w:rPr>
              <w:t>效益指标</w:t>
            </w:r>
          </w:p>
          <w:p w14:paraId="57107387">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78" w:type="dxa"/>
            <w:noWrap w:val="0"/>
            <w:vAlign w:val="center"/>
          </w:tcPr>
          <w:p w14:paraId="1A4BBF59">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_GB2312" w:cs="仿宋"/>
                <w:color w:val="000000"/>
                <w:kern w:val="0"/>
                <w:sz w:val="20"/>
                <w:szCs w:val="20"/>
              </w:rPr>
            </w:pPr>
            <w:r>
              <w:rPr>
                <w:rFonts w:hint="eastAsia" w:ascii="仿宋" w:hAnsi="仿宋" w:eastAsia="仿宋_GB2312" w:cs="仿宋"/>
                <w:color w:val="000000"/>
                <w:kern w:val="0"/>
                <w:sz w:val="20"/>
                <w:szCs w:val="20"/>
              </w:rPr>
              <w:t>经济效</w:t>
            </w:r>
          </w:p>
          <w:p w14:paraId="0A01729B">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益指标</w:t>
            </w:r>
          </w:p>
        </w:tc>
        <w:tc>
          <w:tcPr>
            <w:tcW w:w="1080" w:type="dxa"/>
            <w:gridSpan w:val="2"/>
            <w:noWrap w:val="0"/>
            <w:vAlign w:val="center"/>
          </w:tcPr>
          <w:p w14:paraId="7034A671">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为经济发展提供法治保障， 促进经济发展</w:t>
            </w:r>
          </w:p>
        </w:tc>
        <w:tc>
          <w:tcPr>
            <w:tcW w:w="1180" w:type="dxa"/>
            <w:noWrap w:val="0"/>
            <w:vAlign w:val="center"/>
          </w:tcPr>
          <w:p w14:paraId="5329D79A">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_GB2312" w:cs="仿宋"/>
                <w:color w:val="000000"/>
                <w:kern w:val="0"/>
                <w:sz w:val="20"/>
                <w:szCs w:val="20"/>
                <w:lang w:eastAsia="zh-CN"/>
              </w:rPr>
              <w:t>效果明显</w:t>
            </w:r>
          </w:p>
        </w:tc>
        <w:tc>
          <w:tcPr>
            <w:tcW w:w="1119" w:type="dxa"/>
            <w:noWrap w:val="0"/>
            <w:vAlign w:val="center"/>
          </w:tcPr>
          <w:p w14:paraId="29CECD91">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_GB2312" w:cs="仿宋"/>
                <w:color w:val="000000"/>
                <w:kern w:val="0"/>
                <w:sz w:val="20"/>
                <w:szCs w:val="20"/>
                <w:lang w:val="en-US" w:eastAsia="zh-CN"/>
              </w:rPr>
              <w:t>已完成</w:t>
            </w:r>
          </w:p>
        </w:tc>
        <w:tc>
          <w:tcPr>
            <w:tcW w:w="696" w:type="dxa"/>
            <w:noWrap w:val="0"/>
            <w:vAlign w:val="center"/>
          </w:tcPr>
          <w:p w14:paraId="6A8FB6EA">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Times New Roman" w:hAnsi="Times New Roman" w:eastAsia="仿宋_GB2312" w:cs="仿宋"/>
                <w:color w:val="000000"/>
                <w:kern w:val="0"/>
                <w:sz w:val="20"/>
                <w:szCs w:val="20"/>
                <w:lang w:val="en-US" w:eastAsia="zh-CN"/>
              </w:rPr>
              <w:t>7</w:t>
            </w:r>
            <w:r>
              <w:rPr>
                <w:rFonts w:hint="eastAsia" w:ascii="仿宋" w:hAnsi="仿宋" w:eastAsia="仿宋_GB2312" w:cs="仿宋"/>
                <w:color w:val="000000"/>
                <w:kern w:val="0"/>
                <w:sz w:val="20"/>
                <w:szCs w:val="20"/>
                <w:lang w:val="en-US" w:eastAsia="zh-CN"/>
              </w:rPr>
              <w:t>.</w:t>
            </w:r>
            <w:r>
              <w:rPr>
                <w:rFonts w:hint="eastAsia" w:ascii="Times New Roman" w:hAnsi="Times New Roman" w:eastAsia="仿宋_GB2312" w:cs="仿宋"/>
                <w:color w:val="000000"/>
                <w:kern w:val="0"/>
                <w:sz w:val="20"/>
                <w:szCs w:val="20"/>
                <w:lang w:val="en-US" w:eastAsia="zh-CN"/>
              </w:rPr>
              <w:t>5</w:t>
            </w:r>
          </w:p>
        </w:tc>
        <w:tc>
          <w:tcPr>
            <w:tcW w:w="716" w:type="dxa"/>
            <w:noWrap w:val="0"/>
            <w:vAlign w:val="center"/>
          </w:tcPr>
          <w:p w14:paraId="051C7B02">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Times New Roman" w:hAnsi="Times New Roman" w:eastAsia="仿宋_GB2312" w:cs="仿宋"/>
                <w:color w:val="000000"/>
                <w:kern w:val="0"/>
                <w:sz w:val="20"/>
                <w:szCs w:val="20"/>
                <w:lang w:val="en-US" w:eastAsia="zh-CN"/>
              </w:rPr>
              <w:t>7</w:t>
            </w:r>
            <w:r>
              <w:rPr>
                <w:rFonts w:hint="eastAsia" w:ascii="仿宋" w:hAnsi="仿宋" w:eastAsia="仿宋_GB2312" w:cs="仿宋"/>
                <w:color w:val="000000"/>
                <w:kern w:val="0"/>
                <w:sz w:val="20"/>
                <w:szCs w:val="20"/>
                <w:lang w:val="en-US" w:eastAsia="zh-CN"/>
              </w:rPr>
              <w:t>.</w:t>
            </w:r>
            <w:r>
              <w:rPr>
                <w:rFonts w:hint="eastAsia" w:ascii="Times New Roman" w:hAnsi="Times New Roman" w:eastAsia="仿宋_GB2312" w:cs="仿宋"/>
                <w:color w:val="000000"/>
                <w:kern w:val="0"/>
                <w:sz w:val="20"/>
                <w:szCs w:val="20"/>
                <w:lang w:val="en-US" w:eastAsia="zh-CN"/>
              </w:rPr>
              <w:t>5</w:t>
            </w:r>
          </w:p>
        </w:tc>
        <w:tc>
          <w:tcPr>
            <w:tcW w:w="1140" w:type="dxa"/>
            <w:noWrap w:val="0"/>
            <w:vAlign w:val="center"/>
          </w:tcPr>
          <w:p w14:paraId="3D2A72D0">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eastAsia="zh-CN"/>
              </w:rPr>
            </w:pPr>
          </w:p>
        </w:tc>
      </w:tr>
      <w:tr w14:paraId="79798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80" w:hRule="atLeast"/>
          <w:jc w:val="center"/>
        </w:trPr>
        <w:tc>
          <w:tcPr>
            <w:tcW w:w="1130" w:type="dxa"/>
            <w:vMerge w:val="continue"/>
            <w:noWrap w:val="0"/>
            <w:vAlign w:val="center"/>
          </w:tcPr>
          <w:p w14:paraId="3BD0B448">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23" w:type="dxa"/>
            <w:vMerge w:val="continue"/>
            <w:noWrap w:val="0"/>
            <w:vAlign w:val="center"/>
          </w:tcPr>
          <w:p w14:paraId="546D7CBD">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78" w:type="dxa"/>
            <w:noWrap w:val="0"/>
            <w:vAlign w:val="center"/>
          </w:tcPr>
          <w:p w14:paraId="0D5E2944">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_GB2312" w:cs="仿宋"/>
                <w:color w:val="000000"/>
                <w:kern w:val="0"/>
                <w:sz w:val="20"/>
                <w:szCs w:val="20"/>
              </w:rPr>
            </w:pPr>
            <w:r>
              <w:rPr>
                <w:rFonts w:hint="eastAsia" w:ascii="仿宋" w:hAnsi="仿宋" w:eastAsia="仿宋_GB2312" w:cs="仿宋"/>
                <w:color w:val="000000"/>
                <w:kern w:val="0"/>
                <w:sz w:val="20"/>
                <w:szCs w:val="20"/>
              </w:rPr>
              <w:t>社会效</w:t>
            </w:r>
          </w:p>
          <w:p w14:paraId="4D5D3D92">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益指标</w:t>
            </w:r>
          </w:p>
        </w:tc>
        <w:tc>
          <w:tcPr>
            <w:tcW w:w="1080" w:type="dxa"/>
            <w:gridSpan w:val="2"/>
            <w:noWrap w:val="0"/>
            <w:vAlign w:val="center"/>
          </w:tcPr>
          <w:p w14:paraId="08EFF76C">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推进社会法治服务发展大局，为群众提供优质公共法律服务， 维护社会稳定</w:t>
            </w:r>
          </w:p>
        </w:tc>
        <w:tc>
          <w:tcPr>
            <w:tcW w:w="1180" w:type="dxa"/>
            <w:noWrap w:val="0"/>
            <w:vAlign w:val="center"/>
          </w:tcPr>
          <w:p w14:paraId="61DB3320">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_GB2312" w:cs="仿宋"/>
                <w:color w:val="000000"/>
                <w:kern w:val="0"/>
                <w:sz w:val="20"/>
                <w:szCs w:val="20"/>
                <w:lang w:eastAsia="zh-CN"/>
              </w:rPr>
              <w:t>效果明显</w:t>
            </w:r>
          </w:p>
        </w:tc>
        <w:tc>
          <w:tcPr>
            <w:tcW w:w="1119" w:type="dxa"/>
            <w:noWrap w:val="0"/>
            <w:vAlign w:val="center"/>
          </w:tcPr>
          <w:p w14:paraId="73BC6461">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_GB2312" w:cs="仿宋"/>
                <w:color w:val="000000"/>
                <w:kern w:val="0"/>
                <w:sz w:val="20"/>
                <w:szCs w:val="20"/>
                <w:lang w:eastAsia="zh-CN"/>
              </w:rPr>
              <w:t>已完成</w:t>
            </w:r>
          </w:p>
        </w:tc>
        <w:tc>
          <w:tcPr>
            <w:tcW w:w="696" w:type="dxa"/>
            <w:noWrap w:val="0"/>
            <w:vAlign w:val="center"/>
          </w:tcPr>
          <w:p w14:paraId="13262DA6">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bidi="ar-SA"/>
              </w:rPr>
            </w:pPr>
            <w:r>
              <w:rPr>
                <w:rFonts w:hint="eastAsia" w:ascii="Times New Roman" w:hAnsi="Times New Roman" w:eastAsia="仿宋_GB2312" w:cs="仿宋"/>
                <w:color w:val="000000"/>
                <w:kern w:val="0"/>
                <w:sz w:val="20"/>
                <w:szCs w:val="20"/>
                <w:lang w:val="en-US" w:eastAsia="zh-CN"/>
              </w:rPr>
              <w:t>7</w:t>
            </w:r>
            <w:r>
              <w:rPr>
                <w:rFonts w:hint="eastAsia" w:ascii="仿宋" w:hAnsi="仿宋" w:eastAsia="仿宋_GB2312" w:cs="仿宋"/>
                <w:color w:val="000000"/>
                <w:kern w:val="0"/>
                <w:sz w:val="20"/>
                <w:szCs w:val="20"/>
                <w:lang w:val="en-US" w:eastAsia="zh-CN"/>
              </w:rPr>
              <w:t>.</w:t>
            </w:r>
            <w:r>
              <w:rPr>
                <w:rFonts w:hint="eastAsia" w:ascii="Times New Roman" w:hAnsi="Times New Roman" w:eastAsia="仿宋_GB2312" w:cs="仿宋"/>
                <w:color w:val="000000"/>
                <w:kern w:val="0"/>
                <w:sz w:val="20"/>
                <w:szCs w:val="20"/>
                <w:lang w:val="en-US" w:eastAsia="zh-CN"/>
              </w:rPr>
              <w:t>5</w:t>
            </w:r>
          </w:p>
        </w:tc>
        <w:tc>
          <w:tcPr>
            <w:tcW w:w="716" w:type="dxa"/>
            <w:noWrap w:val="0"/>
            <w:vAlign w:val="center"/>
          </w:tcPr>
          <w:p w14:paraId="714AE7BE">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bidi="ar-SA"/>
              </w:rPr>
            </w:pPr>
            <w:r>
              <w:rPr>
                <w:rFonts w:hint="eastAsia" w:ascii="Times New Roman" w:hAnsi="Times New Roman" w:eastAsia="仿宋_GB2312" w:cs="仿宋"/>
                <w:color w:val="000000"/>
                <w:kern w:val="0"/>
                <w:sz w:val="20"/>
                <w:szCs w:val="20"/>
                <w:lang w:val="en-US" w:eastAsia="zh-CN"/>
              </w:rPr>
              <w:t>7</w:t>
            </w:r>
            <w:r>
              <w:rPr>
                <w:rFonts w:hint="eastAsia" w:ascii="仿宋" w:hAnsi="仿宋" w:eastAsia="仿宋_GB2312" w:cs="仿宋"/>
                <w:color w:val="000000"/>
                <w:kern w:val="0"/>
                <w:sz w:val="20"/>
                <w:szCs w:val="20"/>
                <w:lang w:val="en-US" w:eastAsia="zh-CN"/>
              </w:rPr>
              <w:t>.</w:t>
            </w:r>
            <w:r>
              <w:rPr>
                <w:rFonts w:hint="eastAsia" w:ascii="Times New Roman" w:hAnsi="Times New Roman" w:eastAsia="仿宋_GB2312" w:cs="仿宋"/>
                <w:color w:val="000000"/>
                <w:kern w:val="0"/>
                <w:sz w:val="20"/>
                <w:szCs w:val="20"/>
                <w:lang w:val="en-US" w:eastAsia="zh-CN"/>
              </w:rPr>
              <w:t>5</w:t>
            </w:r>
          </w:p>
        </w:tc>
        <w:tc>
          <w:tcPr>
            <w:tcW w:w="1140" w:type="dxa"/>
            <w:noWrap w:val="0"/>
            <w:vAlign w:val="center"/>
          </w:tcPr>
          <w:p w14:paraId="3CB7D937">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eastAsia="zh-CN"/>
              </w:rPr>
            </w:pPr>
          </w:p>
        </w:tc>
      </w:tr>
      <w:tr w14:paraId="57EFE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1130" w:type="dxa"/>
            <w:vMerge w:val="continue"/>
            <w:noWrap w:val="0"/>
            <w:vAlign w:val="center"/>
          </w:tcPr>
          <w:p w14:paraId="34B8A977">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23" w:type="dxa"/>
            <w:vMerge w:val="continue"/>
            <w:noWrap w:val="0"/>
            <w:vAlign w:val="center"/>
          </w:tcPr>
          <w:p w14:paraId="47AB2CC5">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78" w:type="dxa"/>
            <w:noWrap w:val="0"/>
            <w:vAlign w:val="center"/>
          </w:tcPr>
          <w:p w14:paraId="17E5DF11">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_GB2312" w:cs="仿宋"/>
                <w:color w:val="000000"/>
                <w:kern w:val="0"/>
                <w:sz w:val="20"/>
                <w:szCs w:val="20"/>
              </w:rPr>
            </w:pPr>
            <w:r>
              <w:rPr>
                <w:rFonts w:hint="eastAsia" w:ascii="仿宋" w:hAnsi="仿宋" w:eastAsia="仿宋_GB2312" w:cs="仿宋"/>
                <w:color w:val="000000"/>
                <w:kern w:val="0"/>
                <w:sz w:val="20"/>
                <w:szCs w:val="20"/>
              </w:rPr>
              <w:t>生态效</w:t>
            </w:r>
          </w:p>
          <w:p w14:paraId="20E481FC">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益指标</w:t>
            </w:r>
          </w:p>
        </w:tc>
        <w:tc>
          <w:tcPr>
            <w:tcW w:w="1080" w:type="dxa"/>
            <w:gridSpan w:val="2"/>
            <w:noWrap w:val="0"/>
            <w:vAlign w:val="center"/>
          </w:tcPr>
          <w:p w14:paraId="431B371C">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生态执法督查，保护生态环境</w:t>
            </w:r>
          </w:p>
        </w:tc>
        <w:tc>
          <w:tcPr>
            <w:tcW w:w="1180" w:type="dxa"/>
            <w:noWrap w:val="0"/>
            <w:vAlign w:val="center"/>
          </w:tcPr>
          <w:p w14:paraId="4D0FBD0D">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_GB2312" w:cs="仿宋"/>
                <w:color w:val="000000"/>
                <w:kern w:val="0"/>
                <w:sz w:val="20"/>
                <w:szCs w:val="20"/>
                <w:lang w:eastAsia="zh-CN"/>
              </w:rPr>
              <w:t>效果明显</w:t>
            </w:r>
          </w:p>
        </w:tc>
        <w:tc>
          <w:tcPr>
            <w:tcW w:w="1119" w:type="dxa"/>
            <w:noWrap w:val="0"/>
            <w:vAlign w:val="center"/>
          </w:tcPr>
          <w:p w14:paraId="3DCFDD6A">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_GB2312" w:cs="仿宋"/>
                <w:color w:val="000000"/>
                <w:kern w:val="0"/>
                <w:sz w:val="20"/>
                <w:szCs w:val="20"/>
                <w:lang w:eastAsia="zh-CN"/>
              </w:rPr>
              <w:t>已完成</w:t>
            </w:r>
          </w:p>
        </w:tc>
        <w:tc>
          <w:tcPr>
            <w:tcW w:w="696" w:type="dxa"/>
            <w:noWrap w:val="0"/>
            <w:vAlign w:val="center"/>
          </w:tcPr>
          <w:p w14:paraId="4D77CF93">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bidi="ar-SA"/>
              </w:rPr>
            </w:pPr>
            <w:r>
              <w:rPr>
                <w:rFonts w:hint="eastAsia" w:ascii="Times New Roman" w:hAnsi="Times New Roman" w:eastAsia="仿宋_GB2312" w:cs="仿宋"/>
                <w:color w:val="000000"/>
                <w:kern w:val="0"/>
                <w:sz w:val="20"/>
                <w:szCs w:val="20"/>
                <w:lang w:val="en-US" w:eastAsia="zh-CN"/>
              </w:rPr>
              <w:t>7</w:t>
            </w:r>
            <w:r>
              <w:rPr>
                <w:rFonts w:hint="eastAsia" w:ascii="仿宋" w:hAnsi="仿宋" w:eastAsia="仿宋_GB2312" w:cs="仿宋"/>
                <w:color w:val="000000"/>
                <w:kern w:val="0"/>
                <w:sz w:val="20"/>
                <w:szCs w:val="20"/>
                <w:lang w:val="en-US" w:eastAsia="zh-CN"/>
              </w:rPr>
              <w:t>.</w:t>
            </w:r>
            <w:r>
              <w:rPr>
                <w:rFonts w:hint="eastAsia" w:ascii="Times New Roman" w:hAnsi="Times New Roman" w:eastAsia="仿宋_GB2312" w:cs="仿宋"/>
                <w:color w:val="000000"/>
                <w:kern w:val="0"/>
                <w:sz w:val="20"/>
                <w:szCs w:val="20"/>
                <w:lang w:val="en-US" w:eastAsia="zh-CN"/>
              </w:rPr>
              <w:t>5</w:t>
            </w:r>
          </w:p>
        </w:tc>
        <w:tc>
          <w:tcPr>
            <w:tcW w:w="716" w:type="dxa"/>
            <w:noWrap w:val="0"/>
            <w:vAlign w:val="center"/>
          </w:tcPr>
          <w:p w14:paraId="073237CC">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bidi="ar-SA"/>
              </w:rPr>
            </w:pPr>
            <w:r>
              <w:rPr>
                <w:rFonts w:hint="eastAsia" w:ascii="Times New Roman" w:hAnsi="Times New Roman" w:eastAsia="仿宋_GB2312" w:cs="仿宋"/>
                <w:color w:val="000000"/>
                <w:kern w:val="0"/>
                <w:sz w:val="20"/>
                <w:szCs w:val="20"/>
                <w:lang w:val="en-US" w:eastAsia="zh-CN"/>
              </w:rPr>
              <w:t>7</w:t>
            </w:r>
            <w:r>
              <w:rPr>
                <w:rFonts w:hint="eastAsia" w:ascii="仿宋" w:hAnsi="仿宋" w:eastAsia="仿宋_GB2312" w:cs="仿宋"/>
                <w:color w:val="000000"/>
                <w:kern w:val="0"/>
                <w:sz w:val="20"/>
                <w:szCs w:val="20"/>
                <w:lang w:val="en-US" w:eastAsia="zh-CN"/>
              </w:rPr>
              <w:t>.</w:t>
            </w:r>
            <w:r>
              <w:rPr>
                <w:rFonts w:hint="eastAsia" w:ascii="Times New Roman" w:hAnsi="Times New Roman" w:eastAsia="仿宋_GB2312" w:cs="仿宋"/>
                <w:color w:val="000000"/>
                <w:kern w:val="0"/>
                <w:sz w:val="20"/>
                <w:szCs w:val="20"/>
                <w:lang w:val="en-US" w:eastAsia="zh-CN"/>
              </w:rPr>
              <w:t>5</w:t>
            </w:r>
          </w:p>
        </w:tc>
        <w:tc>
          <w:tcPr>
            <w:tcW w:w="1140" w:type="dxa"/>
            <w:noWrap w:val="0"/>
            <w:vAlign w:val="center"/>
          </w:tcPr>
          <w:p w14:paraId="1352F451">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eastAsia="zh-CN"/>
              </w:rPr>
            </w:pPr>
          </w:p>
        </w:tc>
      </w:tr>
      <w:tr w14:paraId="24C92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94" w:hRule="atLeast"/>
          <w:jc w:val="center"/>
        </w:trPr>
        <w:tc>
          <w:tcPr>
            <w:tcW w:w="1130" w:type="dxa"/>
            <w:vMerge w:val="continue"/>
            <w:noWrap w:val="0"/>
            <w:vAlign w:val="center"/>
          </w:tcPr>
          <w:p w14:paraId="7A37F59F">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123" w:type="dxa"/>
            <w:vMerge w:val="continue"/>
            <w:noWrap w:val="0"/>
            <w:vAlign w:val="center"/>
          </w:tcPr>
          <w:p w14:paraId="5C498CEA">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078" w:type="dxa"/>
            <w:noWrap w:val="0"/>
            <w:vAlign w:val="center"/>
          </w:tcPr>
          <w:p w14:paraId="31398FFF">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可持续影响指标</w:t>
            </w:r>
          </w:p>
        </w:tc>
        <w:tc>
          <w:tcPr>
            <w:tcW w:w="1080" w:type="dxa"/>
            <w:gridSpan w:val="2"/>
            <w:noWrap w:val="0"/>
            <w:vAlign w:val="center"/>
          </w:tcPr>
          <w:p w14:paraId="228A5F35">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持续提升司法行政工作水平</w:t>
            </w:r>
          </w:p>
        </w:tc>
        <w:tc>
          <w:tcPr>
            <w:tcW w:w="1180" w:type="dxa"/>
            <w:noWrap w:val="0"/>
            <w:vAlign w:val="center"/>
          </w:tcPr>
          <w:p w14:paraId="4493F0A4">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_GB2312" w:cs="仿宋"/>
                <w:color w:val="000000"/>
                <w:kern w:val="0"/>
                <w:sz w:val="20"/>
                <w:szCs w:val="20"/>
                <w:lang w:eastAsia="zh-CN"/>
              </w:rPr>
              <w:t>效果明显</w:t>
            </w:r>
          </w:p>
        </w:tc>
        <w:tc>
          <w:tcPr>
            <w:tcW w:w="1119" w:type="dxa"/>
            <w:noWrap w:val="0"/>
            <w:vAlign w:val="center"/>
          </w:tcPr>
          <w:p w14:paraId="7386CD36">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_GB2312" w:cs="仿宋"/>
                <w:color w:val="000000"/>
                <w:kern w:val="0"/>
                <w:sz w:val="20"/>
                <w:szCs w:val="20"/>
                <w:lang w:eastAsia="zh-CN"/>
              </w:rPr>
            </w:pPr>
            <w:r>
              <w:rPr>
                <w:rFonts w:hint="eastAsia" w:ascii="仿宋" w:hAnsi="仿宋" w:eastAsia="仿宋_GB2312" w:cs="仿宋"/>
                <w:color w:val="000000"/>
                <w:kern w:val="0"/>
                <w:sz w:val="20"/>
                <w:szCs w:val="20"/>
                <w:lang w:eastAsia="zh-CN"/>
              </w:rPr>
              <w:t>已完成</w:t>
            </w:r>
          </w:p>
        </w:tc>
        <w:tc>
          <w:tcPr>
            <w:tcW w:w="696" w:type="dxa"/>
            <w:noWrap w:val="0"/>
            <w:vAlign w:val="center"/>
          </w:tcPr>
          <w:p w14:paraId="6A0E45C0">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bidi="ar-SA"/>
              </w:rPr>
            </w:pPr>
            <w:r>
              <w:rPr>
                <w:rFonts w:hint="eastAsia" w:ascii="Times New Roman" w:hAnsi="Times New Roman" w:eastAsia="仿宋_GB2312" w:cs="仿宋"/>
                <w:color w:val="000000"/>
                <w:kern w:val="0"/>
                <w:sz w:val="20"/>
                <w:szCs w:val="20"/>
                <w:lang w:val="en-US" w:eastAsia="zh-CN"/>
              </w:rPr>
              <w:t>7</w:t>
            </w:r>
            <w:r>
              <w:rPr>
                <w:rFonts w:hint="eastAsia" w:ascii="仿宋" w:hAnsi="仿宋" w:eastAsia="仿宋_GB2312" w:cs="仿宋"/>
                <w:color w:val="000000"/>
                <w:kern w:val="0"/>
                <w:sz w:val="20"/>
                <w:szCs w:val="20"/>
                <w:lang w:val="en-US" w:eastAsia="zh-CN"/>
              </w:rPr>
              <w:t>.</w:t>
            </w:r>
            <w:r>
              <w:rPr>
                <w:rFonts w:hint="eastAsia" w:ascii="Times New Roman" w:hAnsi="Times New Roman" w:eastAsia="仿宋_GB2312" w:cs="仿宋"/>
                <w:color w:val="000000"/>
                <w:kern w:val="0"/>
                <w:sz w:val="20"/>
                <w:szCs w:val="20"/>
                <w:lang w:val="en-US" w:eastAsia="zh-CN"/>
              </w:rPr>
              <w:t>5</w:t>
            </w:r>
          </w:p>
        </w:tc>
        <w:tc>
          <w:tcPr>
            <w:tcW w:w="716" w:type="dxa"/>
            <w:noWrap w:val="0"/>
            <w:vAlign w:val="center"/>
          </w:tcPr>
          <w:p w14:paraId="7AD750D6">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bidi="ar-SA"/>
              </w:rPr>
            </w:pPr>
            <w:r>
              <w:rPr>
                <w:rFonts w:hint="eastAsia" w:ascii="Times New Roman" w:hAnsi="Times New Roman" w:eastAsia="仿宋_GB2312" w:cs="仿宋"/>
                <w:color w:val="000000"/>
                <w:kern w:val="0"/>
                <w:sz w:val="20"/>
                <w:szCs w:val="20"/>
                <w:lang w:val="en-US" w:eastAsia="zh-CN"/>
              </w:rPr>
              <w:t>7</w:t>
            </w:r>
            <w:r>
              <w:rPr>
                <w:rFonts w:hint="eastAsia" w:ascii="仿宋" w:hAnsi="仿宋" w:eastAsia="仿宋_GB2312" w:cs="仿宋"/>
                <w:color w:val="000000"/>
                <w:kern w:val="0"/>
                <w:sz w:val="20"/>
                <w:szCs w:val="20"/>
                <w:lang w:val="en-US" w:eastAsia="zh-CN"/>
              </w:rPr>
              <w:t>.</w:t>
            </w:r>
            <w:r>
              <w:rPr>
                <w:rFonts w:hint="eastAsia" w:ascii="Times New Roman" w:hAnsi="Times New Roman" w:eastAsia="仿宋_GB2312" w:cs="仿宋"/>
                <w:color w:val="000000"/>
                <w:kern w:val="0"/>
                <w:sz w:val="20"/>
                <w:szCs w:val="20"/>
                <w:lang w:val="en-US" w:eastAsia="zh-CN"/>
              </w:rPr>
              <w:t>5</w:t>
            </w:r>
          </w:p>
        </w:tc>
        <w:tc>
          <w:tcPr>
            <w:tcW w:w="1140" w:type="dxa"/>
            <w:noWrap w:val="0"/>
            <w:vAlign w:val="center"/>
          </w:tcPr>
          <w:p w14:paraId="7E5603A0">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eastAsia="zh-CN"/>
              </w:rPr>
            </w:pPr>
          </w:p>
        </w:tc>
      </w:tr>
      <w:tr w14:paraId="4E9DD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 w:hRule="atLeast"/>
          <w:jc w:val="center"/>
        </w:trPr>
        <w:tc>
          <w:tcPr>
            <w:tcW w:w="1130" w:type="dxa"/>
            <w:vMerge w:val="continue"/>
            <w:noWrap w:val="0"/>
            <w:vAlign w:val="center"/>
          </w:tcPr>
          <w:p w14:paraId="58163158">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rPr>
            </w:pPr>
          </w:p>
        </w:tc>
        <w:tc>
          <w:tcPr>
            <w:tcW w:w="1123" w:type="dxa"/>
            <w:noWrap w:val="0"/>
            <w:vAlign w:val="center"/>
          </w:tcPr>
          <w:p w14:paraId="715D8E93">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_GB2312" w:cs="仿宋"/>
                <w:color w:val="000000"/>
                <w:kern w:val="0"/>
                <w:sz w:val="20"/>
                <w:szCs w:val="20"/>
              </w:rPr>
            </w:pPr>
            <w:r>
              <w:rPr>
                <w:rFonts w:hint="eastAsia" w:ascii="仿宋" w:hAnsi="仿宋" w:eastAsia="仿宋_GB2312" w:cs="仿宋"/>
                <w:color w:val="000000"/>
                <w:kern w:val="0"/>
                <w:sz w:val="20"/>
                <w:szCs w:val="20"/>
              </w:rPr>
              <w:t>满意度</w:t>
            </w:r>
          </w:p>
          <w:p w14:paraId="6E474B4C">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_GB2312" w:cs="仿宋"/>
                <w:color w:val="000000"/>
                <w:kern w:val="0"/>
                <w:sz w:val="20"/>
                <w:szCs w:val="20"/>
              </w:rPr>
            </w:pPr>
            <w:r>
              <w:rPr>
                <w:rFonts w:hint="eastAsia" w:ascii="仿宋" w:hAnsi="仿宋" w:eastAsia="仿宋_GB2312" w:cs="仿宋"/>
                <w:color w:val="000000"/>
                <w:kern w:val="0"/>
                <w:sz w:val="20"/>
                <w:szCs w:val="20"/>
              </w:rPr>
              <w:t>指标</w:t>
            </w:r>
          </w:p>
          <w:p w14:paraId="061725C0">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p>
        </w:tc>
        <w:tc>
          <w:tcPr>
            <w:tcW w:w="1078" w:type="dxa"/>
            <w:noWrap w:val="0"/>
            <w:vAlign w:val="center"/>
          </w:tcPr>
          <w:p w14:paraId="69BFE938">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18"/>
                <w:szCs w:val="18"/>
              </w:rPr>
              <w:t>服务对象满意度指标</w:t>
            </w:r>
          </w:p>
        </w:tc>
        <w:tc>
          <w:tcPr>
            <w:tcW w:w="1080" w:type="dxa"/>
            <w:gridSpan w:val="2"/>
            <w:noWrap w:val="0"/>
            <w:vAlign w:val="center"/>
          </w:tcPr>
          <w:p w14:paraId="75D35096">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val="en-US" w:eastAsia="zh-CN" w:bidi="ar-SA"/>
              </w:rPr>
            </w:pPr>
            <w:r>
              <w:rPr>
                <w:rFonts w:hint="eastAsia" w:ascii="仿宋" w:hAnsi="仿宋" w:eastAsia="仿宋_GB2312" w:cs="仿宋"/>
                <w:color w:val="000000"/>
                <w:kern w:val="0"/>
                <w:sz w:val="20"/>
                <w:szCs w:val="20"/>
              </w:rPr>
              <w:t>法律援助受援人满意度</w:t>
            </w:r>
          </w:p>
        </w:tc>
        <w:tc>
          <w:tcPr>
            <w:tcW w:w="1180" w:type="dxa"/>
            <w:noWrap w:val="0"/>
            <w:vAlign w:val="center"/>
          </w:tcPr>
          <w:p w14:paraId="50A5EC91">
            <w:pPr>
              <w:keepNext w:val="0"/>
              <w:keepLines w:val="0"/>
              <w:pageBreakBefore w:val="0"/>
              <w:widowControl/>
              <w:suppressLineNumbers w:val="0"/>
              <w:shd w:val="clear"/>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w:t>
            </w:r>
            <w:r>
              <w:rPr>
                <w:rFonts w:hint="eastAsia" w:ascii="Times New Roman" w:hAnsi="Times New Roman" w:eastAsia="宋体" w:cs="宋体"/>
                <w:i w:val="0"/>
                <w:iCs w:val="0"/>
                <w:color w:val="000000"/>
                <w:kern w:val="0"/>
                <w:sz w:val="18"/>
                <w:szCs w:val="18"/>
                <w:u w:val="none"/>
                <w:lang w:val="en-US" w:eastAsia="zh-CN" w:bidi="ar"/>
              </w:rPr>
              <w:t>95%</w:t>
            </w:r>
          </w:p>
        </w:tc>
        <w:tc>
          <w:tcPr>
            <w:tcW w:w="1119" w:type="dxa"/>
            <w:noWrap w:val="0"/>
            <w:vAlign w:val="center"/>
          </w:tcPr>
          <w:p w14:paraId="26934341">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Times New Roman" w:hAnsi="Times New Roman" w:eastAsia="仿宋_GB2312" w:cs="仿宋"/>
                <w:color w:val="000000"/>
                <w:kern w:val="0"/>
                <w:sz w:val="20"/>
                <w:szCs w:val="20"/>
                <w:lang w:val="en-US" w:eastAsia="zh-CN"/>
              </w:rPr>
              <w:t>95%</w:t>
            </w:r>
          </w:p>
        </w:tc>
        <w:tc>
          <w:tcPr>
            <w:tcW w:w="696" w:type="dxa"/>
            <w:noWrap w:val="0"/>
            <w:vAlign w:val="center"/>
          </w:tcPr>
          <w:p w14:paraId="4345194E">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Times New Roman" w:hAnsi="Times New Roman" w:eastAsia="仿宋_GB2312" w:cs="仿宋"/>
                <w:color w:val="000000"/>
                <w:kern w:val="0"/>
                <w:sz w:val="20"/>
                <w:szCs w:val="20"/>
                <w:lang w:val="en-US" w:eastAsia="zh-CN"/>
              </w:rPr>
              <w:t>10</w:t>
            </w:r>
          </w:p>
        </w:tc>
        <w:tc>
          <w:tcPr>
            <w:tcW w:w="716" w:type="dxa"/>
            <w:noWrap w:val="0"/>
            <w:vAlign w:val="center"/>
          </w:tcPr>
          <w:p w14:paraId="6E3AC39C">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eastAsia" w:ascii="Times New Roman" w:hAnsi="Times New Roman" w:eastAsia="仿宋_GB2312" w:cs="仿宋"/>
                <w:color w:val="000000"/>
                <w:kern w:val="0"/>
                <w:sz w:val="20"/>
                <w:szCs w:val="20"/>
                <w:lang w:val="en-US" w:eastAsia="zh-CN"/>
              </w:rPr>
              <w:t>10</w:t>
            </w:r>
          </w:p>
        </w:tc>
        <w:tc>
          <w:tcPr>
            <w:tcW w:w="1140" w:type="dxa"/>
            <w:noWrap w:val="0"/>
            <w:vAlign w:val="center"/>
          </w:tcPr>
          <w:p w14:paraId="088A495C">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eastAsia="zh-CN"/>
              </w:rPr>
            </w:pPr>
          </w:p>
        </w:tc>
      </w:tr>
      <w:tr w14:paraId="3AB14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10" w:type="dxa"/>
            <w:gridSpan w:val="7"/>
            <w:noWrap w:val="0"/>
            <w:vAlign w:val="center"/>
          </w:tcPr>
          <w:p w14:paraId="75DA680E">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总分</w:t>
            </w:r>
          </w:p>
        </w:tc>
        <w:tc>
          <w:tcPr>
            <w:tcW w:w="696" w:type="dxa"/>
            <w:noWrap w:val="0"/>
            <w:vAlign w:val="center"/>
          </w:tcPr>
          <w:p w14:paraId="0E267781">
            <w:pPr>
              <w:keepNext w:val="0"/>
              <w:keepLines w:val="0"/>
              <w:pageBreakBefore w:val="0"/>
              <w:widowControl/>
              <w:shd w:val="clear"/>
              <w:kinsoku/>
              <w:wordWrap/>
              <w:overflowPunct/>
              <w:topLinePunct w:val="0"/>
              <w:autoSpaceDE/>
              <w:autoSpaceDN/>
              <w:bidi w:val="0"/>
              <w:adjustRightInd/>
              <w:snapToGrid/>
              <w:spacing w:line="240" w:lineRule="exact"/>
              <w:jc w:val="center"/>
              <w:textAlignment w:val="auto"/>
              <w:rPr>
                <w:rFonts w:hint="eastAsia" w:ascii="仿宋" w:hAnsi="仿宋" w:eastAsia="仿宋" w:cs="仿宋"/>
                <w:color w:val="000000"/>
                <w:kern w:val="0"/>
                <w:sz w:val="20"/>
                <w:szCs w:val="20"/>
              </w:rPr>
            </w:pPr>
            <w:r>
              <w:rPr>
                <w:rFonts w:hint="eastAsia" w:ascii="Times New Roman" w:hAnsi="Times New Roman" w:eastAsia="仿宋_GB2312" w:cs="仿宋"/>
                <w:color w:val="000000"/>
                <w:kern w:val="0"/>
                <w:sz w:val="20"/>
                <w:szCs w:val="20"/>
              </w:rPr>
              <w:t>100</w:t>
            </w:r>
          </w:p>
        </w:tc>
        <w:tc>
          <w:tcPr>
            <w:tcW w:w="716" w:type="dxa"/>
            <w:noWrap w:val="0"/>
            <w:vAlign w:val="center"/>
          </w:tcPr>
          <w:p w14:paraId="4356000D">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default" w:ascii="仿宋" w:hAnsi="仿宋" w:eastAsia="仿宋" w:cs="仿宋"/>
                <w:color w:val="000000"/>
                <w:kern w:val="0"/>
                <w:sz w:val="20"/>
                <w:szCs w:val="20"/>
                <w:lang w:val="en-US" w:eastAsia="zh-CN"/>
              </w:rPr>
            </w:pPr>
            <w:r>
              <w:rPr>
                <w:rFonts w:hint="default" w:ascii="Times New Roman" w:hAnsi="Times New Roman" w:eastAsia="仿宋_GB2312" w:cs="仿宋"/>
                <w:color w:val="000000"/>
                <w:kern w:val="0"/>
                <w:sz w:val="20"/>
                <w:szCs w:val="20"/>
                <w:lang w:val="en-US" w:eastAsia="zh-CN"/>
              </w:rPr>
              <w:t>99</w:t>
            </w:r>
          </w:p>
        </w:tc>
        <w:tc>
          <w:tcPr>
            <w:tcW w:w="1140" w:type="dxa"/>
            <w:noWrap w:val="0"/>
            <w:vAlign w:val="center"/>
          </w:tcPr>
          <w:p w14:paraId="62EE85E5">
            <w:pPr>
              <w:keepNext w:val="0"/>
              <w:keepLines w:val="0"/>
              <w:pageBreakBefore w:val="0"/>
              <w:widowControl/>
              <w:shd w:val="clear"/>
              <w:kinsoku/>
              <w:wordWrap/>
              <w:overflowPunct/>
              <w:topLinePunct w:val="0"/>
              <w:autoSpaceDE/>
              <w:autoSpaceDN/>
              <w:bidi w:val="0"/>
              <w:adjustRightInd/>
              <w:snapToGrid/>
              <w:spacing w:line="240" w:lineRule="exact"/>
              <w:jc w:val="left"/>
              <w:textAlignment w:val="auto"/>
              <w:rPr>
                <w:rFonts w:hint="eastAsia" w:ascii="仿宋" w:hAnsi="仿宋" w:eastAsia="仿宋" w:cs="仿宋"/>
                <w:color w:val="000000"/>
                <w:kern w:val="0"/>
                <w:sz w:val="20"/>
                <w:szCs w:val="20"/>
                <w:lang w:eastAsia="zh-CN"/>
              </w:rPr>
            </w:pPr>
          </w:p>
        </w:tc>
      </w:tr>
    </w:tbl>
    <w:p w14:paraId="5690F7C2">
      <w:pPr>
        <w:widowControl w:val="0"/>
        <w:shd w:val="clear"/>
        <w:kinsoku/>
        <w:autoSpaceDE/>
        <w:autoSpaceDN/>
        <w:adjustRightInd/>
        <w:snapToGrid/>
        <w:spacing w:line="600" w:lineRule="exact"/>
        <w:jc w:val="both"/>
        <w:textAlignment w:val="auto"/>
        <w:rPr>
          <w:rFonts w:hint="default" w:ascii="Times New Roman" w:hAnsi="Times New Roman" w:eastAsia="仿宋_GB2312" w:cs="Times New Roman"/>
          <w:snapToGrid/>
          <w:color w:val="000000"/>
          <w:kern w:val="0"/>
          <w:sz w:val="32"/>
          <w:szCs w:val="32"/>
          <w:lang w:val="en-US" w:eastAsia="zh-CN" w:bidi="ar-SA"/>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刘希敏       </w:t>
      </w:r>
      <w:r>
        <w:rPr>
          <w:rFonts w:hint="default" w:ascii="Times New Roman" w:hAnsi="Times New Roman" w:eastAsia="仿宋_GB2312" w:cs="Times New Roman"/>
          <w:snapToGrid/>
          <w:color w:val="000000"/>
          <w:kern w:val="0"/>
          <w:sz w:val="24"/>
          <w:szCs w:val="24"/>
          <w:lang w:val="en-US" w:eastAsia="zh-CN" w:bidi="ar-SA"/>
        </w:rPr>
        <w:t xml:space="preserve"> 填报日期：</w:t>
      </w:r>
      <w:r>
        <w:rPr>
          <w:rFonts w:hint="eastAsia" w:ascii="Times New Roman" w:hAnsi="Times New Roman" w:eastAsia="仿宋_GB2312" w:cs="Times New Roman"/>
          <w:snapToGrid/>
          <w:color w:val="000000"/>
          <w:kern w:val="0"/>
          <w:sz w:val="24"/>
          <w:szCs w:val="24"/>
          <w:lang w:val="en-US" w:eastAsia="zh-CN" w:bidi="ar-SA"/>
        </w:rPr>
        <w:t xml:space="preserve">2026年6月9日    </w:t>
      </w:r>
      <w:r>
        <w:rPr>
          <w:rFonts w:hint="default" w:ascii="Times New Roman" w:hAnsi="Times New Roman" w:eastAsia="仿宋_GB2312" w:cs="Times New Roman"/>
          <w:snapToGrid/>
          <w:color w:val="000000"/>
          <w:kern w:val="0"/>
          <w:sz w:val="24"/>
          <w:szCs w:val="24"/>
          <w:lang w:val="en-US" w:eastAsia="zh-CN" w:bidi="ar-SA"/>
        </w:rPr>
        <w:t xml:space="preserve"> 联系电话：</w:t>
      </w:r>
      <w:r>
        <w:rPr>
          <w:rFonts w:hint="eastAsia" w:ascii="Times New Roman" w:hAnsi="Times New Roman" w:eastAsia="仿宋_GB2312" w:cs="Times New Roman"/>
          <w:snapToGrid/>
          <w:color w:val="000000"/>
          <w:kern w:val="0"/>
          <w:sz w:val="24"/>
          <w:szCs w:val="24"/>
          <w:lang w:val="en-US" w:eastAsia="zh-CN" w:bidi="ar-SA"/>
        </w:rPr>
        <w:t>2711853</w:t>
      </w:r>
    </w:p>
    <w:p w14:paraId="3369354E">
      <w:pPr>
        <w:shd w:val="clear"/>
        <w:rPr>
          <w:rFonts w:hint="default"/>
          <w:lang w:val="en-US" w:eastAsia="zh-CN"/>
        </w:rPr>
      </w:pPr>
      <w:r>
        <w:rPr>
          <w:rFonts w:hint="default"/>
          <w:lang w:val="en-US" w:eastAsia="zh-CN"/>
        </w:rPr>
        <w:br w:type="page"/>
      </w:r>
    </w:p>
    <w:p w14:paraId="70523CE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t>附件</w:t>
      </w:r>
      <w:r>
        <w:rPr>
          <w:rFonts w:hint="eastAsia" w:ascii="Times New Roman" w:hAnsi="Times New Roman" w:eastAsia="方正小标宋_GBK" w:cs="方正小标宋_GBK"/>
          <w:i w:val="0"/>
          <w:iCs w:val="0"/>
          <w:caps w:val="0"/>
          <w:color w:val="000000"/>
          <w:spacing w:val="0"/>
          <w:sz w:val="24"/>
          <w:szCs w:val="24"/>
          <w:shd w:val="clear" w:fill="FFFFFF"/>
          <w:lang w:val="en-US" w:eastAsia="zh-CN"/>
        </w:rPr>
        <w:t>3</w:t>
      </w:r>
    </w:p>
    <w:p w14:paraId="51830115">
      <w:pPr>
        <w:keepNext w:val="0"/>
        <w:keepLines w:val="0"/>
        <w:pageBreakBefore w:val="0"/>
        <w:widowControl/>
        <w:shd w:val="clear"/>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440" w:lineRule="atLeast"/>
        <w:ind w:left="0"/>
        <w:jc w:val="center"/>
        <w:textAlignment w:val="auto"/>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pPr>
      <w:r>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t>项目支出绩效自评表</w:t>
      </w:r>
    </w:p>
    <w:tbl>
      <w:tblPr>
        <w:tblStyle w:val="8"/>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080"/>
        <w:gridCol w:w="1149"/>
        <w:gridCol w:w="1209"/>
        <w:gridCol w:w="1134"/>
        <w:gridCol w:w="828"/>
        <w:gridCol w:w="873"/>
        <w:gridCol w:w="1418"/>
      </w:tblGrid>
      <w:tr w14:paraId="341B9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1" w:hRule="atLeast"/>
          <w:jc w:val="center"/>
        </w:trPr>
        <w:tc>
          <w:tcPr>
            <w:tcW w:w="1080" w:type="dxa"/>
            <w:noWrap w:val="0"/>
            <w:vAlign w:val="center"/>
          </w:tcPr>
          <w:p w14:paraId="4936BD4D">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_GB2312" w:cs="仿宋"/>
                <w:color w:val="000000"/>
                <w:kern w:val="0"/>
                <w:sz w:val="18"/>
                <w:szCs w:val="18"/>
              </w:rPr>
            </w:pPr>
            <w:r>
              <w:rPr>
                <w:rFonts w:hint="eastAsia" w:ascii="仿宋" w:hAnsi="仿宋" w:eastAsia="仿宋_GB2312" w:cs="仿宋"/>
                <w:color w:val="000000"/>
                <w:kern w:val="0"/>
                <w:sz w:val="18"/>
                <w:szCs w:val="18"/>
              </w:rPr>
              <w:t>项目支</w:t>
            </w:r>
          </w:p>
          <w:p w14:paraId="55B5DBBC">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18"/>
                <w:szCs w:val="18"/>
              </w:rPr>
              <w:t>出名称</w:t>
            </w:r>
          </w:p>
        </w:tc>
        <w:tc>
          <w:tcPr>
            <w:tcW w:w="8771" w:type="dxa"/>
            <w:gridSpan w:val="8"/>
            <w:noWrap w:val="0"/>
            <w:vAlign w:val="center"/>
          </w:tcPr>
          <w:p w14:paraId="0F804A66">
            <w:pPr>
              <w:keepNext w:val="0"/>
              <w:keepLines w:val="0"/>
              <w:pageBreakBefore w:val="0"/>
              <w:widowControl/>
              <w:shd w:val="clear"/>
              <w:kinsoku/>
              <w:wordWrap/>
              <w:overflowPunct/>
              <w:topLinePunct w:val="0"/>
              <w:autoSpaceDE/>
              <w:autoSpaceDN/>
              <w:bidi w:val="0"/>
              <w:adjustRightInd/>
              <w:snapToGrid/>
              <w:spacing w:line="280" w:lineRule="exact"/>
              <w:jc w:val="both"/>
              <w:textAlignment w:val="auto"/>
              <w:rPr>
                <w:rFonts w:hint="eastAsia" w:ascii="仿宋" w:hAnsi="仿宋" w:eastAsia="仿宋_GB2312" w:cs="仿宋"/>
                <w:color w:val="000000"/>
                <w:kern w:val="0"/>
                <w:sz w:val="20"/>
                <w:szCs w:val="20"/>
                <w:lang w:eastAsia="zh-CN"/>
              </w:rPr>
            </w:pPr>
            <w:r>
              <w:rPr>
                <w:rFonts w:hint="eastAsia" w:ascii="仿宋" w:hAnsi="仿宋" w:eastAsia="仿宋_GB2312" w:cs="仿宋"/>
                <w:color w:val="000000"/>
                <w:kern w:val="0"/>
                <w:sz w:val="20"/>
                <w:szCs w:val="20"/>
                <w:lang w:eastAsia="zh-CN"/>
              </w:rPr>
              <w:t>国家统一法律职业资格考试经费</w:t>
            </w:r>
          </w:p>
        </w:tc>
      </w:tr>
      <w:tr w14:paraId="2AA46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55" w:hRule="atLeast"/>
          <w:jc w:val="center"/>
        </w:trPr>
        <w:tc>
          <w:tcPr>
            <w:tcW w:w="1080" w:type="dxa"/>
            <w:noWrap w:val="0"/>
            <w:vAlign w:val="center"/>
          </w:tcPr>
          <w:p w14:paraId="21B995F2">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主管部门</w:t>
            </w:r>
          </w:p>
        </w:tc>
        <w:tc>
          <w:tcPr>
            <w:tcW w:w="4518" w:type="dxa"/>
            <w:gridSpan w:val="4"/>
            <w:noWrap w:val="0"/>
            <w:vAlign w:val="center"/>
          </w:tcPr>
          <w:p w14:paraId="553C5C14">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_GB2312" w:cs="仿宋"/>
                <w:color w:val="000000"/>
                <w:kern w:val="0"/>
                <w:sz w:val="20"/>
                <w:szCs w:val="20"/>
                <w:lang w:eastAsia="zh-CN"/>
              </w:rPr>
              <w:t>怀化市司法局</w:t>
            </w:r>
          </w:p>
        </w:tc>
        <w:tc>
          <w:tcPr>
            <w:tcW w:w="1134" w:type="dxa"/>
            <w:noWrap w:val="0"/>
            <w:vAlign w:val="center"/>
          </w:tcPr>
          <w:p w14:paraId="17967A71">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实施单位</w:t>
            </w:r>
          </w:p>
        </w:tc>
        <w:tc>
          <w:tcPr>
            <w:tcW w:w="3119" w:type="dxa"/>
            <w:gridSpan w:val="3"/>
            <w:noWrap w:val="0"/>
            <w:vAlign w:val="center"/>
          </w:tcPr>
          <w:p w14:paraId="53DE371C">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_GB2312" w:cs="仿宋"/>
                <w:color w:val="000000"/>
                <w:kern w:val="0"/>
                <w:sz w:val="20"/>
                <w:szCs w:val="20"/>
                <w:lang w:eastAsia="zh-CN"/>
              </w:rPr>
              <w:t>怀化市司法局</w:t>
            </w:r>
          </w:p>
        </w:tc>
      </w:tr>
      <w:tr w14:paraId="059D1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1080" w:type="dxa"/>
            <w:vMerge w:val="restart"/>
            <w:noWrap w:val="0"/>
            <w:vAlign w:val="center"/>
          </w:tcPr>
          <w:p w14:paraId="38038FF6">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项目资金</w:t>
            </w:r>
            <w:r>
              <w:rPr>
                <w:rFonts w:hint="eastAsia" w:ascii="仿宋" w:hAnsi="仿宋" w:eastAsia="仿宋_GB2312" w:cs="仿宋"/>
                <w:color w:val="000000"/>
                <w:kern w:val="0"/>
                <w:sz w:val="20"/>
                <w:szCs w:val="20"/>
              </w:rPr>
              <w:br w:type="textWrapping"/>
            </w:r>
            <w:r>
              <w:rPr>
                <w:rFonts w:hint="eastAsia" w:ascii="仿宋" w:hAnsi="仿宋" w:eastAsia="仿宋_GB2312" w:cs="仿宋"/>
                <w:color w:val="000000"/>
                <w:kern w:val="0"/>
                <w:sz w:val="20"/>
                <w:szCs w:val="20"/>
              </w:rPr>
              <w:t>（万元）</w:t>
            </w:r>
          </w:p>
        </w:tc>
        <w:tc>
          <w:tcPr>
            <w:tcW w:w="2160" w:type="dxa"/>
            <w:gridSpan w:val="2"/>
            <w:noWrap w:val="0"/>
            <w:vAlign w:val="center"/>
          </w:tcPr>
          <w:p w14:paraId="61BB72E9">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c>
          <w:tcPr>
            <w:tcW w:w="1149" w:type="dxa"/>
            <w:noWrap w:val="0"/>
            <w:vAlign w:val="center"/>
          </w:tcPr>
          <w:p w14:paraId="3AF6A7C9">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_GB2312" w:cs="仿宋"/>
                <w:color w:val="000000"/>
                <w:kern w:val="0"/>
                <w:sz w:val="20"/>
                <w:szCs w:val="20"/>
              </w:rPr>
            </w:pPr>
            <w:r>
              <w:rPr>
                <w:rFonts w:hint="eastAsia" w:ascii="仿宋" w:hAnsi="仿宋" w:eastAsia="仿宋_GB2312" w:cs="仿宋"/>
                <w:color w:val="000000"/>
                <w:kern w:val="0"/>
                <w:sz w:val="20"/>
                <w:szCs w:val="20"/>
              </w:rPr>
              <w:t>年初</w:t>
            </w:r>
          </w:p>
          <w:p w14:paraId="36C67078">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预算数</w:t>
            </w:r>
          </w:p>
        </w:tc>
        <w:tc>
          <w:tcPr>
            <w:tcW w:w="1209" w:type="dxa"/>
            <w:noWrap w:val="0"/>
            <w:vAlign w:val="center"/>
          </w:tcPr>
          <w:p w14:paraId="65B6D8E1">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_GB2312" w:cs="仿宋"/>
                <w:color w:val="000000"/>
                <w:kern w:val="0"/>
                <w:sz w:val="20"/>
                <w:szCs w:val="20"/>
              </w:rPr>
            </w:pPr>
            <w:r>
              <w:rPr>
                <w:rFonts w:hint="eastAsia" w:ascii="仿宋" w:hAnsi="仿宋" w:eastAsia="仿宋_GB2312" w:cs="仿宋"/>
                <w:color w:val="000000"/>
                <w:kern w:val="0"/>
                <w:sz w:val="20"/>
                <w:szCs w:val="20"/>
              </w:rPr>
              <w:t>全年</w:t>
            </w:r>
          </w:p>
          <w:p w14:paraId="34B80C06">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预算数</w:t>
            </w:r>
          </w:p>
        </w:tc>
        <w:tc>
          <w:tcPr>
            <w:tcW w:w="1134" w:type="dxa"/>
            <w:noWrap w:val="0"/>
            <w:vAlign w:val="center"/>
          </w:tcPr>
          <w:p w14:paraId="2A54D6E5">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_GB2312" w:cs="仿宋"/>
                <w:sz w:val="20"/>
                <w:szCs w:val="20"/>
              </w:rPr>
            </w:pPr>
            <w:r>
              <w:rPr>
                <w:rFonts w:hint="eastAsia" w:ascii="仿宋" w:hAnsi="仿宋" w:eastAsia="仿宋_GB2312" w:cs="仿宋"/>
                <w:sz w:val="20"/>
                <w:szCs w:val="20"/>
              </w:rPr>
              <w:t>全年</w:t>
            </w:r>
          </w:p>
          <w:p w14:paraId="2BB9EF59">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_GB2312" w:cs="仿宋"/>
                <w:sz w:val="20"/>
                <w:szCs w:val="20"/>
              </w:rPr>
              <w:t>执行数</w:t>
            </w:r>
          </w:p>
        </w:tc>
        <w:tc>
          <w:tcPr>
            <w:tcW w:w="828" w:type="dxa"/>
            <w:noWrap w:val="0"/>
            <w:vAlign w:val="center"/>
          </w:tcPr>
          <w:p w14:paraId="6AA30123">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_GB2312" w:cs="仿宋"/>
                <w:sz w:val="20"/>
                <w:szCs w:val="20"/>
              </w:rPr>
              <w:t>分值</w:t>
            </w:r>
          </w:p>
        </w:tc>
        <w:tc>
          <w:tcPr>
            <w:tcW w:w="873" w:type="dxa"/>
            <w:noWrap w:val="0"/>
            <w:vAlign w:val="center"/>
          </w:tcPr>
          <w:p w14:paraId="4EF917C5">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_GB2312" w:cs="仿宋"/>
                <w:sz w:val="20"/>
                <w:szCs w:val="20"/>
              </w:rPr>
              <w:t>执行率</w:t>
            </w:r>
          </w:p>
        </w:tc>
        <w:tc>
          <w:tcPr>
            <w:tcW w:w="1418" w:type="dxa"/>
            <w:noWrap w:val="0"/>
            <w:vAlign w:val="center"/>
          </w:tcPr>
          <w:p w14:paraId="7E2200CD">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_GB2312" w:cs="仿宋"/>
                <w:sz w:val="20"/>
                <w:szCs w:val="20"/>
              </w:rPr>
              <w:t>得分</w:t>
            </w:r>
          </w:p>
        </w:tc>
      </w:tr>
      <w:tr w14:paraId="33911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1080" w:type="dxa"/>
            <w:vMerge w:val="continue"/>
            <w:noWrap w:val="0"/>
            <w:vAlign w:val="center"/>
          </w:tcPr>
          <w:p w14:paraId="48117AC8">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4D3AE6DF">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_GB2312" w:cs="仿宋"/>
                <w:color w:val="000000"/>
                <w:kern w:val="0"/>
                <w:sz w:val="20"/>
                <w:szCs w:val="20"/>
                <w:lang w:eastAsia="zh-CN"/>
              </w:rPr>
            </w:pPr>
            <w:r>
              <w:rPr>
                <w:rFonts w:hint="eastAsia" w:ascii="仿宋" w:hAnsi="仿宋" w:eastAsia="仿宋_GB2312" w:cs="仿宋"/>
                <w:color w:val="000000"/>
                <w:kern w:val="0"/>
                <w:sz w:val="20"/>
                <w:szCs w:val="20"/>
              </w:rPr>
              <w:t>年度资金总额</w:t>
            </w:r>
          </w:p>
        </w:tc>
        <w:tc>
          <w:tcPr>
            <w:tcW w:w="1149" w:type="dxa"/>
            <w:noWrap w:val="0"/>
            <w:vAlign w:val="center"/>
          </w:tcPr>
          <w:p w14:paraId="3B64BEE6">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Times New Roman" w:hAnsi="Times New Roman" w:eastAsia="仿宋_GB2312" w:cs="仿宋"/>
                <w:color w:val="000000"/>
                <w:kern w:val="0"/>
                <w:sz w:val="20"/>
                <w:szCs w:val="20"/>
                <w:lang w:val="en-US" w:eastAsia="zh-CN"/>
              </w:rPr>
              <w:t>38</w:t>
            </w:r>
          </w:p>
        </w:tc>
        <w:tc>
          <w:tcPr>
            <w:tcW w:w="1209" w:type="dxa"/>
            <w:noWrap w:val="0"/>
            <w:vAlign w:val="center"/>
          </w:tcPr>
          <w:p w14:paraId="461C12C7">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Times New Roman" w:hAnsi="Times New Roman" w:eastAsia="仿宋_GB2312" w:cs="仿宋"/>
                <w:color w:val="000000"/>
                <w:kern w:val="0"/>
                <w:sz w:val="20"/>
                <w:szCs w:val="20"/>
                <w:lang w:val="en-US" w:eastAsia="zh-CN"/>
              </w:rPr>
              <w:t>33</w:t>
            </w:r>
            <w:r>
              <w:rPr>
                <w:rFonts w:hint="eastAsia" w:ascii="仿宋" w:hAnsi="仿宋" w:eastAsia="仿宋_GB2312" w:cs="仿宋"/>
                <w:color w:val="000000"/>
                <w:kern w:val="0"/>
                <w:sz w:val="20"/>
                <w:szCs w:val="20"/>
                <w:lang w:val="en-US" w:eastAsia="zh-CN"/>
              </w:rPr>
              <w:t>.</w:t>
            </w:r>
            <w:r>
              <w:rPr>
                <w:rFonts w:hint="eastAsia" w:ascii="Times New Roman" w:hAnsi="Times New Roman" w:eastAsia="仿宋_GB2312" w:cs="仿宋"/>
                <w:color w:val="000000"/>
                <w:kern w:val="0"/>
                <w:sz w:val="20"/>
                <w:szCs w:val="20"/>
                <w:lang w:val="en-US" w:eastAsia="zh-CN"/>
              </w:rPr>
              <w:t>15</w:t>
            </w:r>
          </w:p>
        </w:tc>
        <w:tc>
          <w:tcPr>
            <w:tcW w:w="1134" w:type="dxa"/>
            <w:noWrap w:val="0"/>
            <w:vAlign w:val="center"/>
          </w:tcPr>
          <w:p w14:paraId="7B840389">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Times New Roman" w:hAnsi="Times New Roman" w:eastAsia="仿宋_GB2312" w:cs="仿宋"/>
                <w:color w:val="000000"/>
                <w:kern w:val="0"/>
                <w:sz w:val="20"/>
                <w:szCs w:val="20"/>
                <w:lang w:val="en-US" w:eastAsia="zh-CN"/>
              </w:rPr>
              <w:t>33</w:t>
            </w:r>
            <w:r>
              <w:rPr>
                <w:rFonts w:hint="eastAsia" w:ascii="仿宋" w:hAnsi="仿宋" w:eastAsia="仿宋_GB2312" w:cs="仿宋"/>
                <w:color w:val="000000"/>
                <w:kern w:val="0"/>
                <w:sz w:val="20"/>
                <w:szCs w:val="20"/>
                <w:lang w:val="en-US" w:eastAsia="zh-CN"/>
              </w:rPr>
              <w:t>.</w:t>
            </w:r>
            <w:r>
              <w:rPr>
                <w:rFonts w:hint="eastAsia" w:ascii="Times New Roman" w:hAnsi="Times New Roman" w:eastAsia="仿宋_GB2312" w:cs="仿宋"/>
                <w:color w:val="000000"/>
                <w:kern w:val="0"/>
                <w:sz w:val="20"/>
                <w:szCs w:val="20"/>
                <w:lang w:val="en-US" w:eastAsia="zh-CN"/>
              </w:rPr>
              <w:t>15</w:t>
            </w:r>
          </w:p>
        </w:tc>
        <w:tc>
          <w:tcPr>
            <w:tcW w:w="828" w:type="dxa"/>
            <w:noWrap w:val="0"/>
            <w:vAlign w:val="center"/>
          </w:tcPr>
          <w:p w14:paraId="64F6DC5B">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Times New Roman" w:hAnsi="Times New Roman" w:eastAsia="仿宋_GB2312" w:cs="仿宋"/>
                <w:color w:val="000000"/>
                <w:kern w:val="0"/>
                <w:sz w:val="20"/>
                <w:szCs w:val="20"/>
              </w:rPr>
              <w:t>10</w:t>
            </w:r>
          </w:p>
        </w:tc>
        <w:tc>
          <w:tcPr>
            <w:tcW w:w="873" w:type="dxa"/>
            <w:noWrap w:val="0"/>
            <w:vAlign w:val="center"/>
          </w:tcPr>
          <w:p w14:paraId="4776297E">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Times New Roman" w:hAnsi="Times New Roman" w:eastAsia="仿宋_GB2312" w:cs="仿宋"/>
                <w:color w:val="000000"/>
                <w:kern w:val="0"/>
                <w:sz w:val="20"/>
                <w:szCs w:val="20"/>
                <w:lang w:val="en-US" w:eastAsia="zh-CN"/>
              </w:rPr>
              <w:t>100%</w:t>
            </w:r>
          </w:p>
        </w:tc>
        <w:tc>
          <w:tcPr>
            <w:tcW w:w="1418" w:type="dxa"/>
            <w:noWrap w:val="0"/>
            <w:vAlign w:val="center"/>
          </w:tcPr>
          <w:p w14:paraId="4D90CF81">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Times New Roman" w:hAnsi="Times New Roman" w:eastAsia="仿宋_GB2312" w:cs="仿宋"/>
                <w:color w:val="000000"/>
                <w:kern w:val="0"/>
                <w:sz w:val="20"/>
                <w:szCs w:val="20"/>
                <w:lang w:val="en-US" w:eastAsia="zh-CN"/>
              </w:rPr>
              <w:t>10</w:t>
            </w:r>
          </w:p>
        </w:tc>
      </w:tr>
      <w:tr w14:paraId="45CC5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1080" w:type="dxa"/>
            <w:vMerge w:val="continue"/>
            <w:noWrap w:val="0"/>
            <w:vAlign w:val="center"/>
          </w:tcPr>
          <w:p w14:paraId="0DE69948">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7D709DAB">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_GB2312" w:cs="仿宋"/>
                <w:color w:val="000000"/>
                <w:kern w:val="0"/>
                <w:sz w:val="20"/>
                <w:szCs w:val="20"/>
                <w:lang w:eastAsia="zh-CN"/>
              </w:rPr>
            </w:pPr>
            <w:r>
              <w:rPr>
                <w:rFonts w:hint="eastAsia" w:ascii="仿宋" w:hAnsi="仿宋" w:eastAsia="仿宋_GB2312" w:cs="仿宋"/>
                <w:color w:val="000000"/>
                <w:kern w:val="0"/>
                <w:sz w:val="20"/>
                <w:szCs w:val="20"/>
              </w:rPr>
              <w:t>其中：当年财政拨款</w:t>
            </w:r>
          </w:p>
        </w:tc>
        <w:tc>
          <w:tcPr>
            <w:tcW w:w="1149" w:type="dxa"/>
            <w:noWrap w:val="0"/>
            <w:vAlign w:val="center"/>
          </w:tcPr>
          <w:p w14:paraId="29744F17">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bidi="ar-SA"/>
              </w:rPr>
            </w:pPr>
            <w:r>
              <w:rPr>
                <w:rFonts w:hint="eastAsia" w:ascii="Times New Roman" w:hAnsi="Times New Roman" w:eastAsia="仿宋_GB2312" w:cs="仿宋"/>
                <w:color w:val="000000"/>
                <w:kern w:val="0"/>
                <w:sz w:val="20"/>
                <w:szCs w:val="20"/>
                <w:lang w:val="en-US" w:eastAsia="zh-CN"/>
              </w:rPr>
              <w:t>38</w:t>
            </w:r>
          </w:p>
        </w:tc>
        <w:tc>
          <w:tcPr>
            <w:tcW w:w="1209" w:type="dxa"/>
            <w:noWrap w:val="0"/>
            <w:vAlign w:val="center"/>
          </w:tcPr>
          <w:p w14:paraId="5C010A26">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bidi="ar-SA"/>
              </w:rPr>
            </w:pPr>
            <w:r>
              <w:rPr>
                <w:rFonts w:hint="eastAsia" w:ascii="Times New Roman" w:hAnsi="Times New Roman" w:eastAsia="仿宋_GB2312" w:cs="仿宋"/>
                <w:color w:val="000000"/>
                <w:kern w:val="0"/>
                <w:sz w:val="20"/>
                <w:szCs w:val="20"/>
                <w:lang w:val="en-US" w:eastAsia="zh-CN"/>
              </w:rPr>
              <w:t>33</w:t>
            </w:r>
            <w:r>
              <w:rPr>
                <w:rFonts w:hint="eastAsia" w:ascii="仿宋" w:hAnsi="仿宋" w:eastAsia="仿宋_GB2312" w:cs="仿宋"/>
                <w:color w:val="000000"/>
                <w:kern w:val="0"/>
                <w:sz w:val="20"/>
                <w:szCs w:val="20"/>
                <w:lang w:val="en-US" w:eastAsia="zh-CN"/>
              </w:rPr>
              <w:t>.</w:t>
            </w:r>
            <w:r>
              <w:rPr>
                <w:rFonts w:hint="eastAsia" w:ascii="Times New Roman" w:hAnsi="Times New Roman" w:eastAsia="仿宋_GB2312" w:cs="仿宋"/>
                <w:color w:val="000000"/>
                <w:kern w:val="0"/>
                <w:sz w:val="20"/>
                <w:szCs w:val="20"/>
                <w:lang w:val="en-US" w:eastAsia="zh-CN"/>
              </w:rPr>
              <w:t>15</w:t>
            </w:r>
          </w:p>
        </w:tc>
        <w:tc>
          <w:tcPr>
            <w:tcW w:w="1134" w:type="dxa"/>
            <w:noWrap w:val="0"/>
            <w:vAlign w:val="center"/>
          </w:tcPr>
          <w:p w14:paraId="79B48230">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bidi="ar-SA"/>
              </w:rPr>
            </w:pPr>
            <w:r>
              <w:rPr>
                <w:rFonts w:hint="eastAsia" w:ascii="Times New Roman" w:hAnsi="Times New Roman" w:eastAsia="仿宋_GB2312" w:cs="仿宋"/>
                <w:color w:val="000000"/>
                <w:kern w:val="0"/>
                <w:sz w:val="20"/>
                <w:szCs w:val="20"/>
                <w:lang w:val="en-US" w:eastAsia="zh-CN"/>
              </w:rPr>
              <w:t>33</w:t>
            </w:r>
            <w:r>
              <w:rPr>
                <w:rFonts w:hint="eastAsia" w:ascii="仿宋" w:hAnsi="仿宋" w:eastAsia="仿宋_GB2312" w:cs="仿宋"/>
                <w:color w:val="000000"/>
                <w:kern w:val="0"/>
                <w:sz w:val="20"/>
                <w:szCs w:val="20"/>
                <w:lang w:val="en-US" w:eastAsia="zh-CN"/>
              </w:rPr>
              <w:t>.</w:t>
            </w:r>
            <w:r>
              <w:rPr>
                <w:rFonts w:hint="eastAsia" w:ascii="Times New Roman" w:hAnsi="Times New Roman" w:eastAsia="仿宋_GB2312" w:cs="仿宋"/>
                <w:color w:val="000000"/>
                <w:kern w:val="0"/>
                <w:sz w:val="20"/>
                <w:szCs w:val="20"/>
                <w:lang w:val="en-US" w:eastAsia="zh-CN"/>
              </w:rPr>
              <w:t>15</w:t>
            </w:r>
          </w:p>
        </w:tc>
        <w:tc>
          <w:tcPr>
            <w:tcW w:w="828" w:type="dxa"/>
            <w:noWrap w:val="0"/>
            <w:vAlign w:val="center"/>
          </w:tcPr>
          <w:p w14:paraId="60162E2C">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bidi="ar-SA"/>
              </w:rPr>
            </w:pPr>
            <w:r>
              <w:rPr>
                <w:rFonts w:hint="eastAsia" w:ascii="Times New Roman" w:hAnsi="Times New Roman" w:eastAsia="仿宋_GB2312" w:cs="仿宋"/>
                <w:color w:val="000000"/>
                <w:kern w:val="0"/>
                <w:sz w:val="20"/>
                <w:szCs w:val="20"/>
              </w:rPr>
              <w:t>10</w:t>
            </w:r>
          </w:p>
        </w:tc>
        <w:tc>
          <w:tcPr>
            <w:tcW w:w="873" w:type="dxa"/>
            <w:noWrap w:val="0"/>
            <w:vAlign w:val="center"/>
          </w:tcPr>
          <w:p w14:paraId="4E0DB1C5">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bidi="ar-SA"/>
              </w:rPr>
            </w:pPr>
            <w:r>
              <w:rPr>
                <w:rFonts w:hint="eastAsia" w:ascii="Times New Roman" w:hAnsi="Times New Roman" w:eastAsia="仿宋_GB2312" w:cs="仿宋"/>
                <w:color w:val="000000"/>
                <w:kern w:val="0"/>
                <w:sz w:val="20"/>
                <w:szCs w:val="20"/>
                <w:lang w:val="en-US" w:eastAsia="zh-CN"/>
              </w:rPr>
              <w:t>100%</w:t>
            </w:r>
          </w:p>
        </w:tc>
        <w:tc>
          <w:tcPr>
            <w:tcW w:w="1418" w:type="dxa"/>
            <w:noWrap w:val="0"/>
            <w:vAlign w:val="center"/>
          </w:tcPr>
          <w:p w14:paraId="07324511">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bidi="ar-SA"/>
              </w:rPr>
            </w:pPr>
            <w:r>
              <w:rPr>
                <w:rFonts w:hint="eastAsia" w:ascii="Times New Roman" w:hAnsi="Times New Roman" w:eastAsia="仿宋_GB2312" w:cs="仿宋"/>
                <w:color w:val="000000"/>
                <w:kern w:val="0"/>
                <w:sz w:val="20"/>
                <w:szCs w:val="20"/>
                <w:lang w:val="en-US" w:eastAsia="zh-CN"/>
              </w:rPr>
              <w:t>10</w:t>
            </w:r>
          </w:p>
        </w:tc>
      </w:tr>
      <w:tr w14:paraId="43D38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1080" w:type="dxa"/>
            <w:vMerge w:val="continue"/>
            <w:noWrap w:val="0"/>
            <w:vAlign w:val="center"/>
          </w:tcPr>
          <w:p w14:paraId="1B3527CD">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124A3607">
            <w:pPr>
              <w:keepNext w:val="0"/>
              <w:keepLines w:val="0"/>
              <w:pageBreakBefore w:val="0"/>
              <w:widowControl/>
              <w:shd w:val="clear"/>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_GB2312" w:cs="仿宋"/>
                <w:color w:val="000000"/>
                <w:kern w:val="0"/>
                <w:sz w:val="20"/>
                <w:szCs w:val="20"/>
                <w:lang w:eastAsia="zh-CN"/>
              </w:rPr>
            </w:pPr>
            <w:r>
              <w:rPr>
                <w:rFonts w:hint="eastAsia" w:ascii="仿宋" w:hAnsi="仿宋" w:eastAsia="仿宋_GB2312" w:cs="仿宋"/>
                <w:color w:val="000000"/>
                <w:kern w:val="0"/>
                <w:sz w:val="20"/>
                <w:szCs w:val="20"/>
              </w:rPr>
              <w:t>上年结转资金</w:t>
            </w:r>
          </w:p>
        </w:tc>
        <w:tc>
          <w:tcPr>
            <w:tcW w:w="1149" w:type="dxa"/>
            <w:noWrap w:val="0"/>
            <w:vAlign w:val="center"/>
          </w:tcPr>
          <w:p w14:paraId="3051E79B">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c>
          <w:tcPr>
            <w:tcW w:w="1209" w:type="dxa"/>
            <w:noWrap w:val="0"/>
            <w:vAlign w:val="center"/>
          </w:tcPr>
          <w:p w14:paraId="26BB4732">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c>
          <w:tcPr>
            <w:tcW w:w="1134" w:type="dxa"/>
            <w:noWrap w:val="0"/>
            <w:vAlign w:val="center"/>
          </w:tcPr>
          <w:p w14:paraId="2CA1FBB8">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c>
          <w:tcPr>
            <w:tcW w:w="828" w:type="dxa"/>
            <w:noWrap w:val="0"/>
            <w:vAlign w:val="center"/>
          </w:tcPr>
          <w:p w14:paraId="3BDAE7F9">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c>
          <w:tcPr>
            <w:tcW w:w="873" w:type="dxa"/>
            <w:noWrap w:val="0"/>
            <w:vAlign w:val="center"/>
          </w:tcPr>
          <w:p w14:paraId="5C508294">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c>
          <w:tcPr>
            <w:tcW w:w="1418" w:type="dxa"/>
            <w:noWrap w:val="0"/>
            <w:vAlign w:val="center"/>
          </w:tcPr>
          <w:p w14:paraId="2DDE6619">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r>
      <w:tr w14:paraId="539DB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5" w:hRule="atLeast"/>
          <w:jc w:val="center"/>
        </w:trPr>
        <w:tc>
          <w:tcPr>
            <w:tcW w:w="1080" w:type="dxa"/>
            <w:vMerge w:val="continue"/>
            <w:noWrap w:val="0"/>
            <w:vAlign w:val="center"/>
          </w:tcPr>
          <w:p w14:paraId="35F4D743">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160" w:type="dxa"/>
            <w:gridSpan w:val="2"/>
            <w:noWrap w:val="0"/>
            <w:vAlign w:val="center"/>
          </w:tcPr>
          <w:p w14:paraId="23EF7DE4">
            <w:pPr>
              <w:keepNext w:val="0"/>
              <w:keepLines w:val="0"/>
              <w:pageBreakBefore w:val="0"/>
              <w:widowControl/>
              <w:shd w:val="clear"/>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其他资金</w:t>
            </w:r>
          </w:p>
        </w:tc>
        <w:tc>
          <w:tcPr>
            <w:tcW w:w="1149" w:type="dxa"/>
            <w:noWrap w:val="0"/>
            <w:vAlign w:val="center"/>
          </w:tcPr>
          <w:p w14:paraId="706C65B4">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c>
          <w:tcPr>
            <w:tcW w:w="1209" w:type="dxa"/>
            <w:noWrap w:val="0"/>
            <w:vAlign w:val="center"/>
          </w:tcPr>
          <w:p w14:paraId="13FD80DD">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c>
          <w:tcPr>
            <w:tcW w:w="1134" w:type="dxa"/>
            <w:noWrap w:val="0"/>
            <w:vAlign w:val="center"/>
          </w:tcPr>
          <w:p w14:paraId="5DF2CC02">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c>
          <w:tcPr>
            <w:tcW w:w="828" w:type="dxa"/>
            <w:noWrap w:val="0"/>
            <w:vAlign w:val="center"/>
          </w:tcPr>
          <w:p w14:paraId="5D5AFA63">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c>
          <w:tcPr>
            <w:tcW w:w="873" w:type="dxa"/>
            <w:noWrap w:val="0"/>
            <w:vAlign w:val="center"/>
          </w:tcPr>
          <w:p w14:paraId="583FE2A4">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c>
          <w:tcPr>
            <w:tcW w:w="1418" w:type="dxa"/>
            <w:noWrap w:val="0"/>
            <w:vAlign w:val="center"/>
          </w:tcPr>
          <w:p w14:paraId="3AAF32F2">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r>
      <w:tr w14:paraId="6CDF8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10" w:hRule="atLeast"/>
          <w:jc w:val="center"/>
        </w:trPr>
        <w:tc>
          <w:tcPr>
            <w:tcW w:w="1080" w:type="dxa"/>
            <w:vMerge w:val="restart"/>
            <w:noWrap w:val="0"/>
            <w:vAlign w:val="center"/>
          </w:tcPr>
          <w:p w14:paraId="04BF1E06">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年度总体目标</w:t>
            </w:r>
          </w:p>
        </w:tc>
        <w:tc>
          <w:tcPr>
            <w:tcW w:w="4518" w:type="dxa"/>
            <w:gridSpan w:val="4"/>
            <w:noWrap w:val="0"/>
            <w:vAlign w:val="center"/>
          </w:tcPr>
          <w:p w14:paraId="544BE320">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预期目标</w:t>
            </w:r>
          </w:p>
        </w:tc>
        <w:tc>
          <w:tcPr>
            <w:tcW w:w="4253" w:type="dxa"/>
            <w:gridSpan w:val="4"/>
            <w:noWrap w:val="0"/>
            <w:vAlign w:val="center"/>
          </w:tcPr>
          <w:p w14:paraId="1992077E">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_GB2312" w:cs="仿宋"/>
                <w:color w:val="000000"/>
                <w:kern w:val="0"/>
                <w:sz w:val="20"/>
                <w:szCs w:val="20"/>
                <w:lang w:eastAsia="zh-CN"/>
              </w:rPr>
            </w:pPr>
            <w:r>
              <w:rPr>
                <w:rFonts w:hint="eastAsia" w:ascii="仿宋" w:hAnsi="仿宋" w:eastAsia="仿宋_GB2312" w:cs="仿宋"/>
                <w:color w:val="000000"/>
                <w:kern w:val="0"/>
                <w:sz w:val="20"/>
                <w:szCs w:val="20"/>
              </w:rPr>
              <w:t>实际完成情况</w:t>
            </w:r>
          </w:p>
        </w:tc>
      </w:tr>
      <w:tr w14:paraId="71E30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3" w:hRule="atLeast"/>
          <w:jc w:val="center"/>
        </w:trPr>
        <w:tc>
          <w:tcPr>
            <w:tcW w:w="1080" w:type="dxa"/>
            <w:vMerge w:val="continue"/>
            <w:noWrap w:val="0"/>
            <w:vAlign w:val="center"/>
          </w:tcPr>
          <w:p w14:paraId="2BC661EA">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4518" w:type="dxa"/>
            <w:gridSpan w:val="4"/>
            <w:noWrap w:val="0"/>
            <w:vAlign w:val="center"/>
          </w:tcPr>
          <w:p w14:paraId="17682C7D">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_GB2312" w:cs="仿宋"/>
                <w:color w:val="000000"/>
                <w:kern w:val="0"/>
                <w:sz w:val="20"/>
                <w:szCs w:val="20"/>
                <w:lang w:eastAsia="zh-CN"/>
              </w:rPr>
            </w:pPr>
            <w:r>
              <w:rPr>
                <w:rFonts w:hint="eastAsia" w:ascii="仿宋" w:hAnsi="仿宋" w:eastAsia="仿宋_GB2312" w:cs="仿宋"/>
                <w:color w:val="000000"/>
                <w:kern w:val="0"/>
                <w:sz w:val="20"/>
                <w:szCs w:val="20"/>
              </w:rPr>
              <w:t>组织实施国家统一法律职业资格客观题、主观题考试。</w:t>
            </w:r>
          </w:p>
        </w:tc>
        <w:tc>
          <w:tcPr>
            <w:tcW w:w="4253" w:type="dxa"/>
            <w:gridSpan w:val="4"/>
            <w:noWrap w:val="0"/>
            <w:vAlign w:val="center"/>
          </w:tcPr>
          <w:p w14:paraId="4B98B8A8">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_GB2312" w:cs="仿宋"/>
                <w:color w:val="000000"/>
                <w:kern w:val="0"/>
                <w:sz w:val="20"/>
                <w:szCs w:val="20"/>
                <w:lang w:eastAsia="zh-CN"/>
              </w:rPr>
              <w:t>已完成</w:t>
            </w:r>
          </w:p>
        </w:tc>
      </w:tr>
      <w:tr w14:paraId="53F84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50" w:hRule="atLeast"/>
          <w:jc w:val="center"/>
        </w:trPr>
        <w:tc>
          <w:tcPr>
            <w:tcW w:w="1080" w:type="dxa"/>
            <w:vMerge w:val="restart"/>
            <w:noWrap w:val="0"/>
            <w:vAlign w:val="center"/>
          </w:tcPr>
          <w:p w14:paraId="55DDD4D6">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_GB2312" w:cs="仿宋"/>
                <w:color w:val="000000"/>
                <w:kern w:val="0"/>
                <w:sz w:val="20"/>
                <w:szCs w:val="20"/>
              </w:rPr>
            </w:pPr>
            <w:r>
              <w:rPr>
                <w:rFonts w:hint="eastAsia" w:ascii="仿宋" w:hAnsi="仿宋" w:eastAsia="仿宋_GB2312" w:cs="仿宋"/>
                <w:color w:val="000000"/>
                <w:kern w:val="0"/>
                <w:sz w:val="20"/>
                <w:szCs w:val="20"/>
              </w:rPr>
              <w:t>绩</w:t>
            </w:r>
          </w:p>
          <w:p w14:paraId="46887876">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_GB2312" w:cs="仿宋"/>
                <w:color w:val="000000"/>
                <w:kern w:val="0"/>
                <w:sz w:val="20"/>
                <w:szCs w:val="20"/>
              </w:rPr>
            </w:pPr>
            <w:r>
              <w:rPr>
                <w:rFonts w:hint="eastAsia" w:ascii="仿宋" w:hAnsi="仿宋" w:eastAsia="仿宋_GB2312" w:cs="仿宋"/>
                <w:color w:val="000000"/>
                <w:kern w:val="0"/>
                <w:sz w:val="20"/>
                <w:szCs w:val="20"/>
              </w:rPr>
              <w:t>效</w:t>
            </w:r>
          </w:p>
          <w:p w14:paraId="09DDBA3C">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_GB2312" w:cs="仿宋"/>
                <w:color w:val="000000"/>
                <w:kern w:val="0"/>
                <w:sz w:val="20"/>
                <w:szCs w:val="20"/>
              </w:rPr>
            </w:pPr>
            <w:r>
              <w:rPr>
                <w:rFonts w:hint="eastAsia" w:ascii="仿宋" w:hAnsi="仿宋" w:eastAsia="仿宋_GB2312" w:cs="仿宋"/>
                <w:color w:val="000000"/>
                <w:kern w:val="0"/>
                <w:sz w:val="20"/>
                <w:szCs w:val="20"/>
              </w:rPr>
              <w:t>指</w:t>
            </w:r>
          </w:p>
          <w:p w14:paraId="32F30BDD">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标</w:t>
            </w:r>
          </w:p>
        </w:tc>
        <w:tc>
          <w:tcPr>
            <w:tcW w:w="1080" w:type="dxa"/>
            <w:noWrap w:val="0"/>
            <w:vAlign w:val="center"/>
          </w:tcPr>
          <w:p w14:paraId="2BEE817C">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一级指标</w:t>
            </w:r>
          </w:p>
        </w:tc>
        <w:tc>
          <w:tcPr>
            <w:tcW w:w="1080" w:type="dxa"/>
            <w:noWrap w:val="0"/>
            <w:vAlign w:val="center"/>
          </w:tcPr>
          <w:p w14:paraId="4E87783F">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二级指标</w:t>
            </w:r>
          </w:p>
        </w:tc>
        <w:tc>
          <w:tcPr>
            <w:tcW w:w="1149" w:type="dxa"/>
            <w:noWrap w:val="0"/>
            <w:vAlign w:val="center"/>
          </w:tcPr>
          <w:p w14:paraId="0C35CB9A">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三级指标</w:t>
            </w:r>
          </w:p>
        </w:tc>
        <w:tc>
          <w:tcPr>
            <w:tcW w:w="1209" w:type="dxa"/>
            <w:noWrap w:val="0"/>
            <w:vAlign w:val="center"/>
          </w:tcPr>
          <w:p w14:paraId="3380D461">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_GB2312" w:cs="仿宋"/>
                <w:color w:val="000000"/>
                <w:kern w:val="0"/>
                <w:sz w:val="20"/>
                <w:szCs w:val="20"/>
              </w:rPr>
            </w:pPr>
            <w:r>
              <w:rPr>
                <w:rFonts w:hint="eastAsia" w:ascii="仿宋" w:hAnsi="仿宋" w:eastAsia="仿宋_GB2312" w:cs="仿宋"/>
                <w:color w:val="000000"/>
                <w:kern w:val="0"/>
                <w:sz w:val="20"/>
                <w:szCs w:val="20"/>
              </w:rPr>
              <w:t>年度</w:t>
            </w:r>
          </w:p>
          <w:p w14:paraId="4056D0B5">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指标值</w:t>
            </w:r>
          </w:p>
        </w:tc>
        <w:tc>
          <w:tcPr>
            <w:tcW w:w="1134" w:type="dxa"/>
            <w:noWrap w:val="0"/>
            <w:vAlign w:val="center"/>
          </w:tcPr>
          <w:p w14:paraId="631ABFEB">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_GB2312" w:cs="仿宋"/>
                <w:color w:val="000000"/>
                <w:kern w:val="0"/>
                <w:sz w:val="20"/>
                <w:szCs w:val="20"/>
              </w:rPr>
            </w:pPr>
            <w:r>
              <w:rPr>
                <w:rFonts w:hint="eastAsia" w:ascii="仿宋" w:hAnsi="仿宋" w:eastAsia="仿宋_GB2312" w:cs="仿宋"/>
                <w:color w:val="000000"/>
                <w:kern w:val="0"/>
                <w:sz w:val="20"/>
                <w:szCs w:val="20"/>
              </w:rPr>
              <w:t>实际</w:t>
            </w:r>
          </w:p>
          <w:p w14:paraId="494F4638">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完成值</w:t>
            </w:r>
          </w:p>
        </w:tc>
        <w:tc>
          <w:tcPr>
            <w:tcW w:w="828" w:type="dxa"/>
            <w:noWrap w:val="0"/>
            <w:vAlign w:val="center"/>
          </w:tcPr>
          <w:p w14:paraId="6C8F99C7">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分值</w:t>
            </w:r>
          </w:p>
        </w:tc>
        <w:tc>
          <w:tcPr>
            <w:tcW w:w="873" w:type="dxa"/>
            <w:noWrap w:val="0"/>
            <w:vAlign w:val="center"/>
          </w:tcPr>
          <w:p w14:paraId="18EE33CC">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得分</w:t>
            </w:r>
          </w:p>
        </w:tc>
        <w:tc>
          <w:tcPr>
            <w:tcW w:w="1418" w:type="dxa"/>
            <w:noWrap w:val="0"/>
            <w:vAlign w:val="center"/>
          </w:tcPr>
          <w:p w14:paraId="2391573C">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_GB2312" w:cs="仿宋"/>
                <w:color w:val="000000"/>
                <w:kern w:val="0"/>
                <w:sz w:val="20"/>
                <w:szCs w:val="20"/>
              </w:rPr>
            </w:pPr>
            <w:r>
              <w:rPr>
                <w:rFonts w:hint="eastAsia" w:ascii="仿宋" w:hAnsi="仿宋" w:eastAsia="仿宋_GB2312" w:cs="仿宋"/>
                <w:color w:val="000000"/>
                <w:kern w:val="0"/>
                <w:sz w:val="20"/>
                <w:szCs w:val="20"/>
              </w:rPr>
              <w:t>偏差原因</w:t>
            </w:r>
          </w:p>
          <w:p w14:paraId="59C800F9">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_GB2312" w:cs="仿宋"/>
                <w:color w:val="000000"/>
                <w:kern w:val="0"/>
                <w:sz w:val="20"/>
                <w:szCs w:val="20"/>
              </w:rPr>
            </w:pPr>
            <w:r>
              <w:rPr>
                <w:rFonts w:hint="eastAsia" w:ascii="仿宋" w:hAnsi="仿宋" w:eastAsia="仿宋_GB2312" w:cs="仿宋"/>
                <w:color w:val="000000"/>
                <w:kern w:val="0"/>
                <w:sz w:val="20"/>
                <w:szCs w:val="20"/>
              </w:rPr>
              <w:t>分析及</w:t>
            </w:r>
          </w:p>
          <w:p w14:paraId="00E96733">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改进措施</w:t>
            </w:r>
          </w:p>
        </w:tc>
      </w:tr>
      <w:tr w14:paraId="06894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2" w:hRule="atLeast"/>
          <w:jc w:val="center"/>
        </w:trPr>
        <w:tc>
          <w:tcPr>
            <w:tcW w:w="1080" w:type="dxa"/>
            <w:vMerge w:val="continue"/>
            <w:noWrap w:val="0"/>
            <w:vAlign w:val="center"/>
          </w:tcPr>
          <w:p w14:paraId="5878F39D">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2DA1C0EB">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_GB2312" w:cs="仿宋"/>
                <w:color w:val="000000"/>
                <w:kern w:val="0"/>
                <w:sz w:val="20"/>
                <w:szCs w:val="20"/>
                <w:lang w:eastAsia="zh-CN"/>
              </w:rPr>
              <w:t>成本指标</w:t>
            </w:r>
          </w:p>
        </w:tc>
        <w:tc>
          <w:tcPr>
            <w:tcW w:w="1080" w:type="dxa"/>
            <w:noWrap w:val="0"/>
            <w:vAlign w:val="center"/>
          </w:tcPr>
          <w:p w14:paraId="148E530B">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_GB2312" w:cs="仿宋"/>
                <w:color w:val="000000"/>
                <w:kern w:val="0"/>
                <w:sz w:val="20"/>
                <w:szCs w:val="20"/>
                <w:lang w:eastAsia="zh-CN"/>
              </w:rPr>
              <w:t>经济成本指标</w:t>
            </w:r>
          </w:p>
        </w:tc>
        <w:tc>
          <w:tcPr>
            <w:tcW w:w="1149" w:type="dxa"/>
            <w:noWrap w:val="0"/>
            <w:vAlign w:val="center"/>
          </w:tcPr>
          <w:p w14:paraId="17BC19E6">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项目成本</w:t>
            </w:r>
          </w:p>
        </w:tc>
        <w:tc>
          <w:tcPr>
            <w:tcW w:w="1209" w:type="dxa"/>
            <w:noWrap w:val="0"/>
            <w:vAlign w:val="center"/>
          </w:tcPr>
          <w:p w14:paraId="2967F274">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_GB2312" w:cs="仿宋"/>
                <w:sz w:val="20"/>
                <w:szCs w:val="20"/>
                <w:lang w:val="en-US" w:eastAsia="zh-CN"/>
              </w:rPr>
              <w:t>≤</w:t>
            </w:r>
            <w:r>
              <w:rPr>
                <w:rFonts w:hint="eastAsia" w:ascii="Times New Roman" w:hAnsi="Times New Roman" w:eastAsia="仿宋_GB2312" w:cs="仿宋"/>
                <w:color w:val="000000"/>
                <w:kern w:val="0"/>
                <w:sz w:val="20"/>
                <w:szCs w:val="20"/>
                <w:lang w:val="en-US" w:eastAsia="zh-CN"/>
              </w:rPr>
              <w:t>38</w:t>
            </w:r>
          </w:p>
        </w:tc>
        <w:tc>
          <w:tcPr>
            <w:tcW w:w="1134" w:type="dxa"/>
            <w:noWrap w:val="0"/>
            <w:vAlign w:val="center"/>
          </w:tcPr>
          <w:p w14:paraId="2A7C8E18">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Times New Roman" w:hAnsi="Times New Roman" w:eastAsia="仿宋_GB2312" w:cs="仿宋"/>
                <w:color w:val="000000"/>
                <w:kern w:val="0"/>
                <w:sz w:val="20"/>
                <w:szCs w:val="20"/>
                <w:lang w:val="en-US" w:eastAsia="zh-CN"/>
              </w:rPr>
              <w:t>33</w:t>
            </w:r>
            <w:r>
              <w:rPr>
                <w:rFonts w:hint="eastAsia" w:ascii="仿宋" w:hAnsi="仿宋" w:eastAsia="仿宋_GB2312" w:cs="仿宋"/>
                <w:color w:val="000000"/>
                <w:kern w:val="0"/>
                <w:sz w:val="20"/>
                <w:szCs w:val="20"/>
                <w:lang w:val="en-US" w:eastAsia="zh-CN"/>
              </w:rPr>
              <w:t>.</w:t>
            </w:r>
            <w:r>
              <w:rPr>
                <w:rFonts w:hint="eastAsia" w:ascii="Times New Roman" w:hAnsi="Times New Roman" w:eastAsia="仿宋_GB2312" w:cs="仿宋"/>
                <w:color w:val="000000"/>
                <w:kern w:val="0"/>
                <w:sz w:val="20"/>
                <w:szCs w:val="20"/>
                <w:lang w:val="en-US" w:eastAsia="zh-CN"/>
              </w:rPr>
              <w:t>15</w:t>
            </w:r>
          </w:p>
        </w:tc>
        <w:tc>
          <w:tcPr>
            <w:tcW w:w="828" w:type="dxa"/>
            <w:noWrap w:val="0"/>
            <w:vAlign w:val="center"/>
          </w:tcPr>
          <w:p w14:paraId="40778F4D">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Times New Roman" w:hAnsi="Times New Roman" w:eastAsia="仿宋_GB2312" w:cs="仿宋"/>
                <w:color w:val="000000"/>
                <w:kern w:val="0"/>
                <w:sz w:val="20"/>
                <w:szCs w:val="20"/>
                <w:lang w:val="en-US" w:eastAsia="zh-CN"/>
              </w:rPr>
              <w:t>10</w:t>
            </w:r>
          </w:p>
        </w:tc>
        <w:tc>
          <w:tcPr>
            <w:tcW w:w="873" w:type="dxa"/>
            <w:noWrap w:val="0"/>
            <w:vAlign w:val="center"/>
          </w:tcPr>
          <w:p w14:paraId="118B9149">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Times New Roman" w:hAnsi="Times New Roman" w:eastAsia="仿宋_GB2312" w:cs="仿宋"/>
                <w:color w:val="000000"/>
                <w:kern w:val="0"/>
                <w:sz w:val="20"/>
                <w:szCs w:val="20"/>
                <w:lang w:val="en-US" w:eastAsia="zh-CN"/>
              </w:rPr>
              <w:t>10</w:t>
            </w:r>
          </w:p>
        </w:tc>
        <w:tc>
          <w:tcPr>
            <w:tcW w:w="1418" w:type="dxa"/>
            <w:noWrap w:val="0"/>
            <w:vAlign w:val="center"/>
          </w:tcPr>
          <w:p w14:paraId="6A886C07">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_GB2312" w:cs="仿宋"/>
                <w:color w:val="000000"/>
                <w:kern w:val="0"/>
                <w:sz w:val="20"/>
                <w:szCs w:val="20"/>
                <w:lang w:eastAsia="zh-CN"/>
              </w:rPr>
              <w:t>此金额根据实际收到报名费核算。</w:t>
            </w:r>
          </w:p>
        </w:tc>
      </w:tr>
      <w:tr w14:paraId="62FF3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60" w:hRule="atLeast"/>
          <w:jc w:val="center"/>
        </w:trPr>
        <w:tc>
          <w:tcPr>
            <w:tcW w:w="1080" w:type="dxa"/>
            <w:vMerge w:val="continue"/>
            <w:noWrap w:val="0"/>
            <w:vAlign w:val="center"/>
          </w:tcPr>
          <w:p w14:paraId="5A332BA9">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5701108F">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34A353AE">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_GB2312" w:cs="仿宋"/>
                <w:color w:val="000000"/>
                <w:kern w:val="0"/>
                <w:sz w:val="20"/>
                <w:szCs w:val="20"/>
                <w:lang w:eastAsia="zh-CN"/>
              </w:rPr>
              <w:t>社会成本指标</w:t>
            </w:r>
          </w:p>
        </w:tc>
        <w:tc>
          <w:tcPr>
            <w:tcW w:w="1149" w:type="dxa"/>
            <w:noWrap w:val="0"/>
            <w:vAlign w:val="center"/>
          </w:tcPr>
          <w:p w14:paraId="4509A218">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_GB2312" w:cs="仿宋"/>
                <w:color w:val="000000"/>
                <w:kern w:val="0"/>
                <w:sz w:val="20"/>
                <w:szCs w:val="20"/>
                <w:lang w:eastAsia="zh-CN"/>
              </w:rPr>
              <w:t>不适应</w:t>
            </w:r>
          </w:p>
        </w:tc>
        <w:tc>
          <w:tcPr>
            <w:tcW w:w="1209" w:type="dxa"/>
            <w:noWrap w:val="0"/>
            <w:vAlign w:val="center"/>
          </w:tcPr>
          <w:p w14:paraId="238B2E71">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134" w:type="dxa"/>
            <w:noWrap w:val="0"/>
            <w:vAlign w:val="center"/>
          </w:tcPr>
          <w:p w14:paraId="555FA784">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828" w:type="dxa"/>
            <w:noWrap w:val="0"/>
            <w:vAlign w:val="center"/>
          </w:tcPr>
          <w:p w14:paraId="5F12C090">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873" w:type="dxa"/>
            <w:noWrap w:val="0"/>
            <w:vAlign w:val="center"/>
          </w:tcPr>
          <w:p w14:paraId="23081096">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418" w:type="dxa"/>
            <w:noWrap w:val="0"/>
            <w:vAlign w:val="center"/>
          </w:tcPr>
          <w:p w14:paraId="3481C198">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007D5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53" w:hRule="atLeast"/>
          <w:jc w:val="center"/>
        </w:trPr>
        <w:tc>
          <w:tcPr>
            <w:tcW w:w="1080" w:type="dxa"/>
            <w:vMerge w:val="continue"/>
            <w:noWrap w:val="0"/>
            <w:vAlign w:val="center"/>
          </w:tcPr>
          <w:p w14:paraId="5603E092">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591D2100">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080" w:type="dxa"/>
            <w:noWrap w:val="0"/>
            <w:vAlign w:val="center"/>
          </w:tcPr>
          <w:p w14:paraId="0F344541">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_GB2312" w:cs="仿宋"/>
                <w:color w:val="000000"/>
                <w:kern w:val="0"/>
                <w:sz w:val="20"/>
                <w:szCs w:val="20"/>
                <w:lang w:eastAsia="zh-CN"/>
              </w:rPr>
              <w:t>生态环境成本指标</w:t>
            </w:r>
          </w:p>
        </w:tc>
        <w:tc>
          <w:tcPr>
            <w:tcW w:w="1149" w:type="dxa"/>
            <w:noWrap w:val="0"/>
            <w:vAlign w:val="center"/>
          </w:tcPr>
          <w:p w14:paraId="01653B45">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_GB2312" w:cs="仿宋"/>
                <w:color w:val="000000"/>
                <w:kern w:val="0"/>
                <w:sz w:val="20"/>
                <w:szCs w:val="20"/>
                <w:lang w:eastAsia="zh-CN"/>
              </w:rPr>
              <w:t>不适应</w:t>
            </w:r>
          </w:p>
        </w:tc>
        <w:tc>
          <w:tcPr>
            <w:tcW w:w="1209" w:type="dxa"/>
            <w:noWrap w:val="0"/>
            <w:vAlign w:val="center"/>
          </w:tcPr>
          <w:p w14:paraId="4047AFE6">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134" w:type="dxa"/>
            <w:noWrap w:val="0"/>
            <w:vAlign w:val="center"/>
          </w:tcPr>
          <w:p w14:paraId="383CCBF7">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828" w:type="dxa"/>
            <w:noWrap w:val="0"/>
            <w:vAlign w:val="center"/>
          </w:tcPr>
          <w:p w14:paraId="2E35C1AC">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873" w:type="dxa"/>
            <w:noWrap w:val="0"/>
            <w:vAlign w:val="center"/>
          </w:tcPr>
          <w:p w14:paraId="1F8C613C">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418" w:type="dxa"/>
            <w:noWrap w:val="0"/>
            <w:vAlign w:val="center"/>
          </w:tcPr>
          <w:p w14:paraId="27277FEA">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0295E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3" w:hRule="atLeast"/>
          <w:jc w:val="center"/>
        </w:trPr>
        <w:tc>
          <w:tcPr>
            <w:tcW w:w="1080" w:type="dxa"/>
            <w:vMerge w:val="continue"/>
            <w:noWrap w:val="0"/>
            <w:vAlign w:val="center"/>
          </w:tcPr>
          <w:p w14:paraId="3656D44D">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2003A2F4">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_GB2312" w:cs="仿宋"/>
                <w:color w:val="000000"/>
                <w:kern w:val="0"/>
                <w:sz w:val="20"/>
                <w:szCs w:val="20"/>
              </w:rPr>
              <w:t>产出指标</w:t>
            </w:r>
          </w:p>
        </w:tc>
        <w:tc>
          <w:tcPr>
            <w:tcW w:w="1080" w:type="dxa"/>
            <w:noWrap w:val="0"/>
            <w:vAlign w:val="center"/>
          </w:tcPr>
          <w:p w14:paraId="7D106534">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数量指标</w:t>
            </w:r>
          </w:p>
        </w:tc>
        <w:tc>
          <w:tcPr>
            <w:tcW w:w="1149" w:type="dxa"/>
            <w:noWrap w:val="0"/>
            <w:vAlign w:val="center"/>
          </w:tcPr>
          <w:p w14:paraId="5A43972E">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法律职业资格考试报名人数</w:t>
            </w:r>
          </w:p>
        </w:tc>
        <w:tc>
          <w:tcPr>
            <w:tcW w:w="1209" w:type="dxa"/>
            <w:noWrap w:val="0"/>
            <w:vAlign w:val="center"/>
          </w:tcPr>
          <w:p w14:paraId="3F39846E">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宋体" w:hAnsi="宋体" w:eastAsia="宋体" w:cs="宋体"/>
                <w:i w:val="0"/>
                <w:iCs w:val="0"/>
                <w:color w:val="000000"/>
                <w:kern w:val="0"/>
                <w:sz w:val="18"/>
                <w:szCs w:val="18"/>
                <w:u w:val="none"/>
                <w:lang w:val="en-US" w:eastAsia="zh-CN" w:bidi="ar"/>
              </w:rPr>
              <w:t>≥</w:t>
            </w:r>
            <w:r>
              <w:rPr>
                <w:rFonts w:hint="eastAsia" w:ascii="Times New Roman" w:hAnsi="Times New Roman" w:eastAsia="仿宋_GB2312" w:cs="仿宋"/>
                <w:color w:val="000000"/>
                <w:kern w:val="0"/>
                <w:sz w:val="20"/>
                <w:szCs w:val="20"/>
                <w:lang w:val="en-US" w:eastAsia="zh-CN"/>
              </w:rPr>
              <w:t>2000</w:t>
            </w:r>
            <w:r>
              <w:rPr>
                <w:rFonts w:hint="eastAsia" w:ascii="仿宋" w:hAnsi="仿宋" w:eastAsia="仿宋_GB2312" w:cs="仿宋"/>
                <w:color w:val="000000"/>
                <w:kern w:val="0"/>
                <w:sz w:val="20"/>
                <w:szCs w:val="20"/>
                <w:lang w:val="en-US" w:eastAsia="zh-CN"/>
              </w:rPr>
              <w:t>人</w:t>
            </w:r>
          </w:p>
        </w:tc>
        <w:tc>
          <w:tcPr>
            <w:tcW w:w="1134" w:type="dxa"/>
            <w:noWrap w:val="0"/>
            <w:vAlign w:val="center"/>
          </w:tcPr>
          <w:p w14:paraId="67DE22FD">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Times New Roman" w:hAnsi="Times New Roman" w:eastAsia="仿宋_GB2312" w:cs="仿宋"/>
                <w:color w:val="000000"/>
                <w:kern w:val="0"/>
                <w:sz w:val="20"/>
                <w:szCs w:val="20"/>
                <w:lang w:val="en-US" w:eastAsia="zh-CN"/>
              </w:rPr>
              <w:t>2563</w:t>
            </w:r>
            <w:r>
              <w:rPr>
                <w:rFonts w:hint="eastAsia" w:ascii="仿宋" w:hAnsi="仿宋" w:eastAsia="仿宋_GB2312" w:cs="仿宋"/>
                <w:color w:val="000000"/>
                <w:kern w:val="0"/>
                <w:sz w:val="20"/>
                <w:szCs w:val="20"/>
                <w:lang w:val="en-US" w:eastAsia="zh-CN"/>
              </w:rPr>
              <w:t>人</w:t>
            </w:r>
          </w:p>
        </w:tc>
        <w:tc>
          <w:tcPr>
            <w:tcW w:w="828" w:type="dxa"/>
            <w:noWrap w:val="0"/>
            <w:vAlign w:val="center"/>
          </w:tcPr>
          <w:p w14:paraId="76AE29D0">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Times New Roman" w:hAnsi="Times New Roman" w:eastAsia="仿宋_GB2312" w:cs="仿宋"/>
                <w:color w:val="000000"/>
                <w:kern w:val="0"/>
                <w:sz w:val="20"/>
                <w:szCs w:val="20"/>
                <w:lang w:val="en-US" w:eastAsia="zh-CN"/>
              </w:rPr>
              <w:t>10</w:t>
            </w:r>
          </w:p>
        </w:tc>
        <w:tc>
          <w:tcPr>
            <w:tcW w:w="873" w:type="dxa"/>
            <w:noWrap w:val="0"/>
            <w:vAlign w:val="center"/>
          </w:tcPr>
          <w:p w14:paraId="0BB27B67">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Times New Roman" w:hAnsi="Times New Roman" w:eastAsia="仿宋_GB2312" w:cs="仿宋"/>
                <w:color w:val="000000"/>
                <w:kern w:val="0"/>
                <w:sz w:val="20"/>
                <w:szCs w:val="20"/>
                <w:lang w:val="en-US" w:eastAsia="zh-CN"/>
              </w:rPr>
              <w:t>10</w:t>
            </w:r>
          </w:p>
        </w:tc>
        <w:tc>
          <w:tcPr>
            <w:tcW w:w="1418" w:type="dxa"/>
            <w:noWrap w:val="0"/>
            <w:vAlign w:val="center"/>
          </w:tcPr>
          <w:p w14:paraId="335C4B07">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r>
      <w:tr w14:paraId="61E6E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55" w:hRule="atLeast"/>
          <w:jc w:val="center"/>
        </w:trPr>
        <w:tc>
          <w:tcPr>
            <w:tcW w:w="1080" w:type="dxa"/>
            <w:vMerge w:val="continue"/>
            <w:noWrap w:val="0"/>
            <w:vAlign w:val="center"/>
          </w:tcPr>
          <w:p w14:paraId="238C764D">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005633B5">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3CFA149B">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质量指标</w:t>
            </w:r>
          </w:p>
        </w:tc>
        <w:tc>
          <w:tcPr>
            <w:tcW w:w="1149" w:type="dxa"/>
            <w:noWrap w:val="0"/>
            <w:vAlign w:val="center"/>
          </w:tcPr>
          <w:p w14:paraId="765F3A61">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考试工作任务完成达标率</w:t>
            </w:r>
          </w:p>
        </w:tc>
        <w:tc>
          <w:tcPr>
            <w:tcW w:w="1209" w:type="dxa"/>
            <w:noWrap w:val="0"/>
            <w:vAlign w:val="center"/>
          </w:tcPr>
          <w:p w14:paraId="7272A198">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Times New Roman" w:hAnsi="Times New Roman" w:eastAsia="仿宋_GB2312" w:cs="仿宋"/>
                <w:color w:val="000000"/>
                <w:kern w:val="0"/>
                <w:sz w:val="20"/>
                <w:szCs w:val="20"/>
                <w:lang w:val="en-US" w:eastAsia="zh-CN"/>
              </w:rPr>
              <w:t>100%</w:t>
            </w:r>
          </w:p>
        </w:tc>
        <w:tc>
          <w:tcPr>
            <w:tcW w:w="1134" w:type="dxa"/>
            <w:noWrap w:val="0"/>
            <w:vAlign w:val="center"/>
          </w:tcPr>
          <w:p w14:paraId="3D962CD7">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Times New Roman" w:hAnsi="Times New Roman" w:eastAsia="仿宋_GB2312" w:cs="仿宋"/>
                <w:color w:val="000000"/>
                <w:kern w:val="0"/>
                <w:sz w:val="20"/>
                <w:szCs w:val="20"/>
                <w:lang w:val="en-US" w:eastAsia="zh-CN"/>
              </w:rPr>
              <w:t>100%</w:t>
            </w:r>
          </w:p>
        </w:tc>
        <w:tc>
          <w:tcPr>
            <w:tcW w:w="828" w:type="dxa"/>
            <w:noWrap w:val="0"/>
            <w:vAlign w:val="center"/>
          </w:tcPr>
          <w:p w14:paraId="1AC073F2">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Times New Roman" w:hAnsi="Times New Roman" w:eastAsia="仿宋_GB2312" w:cs="仿宋"/>
                <w:color w:val="000000"/>
                <w:kern w:val="0"/>
                <w:sz w:val="20"/>
                <w:szCs w:val="20"/>
                <w:lang w:val="en-US" w:eastAsia="zh-CN"/>
              </w:rPr>
              <w:t>10</w:t>
            </w:r>
          </w:p>
        </w:tc>
        <w:tc>
          <w:tcPr>
            <w:tcW w:w="873" w:type="dxa"/>
            <w:noWrap w:val="0"/>
            <w:vAlign w:val="center"/>
          </w:tcPr>
          <w:p w14:paraId="443292E6">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Times New Roman" w:hAnsi="Times New Roman" w:eastAsia="仿宋_GB2312" w:cs="仿宋"/>
                <w:color w:val="000000"/>
                <w:kern w:val="0"/>
                <w:sz w:val="20"/>
                <w:szCs w:val="20"/>
                <w:lang w:val="en-US" w:eastAsia="zh-CN"/>
              </w:rPr>
              <w:t>10</w:t>
            </w:r>
          </w:p>
        </w:tc>
        <w:tc>
          <w:tcPr>
            <w:tcW w:w="1418" w:type="dxa"/>
            <w:noWrap w:val="0"/>
            <w:vAlign w:val="center"/>
          </w:tcPr>
          <w:p w14:paraId="4FAB119C">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r>
      <w:tr w14:paraId="761F5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91" w:hRule="atLeast"/>
          <w:jc w:val="center"/>
        </w:trPr>
        <w:tc>
          <w:tcPr>
            <w:tcW w:w="1080" w:type="dxa"/>
            <w:vMerge w:val="continue"/>
            <w:noWrap w:val="0"/>
            <w:vAlign w:val="center"/>
          </w:tcPr>
          <w:p w14:paraId="7A81A216">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0B481D0F">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5988AC70">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时效指标</w:t>
            </w:r>
          </w:p>
        </w:tc>
        <w:tc>
          <w:tcPr>
            <w:tcW w:w="1149" w:type="dxa"/>
            <w:noWrap w:val="0"/>
            <w:vAlign w:val="center"/>
          </w:tcPr>
          <w:p w14:paraId="3B0FCEB1">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颁发法律职业资格证书时间</w:t>
            </w:r>
          </w:p>
        </w:tc>
        <w:tc>
          <w:tcPr>
            <w:tcW w:w="1209" w:type="dxa"/>
            <w:noWrap w:val="0"/>
            <w:vAlign w:val="center"/>
          </w:tcPr>
          <w:p w14:paraId="4BE62D2B">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在规定时间内</w:t>
            </w:r>
          </w:p>
        </w:tc>
        <w:tc>
          <w:tcPr>
            <w:tcW w:w="1134" w:type="dxa"/>
            <w:noWrap w:val="0"/>
            <w:vAlign w:val="center"/>
          </w:tcPr>
          <w:p w14:paraId="078A58DA">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_GB2312" w:cs="仿宋"/>
                <w:color w:val="000000"/>
                <w:kern w:val="0"/>
                <w:sz w:val="20"/>
                <w:szCs w:val="20"/>
                <w:lang w:eastAsia="zh-CN"/>
              </w:rPr>
              <w:t>已完成</w:t>
            </w:r>
          </w:p>
        </w:tc>
        <w:tc>
          <w:tcPr>
            <w:tcW w:w="828" w:type="dxa"/>
            <w:noWrap w:val="0"/>
            <w:vAlign w:val="center"/>
          </w:tcPr>
          <w:p w14:paraId="279CC3C6">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Times New Roman" w:hAnsi="Times New Roman" w:eastAsia="仿宋_GB2312" w:cs="仿宋"/>
                <w:color w:val="000000"/>
                <w:kern w:val="0"/>
                <w:sz w:val="20"/>
                <w:szCs w:val="20"/>
                <w:lang w:val="en-US" w:eastAsia="zh-CN"/>
              </w:rPr>
              <w:t>10</w:t>
            </w:r>
          </w:p>
        </w:tc>
        <w:tc>
          <w:tcPr>
            <w:tcW w:w="873" w:type="dxa"/>
            <w:noWrap w:val="0"/>
            <w:vAlign w:val="center"/>
          </w:tcPr>
          <w:p w14:paraId="6A5F79A6">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Times New Roman" w:hAnsi="Times New Roman" w:eastAsia="仿宋_GB2312" w:cs="仿宋"/>
                <w:color w:val="000000"/>
                <w:kern w:val="0"/>
                <w:sz w:val="20"/>
                <w:szCs w:val="20"/>
                <w:lang w:val="en-US" w:eastAsia="zh-CN"/>
              </w:rPr>
              <w:t>10</w:t>
            </w:r>
          </w:p>
        </w:tc>
        <w:tc>
          <w:tcPr>
            <w:tcW w:w="1418" w:type="dxa"/>
            <w:noWrap w:val="0"/>
            <w:vAlign w:val="center"/>
          </w:tcPr>
          <w:p w14:paraId="5AD76F67">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r>
      <w:tr w14:paraId="4015F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4" w:hRule="atLeast"/>
          <w:jc w:val="center"/>
        </w:trPr>
        <w:tc>
          <w:tcPr>
            <w:tcW w:w="1080" w:type="dxa"/>
            <w:vMerge w:val="continue"/>
            <w:noWrap w:val="0"/>
            <w:vAlign w:val="center"/>
          </w:tcPr>
          <w:p w14:paraId="5840D59F">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63CE3E9D">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效益指标</w:t>
            </w:r>
          </w:p>
        </w:tc>
        <w:tc>
          <w:tcPr>
            <w:tcW w:w="1080" w:type="dxa"/>
            <w:noWrap w:val="0"/>
            <w:vAlign w:val="center"/>
          </w:tcPr>
          <w:p w14:paraId="5A0495A5">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_GB2312" w:cs="仿宋"/>
                <w:color w:val="000000"/>
                <w:kern w:val="0"/>
                <w:sz w:val="20"/>
                <w:szCs w:val="20"/>
              </w:rPr>
            </w:pPr>
            <w:r>
              <w:rPr>
                <w:rFonts w:hint="eastAsia" w:ascii="仿宋" w:hAnsi="仿宋" w:eastAsia="仿宋_GB2312" w:cs="仿宋"/>
                <w:color w:val="000000"/>
                <w:kern w:val="0"/>
                <w:sz w:val="20"/>
                <w:szCs w:val="20"/>
              </w:rPr>
              <w:t>经济效</w:t>
            </w:r>
          </w:p>
          <w:p w14:paraId="3F4BC91C">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益指标</w:t>
            </w:r>
          </w:p>
        </w:tc>
        <w:tc>
          <w:tcPr>
            <w:tcW w:w="1149" w:type="dxa"/>
            <w:noWrap w:val="0"/>
            <w:vAlign w:val="center"/>
          </w:tcPr>
          <w:p w14:paraId="24788AF2">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_GB2312" w:cs="仿宋"/>
                <w:color w:val="000000"/>
                <w:kern w:val="0"/>
                <w:sz w:val="20"/>
                <w:szCs w:val="20"/>
                <w:lang w:eastAsia="zh-CN"/>
              </w:rPr>
              <w:t>不适应</w:t>
            </w:r>
          </w:p>
        </w:tc>
        <w:tc>
          <w:tcPr>
            <w:tcW w:w="1209" w:type="dxa"/>
            <w:noWrap w:val="0"/>
            <w:vAlign w:val="center"/>
          </w:tcPr>
          <w:p w14:paraId="7898E00C">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c>
          <w:tcPr>
            <w:tcW w:w="1134" w:type="dxa"/>
            <w:noWrap w:val="0"/>
            <w:vAlign w:val="center"/>
          </w:tcPr>
          <w:p w14:paraId="2D5A4D1C">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c>
          <w:tcPr>
            <w:tcW w:w="828" w:type="dxa"/>
            <w:noWrap w:val="0"/>
            <w:vAlign w:val="center"/>
          </w:tcPr>
          <w:p w14:paraId="09BE87CA">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c>
          <w:tcPr>
            <w:tcW w:w="873" w:type="dxa"/>
            <w:noWrap w:val="0"/>
            <w:vAlign w:val="center"/>
          </w:tcPr>
          <w:p w14:paraId="30BC52B1">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c>
          <w:tcPr>
            <w:tcW w:w="1418" w:type="dxa"/>
            <w:noWrap w:val="0"/>
            <w:vAlign w:val="center"/>
          </w:tcPr>
          <w:p w14:paraId="5DA30AE6">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r>
      <w:tr w14:paraId="3FE97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4" w:hRule="atLeast"/>
          <w:jc w:val="center"/>
        </w:trPr>
        <w:tc>
          <w:tcPr>
            <w:tcW w:w="1080" w:type="dxa"/>
            <w:vMerge w:val="continue"/>
            <w:noWrap w:val="0"/>
            <w:vAlign w:val="center"/>
          </w:tcPr>
          <w:p w14:paraId="2E603FB6">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132F360E">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07EF841F">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_GB2312" w:cs="仿宋"/>
                <w:color w:val="000000"/>
                <w:kern w:val="0"/>
                <w:sz w:val="20"/>
                <w:szCs w:val="20"/>
              </w:rPr>
            </w:pPr>
            <w:r>
              <w:rPr>
                <w:rFonts w:hint="eastAsia" w:ascii="仿宋" w:hAnsi="仿宋" w:eastAsia="仿宋_GB2312" w:cs="仿宋"/>
                <w:color w:val="000000"/>
                <w:kern w:val="0"/>
                <w:sz w:val="20"/>
                <w:szCs w:val="20"/>
              </w:rPr>
              <w:t>社会效</w:t>
            </w:r>
          </w:p>
          <w:p w14:paraId="30338252">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益指标</w:t>
            </w:r>
          </w:p>
        </w:tc>
        <w:tc>
          <w:tcPr>
            <w:tcW w:w="1149" w:type="dxa"/>
            <w:noWrap w:val="0"/>
            <w:vAlign w:val="center"/>
          </w:tcPr>
          <w:p w14:paraId="77ADBBE3">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严格职业人员资格管理，维护社会和谐稳定</w:t>
            </w:r>
          </w:p>
        </w:tc>
        <w:tc>
          <w:tcPr>
            <w:tcW w:w="1209" w:type="dxa"/>
            <w:noWrap w:val="0"/>
            <w:vAlign w:val="center"/>
          </w:tcPr>
          <w:p w14:paraId="05EB9CA6">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_GB2312" w:cs="仿宋"/>
                <w:color w:val="000000"/>
                <w:kern w:val="0"/>
                <w:sz w:val="20"/>
                <w:szCs w:val="20"/>
                <w:lang w:eastAsia="zh-CN"/>
              </w:rPr>
              <w:t>效果明显</w:t>
            </w:r>
          </w:p>
        </w:tc>
        <w:tc>
          <w:tcPr>
            <w:tcW w:w="1134" w:type="dxa"/>
            <w:noWrap w:val="0"/>
            <w:vAlign w:val="center"/>
          </w:tcPr>
          <w:p w14:paraId="7EE25AE6">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_GB2312" w:cs="仿宋"/>
                <w:color w:val="000000"/>
                <w:kern w:val="0"/>
                <w:sz w:val="20"/>
                <w:szCs w:val="20"/>
                <w:lang w:eastAsia="zh-CN"/>
              </w:rPr>
              <w:t>已完成</w:t>
            </w:r>
          </w:p>
        </w:tc>
        <w:tc>
          <w:tcPr>
            <w:tcW w:w="828" w:type="dxa"/>
            <w:noWrap w:val="0"/>
            <w:vAlign w:val="center"/>
          </w:tcPr>
          <w:p w14:paraId="365D67F4">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Times New Roman" w:hAnsi="Times New Roman" w:eastAsia="仿宋_GB2312" w:cs="仿宋"/>
                <w:color w:val="000000"/>
                <w:kern w:val="0"/>
                <w:sz w:val="20"/>
                <w:szCs w:val="20"/>
                <w:lang w:val="en-US" w:eastAsia="zh-CN"/>
              </w:rPr>
              <w:t>15</w:t>
            </w:r>
          </w:p>
        </w:tc>
        <w:tc>
          <w:tcPr>
            <w:tcW w:w="873" w:type="dxa"/>
            <w:noWrap w:val="0"/>
            <w:vAlign w:val="center"/>
          </w:tcPr>
          <w:p w14:paraId="261C4CE2">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Times New Roman" w:hAnsi="Times New Roman" w:eastAsia="仿宋_GB2312" w:cs="仿宋"/>
                <w:color w:val="000000"/>
                <w:kern w:val="0"/>
                <w:sz w:val="20"/>
                <w:szCs w:val="20"/>
                <w:lang w:val="en-US" w:eastAsia="zh-CN"/>
              </w:rPr>
              <w:t>15</w:t>
            </w:r>
          </w:p>
        </w:tc>
        <w:tc>
          <w:tcPr>
            <w:tcW w:w="1418" w:type="dxa"/>
            <w:noWrap w:val="0"/>
            <w:vAlign w:val="center"/>
          </w:tcPr>
          <w:p w14:paraId="042BA665">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r>
      <w:tr w14:paraId="126C6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80" w:hRule="atLeast"/>
          <w:jc w:val="center"/>
        </w:trPr>
        <w:tc>
          <w:tcPr>
            <w:tcW w:w="1080" w:type="dxa"/>
            <w:vMerge w:val="continue"/>
            <w:noWrap w:val="0"/>
            <w:vAlign w:val="center"/>
          </w:tcPr>
          <w:p w14:paraId="50FDD9AC">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3A862E72">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640A46E4">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_GB2312" w:cs="仿宋"/>
                <w:color w:val="000000"/>
                <w:kern w:val="0"/>
                <w:sz w:val="20"/>
                <w:szCs w:val="20"/>
              </w:rPr>
            </w:pPr>
            <w:r>
              <w:rPr>
                <w:rFonts w:hint="eastAsia" w:ascii="仿宋" w:hAnsi="仿宋" w:eastAsia="仿宋_GB2312" w:cs="仿宋"/>
                <w:color w:val="000000"/>
                <w:kern w:val="0"/>
                <w:sz w:val="20"/>
                <w:szCs w:val="20"/>
              </w:rPr>
              <w:t>生态效</w:t>
            </w:r>
          </w:p>
          <w:p w14:paraId="47BD5C0E">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益指标</w:t>
            </w:r>
          </w:p>
        </w:tc>
        <w:tc>
          <w:tcPr>
            <w:tcW w:w="1149" w:type="dxa"/>
            <w:noWrap w:val="0"/>
            <w:vAlign w:val="center"/>
          </w:tcPr>
          <w:p w14:paraId="4142EBEB">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_GB2312" w:cs="仿宋"/>
                <w:color w:val="000000"/>
                <w:kern w:val="0"/>
                <w:sz w:val="20"/>
                <w:szCs w:val="20"/>
                <w:lang w:eastAsia="zh-CN"/>
              </w:rPr>
              <w:t>不适应</w:t>
            </w:r>
          </w:p>
        </w:tc>
        <w:tc>
          <w:tcPr>
            <w:tcW w:w="1209" w:type="dxa"/>
            <w:noWrap w:val="0"/>
            <w:vAlign w:val="center"/>
          </w:tcPr>
          <w:p w14:paraId="2C4B7035">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c>
          <w:tcPr>
            <w:tcW w:w="1134" w:type="dxa"/>
            <w:noWrap w:val="0"/>
            <w:vAlign w:val="center"/>
          </w:tcPr>
          <w:p w14:paraId="2CF1E378">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c>
          <w:tcPr>
            <w:tcW w:w="828" w:type="dxa"/>
            <w:noWrap w:val="0"/>
            <w:vAlign w:val="center"/>
          </w:tcPr>
          <w:p w14:paraId="07C38266">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c>
          <w:tcPr>
            <w:tcW w:w="873" w:type="dxa"/>
            <w:noWrap w:val="0"/>
            <w:vAlign w:val="center"/>
          </w:tcPr>
          <w:p w14:paraId="14E3A985">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c>
          <w:tcPr>
            <w:tcW w:w="1418" w:type="dxa"/>
            <w:noWrap w:val="0"/>
            <w:vAlign w:val="center"/>
          </w:tcPr>
          <w:p w14:paraId="450138A8">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r>
      <w:tr w14:paraId="27C0E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15" w:hRule="atLeast"/>
          <w:jc w:val="center"/>
        </w:trPr>
        <w:tc>
          <w:tcPr>
            <w:tcW w:w="1080" w:type="dxa"/>
            <w:vMerge w:val="continue"/>
            <w:noWrap w:val="0"/>
            <w:vAlign w:val="center"/>
          </w:tcPr>
          <w:p w14:paraId="389453E2">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080" w:type="dxa"/>
            <w:vMerge w:val="continue"/>
            <w:noWrap w:val="0"/>
            <w:vAlign w:val="center"/>
          </w:tcPr>
          <w:p w14:paraId="7989FB80">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2FE30303">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可持续影响指标</w:t>
            </w:r>
          </w:p>
        </w:tc>
        <w:tc>
          <w:tcPr>
            <w:tcW w:w="1149" w:type="dxa"/>
            <w:noWrap w:val="0"/>
            <w:vAlign w:val="center"/>
          </w:tcPr>
          <w:p w14:paraId="336B3A31">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推动国家法律职业资格考试可持续开展</w:t>
            </w:r>
          </w:p>
        </w:tc>
        <w:tc>
          <w:tcPr>
            <w:tcW w:w="1209" w:type="dxa"/>
            <w:noWrap w:val="0"/>
            <w:vAlign w:val="center"/>
          </w:tcPr>
          <w:p w14:paraId="0B981289">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_GB2312" w:cs="仿宋"/>
                <w:color w:val="000000"/>
                <w:kern w:val="0"/>
                <w:sz w:val="20"/>
                <w:szCs w:val="20"/>
                <w:lang w:eastAsia="zh-CN"/>
              </w:rPr>
              <w:t>效果明显</w:t>
            </w:r>
          </w:p>
        </w:tc>
        <w:tc>
          <w:tcPr>
            <w:tcW w:w="1134" w:type="dxa"/>
            <w:noWrap w:val="0"/>
            <w:vAlign w:val="center"/>
          </w:tcPr>
          <w:p w14:paraId="2EE42166">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_GB2312" w:cs="仿宋"/>
                <w:color w:val="000000"/>
                <w:kern w:val="0"/>
                <w:sz w:val="20"/>
                <w:szCs w:val="20"/>
                <w:lang w:eastAsia="zh-CN"/>
              </w:rPr>
              <w:t>已完成</w:t>
            </w:r>
          </w:p>
        </w:tc>
        <w:tc>
          <w:tcPr>
            <w:tcW w:w="828" w:type="dxa"/>
            <w:noWrap w:val="0"/>
            <w:vAlign w:val="center"/>
          </w:tcPr>
          <w:p w14:paraId="5C4EFB15">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Times New Roman" w:hAnsi="Times New Roman" w:eastAsia="仿宋_GB2312" w:cs="仿宋"/>
                <w:color w:val="000000"/>
                <w:kern w:val="0"/>
                <w:sz w:val="20"/>
                <w:szCs w:val="20"/>
                <w:lang w:val="en-US" w:eastAsia="zh-CN"/>
              </w:rPr>
              <w:t>15</w:t>
            </w:r>
          </w:p>
        </w:tc>
        <w:tc>
          <w:tcPr>
            <w:tcW w:w="873" w:type="dxa"/>
            <w:noWrap w:val="0"/>
            <w:vAlign w:val="center"/>
          </w:tcPr>
          <w:p w14:paraId="2FC38FA2">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Times New Roman" w:hAnsi="Times New Roman" w:eastAsia="仿宋_GB2312" w:cs="仿宋"/>
                <w:color w:val="000000"/>
                <w:kern w:val="0"/>
                <w:sz w:val="20"/>
                <w:szCs w:val="20"/>
                <w:lang w:val="en-US" w:eastAsia="zh-CN"/>
              </w:rPr>
              <w:t>15</w:t>
            </w:r>
          </w:p>
        </w:tc>
        <w:tc>
          <w:tcPr>
            <w:tcW w:w="1418" w:type="dxa"/>
            <w:noWrap w:val="0"/>
            <w:vAlign w:val="center"/>
          </w:tcPr>
          <w:p w14:paraId="2DBBEBE8">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r>
      <w:tr w14:paraId="614D5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7" w:hRule="atLeast"/>
          <w:jc w:val="center"/>
        </w:trPr>
        <w:tc>
          <w:tcPr>
            <w:tcW w:w="1080" w:type="dxa"/>
            <w:vMerge w:val="continue"/>
            <w:noWrap w:val="0"/>
            <w:vAlign w:val="center"/>
          </w:tcPr>
          <w:p w14:paraId="2F2DDD96">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35526B18">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_GB2312" w:cs="仿宋"/>
                <w:color w:val="000000"/>
                <w:kern w:val="0"/>
                <w:sz w:val="20"/>
                <w:szCs w:val="20"/>
              </w:rPr>
            </w:pPr>
            <w:r>
              <w:rPr>
                <w:rFonts w:hint="eastAsia" w:ascii="仿宋" w:hAnsi="仿宋" w:eastAsia="仿宋_GB2312" w:cs="仿宋"/>
                <w:color w:val="000000"/>
                <w:kern w:val="0"/>
                <w:sz w:val="20"/>
                <w:szCs w:val="20"/>
              </w:rPr>
              <w:t>满意度</w:t>
            </w:r>
          </w:p>
          <w:p w14:paraId="7E97A389">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指标</w:t>
            </w:r>
          </w:p>
        </w:tc>
        <w:tc>
          <w:tcPr>
            <w:tcW w:w="1080" w:type="dxa"/>
            <w:noWrap w:val="0"/>
            <w:vAlign w:val="center"/>
          </w:tcPr>
          <w:p w14:paraId="1FE429F3">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服务对象满意度指标</w:t>
            </w:r>
          </w:p>
        </w:tc>
        <w:tc>
          <w:tcPr>
            <w:tcW w:w="1149" w:type="dxa"/>
            <w:noWrap w:val="0"/>
            <w:vAlign w:val="center"/>
          </w:tcPr>
          <w:p w14:paraId="6824F07C">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_GB2312" w:cs="仿宋"/>
                <w:color w:val="000000"/>
                <w:kern w:val="0"/>
                <w:sz w:val="20"/>
                <w:szCs w:val="20"/>
                <w:lang w:eastAsia="zh-CN"/>
              </w:rPr>
              <w:t>应试人员满意度</w:t>
            </w:r>
          </w:p>
        </w:tc>
        <w:tc>
          <w:tcPr>
            <w:tcW w:w="1209" w:type="dxa"/>
            <w:noWrap w:val="0"/>
            <w:vAlign w:val="center"/>
          </w:tcPr>
          <w:p w14:paraId="305BCB1B">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宋体" w:hAnsi="宋体" w:eastAsia="宋体" w:cs="宋体"/>
                <w:i w:val="0"/>
                <w:iCs w:val="0"/>
                <w:color w:val="000000"/>
                <w:kern w:val="0"/>
                <w:sz w:val="18"/>
                <w:szCs w:val="18"/>
                <w:u w:val="none"/>
                <w:lang w:val="en-US" w:eastAsia="zh-CN" w:bidi="ar"/>
              </w:rPr>
              <w:t>≥</w:t>
            </w:r>
            <w:r>
              <w:rPr>
                <w:rFonts w:hint="eastAsia" w:ascii="Times New Roman" w:hAnsi="Times New Roman" w:eastAsia="仿宋_GB2312" w:cs="仿宋"/>
                <w:color w:val="000000"/>
                <w:kern w:val="0"/>
                <w:sz w:val="20"/>
                <w:szCs w:val="20"/>
                <w:lang w:val="en-US" w:eastAsia="zh-CN"/>
              </w:rPr>
              <w:t>95%</w:t>
            </w:r>
          </w:p>
        </w:tc>
        <w:tc>
          <w:tcPr>
            <w:tcW w:w="1134" w:type="dxa"/>
            <w:noWrap w:val="0"/>
            <w:vAlign w:val="center"/>
          </w:tcPr>
          <w:p w14:paraId="59322CE3">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Times New Roman" w:hAnsi="Times New Roman" w:eastAsia="仿宋_GB2312" w:cs="仿宋"/>
                <w:color w:val="000000"/>
                <w:kern w:val="0"/>
                <w:sz w:val="20"/>
                <w:szCs w:val="20"/>
                <w:lang w:val="en-US" w:eastAsia="zh-CN"/>
              </w:rPr>
              <w:t>96%</w:t>
            </w:r>
          </w:p>
        </w:tc>
        <w:tc>
          <w:tcPr>
            <w:tcW w:w="828" w:type="dxa"/>
            <w:noWrap w:val="0"/>
            <w:vAlign w:val="center"/>
          </w:tcPr>
          <w:p w14:paraId="717968FE">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Times New Roman" w:hAnsi="Times New Roman" w:eastAsia="仿宋_GB2312" w:cs="仿宋"/>
                <w:color w:val="000000"/>
                <w:kern w:val="0"/>
                <w:sz w:val="20"/>
                <w:szCs w:val="20"/>
                <w:lang w:val="en-US" w:eastAsia="zh-CN"/>
              </w:rPr>
              <w:t>10</w:t>
            </w:r>
          </w:p>
        </w:tc>
        <w:tc>
          <w:tcPr>
            <w:tcW w:w="873" w:type="dxa"/>
            <w:noWrap w:val="0"/>
            <w:vAlign w:val="center"/>
          </w:tcPr>
          <w:p w14:paraId="1BAFE97E">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Times New Roman" w:hAnsi="Times New Roman" w:eastAsia="仿宋_GB2312" w:cs="仿宋"/>
                <w:color w:val="000000"/>
                <w:kern w:val="0"/>
                <w:sz w:val="20"/>
                <w:szCs w:val="20"/>
                <w:lang w:val="en-US" w:eastAsia="zh-CN"/>
              </w:rPr>
              <w:t>10</w:t>
            </w:r>
          </w:p>
        </w:tc>
        <w:tc>
          <w:tcPr>
            <w:tcW w:w="1418" w:type="dxa"/>
            <w:noWrap w:val="0"/>
            <w:vAlign w:val="center"/>
          </w:tcPr>
          <w:p w14:paraId="60153898">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r>
      <w:tr w14:paraId="34A0F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6732" w:type="dxa"/>
            <w:gridSpan w:val="6"/>
            <w:noWrap w:val="0"/>
            <w:vAlign w:val="center"/>
          </w:tcPr>
          <w:p w14:paraId="29220E61">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总分</w:t>
            </w:r>
          </w:p>
        </w:tc>
        <w:tc>
          <w:tcPr>
            <w:tcW w:w="828" w:type="dxa"/>
            <w:noWrap w:val="0"/>
            <w:vAlign w:val="center"/>
          </w:tcPr>
          <w:p w14:paraId="21E9C88B">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Times New Roman" w:hAnsi="Times New Roman" w:eastAsia="仿宋_GB2312" w:cs="仿宋"/>
                <w:color w:val="000000"/>
                <w:kern w:val="0"/>
                <w:sz w:val="20"/>
                <w:szCs w:val="20"/>
              </w:rPr>
              <w:t>100</w:t>
            </w:r>
          </w:p>
        </w:tc>
        <w:tc>
          <w:tcPr>
            <w:tcW w:w="873" w:type="dxa"/>
            <w:noWrap w:val="0"/>
            <w:vAlign w:val="center"/>
          </w:tcPr>
          <w:p w14:paraId="50230E74">
            <w:pPr>
              <w:keepNext w:val="0"/>
              <w:keepLines w:val="0"/>
              <w:pageBreakBefore w:val="0"/>
              <w:widowControl/>
              <w:shd w:val="clear"/>
              <w:kinsoku/>
              <w:wordWrap/>
              <w:overflowPunct/>
              <w:topLinePunct w:val="0"/>
              <w:autoSpaceDE/>
              <w:autoSpaceDN/>
              <w:bidi w:val="0"/>
              <w:adjustRightInd/>
              <w:snapToGrid/>
              <w:spacing w:line="280" w:lineRule="exact"/>
              <w:ind w:firstLine="200" w:firstLineChars="100"/>
              <w:jc w:val="left"/>
              <w:textAlignment w:val="auto"/>
              <w:rPr>
                <w:rFonts w:hint="default" w:ascii="仿宋" w:hAnsi="仿宋" w:eastAsia="仿宋" w:cs="仿宋"/>
                <w:color w:val="000000"/>
                <w:kern w:val="0"/>
                <w:sz w:val="20"/>
                <w:szCs w:val="20"/>
                <w:lang w:val="en-US" w:eastAsia="zh-CN"/>
              </w:rPr>
            </w:pPr>
            <w:r>
              <w:rPr>
                <w:rFonts w:hint="default" w:ascii="Times New Roman" w:hAnsi="Times New Roman" w:eastAsia="仿宋_GB2312" w:cs="仿宋"/>
                <w:color w:val="000000"/>
                <w:kern w:val="0"/>
                <w:sz w:val="20"/>
                <w:szCs w:val="20"/>
                <w:lang w:val="en-US"/>
              </w:rPr>
              <w:t>100</w:t>
            </w:r>
          </w:p>
        </w:tc>
        <w:tc>
          <w:tcPr>
            <w:tcW w:w="1418" w:type="dxa"/>
            <w:noWrap w:val="0"/>
            <w:vAlign w:val="center"/>
          </w:tcPr>
          <w:p w14:paraId="71E380EB">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r>
    </w:tbl>
    <w:p w14:paraId="7546E8CA">
      <w:pPr>
        <w:widowControl w:val="0"/>
        <w:shd w:val="clear"/>
        <w:kinsoku/>
        <w:autoSpaceDE/>
        <w:autoSpaceDN/>
        <w:adjustRightInd/>
        <w:snapToGrid/>
        <w:spacing w:line="600" w:lineRule="exact"/>
        <w:jc w:val="both"/>
        <w:textAlignment w:val="auto"/>
        <w:rPr>
          <w:rFonts w:hint="default" w:ascii="Times New Roman" w:hAnsi="Times New Roman" w:eastAsia="仿宋_GB2312" w:cs="Times New Roman"/>
          <w:snapToGrid/>
          <w:color w:val="000000"/>
          <w:kern w:val="0"/>
          <w:sz w:val="24"/>
          <w:szCs w:val="24"/>
          <w:lang w:val="en-US" w:eastAsia="zh-CN" w:bidi="ar-SA"/>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刘希敏         </w:t>
      </w:r>
      <w:r>
        <w:rPr>
          <w:rFonts w:hint="default" w:ascii="Times New Roman" w:hAnsi="Times New Roman" w:eastAsia="仿宋_GB2312" w:cs="Times New Roman"/>
          <w:snapToGrid/>
          <w:color w:val="000000"/>
          <w:kern w:val="0"/>
          <w:sz w:val="24"/>
          <w:szCs w:val="24"/>
          <w:lang w:val="en-US" w:eastAsia="zh-CN" w:bidi="ar-SA"/>
        </w:rPr>
        <w:t xml:space="preserve">  填报日期：</w:t>
      </w:r>
      <w:r>
        <w:rPr>
          <w:rFonts w:hint="eastAsia" w:ascii="Times New Roman" w:hAnsi="Times New Roman" w:eastAsia="仿宋_GB2312" w:cs="Times New Roman"/>
          <w:snapToGrid/>
          <w:color w:val="000000"/>
          <w:kern w:val="0"/>
          <w:sz w:val="24"/>
          <w:szCs w:val="24"/>
          <w:lang w:val="en-US" w:eastAsia="zh-CN" w:bidi="ar-SA"/>
        </w:rPr>
        <w:t xml:space="preserve">2026年6月9日   </w:t>
      </w:r>
      <w:r>
        <w:rPr>
          <w:rFonts w:hint="default" w:ascii="Times New Roman" w:hAnsi="Times New Roman" w:eastAsia="仿宋_GB2312" w:cs="Times New Roman"/>
          <w:snapToGrid/>
          <w:color w:val="000000"/>
          <w:kern w:val="0"/>
          <w:sz w:val="24"/>
          <w:szCs w:val="24"/>
          <w:lang w:val="en-US" w:eastAsia="zh-CN" w:bidi="ar-SA"/>
        </w:rPr>
        <w:t xml:space="preserve"> 联系电话</w:t>
      </w:r>
      <w:r>
        <w:rPr>
          <w:rFonts w:hint="eastAsia" w:ascii="Times New Roman" w:hAnsi="Times New Roman" w:eastAsia="仿宋_GB2312" w:cs="Times New Roman"/>
          <w:snapToGrid/>
          <w:color w:val="000000"/>
          <w:kern w:val="0"/>
          <w:sz w:val="24"/>
          <w:szCs w:val="24"/>
          <w:lang w:val="en-US" w:eastAsia="zh-CN" w:bidi="ar-SA"/>
        </w:rPr>
        <w:t>：2711853</w:t>
      </w:r>
    </w:p>
    <w:p w14:paraId="0EA6215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0982D91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397521A4">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2B2D550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2AEBBB7B">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080C9CC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63959F1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1FB7D1D0">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312BAC0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0F446CE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07B3C40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2B7E243F">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094B7C0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48F7F188">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16D6873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326448BA">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5C897C7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3FA3FFE9">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72A9D1E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3475961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default"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t>附件</w:t>
      </w:r>
      <w:r>
        <w:rPr>
          <w:rFonts w:hint="eastAsia" w:ascii="Times New Roman" w:hAnsi="Times New Roman" w:eastAsia="方正小标宋_GBK" w:cs="方正小标宋_GBK"/>
          <w:i w:val="0"/>
          <w:iCs w:val="0"/>
          <w:caps w:val="0"/>
          <w:color w:val="000000"/>
          <w:spacing w:val="0"/>
          <w:sz w:val="24"/>
          <w:szCs w:val="24"/>
          <w:shd w:val="clear" w:fill="FFFFFF"/>
          <w:lang w:val="en-US" w:eastAsia="zh-CN"/>
        </w:rPr>
        <w:t>3</w:t>
      </w:r>
    </w:p>
    <w:p w14:paraId="4F6D3736">
      <w:pPr>
        <w:keepNext w:val="0"/>
        <w:keepLines w:val="0"/>
        <w:pageBreakBefore w:val="0"/>
        <w:widowControl/>
        <w:shd w:val="clear"/>
        <w:tabs>
          <w:tab w:val="left" w:pos="3611"/>
          <w:tab w:val="left" w:pos="4791"/>
          <w:tab w:val="left" w:pos="5951"/>
          <w:tab w:val="left" w:pos="7071"/>
          <w:tab w:val="left" w:pos="8191"/>
          <w:tab w:val="left" w:pos="9311"/>
        </w:tabs>
        <w:kinsoku/>
        <w:wordWrap/>
        <w:overflowPunct/>
        <w:topLinePunct w:val="0"/>
        <w:autoSpaceDE/>
        <w:autoSpaceDN/>
        <w:bidi w:val="0"/>
        <w:adjustRightInd/>
        <w:snapToGrid w:val="0"/>
        <w:spacing w:line="440" w:lineRule="atLeast"/>
        <w:ind w:left="0"/>
        <w:jc w:val="center"/>
        <w:textAlignment w:val="auto"/>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pPr>
      <w:r>
        <w:rPr>
          <w:rFonts w:hint="eastAsia" w:ascii="方正小标宋_GBK" w:hAnsi="方正小标宋_GBK" w:eastAsia="方正小标宋_GBK" w:cs="方正小标宋_GBK"/>
          <w:i w:val="0"/>
          <w:iCs w:val="0"/>
          <w:caps w:val="0"/>
          <w:color w:val="000000"/>
          <w:spacing w:val="0"/>
          <w:kern w:val="0"/>
          <w:sz w:val="28"/>
          <w:szCs w:val="28"/>
          <w:shd w:val="clear" w:fill="FFFFFF"/>
          <w:lang w:val="en-US" w:eastAsia="zh-CN" w:bidi="ar"/>
        </w:rPr>
        <w:t>项目支出绩效自评表</w:t>
      </w:r>
    </w:p>
    <w:tbl>
      <w:tblPr>
        <w:tblStyle w:val="8"/>
        <w:tblW w:w="9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1080"/>
        <w:gridCol w:w="1564"/>
        <w:gridCol w:w="1633"/>
        <w:gridCol w:w="884"/>
        <w:gridCol w:w="916"/>
        <w:gridCol w:w="667"/>
        <w:gridCol w:w="933"/>
        <w:gridCol w:w="1094"/>
      </w:tblGrid>
      <w:tr w14:paraId="4F645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1080" w:type="dxa"/>
            <w:noWrap w:val="0"/>
            <w:vAlign w:val="center"/>
          </w:tcPr>
          <w:p w14:paraId="3D2DA175">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_GB2312" w:cs="仿宋"/>
                <w:color w:val="000000"/>
                <w:kern w:val="0"/>
                <w:sz w:val="18"/>
                <w:szCs w:val="18"/>
              </w:rPr>
            </w:pPr>
            <w:r>
              <w:rPr>
                <w:rFonts w:hint="eastAsia" w:ascii="仿宋" w:hAnsi="仿宋" w:eastAsia="仿宋_GB2312" w:cs="仿宋"/>
                <w:color w:val="000000"/>
                <w:kern w:val="0"/>
                <w:sz w:val="18"/>
                <w:szCs w:val="18"/>
              </w:rPr>
              <w:t>项目支</w:t>
            </w:r>
          </w:p>
          <w:p w14:paraId="6A47BA2A">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18"/>
                <w:szCs w:val="18"/>
              </w:rPr>
              <w:t>出名称</w:t>
            </w:r>
          </w:p>
        </w:tc>
        <w:tc>
          <w:tcPr>
            <w:tcW w:w="8771" w:type="dxa"/>
            <w:gridSpan w:val="8"/>
            <w:noWrap w:val="0"/>
            <w:vAlign w:val="center"/>
          </w:tcPr>
          <w:p w14:paraId="2C77DC0B">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_GB2312" w:cs="仿宋"/>
                <w:color w:val="000000"/>
                <w:kern w:val="0"/>
                <w:sz w:val="20"/>
                <w:szCs w:val="20"/>
                <w:lang w:eastAsia="zh-CN"/>
              </w:rPr>
            </w:pPr>
            <w:r>
              <w:rPr>
                <w:rFonts w:hint="eastAsia" w:ascii="仿宋" w:hAnsi="仿宋" w:eastAsia="仿宋_GB2312" w:cs="仿宋"/>
                <w:color w:val="000000"/>
                <w:kern w:val="0"/>
                <w:sz w:val="20"/>
                <w:szCs w:val="20"/>
                <w:lang w:eastAsia="zh-CN"/>
              </w:rPr>
              <w:t>法治建设经费</w:t>
            </w:r>
          </w:p>
        </w:tc>
      </w:tr>
      <w:tr w14:paraId="53ACF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080" w:type="dxa"/>
            <w:noWrap w:val="0"/>
            <w:vAlign w:val="center"/>
          </w:tcPr>
          <w:p w14:paraId="083898B4">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主管部门</w:t>
            </w:r>
          </w:p>
        </w:tc>
        <w:tc>
          <w:tcPr>
            <w:tcW w:w="5161" w:type="dxa"/>
            <w:gridSpan w:val="4"/>
            <w:noWrap w:val="0"/>
            <w:vAlign w:val="center"/>
          </w:tcPr>
          <w:p w14:paraId="249D8BE0">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_GB2312" w:cs="仿宋"/>
                <w:color w:val="000000"/>
                <w:kern w:val="0"/>
                <w:sz w:val="20"/>
                <w:szCs w:val="20"/>
                <w:lang w:eastAsia="zh-CN"/>
              </w:rPr>
              <w:t>怀化市司法局</w:t>
            </w:r>
          </w:p>
        </w:tc>
        <w:tc>
          <w:tcPr>
            <w:tcW w:w="916" w:type="dxa"/>
            <w:noWrap w:val="0"/>
            <w:vAlign w:val="center"/>
          </w:tcPr>
          <w:p w14:paraId="16D4BBA6">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实施单位</w:t>
            </w:r>
          </w:p>
        </w:tc>
        <w:tc>
          <w:tcPr>
            <w:tcW w:w="2694" w:type="dxa"/>
            <w:gridSpan w:val="3"/>
            <w:noWrap w:val="0"/>
            <w:vAlign w:val="center"/>
          </w:tcPr>
          <w:p w14:paraId="19177516">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_GB2312" w:cs="仿宋"/>
                <w:color w:val="000000"/>
                <w:kern w:val="0"/>
                <w:sz w:val="20"/>
                <w:szCs w:val="20"/>
                <w:lang w:eastAsia="zh-CN"/>
              </w:rPr>
              <w:t>怀化市司法局</w:t>
            </w:r>
          </w:p>
        </w:tc>
      </w:tr>
      <w:tr w14:paraId="55799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restart"/>
            <w:noWrap w:val="0"/>
            <w:vAlign w:val="center"/>
          </w:tcPr>
          <w:p w14:paraId="2D37179C">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项目资金</w:t>
            </w:r>
            <w:r>
              <w:rPr>
                <w:rFonts w:hint="eastAsia" w:ascii="仿宋" w:hAnsi="仿宋" w:eastAsia="仿宋_GB2312" w:cs="仿宋"/>
                <w:color w:val="000000"/>
                <w:kern w:val="0"/>
                <w:sz w:val="20"/>
                <w:szCs w:val="20"/>
              </w:rPr>
              <w:br w:type="textWrapping"/>
            </w:r>
            <w:r>
              <w:rPr>
                <w:rFonts w:hint="eastAsia" w:ascii="仿宋" w:hAnsi="仿宋" w:eastAsia="仿宋_GB2312" w:cs="仿宋"/>
                <w:color w:val="000000"/>
                <w:kern w:val="0"/>
                <w:sz w:val="20"/>
                <w:szCs w:val="20"/>
              </w:rPr>
              <w:t>（万元）</w:t>
            </w:r>
          </w:p>
        </w:tc>
        <w:tc>
          <w:tcPr>
            <w:tcW w:w="2644" w:type="dxa"/>
            <w:gridSpan w:val="2"/>
            <w:noWrap w:val="0"/>
            <w:vAlign w:val="center"/>
          </w:tcPr>
          <w:p w14:paraId="640F0D44">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c>
          <w:tcPr>
            <w:tcW w:w="1633" w:type="dxa"/>
            <w:noWrap w:val="0"/>
            <w:vAlign w:val="center"/>
          </w:tcPr>
          <w:p w14:paraId="303123A4">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_GB2312" w:cs="仿宋"/>
                <w:color w:val="000000"/>
                <w:kern w:val="0"/>
                <w:sz w:val="20"/>
                <w:szCs w:val="20"/>
              </w:rPr>
            </w:pPr>
            <w:r>
              <w:rPr>
                <w:rFonts w:hint="eastAsia" w:ascii="仿宋" w:hAnsi="仿宋" w:eastAsia="仿宋_GB2312" w:cs="仿宋"/>
                <w:color w:val="000000"/>
                <w:kern w:val="0"/>
                <w:sz w:val="20"/>
                <w:szCs w:val="20"/>
              </w:rPr>
              <w:t>年初</w:t>
            </w:r>
          </w:p>
          <w:p w14:paraId="233A8078">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预算数</w:t>
            </w:r>
          </w:p>
        </w:tc>
        <w:tc>
          <w:tcPr>
            <w:tcW w:w="884" w:type="dxa"/>
            <w:noWrap w:val="0"/>
            <w:vAlign w:val="center"/>
          </w:tcPr>
          <w:p w14:paraId="5012BAA7">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_GB2312" w:cs="仿宋"/>
                <w:color w:val="000000"/>
                <w:kern w:val="0"/>
                <w:sz w:val="20"/>
                <w:szCs w:val="20"/>
              </w:rPr>
            </w:pPr>
            <w:r>
              <w:rPr>
                <w:rFonts w:hint="eastAsia" w:ascii="仿宋" w:hAnsi="仿宋" w:eastAsia="仿宋_GB2312" w:cs="仿宋"/>
                <w:color w:val="000000"/>
                <w:kern w:val="0"/>
                <w:sz w:val="20"/>
                <w:szCs w:val="20"/>
              </w:rPr>
              <w:t>全年</w:t>
            </w:r>
          </w:p>
          <w:p w14:paraId="7D776143">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预算数</w:t>
            </w:r>
          </w:p>
        </w:tc>
        <w:tc>
          <w:tcPr>
            <w:tcW w:w="916" w:type="dxa"/>
            <w:noWrap w:val="0"/>
            <w:vAlign w:val="center"/>
          </w:tcPr>
          <w:p w14:paraId="1C9BE53A">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_GB2312" w:cs="仿宋"/>
                <w:sz w:val="20"/>
                <w:szCs w:val="20"/>
              </w:rPr>
            </w:pPr>
            <w:r>
              <w:rPr>
                <w:rFonts w:hint="eastAsia" w:ascii="仿宋" w:hAnsi="仿宋" w:eastAsia="仿宋_GB2312" w:cs="仿宋"/>
                <w:sz w:val="20"/>
                <w:szCs w:val="20"/>
              </w:rPr>
              <w:t>全年</w:t>
            </w:r>
          </w:p>
          <w:p w14:paraId="2F226372">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_GB2312" w:cs="仿宋"/>
                <w:sz w:val="20"/>
                <w:szCs w:val="20"/>
              </w:rPr>
              <w:t>执行数</w:t>
            </w:r>
          </w:p>
        </w:tc>
        <w:tc>
          <w:tcPr>
            <w:tcW w:w="667" w:type="dxa"/>
            <w:noWrap w:val="0"/>
            <w:vAlign w:val="center"/>
          </w:tcPr>
          <w:p w14:paraId="13F3A84A">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_GB2312" w:cs="仿宋"/>
                <w:sz w:val="20"/>
                <w:szCs w:val="20"/>
              </w:rPr>
              <w:t>分值</w:t>
            </w:r>
          </w:p>
        </w:tc>
        <w:tc>
          <w:tcPr>
            <w:tcW w:w="933" w:type="dxa"/>
            <w:noWrap w:val="0"/>
            <w:vAlign w:val="center"/>
          </w:tcPr>
          <w:p w14:paraId="4048555A">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_GB2312" w:cs="仿宋"/>
                <w:sz w:val="20"/>
                <w:szCs w:val="20"/>
              </w:rPr>
              <w:t>执行率</w:t>
            </w:r>
          </w:p>
        </w:tc>
        <w:tc>
          <w:tcPr>
            <w:tcW w:w="1094" w:type="dxa"/>
            <w:noWrap w:val="0"/>
            <w:vAlign w:val="center"/>
          </w:tcPr>
          <w:p w14:paraId="034FA578">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 w:cs="仿宋"/>
                <w:sz w:val="20"/>
                <w:szCs w:val="20"/>
              </w:rPr>
            </w:pPr>
            <w:r>
              <w:rPr>
                <w:rFonts w:hint="eastAsia" w:ascii="仿宋" w:hAnsi="仿宋" w:eastAsia="仿宋_GB2312" w:cs="仿宋"/>
                <w:sz w:val="20"/>
                <w:szCs w:val="20"/>
              </w:rPr>
              <w:t>得分</w:t>
            </w:r>
          </w:p>
        </w:tc>
      </w:tr>
      <w:tr w14:paraId="23D52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0D7D6071">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644" w:type="dxa"/>
            <w:gridSpan w:val="2"/>
            <w:noWrap w:val="0"/>
            <w:vAlign w:val="center"/>
          </w:tcPr>
          <w:p w14:paraId="5F77B14B">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_GB2312" w:cs="仿宋"/>
                <w:color w:val="000000"/>
                <w:kern w:val="0"/>
                <w:sz w:val="20"/>
                <w:szCs w:val="20"/>
                <w:lang w:eastAsia="zh-CN"/>
              </w:rPr>
            </w:pPr>
            <w:r>
              <w:rPr>
                <w:rFonts w:hint="eastAsia" w:ascii="仿宋" w:hAnsi="仿宋" w:eastAsia="仿宋_GB2312" w:cs="仿宋"/>
                <w:color w:val="000000"/>
                <w:kern w:val="0"/>
                <w:sz w:val="20"/>
                <w:szCs w:val="20"/>
              </w:rPr>
              <w:t>年度资金总额</w:t>
            </w:r>
          </w:p>
        </w:tc>
        <w:tc>
          <w:tcPr>
            <w:tcW w:w="1633" w:type="dxa"/>
            <w:noWrap w:val="0"/>
            <w:vAlign w:val="center"/>
          </w:tcPr>
          <w:p w14:paraId="4DE1DD4C">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Times New Roman" w:hAnsi="Times New Roman" w:eastAsia="仿宋_GB2312" w:cs="仿宋"/>
                <w:color w:val="000000"/>
                <w:kern w:val="0"/>
                <w:sz w:val="20"/>
                <w:szCs w:val="20"/>
                <w:lang w:val="en-US" w:eastAsia="zh-CN"/>
              </w:rPr>
              <w:t>55</w:t>
            </w:r>
          </w:p>
        </w:tc>
        <w:tc>
          <w:tcPr>
            <w:tcW w:w="884" w:type="dxa"/>
            <w:noWrap w:val="0"/>
            <w:vAlign w:val="center"/>
          </w:tcPr>
          <w:p w14:paraId="521DB6D8">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Times New Roman" w:hAnsi="Times New Roman" w:eastAsia="仿宋_GB2312" w:cs="仿宋"/>
                <w:color w:val="000000"/>
                <w:kern w:val="0"/>
                <w:sz w:val="20"/>
                <w:szCs w:val="20"/>
                <w:lang w:val="en-US" w:eastAsia="zh-CN"/>
              </w:rPr>
              <w:t>55</w:t>
            </w:r>
          </w:p>
        </w:tc>
        <w:tc>
          <w:tcPr>
            <w:tcW w:w="916" w:type="dxa"/>
            <w:noWrap w:val="0"/>
            <w:vAlign w:val="center"/>
          </w:tcPr>
          <w:p w14:paraId="27294F27">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Times New Roman" w:hAnsi="Times New Roman" w:eastAsia="仿宋_GB2312" w:cs="仿宋"/>
                <w:color w:val="000000"/>
                <w:kern w:val="0"/>
                <w:sz w:val="20"/>
                <w:szCs w:val="20"/>
                <w:lang w:val="en-US" w:eastAsia="zh-CN"/>
              </w:rPr>
              <w:t>31</w:t>
            </w:r>
            <w:r>
              <w:rPr>
                <w:rFonts w:hint="eastAsia" w:ascii="仿宋" w:hAnsi="仿宋" w:eastAsia="仿宋_GB2312" w:cs="仿宋"/>
                <w:color w:val="000000"/>
                <w:kern w:val="0"/>
                <w:sz w:val="20"/>
                <w:szCs w:val="20"/>
                <w:lang w:val="en-US" w:eastAsia="zh-CN"/>
              </w:rPr>
              <w:t>.</w:t>
            </w:r>
            <w:r>
              <w:rPr>
                <w:rFonts w:hint="eastAsia" w:ascii="Times New Roman" w:hAnsi="Times New Roman" w:eastAsia="仿宋_GB2312" w:cs="仿宋"/>
                <w:color w:val="000000"/>
                <w:kern w:val="0"/>
                <w:sz w:val="20"/>
                <w:szCs w:val="20"/>
                <w:lang w:val="en-US" w:eastAsia="zh-CN"/>
              </w:rPr>
              <w:t>5</w:t>
            </w:r>
          </w:p>
        </w:tc>
        <w:tc>
          <w:tcPr>
            <w:tcW w:w="667" w:type="dxa"/>
            <w:noWrap w:val="0"/>
            <w:vAlign w:val="center"/>
          </w:tcPr>
          <w:p w14:paraId="577660E6">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Times New Roman" w:hAnsi="Times New Roman" w:eastAsia="仿宋_GB2312" w:cs="仿宋"/>
                <w:color w:val="000000"/>
                <w:kern w:val="0"/>
                <w:sz w:val="20"/>
                <w:szCs w:val="20"/>
              </w:rPr>
              <w:t>10</w:t>
            </w:r>
          </w:p>
        </w:tc>
        <w:tc>
          <w:tcPr>
            <w:tcW w:w="933" w:type="dxa"/>
            <w:noWrap w:val="0"/>
            <w:vAlign w:val="center"/>
          </w:tcPr>
          <w:p w14:paraId="684B5C5D">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Times New Roman" w:hAnsi="Times New Roman" w:eastAsia="仿宋_GB2312" w:cs="仿宋"/>
                <w:color w:val="000000"/>
                <w:kern w:val="0"/>
                <w:sz w:val="20"/>
                <w:szCs w:val="20"/>
                <w:lang w:val="en-US" w:eastAsia="zh-CN"/>
              </w:rPr>
              <w:t>57</w:t>
            </w:r>
            <w:r>
              <w:rPr>
                <w:rFonts w:hint="eastAsia" w:ascii="仿宋" w:hAnsi="仿宋" w:eastAsia="仿宋_GB2312" w:cs="仿宋"/>
                <w:color w:val="000000"/>
                <w:kern w:val="0"/>
                <w:sz w:val="20"/>
                <w:szCs w:val="20"/>
                <w:lang w:val="en-US" w:eastAsia="zh-CN"/>
              </w:rPr>
              <w:t>.</w:t>
            </w:r>
            <w:r>
              <w:rPr>
                <w:rFonts w:hint="eastAsia" w:ascii="Times New Roman" w:hAnsi="Times New Roman" w:eastAsia="仿宋_GB2312" w:cs="仿宋"/>
                <w:color w:val="000000"/>
                <w:kern w:val="0"/>
                <w:sz w:val="20"/>
                <w:szCs w:val="20"/>
                <w:lang w:val="en-US" w:eastAsia="zh-CN"/>
              </w:rPr>
              <w:t>27%</w:t>
            </w:r>
          </w:p>
        </w:tc>
        <w:tc>
          <w:tcPr>
            <w:tcW w:w="1094" w:type="dxa"/>
            <w:noWrap w:val="0"/>
            <w:vAlign w:val="center"/>
          </w:tcPr>
          <w:p w14:paraId="5FB5F4C0">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rPr>
            </w:pPr>
            <w:r>
              <w:rPr>
                <w:rFonts w:hint="eastAsia" w:ascii="Times New Roman" w:hAnsi="Times New Roman" w:eastAsia="仿宋_GB2312" w:cs="仿宋"/>
                <w:color w:val="000000"/>
                <w:kern w:val="0"/>
                <w:sz w:val="20"/>
                <w:szCs w:val="20"/>
                <w:lang w:val="en-US" w:eastAsia="zh-CN"/>
              </w:rPr>
              <w:t>9</w:t>
            </w:r>
          </w:p>
        </w:tc>
      </w:tr>
      <w:tr w14:paraId="5BE6F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19225AF9">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644" w:type="dxa"/>
            <w:gridSpan w:val="2"/>
            <w:noWrap w:val="0"/>
            <w:vAlign w:val="center"/>
          </w:tcPr>
          <w:p w14:paraId="53490744">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_GB2312" w:cs="仿宋"/>
                <w:color w:val="000000"/>
                <w:kern w:val="0"/>
                <w:sz w:val="20"/>
                <w:szCs w:val="20"/>
                <w:lang w:eastAsia="zh-CN"/>
              </w:rPr>
            </w:pPr>
            <w:r>
              <w:rPr>
                <w:rFonts w:hint="eastAsia" w:ascii="仿宋" w:hAnsi="仿宋" w:eastAsia="仿宋_GB2312" w:cs="仿宋"/>
                <w:color w:val="000000"/>
                <w:kern w:val="0"/>
                <w:sz w:val="20"/>
                <w:szCs w:val="20"/>
              </w:rPr>
              <w:t>其中：当年财政拨款</w:t>
            </w:r>
          </w:p>
        </w:tc>
        <w:tc>
          <w:tcPr>
            <w:tcW w:w="1633" w:type="dxa"/>
            <w:noWrap w:val="0"/>
            <w:vAlign w:val="center"/>
          </w:tcPr>
          <w:p w14:paraId="1EF250D7">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bidi="ar-SA"/>
              </w:rPr>
            </w:pPr>
            <w:r>
              <w:rPr>
                <w:rFonts w:hint="eastAsia" w:ascii="Times New Roman" w:hAnsi="Times New Roman" w:eastAsia="仿宋_GB2312" w:cs="仿宋"/>
                <w:color w:val="000000"/>
                <w:kern w:val="0"/>
                <w:sz w:val="20"/>
                <w:szCs w:val="20"/>
                <w:lang w:val="en-US" w:eastAsia="zh-CN"/>
              </w:rPr>
              <w:t>55</w:t>
            </w:r>
          </w:p>
        </w:tc>
        <w:tc>
          <w:tcPr>
            <w:tcW w:w="884" w:type="dxa"/>
            <w:noWrap w:val="0"/>
            <w:vAlign w:val="center"/>
          </w:tcPr>
          <w:p w14:paraId="4392ECA8">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bidi="ar-SA"/>
              </w:rPr>
            </w:pPr>
            <w:r>
              <w:rPr>
                <w:rFonts w:hint="eastAsia" w:ascii="Times New Roman" w:hAnsi="Times New Roman" w:eastAsia="仿宋_GB2312" w:cs="仿宋"/>
                <w:color w:val="000000"/>
                <w:kern w:val="0"/>
                <w:sz w:val="20"/>
                <w:szCs w:val="20"/>
                <w:lang w:val="en-US" w:eastAsia="zh-CN"/>
              </w:rPr>
              <w:t>55</w:t>
            </w:r>
          </w:p>
        </w:tc>
        <w:tc>
          <w:tcPr>
            <w:tcW w:w="916" w:type="dxa"/>
            <w:noWrap w:val="0"/>
            <w:vAlign w:val="center"/>
          </w:tcPr>
          <w:p w14:paraId="64C6903C">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bidi="ar-SA"/>
              </w:rPr>
            </w:pPr>
            <w:r>
              <w:rPr>
                <w:rFonts w:hint="eastAsia" w:ascii="Times New Roman" w:hAnsi="Times New Roman" w:eastAsia="仿宋_GB2312" w:cs="仿宋"/>
                <w:color w:val="000000"/>
                <w:kern w:val="0"/>
                <w:sz w:val="20"/>
                <w:szCs w:val="20"/>
                <w:lang w:val="en-US" w:eastAsia="zh-CN"/>
              </w:rPr>
              <w:t>31</w:t>
            </w:r>
            <w:r>
              <w:rPr>
                <w:rFonts w:hint="eastAsia" w:ascii="仿宋" w:hAnsi="仿宋" w:eastAsia="仿宋_GB2312" w:cs="仿宋"/>
                <w:color w:val="000000"/>
                <w:kern w:val="0"/>
                <w:sz w:val="20"/>
                <w:szCs w:val="20"/>
                <w:lang w:val="en-US" w:eastAsia="zh-CN"/>
              </w:rPr>
              <w:t>.</w:t>
            </w:r>
            <w:r>
              <w:rPr>
                <w:rFonts w:hint="eastAsia" w:ascii="Times New Roman" w:hAnsi="Times New Roman" w:eastAsia="仿宋_GB2312" w:cs="仿宋"/>
                <w:color w:val="000000"/>
                <w:kern w:val="0"/>
                <w:sz w:val="20"/>
                <w:szCs w:val="20"/>
                <w:lang w:val="en-US" w:eastAsia="zh-CN"/>
              </w:rPr>
              <w:t>5</w:t>
            </w:r>
          </w:p>
        </w:tc>
        <w:tc>
          <w:tcPr>
            <w:tcW w:w="667" w:type="dxa"/>
            <w:noWrap w:val="0"/>
            <w:vAlign w:val="center"/>
          </w:tcPr>
          <w:p w14:paraId="307AD39F">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bidi="ar-SA"/>
              </w:rPr>
            </w:pPr>
            <w:r>
              <w:rPr>
                <w:rFonts w:hint="eastAsia" w:ascii="Times New Roman" w:hAnsi="Times New Roman" w:eastAsia="仿宋_GB2312" w:cs="仿宋"/>
                <w:color w:val="000000"/>
                <w:kern w:val="0"/>
                <w:sz w:val="20"/>
                <w:szCs w:val="20"/>
              </w:rPr>
              <w:t>10</w:t>
            </w:r>
          </w:p>
        </w:tc>
        <w:tc>
          <w:tcPr>
            <w:tcW w:w="933" w:type="dxa"/>
            <w:noWrap w:val="0"/>
            <w:vAlign w:val="center"/>
          </w:tcPr>
          <w:p w14:paraId="7A010791">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bidi="ar-SA"/>
              </w:rPr>
            </w:pPr>
            <w:r>
              <w:rPr>
                <w:rFonts w:hint="eastAsia" w:ascii="Times New Roman" w:hAnsi="Times New Roman" w:eastAsia="仿宋_GB2312" w:cs="仿宋"/>
                <w:color w:val="000000"/>
                <w:kern w:val="0"/>
                <w:sz w:val="20"/>
                <w:szCs w:val="20"/>
                <w:lang w:val="en-US" w:eastAsia="zh-CN"/>
              </w:rPr>
              <w:t>57</w:t>
            </w:r>
            <w:r>
              <w:rPr>
                <w:rFonts w:hint="eastAsia" w:ascii="仿宋" w:hAnsi="仿宋" w:eastAsia="仿宋_GB2312" w:cs="仿宋"/>
                <w:color w:val="000000"/>
                <w:kern w:val="0"/>
                <w:sz w:val="20"/>
                <w:szCs w:val="20"/>
                <w:lang w:val="en-US" w:eastAsia="zh-CN"/>
              </w:rPr>
              <w:t>.</w:t>
            </w:r>
            <w:r>
              <w:rPr>
                <w:rFonts w:hint="eastAsia" w:ascii="Times New Roman" w:hAnsi="Times New Roman" w:eastAsia="仿宋_GB2312" w:cs="仿宋"/>
                <w:color w:val="000000"/>
                <w:kern w:val="0"/>
                <w:sz w:val="20"/>
                <w:szCs w:val="20"/>
                <w:lang w:val="en-US" w:eastAsia="zh-CN"/>
              </w:rPr>
              <w:t>27%</w:t>
            </w:r>
          </w:p>
        </w:tc>
        <w:tc>
          <w:tcPr>
            <w:tcW w:w="1094" w:type="dxa"/>
            <w:noWrap w:val="0"/>
            <w:vAlign w:val="center"/>
          </w:tcPr>
          <w:p w14:paraId="24432974">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bidi="ar-SA"/>
              </w:rPr>
            </w:pPr>
            <w:r>
              <w:rPr>
                <w:rFonts w:hint="eastAsia" w:ascii="Times New Roman" w:hAnsi="Times New Roman" w:eastAsia="仿宋_GB2312" w:cs="仿宋"/>
                <w:color w:val="000000"/>
                <w:kern w:val="0"/>
                <w:sz w:val="20"/>
                <w:szCs w:val="20"/>
                <w:lang w:val="en-US" w:eastAsia="zh-CN" w:bidi="ar-SA"/>
              </w:rPr>
              <w:t>9</w:t>
            </w:r>
          </w:p>
        </w:tc>
      </w:tr>
      <w:tr w14:paraId="359F5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80" w:type="dxa"/>
            <w:vMerge w:val="continue"/>
            <w:noWrap w:val="0"/>
            <w:vAlign w:val="center"/>
          </w:tcPr>
          <w:p w14:paraId="1069E133">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644" w:type="dxa"/>
            <w:gridSpan w:val="2"/>
            <w:noWrap w:val="0"/>
            <w:vAlign w:val="center"/>
          </w:tcPr>
          <w:p w14:paraId="173065D3">
            <w:pPr>
              <w:keepNext w:val="0"/>
              <w:keepLines w:val="0"/>
              <w:pageBreakBefore w:val="0"/>
              <w:widowControl/>
              <w:shd w:val="clear"/>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_GB2312" w:cs="仿宋"/>
                <w:color w:val="000000"/>
                <w:kern w:val="0"/>
                <w:sz w:val="20"/>
                <w:szCs w:val="20"/>
                <w:lang w:eastAsia="zh-CN"/>
              </w:rPr>
            </w:pPr>
            <w:r>
              <w:rPr>
                <w:rFonts w:hint="eastAsia" w:ascii="仿宋" w:hAnsi="仿宋" w:eastAsia="仿宋_GB2312" w:cs="仿宋"/>
                <w:color w:val="000000"/>
                <w:kern w:val="0"/>
                <w:sz w:val="20"/>
                <w:szCs w:val="20"/>
              </w:rPr>
              <w:t>上年结转资金</w:t>
            </w:r>
          </w:p>
        </w:tc>
        <w:tc>
          <w:tcPr>
            <w:tcW w:w="1633" w:type="dxa"/>
            <w:noWrap w:val="0"/>
            <w:vAlign w:val="center"/>
          </w:tcPr>
          <w:p w14:paraId="0A26F2CD">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c>
          <w:tcPr>
            <w:tcW w:w="884" w:type="dxa"/>
            <w:noWrap w:val="0"/>
            <w:vAlign w:val="center"/>
          </w:tcPr>
          <w:p w14:paraId="082FDCC9">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c>
          <w:tcPr>
            <w:tcW w:w="916" w:type="dxa"/>
            <w:noWrap w:val="0"/>
            <w:vAlign w:val="center"/>
          </w:tcPr>
          <w:p w14:paraId="320858FC">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c>
          <w:tcPr>
            <w:tcW w:w="667" w:type="dxa"/>
            <w:noWrap w:val="0"/>
            <w:vAlign w:val="center"/>
          </w:tcPr>
          <w:p w14:paraId="0DE9CEFC">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c>
          <w:tcPr>
            <w:tcW w:w="933" w:type="dxa"/>
            <w:noWrap w:val="0"/>
            <w:vAlign w:val="center"/>
          </w:tcPr>
          <w:p w14:paraId="495E46C2">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c>
          <w:tcPr>
            <w:tcW w:w="1094" w:type="dxa"/>
            <w:noWrap w:val="0"/>
            <w:vAlign w:val="center"/>
          </w:tcPr>
          <w:p w14:paraId="6879022F">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r>
      <w:tr w14:paraId="2409C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jc w:val="center"/>
        </w:trPr>
        <w:tc>
          <w:tcPr>
            <w:tcW w:w="1080" w:type="dxa"/>
            <w:vMerge w:val="continue"/>
            <w:noWrap w:val="0"/>
            <w:vAlign w:val="center"/>
          </w:tcPr>
          <w:p w14:paraId="44A60325">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2644" w:type="dxa"/>
            <w:gridSpan w:val="2"/>
            <w:noWrap w:val="0"/>
            <w:vAlign w:val="center"/>
          </w:tcPr>
          <w:p w14:paraId="63360EC0">
            <w:pPr>
              <w:keepNext w:val="0"/>
              <w:keepLines w:val="0"/>
              <w:pageBreakBefore w:val="0"/>
              <w:widowControl/>
              <w:shd w:val="clear"/>
              <w:kinsoku/>
              <w:wordWrap/>
              <w:overflowPunct/>
              <w:topLinePunct w:val="0"/>
              <w:autoSpaceDE/>
              <w:autoSpaceDN/>
              <w:bidi w:val="0"/>
              <w:adjustRightInd/>
              <w:snapToGrid/>
              <w:spacing w:line="280" w:lineRule="exact"/>
              <w:ind w:firstLine="600" w:firstLineChars="300"/>
              <w:jc w:val="left"/>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其他资金</w:t>
            </w:r>
          </w:p>
        </w:tc>
        <w:tc>
          <w:tcPr>
            <w:tcW w:w="1633" w:type="dxa"/>
            <w:noWrap w:val="0"/>
            <w:vAlign w:val="center"/>
          </w:tcPr>
          <w:p w14:paraId="07A62D6E">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c>
          <w:tcPr>
            <w:tcW w:w="884" w:type="dxa"/>
            <w:noWrap w:val="0"/>
            <w:vAlign w:val="center"/>
          </w:tcPr>
          <w:p w14:paraId="26A5D523">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c>
          <w:tcPr>
            <w:tcW w:w="916" w:type="dxa"/>
            <w:noWrap w:val="0"/>
            <w:vAlign w:val="center"/>
          </w:tcPr>
          <w:p w14:paraId="7A65490D">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c>
          <w:tcPr>
            <w:tcW w:w="667" w:type="dxa"/>
            <w:noWrap w:val="0"/>
            <w:vAlign w:val="center"/>
          </w:tcPr>
          <w:p w14:paraId="7E7BC684">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c>
          <w:tcPr>
            <w:tcW w:w="933" w:type="dxa"/>
            <w:noWrap w:val="0"/>
            <w:vAlign w:val="center"/>
          </w:tcPr>
          <w:p w14:paraId="2F465F2F">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c>
          <w:tcPr>
            <w:tcW w:w="1094" w:type="dxa"/>
            <w:noWrap w:val="0"/>
            <w:vAlign w:val="center"/>
          </w:tcPr>
          <w:p w14:paraId="76D9AB0C">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r>
      <w:tr w14:paraId="784BD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jc w:val="center"/>
        </w:trPr>
        <w:tc>
          <w:tcPr>
            <w:tcW w:w="1080" w:type="dxa"/>
            <w:vMerge w:val="restart"/>
            <w:noWrap w:val="0"/>
            <w:vAlign w:val="center"/>
          </w:tcPr>
          <w:p w14:paraId="6B006D09">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年度总体目标</w:t>
            </w:r>
          </w:p>
        </w:tc>
        <w:tc>
          <w:tcPr>
            <w:tcW w:w="5161" w:type="dxa"/>
            <w:gridSpan w:val="4"/>
            <w:noWrap w:val="0"/>
            <w:vAlign w:val="center"/>
          </w:tcPr>
          <w:p w14:paraId="2ADA64E9">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预期目标</w:t>
            </w:r>
          </w:p>
        </w:tc>
        <w:tc>
          <w:tcPr>
            <w:tcW w:w="3610" w:type="dxa"/>
            <w:gridSpan w:val="4"/>
            <w:noWrap w:val="0"/>
            <w:vAlign w:val="center"/>
          </w:tcPr>
          <w:p w14:paraId="4AFBF38D">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_GB2312" w:cs="仿宋"/>
                <w:color w:val="000000"/>
                <w:kern w:val="0"/>
                <w:sz w:val="20"/>
                <w:szCs w:val="20"/>
                <w:lang w:eastAsia="zh-CN"/>
              </w:rPr>
            </w:pPr>
            <w:r>
              <w:rPr>
                <w:rFonts w:hint="eastAsia" w:ascii="仿宋" w:hAnsi="仿宋" w:eastAsia="仿宋_GB2312" w:cs="仿宋"/>
                <w:color w:val="000000"/>
                <w:kern w:val="0"/>
                <w:sz w:val="20"/>
                <w:szCs w:val="20"/>
              </w:rPr>
              <w:t>实际完成情况</w:t>
            </w:r>
          </w:p>
        </w:tc>
      </w:tr>
      <w:tr w14:paraId="325A7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7" w:hRule="atLeast"/>
          <w:jc w:val="center"/>
        </w:trPr>
        <w:tc>
          <w:tcPr>
            <w:tcW w:w="1080" w:type="dxa"/>
            <w:vMerge w:val="continue"/>
            <w:noWrap w:val="0"/>
            <w:vAlign w:val="center"/>
          </w:tcPr>
          <w:p w14:paraId="103735F5">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5161" w:type="dxa"/>
            <w:gridSpan w:val="4"/>
            <w:noWrap w:val="0"/>
            <w:vAlign w:val="center"/>
          </w:tcPr>
          <w:p w14:paraId="098A7FF2">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_GB2312" w:cs="仿宋"/>
                <w:color w:val="000000"/>
                <w:kern w:val="0"/>
                <w:sz w:val="20"/>
                <w:szCs w:val="20"/>
                <w:lang w:eastAsia="zh-CN"/>
              </w:rPr>
            </w:pPr>
            <w:r>
              <w:rPr>
                <w:rFonts w:hint="eastAsia" w:ascii="仿宋" w:hAnsi="仿宋" w:eastAsia="仿宋_GB2312" w:cs="仿宋"/>
                <w:color w:val="000000"/>
                <w:kern w:val="0"/>
                <w:sz w:val="20"/>
                <w:szCs w:val="20"/>
              </w:rPr>
              <w:t>拟组建行政复议委员会，需聘请律师、学者等专家；组织开展市县行政复议行政应诉工作人员业务培训；行政复议、行政应诉案件案卷整理归档，并开展全市行政复议案件案卷评查。对市直行政执法机关近</w:t>
            </w:r>
            <w:r>
              <w:rPr>
                <w:rFonts w:hint="eastAsia" w:ascii="Times New Roman" w:hAnsi="Times New Roman" w:eastAsia="仿宋_GB2312" w:cs="仿宋"/>
                <w:color w:val="000000"/>
                <w:kern w:val="0"/>
                <w:sz w:val="20"/>
                <w:szCs w:val="20"/>
              </w:rPr>
              <w:t>2000</w:t>
            </w:r>
            <w:r>
              <w:rPr>
                <w:rFonts w:hint="eastAsia" w:ascii="仿宋" w:hAnsi="仿宋" w:eastAsia="仿宋_GB2312" w:cs="仿宋"/>
                <w:color w:val="000000"/>
                <w:kern w:val="0"/>
                <w:sz w:val="20"/>
                <w:szCs w:val="20"/>
              </w:rPr>
              <w:t>名行政执法人员开展不少于</w:t>
            </w:r>
            <w:r>
              <w:rPr>
                <w:rFonts w:hint="eastAsia" w:ascii="Times New Roman" w:hAnsi="Times New Roman" w:eastAsia="仿宋_GB2312" w:cs="仿宋"/>
                <w:color w:val="000000"/>
                <w:kern w:val="0"/>
                <w:sz w:val="20"/>
                <w:szCs w:val="20"/>
              </w:rPr>
              <w:t>60</w:t>
            </w:r>
            <w:r>
              <w:rPr>
                <w:rFonts w:hint="eastAsia" w:ascii="仿宋" w:hAnsi="仿宋" w:eastAsia="仿宋_GB2312" w:cs="仿宋"/>
                <w:color w:val="000000"/>
                <w:kern w:val="0"/>
                <w:sz w:val="20"/>
                <w:szCs w:val="20"/>
              </w:rPr>
              <w:t>课时的通用法律知识培训；对随机抽取的市直、县市区各单位总计不少于</w:t>
            </w:r>
            <w:r>
              <w:rPr>
                <w:rFonts w:hint="eastAsia" w:ascii="Times New Roman" w:hAnsi="Times New Roman" w:eastAsia="仿宋_GB2312" w:cs="仿宋"/>
                <w:color w:val="000000"/>
                <w:kern w:val="0"/>
                <w:sz w:val="20"/>
                <w:szCs w:val="20"/>
              </w:rPr>
              <w:t>400</w:t>
            </w:r>
            <w:r>
              <w:rPr>
                <w:rFonts w:hint="eastAsia" w:ascii="仿宋" w:hAnsi="仿宋" w:eastAsia="仿宋_GB2312" w:cs="仿宋"/>
                <w:color w:val="000000"/>
                <w:kern w:val="0"/>
                <w:sz w:val="20"/>
                <w:szCs w:val="20"/>
              </w:rPr>
              <w:t>本的行政执法案卷开展评查工作；组织开展专项行政执法突出问题监督行动。规范高效完成我市地方性法规草案、政府规章草案的审查工作，承办省司法厅、市人大常委会立法调研、征求意见工作，严格执行规范性文件管理“三统一”制度，开展规范性文件案卷评查工作，全力推进法治政府建设。</w:t>
            </w:r>
          </w:p>
        </w:tc>
        <w:tc>
          <w:tcPr>
            <w:tcW w:w="3610" w:type="dxa"/>
            <w:gridSpan w:val="4"/>
            <w:noWrap w:val="0"/>
            <w:vAlign w:val="center"/>
          </w:tcPr>
          <w:p w14:paraId="77AE4084">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_GB2312" w:cs="仿宋"/>
                <w:color w:val="000000"/>
                <w:kern w:val="0"/>
                <w:sz w:val="20"/>
                <w:szCs w:val="20"/>
                <w:lang w:eastAsia="zh-CN"/>
              </w:rPr>
              <w:t>已完成。</w:t>
            </w:r>
          </w:p>
        </w:tc>
      </w:tr>
      <w:tr w14:paraId="559B8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50" w:hRule="atLeast"/>
          <w:jc w:val="center"/>
        </w:trPr>
        <w:tc>
          <w:tcPr>
            <w:tcW w:w="1080" w:type="dxa"/>
            <w:vMerge w:val="restart"/>
            <w:noWrap w:val="0"/>
            <w:vAlign w:val="center"/>
          </w:tcPr>
          <w:p w14:paraId="091FFA41">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_GB2312" w:cs="仿宋"/>
                <w:color w:val="000000"/>
                <w:kern w:val="0"/>
                <w:sz w:val="20"/>
                <w:szCs w:val="20"/>
              </w:rPr>
            </w:pPr>
            <w:r>
              <w:rPr>
                <w:rFonts w:hint="eastAsia" w:ascii="仿宋" w:hAnsi="仿宋" w:eastAsia="仿宋_GB2312" w:cs="仿宋"/>
                <w:color w:val="000000"/>
                <w:kern w:val="0"/>
                <w:sz w:val="20"/>
                <w:szCs w:val="20"/>
              </w:rPr>
              <w:t>绩</w:t>
            </w:r>
          </w:p>
          <w:p w14:paraId="540479D1">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_GB2312" w:cs="仿宋"/>
                <w:color w:val="000000"/>
                <w:kern w:val="0"/>
                <w:sz w:val="20"/>
                <w:szCs w:val="20"/>
              </w:rPr>
            </w:pPr>
            <w:r>
              <w:rPr>
                <w:rFonts w:hint="eastAsia" w:ascii="仿宋" w:hAnsi="仿宋" w:eastAsia="仿宋_GB2312" w:cs="仿宋"/>
                <w:color w:val="000000"/>
                <w:kern w:val="0"/>
                <w:sz w:val="20"/>
                <w:szCs w:val="20"/>
              </w:rPr>
              <w:t>效</w:t>
            </w:r>
          </w:p>
          <w:p w14:paraId="4136481B">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_GB2312" w:cs="仿宋"/>
                <w:color w:val="000000"/>
                <w:kern w:val="0"/>
                <w:sz w:val="20"/>
                <w:szCs w:val="20"/>
              </w:rPr>
            </w:pPr>
            <w:r>
              <w:rPr>
                <w:rFonts w:hint="eastAsia" w:ascii="仿宋" w:hAnsi="仿宋" w:eastAsia="仿宋_GB2312" w:cs="仿宋"/>
                <w:color w:val="000000"/>
                <w:kern w:val="0"/>
                <w:sz w:val="20"/>
                <w:szCs w:val="20"/>
              </w:rPr>
              <w:t>指</w:t>
            </w:r>
          </w:p>
          <w:p w14:paraId="06385104">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标</w:t>
            </w:r>
          </w:p>
        </w:tc>
        <w:tc>
          <w:tcPr>
            <w:tcW w:w="1080" w:type="dxa"/>
            <w:noWrap w:val="0"/>
            <w:vAlign w:val="center"/>
          </w:tcPr>
          <w:p w14:paraId="72E50E85">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一级指标</w:t>
            </w:r>
          </w:p>
        </w:tc>
        <w:tc>
          <w:tcPr>
            <w:tcW w:w="1564" w:type="dxa"/>
            <w:noWrap w:val="0"/>
            <w:vAlign w:val="center"/>
          </w:tcPr>
          <w:p w14:paraId="5585FA9F">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二级指标</w:t>
            </w:r>
          </w:p>
        </w:tc>
        <w:tc>
          <w:tcPr>
            <w:tcW w:w="1633" w:type="dxa"/>
            <w:noWrap w:val="0"/>
            <w:vAlign w:val="center"/>
          </w:tcPr>
          <w:p w14:paraId="0E7431A0">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三级指标</w:t>
            </w:r>
          </w:p>
        </w:tc>
        <w:tc>
          <w:tcPr>
            <w:tcW w:w="884" w:type="dxa"/>
            <w:noWrap w:val="0"/>
            <w:vAlign w:val="center"/>
          </w:tcPr>
          <w:p w14:paraId="69A497C4">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_GB2312" w:cs="仿宋"/>
                <w:color w:val="000000"/>
                <w:kern w:val="0"/>
                <w:sz w:val="20"/>
                <w:szCs w:val="20"/>
              </w:rPr>
            </w:pPr>
            <w:r>
              <w:rPr>
                <w:rFonts w:hint="eastAsia" w:ascii="仿宋" w:hAnsi="仿宋" w:eastAsia="仿宋_GB2312" w:cs="仿宋"/>
                <w:color w:val="000000"/>
                <w:kern w:val="0"/>
                <w:sz w:val="20"/>
                <w:szCs w:val="20"/>
              </w:rPr>
              <w:t>年度</w:t>
            </w:r>
          </w:p>
          <w:p w14:paraId="00978485">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指标值</w:t>
            </w:r>
          </w:p>
        </w:tc>
        <w:tc>
          <w:tcPr>
            <w:tcW w:w="916" w:type="dxa"/>
            <w:noWrap w:val="0"/>
            <w:vAlign w:val="center"/>
          </w:tcPr>
          <w:p w14:paraId="13F090BC">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_GB2312" w:cs="仿宋"/>
                <w:color w:val="000000"/>
                <w:kern w:val="0"/>
                <w:sz w:val="20"/>
                <w:szCs w:val="20"/>
              </w:rPr>
            </w:pPr>
            <w:r>
              <w:rPr>
                <w:rFonts w:hint="eastAsia" w:ascii="仿宋" w:hAnsi="仿宋" w:eastAsia="仿宋_GB2312" w:cs="仿宋"/>
                <w:color w:val="000000"/>
                <w:kern w:val="0"/>
                <w:sz w:val="20"/>
                <w:szCs w:val="20"/>
              </w:rPr>
              <w:t>实际</w:t>
            </w:r>
          </w:p>
          <w:p w14:paraId="5FD95FA2">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完成值</w:t>
            </w:r>
          </w:p>
        </w:tc>
        <w:tc>
          <w:tcPr>
            <w:tcW w:w="667" w:type="dxa"/>
            <w:noWrap w:val="0"/>
            <w:vAlign w:val="center"/>
          </w:tcPr>
          <w:p w14:paraId="5FBDC091">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分值</w:t>
            </w:r>
          </w:p>
        </w:tc>
        <w:tc>
          <w:tcPr>
            <w:tcW w:w="933" w:type="dxa"/>
            <w:noWrap w:val="0"/>
            <w:vAlign w:val="center"/>
          </w:tcPr>
          <w:p w14:paraId="7F9D1EC2">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得分</w:t>
            </w:r>
          </w:p>
        </w:tc>
        <w:tc>
          <w:tcPr>
            <w:tcW w:w="1094" w:type="dxa"/>
            <w:noWrap w:val="0"/>
            <w:vAlign w:val="center"/>
          </w:tcPr>
          <w:p w14:paraId="5648A63F">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_GB2312" w:cs="仿宋"/>
                <w:color w:val="000000"/>
                <w:kern w:val="0"/>
                <w:sz w:val="20"/>
                <w:szCs w:val="20"/>
              </w:rPr>
            </w:pPr>
            <w:r>
              <w:rPr>
                <w:rFonts w:hint="eastAsia" w:ascii="仿宋" w:hAnsi="仿宋" w:eastAsia="仿宋_GB2312" w:cs="仿宋"/>
                <w:color w:val="000000"/>
                <w:kern w:val="0"/>
                <w:sz w:val="20"/>
                <w:szCs w:val="20"/>
              </w:rPr>
              <w:t>偏差原因</w:t>
            </w:r>
          </w:p>
          <w:p w14:paraId="7DF8844D">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_GB2312" w:cs="仿宋"/>
                <w:color w:val="000000"/>
                <w:kern w:val="0"/>
                <w:sz w:val="20"/>
                <w:szCs w:val="20"/>
              </w:rPr>
            </w:pPr>
            <w:r>
              <w:rPr>
                <w:rFonts w:hint="eastAsia" w:ascii="仿宋" w:hAnsi="仿宋" w:eastAsia="仿宋_GB2312" w:cs="仿宋"/>
                <w:color w:val="000000"/>
                <w:kern w:val="0"/>
                <w:sz w:val="20"/>
                <w:szCs w:val="20"/>
              </w:rPr>
              <w:t>分析及</w:t>
            </w:r>
          </w:p>
          <w:p w14:paraId="769564B9">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改进措施</w:t>
            </w:r>
          </w:p>
        </w:tc>
      </w:tr>
      <w:tr w14:paraId="34944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jc w:val="center"/>
        </w:trPr>
        <w:tc>
          <w:tcPr>
            <w:tcW w:w="1080" w:type="dxa"/>
            <w:vMerge w:val="continue"/>
            <w:noWrap w:val="0"/>
            <w:vAlign w:val="center"/>
          </w:tcPr>
          <w:p w14:paraId="53F17BBF">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1AF27751">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_GB2312" w:cs="仿宋"/>
                <w:color w:val="000000"/>
                <w:kern w:val="0"/>
                <w:sz w:val="20"/>
                <w:szCs w:val="20"/>
                <w:lang w:eastAsia="zh-CN"/>
              </w:rPr>
              <w:t>成本指标</w:t>
            </w:r>
          </w:p>
        </w:tc>
        <w:tc>
          <w:tcPr>
            <w:tcW w:w="1564" w:type="dxa"/>
            <w:noWrap w:val="0"/>
            <w:vAlign w:val="center"/>
          </w:tcPr>
          <w:p w14:paraId="022B5219">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_GB2312" w:cs="仿宋"/>
                <w:color w:val="000000"/>
                <w:kern w:val="0"/>
                <w:sz w:val="20"/>
                <w:szCs w:val="20"/>
                <w:lang w:eastAsia="zh-CN"/>
              </w:rPr>
              <w:t>经济成本指标</w:t>
            </w:r>
          </w:p>
        </w:tc>
        <w:tc>
          <w:tcPr>
            <w:tcW w:w="1633" w:type="dxa"/>
            <w:noWrap w:val="0"/>
            <w:vAlign w:val="center"/>
          </w:tcPr>
          <w:p w14:paraId="6B302089">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_GB2312" w:cs="仿宋"/>
                <w:color w:val="000000"/>
                <w:kern w:val="0"/>
                <w:sz w:val="20"/>
                <w:szCs w:val="20"/>
                <w:lang w:eastAsia="zh-CN"/>
              </w:rPr>
              <w:t>项目成本</w:t>
            </w:r>
          </w:p>
        </w:tc>
        <w:tc>
          <w:tcPr>
            <w:tcW w:w="884" w:type="dxa"/>
            <w:noWrap w:val="0"/>
            <w:vAlign w:val="center"/>
          </w:tcPr>
          <w:p w14:paraId="564BF7B1">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Times New Roman" w:hAnsi="Times New Roman" w:eastAsia="仿宋_GB2312" w:cs="仿宋"/>
                <w:color w:val="000000"/>
                <w:kern w:val="0"/>
                <w:sz w:val="20"/>
                <w:szCs w:val="20"/>
                <w:lang w:val="en-US" w:eastAsia="zh-CN"/>
              </w:rPr>
              <w:t>50</w:t>
            </w:r>
          </w:p>
        </w:tc>
        <w:tc>
          <w:tcPr>
            <w:tcW w:w="916" w:type="dxa"/>
            <w:noWrap w:val="0"/>
            <w:vAlign w:val="center"/>
          </w:tcPr>
          <w:p w14:paraId="6445701F">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rPr>
            </w:pPr>
            <w:r>
              <w:rPr>
                <w:rFonts w:hint="default" w:ascii="Times New Roman" w:hAnsi="Times New Roman" w:eastAsia="仿宋_GB2312" w:cs="仿宋"/>
                <w:color w:val="000000"/>
                <w:kern w:val="0"/>
                <w:sz w:val="20"/>
                <w:szCs w:val="20"/>
                <w:lang w:val="en-US"/>
              </w:rPr>
              <w:t>31</w:t>
            </w:r>
            <w:r>
              <w:rPr>
                <w:rFonts w:hint="default" w:ascii="仿宋" w:hAnsi="仿宋" w:eastAsia="仿宋_GB2312" w:cs="仿宋"/>
                <w:color w:val="000000"/>
                <w:kern w:val="0"/>
                <w:sz w:val="20"/>
                <w:szCs w:val="20"/>
                <w:lang w:val="en-US"/>
              </w:rPr>
              <w:t>.</w:t>
            </w:r>
            <w:r>
              <w:rPr>
                <w:rFonts w:hint="default" w:ascii="Times New Roman" w:hAnsi="Times New Roman" w:eastAsia="仿宋_GB2312" w:cs="仿宋"/>
                <w:color w:val="000000"/>
                <w:kern w:val="0"/>
                <w:sz w:val="20"/>
                <w:szCs w:val="20"/>
                <w:lang w:val="en-US"/>
              </w:rPr>
              <w:t>5</w:t>
            </w:r>
          </w:p>
        </w:tc>
        <w:tc>
          <w:tcPr>
            <w:tcW w:w="667" w:type="dxa"/>
            <w:noWrap w:val="0"/>
            <w:vAlign w:val="center"/>
          </w:tcPr>
          <w:p w14:paraId="6BEDC912">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rPr>
            </w:pPr>
            <w:r>
              <w:rPr>
                <w:rFonts w:hint="default" w:ascii="Times New Roman" w:hAnsi="Times New Roman" w:eastAsia="仿宋_GB2312" w:cs="仿宋"/>
                <w:color w:val="000000"/>
                <w:kern w:val="0"/>
                <w:sz w:val="20"/>
                <w:szCs w:val="20"/>
                <w:lang w:val="en-US"/>
              </w:rPr>
              <w:t>20</w:t>
            </w:r>
          </w:p>
        </w:tc>
        <w:tc>
          <w:tcPr>
            <w:tcW w:w="933" w:type="dxa"/>
            <w:noWrap w:val="0"/>
            <w:vAlign w:val="center"/>
          </w:tcPr>
          <w:p w14:paraId="73910ECF">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rPr>
            </w:pPr>
            <w:r>
              <w:rPr>
                <w:rFonts w:hint="default" w:ascii="Times New Roman" w:hAnsi="Times New Roman" w:eastAsia="仿宋_GB2312" w:cs="仿宋"/>
                <w:color w:val="000000"/>
                <w:kern w:val="0"/>
                <w:sz w:val="20"/>
                <w:szCs w:val="20"/>
                <w:lang w:val="en-US"/>
              </w:rPr>
              <w:t>20</w:t>
            </w:r>
          </w:p>
        </w:tc>
        <w:tc>
          <w:tcPr>
            <w:tcW w:w="1094" w:type="dxa"/>
            <w:noWrap w:val="0"/>
            <w:vAlign w:val="center"/>
          </w:tcPr>
          <w:p w14:paraId="3BDC3E28">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1EDEE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0" w:hRule="atLeast"/>
          <w:jc w:val="center"/>
        </w:trPr>
        <w:tc>
          <w:tcPr>
            <w:tcW w:w="1080" w:type="dxa"/>
            <w:vMerge w:val="continue"/>
            <w:noWrap w:val="0"/>
            <w:vAlign w:val="center"/>
          </w:tcPr>
          <w:p w14:paraId="3DF76D72">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4F492776">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564" w:type="dxa"/>
            <w:noWrap w:val="0"/>
            <w:vAlign w:val="center"/>
          </w:tcPr>
          <w:p w14:paraId="63C6F290">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_GB2312" w:cs="仿宋"/>
                <w:color w:val="000000"/>
                <w:kern w:val="0"/>
                <w:sz w:val="20"/>
                <w:szCs w:val="20"/>
                <w:lang w:eastAsia="zh-CN"/>
              </w:rPr>
              <w:t>社会成本指标</w:t>
            </w:r>
          </w:p>
        </w:tc>
        <w:tc>
          <w:tcPr>
            <w:tcW w:w="1633" w:type="dxa"/>
            <w:noWrap w:val="0"/>
            <w:vAlign w:val="center"/>
          </w:tcPr>
          <w:p w14:paraId="1583545F">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val="en-US" w:eastAsia="zh-CN"/>
              </w:rPr>
            </w:pPr>
            <w:r>
              <w:rPr>
                <w:rFonts w:hint="eastAsia" w:ascii="仿宋" w:hAnsi="仿宋" w:eastAsia="仿宋_GB2312" w:cs="仿宋"/>
                <w:color w:val="000000"/>
                <w:kern w:val="0"/>
                <w:sz w:val="20"/>
                <w:szCs w:val="20"/>
                <w:lang w:val="en-US" w:eastAsia="zh-CN"/>
              </w:rPr>
              <w:t>不适用</w:t>
            </w:r>
          </w:p>
        </w:tc>
        <w:tc>
          <w:tcPr>
            <w:tcW w:w="884" w:type="dxa"/>
            <w:noWrap w:val="0"/>
            <w:vAlign w:val="center"/>
          </w:tcPr>
          <w:p w14:paraId="6ADE8B44">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916" w:type="dxa"/>
            <w:noWrap w:val="0"/>
            <w:vAlign w:val="center"/>
          </w:tcPr>
          <w:p w14:paraId="2A5CF486">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667" w:type="dxa"/>
            <w:noWrap w:val="0"/>
            <w:vAlign w:val="center"/>
          </w:tcPr>
          <w:p w14:paraId="4F5F9E2C">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933" w:type="dxa"/>
            <w:noWrap w:val="0"/>
            <w:vAlign w:val="center"/>
          </w:tcPr>
          <w:p w14:paraId="7FED830B">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94" w:type="dxa"/>
            <w:noWrap w:val="0"/>
            <w:vAlign w:val="center"/>
          </w:tcPr>
          <w:p w14:paraId="39719447">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27037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jc w:val="center"/>
        </w:trPr>
        <w:tc>
          <w:tcPr>
            <w:tcW w:w="1080" w:type="dxa"/>
            <w:vMerge w:val="continue"/>
            <w:noWrap w:val="0"/>
            <w:vAlign w:val="center"/>
          </w:tcPr>
          <w:p w14:paraId="3F3A2A07">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4A606717">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p>
        </w:tc>
        <w:tc>
          <w:tcPr>
            <w:tcW w:w="1564" w:type="dxa"/>
            <w:noWrap w:val="0"/>
            <w:vAlign w:val="center"/>
          </w:tcPr>
          <w:p w14:paraId="30800DCB">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_GB2312" w:cs="仿宋"/>
                <w:color w:val="000000"/>
                <w:kern w:val="0"/>
                <w:sz w:val="20"/>
                <w:szCs w:val="20"/>
                <w:lang w:eastAsia="zh-CN"/>
              </w:rPr>
              <w:t>生态环境成本指标</w:t>
            </w:r>
          </w:p>
        </w:tc>
        <w:tc>
          <w:tcPr>
            <w:tcW w:w="1633" w:type="dxa"/>
            <w:noWrap w:val="0"/>
            <w:vAlign w:val="center"/>
          </w:tcPr>
          <w:p w14:paraId="2211D2EE">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_GB2312" w:cs="仿宋"/>
                <w:color w:val="000000"/>
                <w:kern w:val="0"/>
                <w:sz w:val="20"/>
                <w:szCs w:val="20"/>
                <w:lang w:eastAsia="zh-CN"/>
              </w:rPr>
              <w:t>不适用</w:t>
            </w:r>
          </w:p>
        </w:tc>
        <w:tc>
          <w:tcPr>
            <w:tcW w:w="884" w:type="dxa"/>
            <w:noWrap w:val="0"/>
            <w:vAlign w:val="center"/>
          </w:tcPr>
          <w:p w14:paraId="00FE78E6">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916" w:type="dxa"/>
            <w:noWrap w:val="0"/>
            <w:vAlign w:val="center"/>
          </w:tcPr>
          <w:p w14:paraId="217CF8F4">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667" w:type="dxa"/>
            <w:noWrap w:val="0"/>
            <w:vAlign w:val="center"/>
          </w:tcPr>
          <w:p w14:paraId="0E34E2E7">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933" w:type="dxa"/>
            <w:noWrap w:val="0"/>
            <w:vAlign w:val="center"/>
          </w:tcPr>
          <w:p w14:paraId="114804D9">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94" w:type="dxa"/>
            <w:noWrap w:val="0"/>
            <w:vAlign w:val="center"/>
          </w:tcPr>
          <w:p w14:paraId="59A4BB9F">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r>
      <w:tr w14:paraId="55739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3" w:hRule="atLeast"/>
          <w:jc w:val="center"/>
        </w:trPr>
        <w:tc>
          <w:tcPr>
            <w:tcW w:w="1080" w:type="dxa"/>
            <w:vMerge w:val="continue"/>
            <w:noWrap w:val="0"/>
            <w:vAlign w:val="center"/>
          </w:tcPr>
          <w:p w14:paraId="0821FFB6">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11E26633">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_GB2312" w:cs="仿宋"/>
                <w:color w:val="000000"/>
                <w:kern w:val="0"/>
                <w:sz w:val="20"/>
                <w:szCs w:val="20"/>
              </w:rPr>
              <w:t>产出指标</w:t>
            </w:r>
          </w:p>
        </w:tc>
        <w:tc>
          <w:tcPr>
            <w:tcW w:w="1564" w:type="dxa"/>
            <w:noWrap w:val="0"/>
            <w:vAlign w:val="center"/>
          </w:tcPr>
          <w:p w14:paraId="4730D892">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数量指标</w:t>
            </w:r>
          </w:p>
        </w:tc>
        <w:tc>
          <w:tcPr>
            <w:tcW w:w="1633" w:type="dxa"/>
            <w:noWrap w:val="0"/>
            <w:vAlign w:val="center"/>
          </w:tcPr>
          <w:p w14:paraId="4D0BDD9F">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承办市政府作为行政复议机关的案件数</w:t>
            </w:r>
          </w:p>
        </w:tc>
        <w:tc>
          <w:tcPr>
            <w:tcW w:w="884" w:type="dxa"/>
            <w:noWrap w:val="0"/>
            <w:vAlign w:val="center"/>
          </w:tcPr>
          <w:p w14:paraId="6BD37757">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_GB2312" w:cs="仿宋"/>
                <w:color w:val="000000"/>
                <w:kern w:val="0"/>
                <w:sz w:val="20"/>
                <w:szCs w:val="20"/>
              </w:rPr>
              <w:t>≥</w:t>
            </w:r>
            <w:r>
              <w:rPr>
                <w:rFonts w:hint="eastAsia" w:ascii="Times New Roman" w:hAnsi="Times New Roman" w:eastAsia="仿宋_GB2312" w:cs="仿宋"/>
                <w:color w:val="000000"/>
                <w:kern w:val="0"/>
                <w:sz w:val="20"/>
                <w:szCs w:val="20"/>
                <w:lang w:val="en-US" w:eastAsia="zh-CN"/>
              </w:rPr>
              <w:t>150</w:t>
            </w:r>
            <w:r>
              <w:rPr>
                <w:rFonts w:hint="eastAsia" w:ascii="仿宋" w:hAnsi="仿宋" w:eastAsia="仿宋_GB2312" w:cs="仿宋"/>
                <w:color w:val="000000"/>
                <w:kern w:val="0"/>
                <w:sz w:val="20"/>
                <w:szCs w:val="20"/>
                <w:lang w:val="en-US" w:eastAsia="zh-CN"/>
              </w:rPr>
              <w:t>件</w:t>
            </w:r>
          </w:p>
        </w:tc>
        <w:tc>
          <w:tcPr>
            <w:tcW w:w="916" w:type="dxa"/>
            <w:noWrap w:val="0"/>
            <w:vAlign w:val="center"/>
          </w:tcPr>
          <w:p w14:paraId="31CC8DF5">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Times New Roman" w:hAnsi="Times New Roman" w:eastAsia="仿宋_GB2312" w:cs="仿宋"/>
                <w:color w:val="000000"/>
                <w:kern w:val="0"/>
                <w:sz w:val="20"/>
                <w:szCs w:val="20"/>
                <w:lang w:val="en-US" w:eastAsia="zh-CN"/>
              </w:rPr>
              <w:t>387</w:t>
            </w:r>
            <w:r>
              <w:rPr>
                <w:rFonts w:hint="eastAsia" w:ascii="仿宋" w:hAnsi="仿宋" w:eastAsia="仿宋_GB2312" w:cs="仿宋"/>
                <w:color w:val="000000"/>
                <w:kern w:val="0"/>
                <w:sz w:val="20"/>
                <w:szCs w:val="20"/>
                <w:lang w:val="en-US" w:eastAsia="zh-CN"/>
              </w:rPr>
              <w:t>件</w:t>
            </w:r>
          </w:p>
        </w:tc>
        <w:tc>
          <w:tcPr>
            <w:tcW w:w="667" w:type="dxa"/>
            <w:noWrap w:val="0"/>
            <w:vAlign w:val="center"/>
          </w:tcPr>
          <w:p w14:paraId="69C6D5AC">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rPr>
            </w:pPr>
            <w:r>
              <w:rPr>
                <w:rFonts w:hint="default" w:ascii="Times New Roman" w:hAnsi="Times New Roman" w:eastAsia="仿宋_GB2312" w:cs="仿宋"/>
                <w:color w:val="000000"/>
                <w:kern w:val="0"/>
                <w:sz w:val="20"/>
                <w:szCs w:val="20"/>
                <w:lang w:val="en-US"/>
              </w:rPr>
              <w:t>10</w:t>
            </w:r>
          </w:p>
        </w:tc>
        <w:tc>
          <w:tcPr>
            <w:tcW w:w="933" w:type="dxa"/>
            <w:noWrap w:val="0"/>
            <w:vAlign w:val="center"/>
          </w:tcPr>
          <w:p w14:paraId="1B022FC7">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rPr>
            </w:pPr>
            <w:r>
              <w:rPr>
                <w:rFonts w:hint="default" w:ascii="Times New Roman" w:hAnsi="Times New Roman" w:eastAsia="仿宋_GB2312" w:cs="仿宋"/>
                <w:color w:val="000000"/>
                <w:kern w:val="0"/>
                <w:sz w:val="20"/>
                <w:szCs w:val="20"/>
                <w:lang w:val="en-US"/>
              </w:rPr>
              <w:t>10</w:t>
            </w:r>
          </w:p>
        </w:tc>
        <w:tc>
          <w:tcPr>
            <w:tcW w:w="1094" w:type="dxa"/>
            <w:noWrap w:val="0"/>
            <w:vAlign w:val="center"/>
          </w:tcPr>
          <w:p w14:paraId="439969C0">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r>
      <w:tr w14:paraId="64F2B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 w:hRule="atLeast"/>
          <w:jc w:val="center"/>
        </w:trPr>
        <w:tc>
          <w:tcPr>
            <w:tcW w:w="1080" w:type="dxa"/>
            <w:vMerge w:val="continue"/>
            <w:noWrap w:val="0"/>
            <w:vAlign w:val="center"/>
          </w:tcPr>
          <w:p w14:paraId="5AD0B7EE">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1"/>
                <w:szCs w:val="21"/>
              </w:rPr>
            </w:pPr>
          </w:p>
        </w:tc>
        <w:tc>
          <w:tcPr>
            <w:tcW w:w="1080" w:type="dxa"/>
            <w:vMerge w:val="continue"/>
            <w:noWrap w:val="0"/>
            <w:vAlign w:val="center"/>
          </w:tcPr>
          <w:p w14:paraId="5D0C331A">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564" w:type="dxa"/>
            <w:noWrap w:val="0"/>
            <w:vAlign w:val="center"/>
          </w:tcPr>
          <w:p w14:paraId="74A26798">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质量指标</w:t>
            </w:r>
          </w:p>
        </w:tc>
        <w:tc>
          <w:tcPr>
            <w:tcW w:w="1633" w:type="dxa"/>
            <w:noWrap w:val="0"/>
            <w:vAlign w:val="center"/>
          </w:tcPr>
          <w:p w14:paraId="6771B6B6">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lang w:eastAsia="zh-CN"/>
              </w:rPr>
            </w:pPr>
            <w:r>
              <w:rPr>
                <w:rFonts w:hint="eastAsia" w:ascii="仿宋" w:hAnsi="仿宋" w:eastAsia="仿宋_GB2312" w:cs="仿宋"/>
                <w:color w:val="000000"/>
                <w:kern w:val="0"/>
                <w:sz w:val="20"/>
                <w:szCs w:val="20"/>
                <w:lang w:eastAsia="zh-CN"/>
              </w:rPr>
              <w:t>依法依规办结案件</w:t>
            </w:r>
          </w:p>
        </w:tc>
        <w:tc>
          <w:tcPr>
            <w:tcW w:w="884" w:type="dxa"/>
            <w:noWrap w:val="0"/>
            <w:vAlign w:val="center"/>
          </w:tcPr>
          <w:p w14:paraId="3BEA2E76">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_GB2312" w:cs="仿宋"/>
                <w:color w:val="000000"/>
                <w:kern w:val="0"/>
                <w:sz w:val="20"/>
                <w:szCs w:val="20"/>
                <w:lang w:eastAsia="zh-CN"/>
              </w:rPr>
              <w:t>依法依规</w:t>
            </w:r>
          </w:p>
        </w:tc>
        <w:tc>
          <w:tcPr>
            <w:tcW w:w="916" w:type="dxa"/>
            <w:noWrap w:val="0"/>
            <w:vAlign w:val="center"/>
          </w:tcPr>
          <w:p w14:paraId="27913A41">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_GB2312" w:cs="仿宋"/>
                <w:color w:val="000000"/>
                <w:kern w:val="0"/>
                <w:sz w:val="20"/>
                <w:szCs w:val="20"/>
                <w:lang w:eastAsia="zh-CN"/>
              </w:rPr>
              <w:t>已完成</w:t>
            </w:r>
          </w:p>
        </w:tc>
        <w:tc>
          <w:tcPr>
            <w:tcW w:w="667" w:type="dxa"/>
            <w:noWrap w:val="0"/>
            <w:vAlign w:val="center"/>
          </w:tcPr>
          <w:p w14:paraId="7FE1909E">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rPr>
            </w:pPr>
            <w:r>
              <w:rPr>
                <w:rFonts w:hint="default" w:ascii="Times New Roman" w:hAnsi="Times New Roman" w:eastAsia="仿宋_GB2312" w:cs="仿宋"/>
                <w:color w:val="000000"/>
                <w:kern w:val="0"/>
                <w:sz w:val="20"/>
                <w:szCs w:val="20"/>
                <w:lang w:val="en-US"/>
              </w:rPr>
              <w:t>10</w:t>
            </w:r>
          </w:p>
        </w:tc>
        <w:tc>
          <w:tcPr>
            <w:tcW w:w="933" w:type="dxa"/>
            <w:noWrap w:val="0"/>
            <w:vAlign w:val="center"/>
          </w:tcPr>
          <w:p w14:paraId="48C33EC8">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_GB2312" w:cs="仿宋"/>
                <w:color w:val="000000"/>
                <w:kern w:val="0"/>
                <w:sz w:val="20"/>
                <w:szCs w:val="20"/>
                <w:lang w:eastAsia="zh-CN"/>
              </w:rPr>
            </w:pPr>
            <w:r>
              <w:rPr>
                <w:rFonts w:hint="default" w:ascii="Times New Roman" w:hAnsi="Times New Roman" w:eastAsia="仿宋_GB2312" w:cs="仿宋"/>
                <w:color w:val="000000"/>
                <w:kern w:val="0"/>
                <w:sz w:val="20"/>
                <w:szCs w:val="20"/>
                <w:lang w:val="en-US"/>
              </w:rPr>
              <w:t>10</w:t>
            </w:r>
          </w:p>
        </w:tc>
        <w:tc>
          <w:tcPr>
            <w:tcW w:w="1094" w:type="dxa"/>
            <w:noWrap w:val="0"/>
            <w:vAlign w:val="center"/>
          </w:tcPr>
          <w:p w14:paraId="0ECCAA89">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r>
      <w:tr w14:paraId="05C4D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53" w:hRule="atLeast"/>
          <w:jc w:val="center"/>
        </w:trPr>
        <w:tc>
          <w:tcPr>
            <w:tcW w:w="1080" w:type="dxa"/>
            <w:vMerge w:val="continue"/>
            <w:noWrap w:val="0"/>
            <w:vAlign w:val="center"/>
          </w:tcPr>
          <w:p w14:paraId="43E4006A">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73FDEF9A">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564" w:type="dxa"/>
            <w:noWrap w:val="0"/>
            <w:vAlign w:val="center"/>
          </w:tcPr>
          <w:p w14:paraId="506CF413">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时效指标</w:t>
            </w:r>
          </w:p>
        </w:tc>
        <w:tc>
          <w:tcPr>
            <w:tcW w:w="1633" w:type="dxa"/>
            <w:noWrap w:val="0"/>
            <w:vAlign w:val="center"/>
          </w:tcPr>
          <w:p w14:paraId="48E9634C">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行政复议、应诉案件办理完成时间</w:t>
            </w:r>
          </w:p>
        </w:tc>
        <w:tc>
          <w:tcPr>
            <w:tcW w:w="884" w:type="dxa"/>
            <w:noWrap w:val="0"/>
            <w:vAlign w:val="center"/>
          </w:tcPr>
          <w:p w14:paraId="69202416">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_GB2312" w:cs="仿宋"/>
                <w:color w:val="000000"/>
                <w:kern w:val="0"/>
                <w:sz w:val="20"/>
                <w:szCs w:val="20"/>
                <w:lang w:eastAsia="zh-CN"/>
              </w:rPr>
              <w:t>在法定期限内办结</w:t>
            </w:r>
          </w:p>
        </w:tc>
        <w:tc>
          <w:tcPr>
            <w:tcW w:w="916" w:type="dxa"/>
            <w:noWrap w:val="0"/>
            <w:vAlign w:val="center"/>
          </w:tcPr>
          <w:p w14:paraId="599C6DC4">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_GB2312" w:cs="仿宋"/>
                <w:color w:val="000000"/>
                <w:kern w:val="0"/>
                <w:sz w:val="20"/>
                <w:szCs w:val="20"/>
                <w:lang w:eastAsia="zh-CN"/>
              </w:rPr>
              <w:t>已完成</w:t>
            </w:r>
          </w:p>
        </w:tc>
        <w:tc>
          <w:tcPr>
            <w:tcW w:w="667" w:type="dxa"/>
            <w:noWrap w:val="0"/>
            <w:vAlign w:val="center"/>
          </w:tcPr>
          <w:p w14:paraId="75FF6CA2">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rPr>
            </w:pPr>
            <w:r>
              <w:rPr>
                <w:rFonts w:hint="default" w:ascii="Times New Roman" w:hAnsi="Times New Roman" w:eastAsia="仿宋_GB2312" w:cs="仿宋"/>
                <w:color w:val="000000"/>
                <w:kern w:val="0"/>
                <w:sz w:val="20"/>
                <w:szCs w:val="20"/>
                <w:lang w:val="en-US"/>
              </w:rPr>
              <w:t>10</w:t>
            </w:r>
          </w:p>
        </w:tc>
        <w:tc>
          <w:tcPr>
            <w:tcW w:w="933" w:type="dxa"/>
            <w:noWrap w:val="0"/>
            <w:vAlign w:val="center"/>
          </w:tcPr>
          <w:p w14:paraId="177C6C17">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rPr>
            </w:pPr>
            <w:r>
              <w:rPr>
                <w:rFonts w:hint="default" w:ascii="Times New Roman" w:hAnsi="Times New Roman" w:eastAsia="仿宋_GB2312" w:cs="仿宋"/>
                <w:color w:val="000000"/>
                <w:kern w:val="0"/>
                <w:sz w:val="20"/>
                <w:szCs w:val="20"/>
                <w:lang w:val="en-US"/>
              </w:rPr>
              <w:t>10</w:t>
            </w:r>
          </w:p>
        </w:tc>
        <w:tc>
          <w:tcPr>
            <w:tcW w:w="1094" w:type="dxa"/>
            <w:noWrap w:val="0"/>
            <w:vAlign w:val="center"/>
          </w:tcPr>
          <w:p w14:paraId="582AF8B1">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r>
      <w:tr w14:paraId="5378C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0F8C5F0F">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restart"/>
            <w:noWrap w:val="0"/>
            <w:vAlign w:val="center"/>
          </w:tcPr>
          <w:p w14:paraId="57F1BE76">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效益指标</w:t>
            </w:r>
          </w:p>
        </w:tc>
        <w:tc>
          <w:tcPr>
            <w:tcW w:w="1564" w:type="dxa"/>
            <w:noWrap w:val="0"/>
            <w:vAlign w:val="center"/>
          </w:tcPr>
          <w:p w14:paraId="0E8E900A">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_GB2312" w:cs="仿宋"/>
                <w:color w:val="000000"/>
                <w:kern w:val="0"/>
                <w:sz w:val="20"/>
                <w:szCs w:val="20"/>
              </w:rPr>
            </w:pPr>
            <w:r>
              <w:rPr>
                <w:rFonts w:hint="eastAsia" w:ascii="仿宋" w:hAnsi="仿宋" w:eastAsia="仿宋_GB2312" w:cs="仿宋"/>
                <w:color w:val="000000"/>
                <w:kern w:val="0"/>
                <w:sz w:val="20"/>
                <w:szCs w:val="20"/>
              </w:rPr>
              <w:t>经济效</w:t>
            </w:r>
          </w:p>
          <w:p w14:paraId="72BA67F1">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益指标</w:t>
            </w:r>
          </w:p>
        </w:tc>
        <w:tc>
          <w:tcPr>
            <w:tcW w:w="1633" w:type="dxa"/>
            <w:noWrap w:val="0"/>
            <w:vAlign w:val="center"/>
          </w:tcPr>
          <w:p w14:paraId="16CBC95D">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_GB2312" w:cs="仿宋"/>
                <w:color w:val="000000"/>
                <w:kern w:val="0"/>
                <w:sz w:val="20"/>
                <w:szCs w:val="20"/>
                <w:lang w:eastAsia="zh-CN"/>
              </w:rPr>
              <w:t>不适用</w:t>
            </w:r>
          </w:p>
        </w:tc>
        <w:tc>
          <w:tcPr>
            <w:tcW w:w="884" w:type="dxa"/>
            <w:noWrap w:val="0"/>
            <w:vAlign w:val="center"/>
          </w:tcPr>
          <w:p w14:paraId="3B5615A0">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c>
          <w:tcPr>
            <w:tcW w:w="916" w:type="dxa"/>
            <w:noWrap w:val="0"/>
            <w:vAlign w:val="center"/>
          </w:tcPr>
          <w:p w14:paraId="57160F7A">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c>
          <w:tcPr>
            <w:tcW w:w="667" w:type="dxa"/>
            <w:noWrap w:val="0"/>
            <w:vAlign w:val="center"/>
          </w:tcPr>
          <w:p w14:paraId="2B577626">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c>
          <w:tcPr>
            <w:tcW w:w="933" w:type="dxa"/>
            <w:noWrap w:val="0"/>
            <w:vAlign w:val="center"/>
          </w:tcPr>
          <w:p w14:paraId="2182BE1F">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c>
          <w:tcPr>
            <w:tcW w:w="1094" w:type="dxa"/>
            <w:noWrap w:val="0"/>
            <w:vAlign w:val="center"/>
          </w:tcPr>
          <w:p w14:paraId="6EA26555">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r>
      <w:tr w14:paraId="76465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 w:hRule="atLeast"/>
          <w:jc w:val="center"/>
        </w:trPr>
        <w:tc>
          <w:tcPr>
            <w:tcW w:w="1080" w:type="dxa"/>
            <w:vMerge w:val="continue"/>
            <w:noWrap w:val="0"/>
            <w:vAlign w:val="center"/>
          </w:tcPr>
          <w:p w14:paraId="1C18CAAC">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20DE7B3F">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564" w:type="dxa"/>
            <w:noWrap w:val="0"/>
            <w:vAlign w:val="center"/>
          </w:tcPr>
          <w:p w14:paraId="3DC2BB96">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_GB2312" w:cs="仿宋"/>
                <w:color w:val="000000"/>
                <w:kern w:val="0"/>
                <w:sz w:val="20"/>
                <w:szCs w:val="20"/>
              </w:rPr>
            </w:pPr>
            <w:r>
              <w:rPr>
                <w:rFonts w:hint="eastAsia" w:ascii="仿宋" w:hAnsi="仿宋" w:eastAsia="仿宋_GB2312" w:cs="仿宋"/>
                <w:color w:val="000000"/>
                <w:kern w:val="0"/>
                <w:sz w:val="20"/>
                <w:szCs w:val="20"/>
              </w:rPr>
              <w:t>社会效</w:t>
            </w:r>
          </w:p>
          <w:p w14:paraId="3B411550">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益指标</w:t>
            </w:r>
          </w:p>
        </w:tc>
        <w:tc>
          <w:tcPr>
            <w:tcW w:w="1633" w:type="dxa"/>
            <w:noWrap w:val="0"/>
            <w:vAlign w:val="center"/>
          </w:tcPr>
          <w:p w14:paraId="1F64A571">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lang w:eastAsia="zh-CN"/>
              </w:rPr>
              <w:t>实质性化解行政争议</w:t>
            </w:r>
          </w:p>
        </w:tc>
        <w:tc>
          <w:tcPr>
            <w:tcW w:w="884" w:type="dxa"/>
            <w:noWrap w:val="0"/>
            <w:vAlign w:val="center"/>
          </w:tcPr>
          <w:p w14:paraId="001F4F58">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_GB2312" w:cs="仿宋"/>
                <w:color w:val="000000"/>
                <w:kern w:val="0"/>
                <w:sz w:val="20"/>
                <w:szCs w:val="20"/>
                <w:lang w:eastAsia="zh-CN"/>
              </w:rPr>
              <w:t>效果明显</w:t>
            </w:r>
          </w:p>
        </w:tc>
        <w:tc>
          <w:tcPr>
            <w:tcW w:w="916" w:type="dxa"/>
            <w:noWrap w:val="0"/>
            <w:vAlign w:val="center"/>
          </w:tcPr>
          <w:p w14:paraId="78474766">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_GB2312" w:cs="仿宋"/>
                <w:color w:val="000000"/>
                <w:kern w:val="0"/>
                <w:sz w:val="20"/>
                <w:szCs w:val="20"/>
                <w:lang w:eastAsia="zh-CN"/>
              </w:rPr>
            </w:pPr>
            <w:r>
              <w:rPr>
                <w:rFonts w:hint="eastAsia" w:ascii="仿宋" w:hAnsi="仿宋" w:eastAsia="仿宋_GB2312" w:cs="仿宋"/>
                <w:color w:val="000000"/>
                <w:kern w:val="0"/>
                <w:sz w:val="20"/>
                <w:szCs w:val="20"/>
                <w:lang w:eastAsia="zh-CN"/>
              </w:rPr>
              <w:t>已完成</w:t>
            </w:r>
          </w:p>
        </w:tc>
        <w:tc>
          <w:tcPr>
            <w:tcW w:w="667" w:type="dxa"/>
            <w:noWrap w:val="0"/>
            <w:vAlign w:val="center"/>
          </w:tcPr>
          <w:p w14:paraId="7E41D1A6">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rPr>
            </w:pPr>
            <w:r>
              <w:rPr>
                <w:rFonts w:hint="default" w:ascii="Times New Roman" w:hAnsi="Times New Roman" w:eastAsia="仿宋_GB2312" w:cs="仿宋"/>
                <w:color w:val="000000"/>
                <w:kern w:val="0"/>
                <w:sz w:val="20"/>
                <w:szCs w:val="20"/>
                <w:lang w:val="en-US"/>
              </w:rPr>
              <w:t>15</w:t>
            </w:r>
          </w:p>
        </w:tc>
        <w:tc>
          <w:tcPr>
            <w:tcW w:w="933" w:type="dxa"/>
            <w:noWrap w:val="0"/>
            <w:vAlign w:val="center"/>
          </w:tcPr>
          <w:p w14:paraId="62A1B4DC">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rPr>
            </w:pPr>
            <w:r>
              <w:rPr>
                <w:rFonts w:hint="default" w:ascii="Times New Roman" w:hAnsi="Times New Roman" w:eastAsia="仿宋_GB2312" w:cs="仿宋"/>
                <w:color w:val="000000"/>
                <w:kern w:val="0"/>
                <w:sz w:val="20"/>
                <w:szCs w:val="20"/>
                <w:lang w:val="en-US"/>
              </w:rPr>
              <w:t>15</w:t>
            </w:r>
          </w:p>
        </w:tc>
        <w:tc>
          <w:tcPr>
            <w:tcW w:w="1094" w:type="dxa"/>
            <w:noWrap w:val="0"/>
            <w:vAlign w:val="center"/>
          </w:tcPr>
          <w:p w14:paraId="3403CD90">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r>
      <w:tr w14:paraId="0E4CB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1080" w:type="dxa"/>
            <w:vMerge w:val="continue"/>
            <w:noWrap w:val="0"/>
            <w:vAlign w:val="center"/>
          </w:tcPr>
          <w:p w14:paraId="2AF1491F">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vMerge w:val="continue"/>
            <w:noWrap w:val="0"/>
            <w:vAlign w:val="center"/>
          </w:tcPr>
          <w:p w14:paraId="70EBEF8D">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564" w:type="dxa"/>
            <w:noWrap w:val="0"/>
            <w:vAlign w:val="center"/>
          </w:tcPr>
          <w:p w14:paraId="41DC0979">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_GB2312" w:cs="仿宋"/>
                <w:color w:val="000000"/>
                <w:kern w:val="0"/>
                <w:sz w:val="20"/>
                <w:szCs w:val="20"/>
              </w:rPr>
            </w:pPr>
            <w:r>
              <w:rPr>
                <w:rFonts w:hint="eastAsia" w:ascii="仿宋" w:hAnsi="仿宋" w:eastAsia="仿宋_GB2312" w:cs="仿宋"/>
                <w:color w:val="000000"/>
                <w:kern w:val="0"/>
                <w:sz w:val="20"/>
                <w:szCs w:val="20"/>
              </w:rPr>
              <w:t>生态效</w:t>
            </w:r>
          </w:p>
          <w:p w14:paraId="475BEB4A">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益指标</w:t>
            </w:r>
          </w:p>
        </w:tc>
        <w:tc>
          <w:tcPr>
            <w:tcW w:w="1633" w:type="dxa"/>
            <w:noWrap w:val="0"/>
            <w:vAlign w:val="center"/>
          </w:tcPr>
          <w:p w14:paraId="40DF5153">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_GB2312" w:cs="仿宋"/>
                <w:color w:val="000000"/>
                <w:kern w:val="0"/>
                <w:sz w:val="20"/>
                <w:szCs w:val="20"/>
                <w:lang w:eastAsia="zh-CN"/>
              </w:rPr>
              <w:t>不适用</w:t>
            </w:r>
          </w:p>
        </w:tc>
        <w:tc>
          <w:tcPr>
            <w:tcW w:w="884" w:type="dxa"/>
            <w:noWrap w:val="0"/>
            <w:vAlign w:val="center"/>
          </w:tcPr>
          <w:p w14:paraId="0731691B">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c>
          <w:tcPr>
            <w:tcW w:w="916" w:type="dxa"/>
            <w:noWrap w:val="0"/>
            <w:vAlign w:val="center"/>
          </w:tcPr>
          <w:p w14:paraId="652CC7AF">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c>
          <w:tcPr>
            <w:tcW w:w="667" w:type="dxa"/>
            <w:noWrap w:val="0"/>
            <w:vAlign w:val="center"/>
          </w:tcPr>
          <w:p w14:paraId="2840784D">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c>
          <w:tcPr>
            <w:tcW w:w="933" w:type="dxa"/>
            <w:noWrap w:val="0"/>
            <w:vAlign w:val="center"/>
          </w:tcPr>
          <w:p w14:paraId="20386571">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c>
          <w:tcPr>
            <w:tcW w:w="1094" w:type="dxa"/>
            <w:noWrap w:val="0"/>
            <w:vAlign w:val="center"/>
          </w:tcPr>
          <w:p w14:paraId="2CA3B25F">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r>
      <w:tr w14:paraId="4230F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15" w:hRule="atLeast"/>
          <w:jc w:val="center"/>
        </w:trPr>
        <w:tc>
          <w:tcPr>
            <w:tcW w:w="1080" w:type="dxa"/>
            <w:vMerge w:val="continue"/>
            <w:noWrap w:val="0"/>
            <w:vAlign w:val="center"/>
          </w:tcPr>
          <w:p w14:paraId="4B86BFB9">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p>
        </w:tc>
        <w:tc>
          <w:tcPr>
            <w:tcW w:w="1080" w:type="dxa"/>
            <w:vMerge w:val="continue"/>
            <w:noWrap w:val="0"/>
            <w:vAlign w:val="center"/>
          </w:tcPr>
          <w:p w14:paraId="090DE9B1">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564" w:type="dxa"/>
            <w:noWrap w:val="0"/>
            <w:vAlign w:val="center"/>
          </w:tcPr>
          <w:p w14:paraId="0AA5364A">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可持续影响指标</w:t>
            </w:r>
          </w:p>
        </w:tc>
        <w:tc>
          <w:tcPr>
            <w:tcW w:w="1633" w:type="dxa"/>
            <w:noWrap w:val="0"/>
            <w:vAlign w:val="center"/>
          </w:tcPr>
          <w:p w14:paraId="430F2801">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全力推进法治政府建设</w:t>
            </w:r>
          </w:p>
        </w:tc>
        <w:tc>
          <w:tcPr>
            <w:tcW w:w="884" w:type="dxa"/>
            <w:noWrap w:val="0"/>
            <w:vAlign w:val="center"/>
          </w:tcPr>
          <w:p w14:paraId="01995D88">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_GB2312" w:cs="仿宋"/>
                <w:color w:val="000000"/>
                <w:kern w:val="0"/>
                <w:sz w:val="20"/>
                <w:szCs w:val="20"/>
                <w:lang w:eastAsia="zh-CN"/>
              </w:rPr>
              <w:t>效果明显</w:t>
            </w:r>
          </w:p>
        </w:tc>
        <w:tc>
          <w:tcPr>
            <w:tcW w:w="916" w:type="dxa"/>
            <w:noWrap w:val="0"/>
            <w:vAlign w:val="center"/>
          </w:tcPr>
          <w:p w14:paraId="4880F89D">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r>
              <w:rPr>
                <w:rFonts w:hint="eastAsia" w:ascii="仿宋" w:hAnsi="仿宋" w:eastAsia="仿宋_GB2312" w:cs="仿宋"/>
                <w:color w:val="000000"/>
                <w:kern w:val="0"/>
                <w:sz w:val="20"/>
                <w:szCs w:val="20"/>
                <w:lang w:eastAsia="zh-CN"/>
              </w:rPr>
              <w:t>已完成</w:t>
            </w:r>
          </w:p>
        </w:tc>
        <w:tc>
          <w:tcPr>
            <w:tcW w:w="667" w:type="dxa"/>
            <w:noWrap w:val="0"/>
            <w:vAlign w:val="center"/>
          </w:tcPr>
          <w:p w14:paraId="6A9DF2CE">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rPr>
            </w:pPr>
            <w:r>
              <w:rPr>
                <w:rFonts w:hint="default" w:ascii="Times New Roman" w:hAnsi="Times New Roman" w:eastAsia="仿宋_GB2312" w:cs="仿宋"/>
                <w:color w:val="000000"/>
                <w:kern w:val="0"/>
                <w:sz w:val="20"/>
                <w:szCs w:val="20"/>
                <w:lang w:val="en-US"/>
              </w:rPr>
              <w:t>15</w:t>
            </w:r>
          </w:p>
        </w:tc>
        <w:tc>
          <w:tcPr>
            <w:tcW w:w="933" w:type="dxa"/>
            <w:noWrap w:val="0"/>
            <w:vAlign w:val="center"/>
          </w:tcPr>
          <w:p w14:paraId="56DD019C">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rPr>
            </w:pPr>
            <w:r>
              <w:rPr>
                <w:rFonts w:hint="default" w:ascii="Times New Roman" w:hAnsi="Times New Roman" w:eastAsia="仿宋_GB2312" w:cs="仿宋"/>
                <w:color w:val="000000"/>
                <w:kern w:val="0"/>
                <w:sz w:val="20"/>
                <w:szCs w:val="20"/>
                <w:lang w:val="en-US"/>
              </w:rPr>
              <w:t>15</w:t>
            </w:r>
          </w:p>
        </w:tc>
        <w:tc>
          <w:tcPr>
            <w:tcW w:w="1094" w:type="dxa"/>
            <w:noWrap w:val="0"/>
            <w:vAlign w:val="center"/>
          </w:tcPr>
          <w:p w14:paraId="7CC05494">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r>
      <w:tr w14:paraId="23902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 w:hRule="atLeast"/>
          <w:jc w:val="center"/>
        </w:trPr>
        <w:tc>
          <w:tcPr>
            <w:tcW w:w="1080" w:type="dxa"/>
            <w:vMerge w:val="continue"/>
            <w:noWrap w:val="0"/>
            <w:vAlign w:val="center"/>
          </w:tcPr>
          <w:p w14:paraId="1476975A">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p>
        </w:tc>
        <w:tc>
          <w:tcPr>
            <w:tcW w:w="1080" w:type="dxa"/>
            <w:noWrap w:val="0"/>
            <w:vAlign w:val="center"/>
          </w:tcPr>
          <w:p w14:paraId="22294058">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_GB2312" w:cs="仿宋"/>
                <w:color w:val="000000"/>
                <w:kern w:val="0"/>
                <w:sz w:val="20"/>
                <w:szCs w:val="20"/>
              </w:rPr>
            </w:pPr>
            <w:r>
              <w:rPr>
                <w:rFonts w:hint="eastAsia" w:ascii="仿宋" w:hAnsi="仿宋" w:eastAsia="仿宋_GB2312" w:cs="仿宋"/>
                <w:color w:val="000000"/>
                <w:kern w:val="0"/>
                <w:sz w:val="20"/>
                <w:szCs w:val="20"/>
              </w:rPr>
              <w:t>满意度</w:t>
            </w:r>
          </w:p>
          <w:p w14:paraId="4E8F45F2">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指标</w:t>
            </w:r>
          </w:p>
        </w:tc>
        <w:tc>
          <w:tcPr>
            <w:tcW w:w="1564" w:type="dxa"/>
            <w:noWrap w:val="0"/>
            <w:vAlign w:val="center"/>
          </w:tcPr>
          <w:p w14:paraId="2F03D1D0">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服务对象满意度指标</w:t>
            </w:r>
          </w:p>
        </w:tc>
        <w:tc>
          <w:tcPr>
            <w:tcW w:w="1633" w:type="dxa"/>
            <w:noWrap w:val="0"/>
            <w:vAlign w:val="center"/>
          </w:tcPr>
          <w:p w14:paraId="484E91D7">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行政复议申请人满意度</w:t>
            </w:r>
          </w:p>
        </w:tc>
        <w:tc>
          <w:tcPr>
            <w:tcW w:w="884" w:type="dxa"/>
            <w:noWrap w:val="0"/>
            <w:vAlign w:val="center"/>
          </w:tcPr>
          <w:p w14:paraId="65CDB7E5">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仿宋" w:hAnsi="仿宋" w:eastAsia="仿宋_GB2312" w:cs="仿宋"/>
                <w:color w:val="000000"/>
                <w:kern w:val="0"/>
                <w:sz w:val="20"/>
                <w:szCs w:val="20"/>
              </w:rPr>
              <w:t>≥</w:t>
            </w:r>
            <w:r>
              <w:rPr>
                <w:rFonts w:hint="eastAsia" w:ascii="Times New Roman" w:hAnsi="Times New Roman" w:eastAsia="仿宋_GB2312" w:cs="仿宋"/>
                <w:color w:val="000000"/>
                <w:kern w:val="0"/>
                <w:sz w:val="20"/>
                <w:szCs w:val="20"/>
                <w:lang w:val="en-US" w:eastAsia="zh-CN"/>
              </w:rPr>
              <w:t>90%</w:t>
            </w:r>
          </w:p>
        </w:tc>
        <w:tc>
          <w:tcPr>
            <w:tcW w:w="916" w:type="dxa"/>
            <w:noWrap w:val="0"/>
            <w:vAlign w:val="center"/>
          </w:tcPr>
          <w:p w14:paraId="64F70318">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Times New Roman" w:hAnsi="Times New Roman" w:eastAsia="仿宋_GB2312" w:cs="仿宋"/>
                <w:color w:val="000000"/>
                <w:kern w:val="0"/>
                <w:sz w:val="20"/>
                <w:szCs w:val="20"/>
                <w:lang w:val="en-US" w:eastAsia="zh-CN"/>
              </w:rPr>
              <w:t>91%</w:t>
            </w:r>
          </w:p>
        </w:tc>
        <w:tc>
          <w:tcPr>
            <w:tcW w:w="667" w:type="dxa"/>
            <w:noWrap w:val="0"/>
            <w:vAlign w:val="center"/>
          </w:tcPr>
          <w:p w14:paraId="2960A38A">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rPr>
            </w:pPr>
            <w:r>
              <w:rPr>
                <w:rFonts w:hint="default" w:ascii="Times New Roman" w:hAnsi="Times New Roman" w:eastAsia="仿宋_GB2312" w:cs="仿宋"/>
                <w:color w:val="000000"/>
                <w:kern w:val="0"/>
                <w:sz w:val="20"/>
                <w:szCs w:val="20"/>
                <w:lang w:val="en-US"/>
              </w:rPr>
              <w:t>10</w:t>
            </w:r>
          </w:p>
        </w:tc>
        <w:tc>
          <w:tcPr>
            <w:tcW w:w="933" w:type="dxa"/>
            <w:noWrap w:val="0"/>
            <w:vAlign w:val="center"/>
          </w:tcPr>
          <w:p w14:paraId="4CB769F3">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rPr>
            </w:pPr>
            <w:r>
              <w:rPr>
                <w:rFonts w:hint="default" w:ascii="Times New Roman" w:hAnsi="Times New Roman" w:eastAsia="仿宋_GB2312" w:cs="仿宋"/>
                <w:color w:val="000000"/>
                <w:kern w:val="0"/>
                <w:sz w:val="20"/>
                <w:szCs w:val="20"/>
                <w:lang w:val="en-US"/>
              </w:rPr>
              <w:t>10</w:t>
            </w:r>
          </w:p>
        </w:tc>
        <w:tc>
          <w:tcPr>
            <w:tcW w:w="1094" w:type="dxa"/>
            <w:noWrap w:val="0"/>
            <w:vAlign w:val="center"/>
          </w:tcPr>
          <w:p w14:paraId="187A72E1">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r>
      <w:tr w14:paraId="05A31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57" w:type="dxa"/>
            <w:gridSpan w:val="6"/>
            <w:noWrap w:val="0"/>
            <w:vAlign w:val="center"/>
          </w:tcPr>
          <w:p w14:paraId="42BB3ED5">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仿宋" w:hAnsi="仿宋" w:eastAsia="仿宋_GB2312" w:cs="仿宋"/>
                <w:color w:val="000000"/>
                <w:kern w:val="0"/>
                <w:sz w:val="20"/>
                <w:szCs w:val="20"/>
              </w:rPr>
              <w:t>总分</w:t>
            </w:r>
          </w:p>
        </w:tc>
        <w:tc>
          <w:tcPr>
            <w:tcW w:w="667" w:type="dxa"/>
            <w:noWrap w:val="0"/>
            <w:vAlign w:val="center"/>
          </w:tcPr>
          <w:p w14:paraId="193A4EFB">
            <w:pPr>
              <w:keepNext w:val="0"/>
              <w:keepLines w:val="0"/>
              <w:pageBreakBefore w:val="0"/>
              <w:widowControl/>
              <w:shd w:val="clear"/>
              <w:kinsoku/>
              <w:wordWrap/>
              <w:overflowPunct/>
              <w:topLinePunct w:val="0"/>
              <w:autoSpaceDE/>
              <w:autoSpaceDN/>
              <w:bidi w:val="0"/>
              <w:adjustRightInd/>
              <w:snapToGrid/>
              <w:spacing w:line="280" w:lineRule="exact"/>
              <w:jc w:val="center"/>
              <w:textAlignment w:val="auto"/>
              <w:rPr>
                <w:rFonts w:hint="eastAsia" w:ascii="仿宋" w:hAnsi="仿宋" w:eastAsia="仿宋" w:cs="仿宋"/>
                <w:color w:val="000000"/>
                <w:kern w:val="0"/>
                <w:sz w:val="20"/>
                <w:szCs w:val="20"/>
              </w:rPr>
            </w:pPr>
            <w:r>
              <w:rPr>
                <w:rFonts w:hint="eastAsia" w:ascii="Times New Roman" w:hAnsi="Times New Roman" w:eastAsia="仿宋_GB2312" w:cs="仿宋"/>
                <w:color w:val="000000"/>
                <w:kern w:val="0"/>
                <w:sz w:val="20"/>
                <w:szCs w:val="20"/>
              </w:rPr>
              <w:t>100</w:t>
            </w:r>
          </w:p>
        </w:tc>
        <w:tc>
          <w:tcPr>
            <w:tcW w:w="933" w:type="dxa"/>
            <w:noWrap w:val="0"/>
            <w:vAlign w:val="center"/>
          </w:tcPr>
          <w:p w14:paraId="67618F0C">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default" w:ascii="仿宋" w:hAnsi="仿宋" w:eastAsia="仿宋" w:cs="仿宋"/>
                <w:color w:val="000000"/>
                <w:kern w:val="0"/>
                <w:sz w:val="20"/>
                <w:szCs w:val="20"/>
                <w:lang w:val="en-US" w:eastAsia="zh-CN"/>
              </w:rPr>
            </w:pPr>
            <w:r>
              <w:rPr>
                <w:rFonts w:hint="eastAsia" w:ascii="Times New Roman" w:hAnsi="Times New Roman" w:eastAsia="仿宋_GB2312" w:cs="仿宋"/>
                <w:color w:val="000000"/>
                <w:kern w:val="0"/>
                <w:sz w:val="20"/>
                <w:szCs w:val="20"/>
                <w:lang w:val="en-US" w:eastAsia="zh-CN"/>
              </w:rPr>
              <w:t>99</w:t>
            </w:r>
          </w:p>
        </w:tc>
        <w:tc>
          <w:tcPr>
            <w:tcW w:w="1094" w:type="dxa"/>
            <w:noWrap w:val="0"/>
            <w:vAlign w:val="center"/>
          </w:tcPr>
          <w:p w14:paraId="78FE86AF">
            <w:pPr>
              <w:keepNext w:val="0"/>
              <w:keepLines w:val="0"/>
              <w:pageBreakBefore w:val="0"/>
              <w:widowControl/>
              <w:shd w:val="clear"/>
              <w:kinsoku/>
              <w:wordWrap/>
              <w:overflowPunct/>
              <w:topLinePunct w:val="0"/>
              <w:autoSpaceDE/>
              <w:autoSpaceDN/>
              <w:bidi w:val="0"/>
              <w:adjustRightInd/>
              <w:snapToGrid/>
              <w:spacing w:line="280" w:lineRule="exact"/>
              <w:jc w:val="left"/>
              <w:textAlignment w:val="auto"/>
              <w:rPr>
                <w:rFonts w:hint="eastAsia" w:ascii="仿宋" w:hAnsi="仿宋" w:eastAsia="仿宋" w:cs="仿宋"/>
                <w:color w:val="000000"/>
                <w:kern w:val="0"/>
                <w:sz w:val="20"/>
                <w:szCs w:val="20"/>
                <w:lang w:eastAsia="zh-CN"/>
              </w:rPr>
            </w:pPr>
          </w:p>
        </w:tc>
      </w:tr>
    </w:tbl>
    <w:p w14:paraId="3F5EE66A">
      <w:pPr>
        <w:widowControl w:val="0"/>
        <w:shd w:val="clear"/>
        <w:kinsoku/>
        <w:autoSpaceDE/>
        <w:autoSpaceDN/>
        <w:adjustRightInd/>
        <w:snapToGrid/>
        <w:spacing w:line="600" w:lineRule="exact"/>
        <w:jc w:val="both"/>
        <w:textAlignment w:val="auto"/>
        <w:rPr>
          <w:rFonts w:hint="default" w:ascii="Times New Roman" w:hAnsi="Times New Roman" w:eastAsia="仿宋_GB2312" w:cs="Times New Roman"/>
          <w:snapToGrid/>
          <w:color w:val="000000"/>
          <w:kern w:val="0"/>
          <w:sz w:val="24"/>
          <w:szCs w:val="24"/>
          <w:lang w:val="en-US" w:eastAsia="zh-CN" w:bidi="ar-SA"/>
        </w:rPr>
      </w:pPr>
      <w:r>
        <w:rPr>
          <w:rFonts w:hint="default" w:ascii="Times New Roman" w:hAnsi="Times New Roman" w:eastAsia="仿宋_GB2312" w:cs="Times New Roman"/>
          <w:snapToGrid/>
          <w:color w:val="000000"/>
          <w:kern w:val="0"/>
          <w:sz w:val="24"/>
          <w:szCs w:val="24"/>
          <w:lang w:val="en-US" w:eastAsia="zh-CN" w:bidi="ar-SA"/>
        </w:rPr>
        <w:t>填表人：</w:t>
      </w:r>
      <w:r>
        <w:rPr>
          <w:rFonts w:hint="eastAsia" w:ascii="Times New Roman" w:hAnsi="Times New Roman" w:eastAsia="仿宋_GB2312" w:cs="Times New Roman"/>
          <w:snapToGrid/>
          <w:color w:val="000000"/>
          <w:kern w:val="0"/>
          <w:sz w:val="24"/>
          <w:szCs w:val="24"/>
          <w:lang w:val="en-US" w:eastAsia="zh-CN" w:bidi="ar-SA"/>
        </w:rPr>
        <w:t xml:space="preserve">刘希敏       </w:t>
      </w:r>
      <w:r>
        <w:rPr>
          <w:rFonts w:hint="default" w:ascii="Times New Roman" w:hAnsi="Times New Roman" w:eastAsia="仿宋_GB2312" w:cs="Times New Roman"/>
          <w:snapToGrid/>
          <w:color w:val="000000"/>
          <w:kern w:val="0"/>
          <w:sz w:val="24"/>
          <w:szCs w:val="24"/>
          <w:lang w:val="en-US" w:eastAsia="zh-CN" w:bidi="ar-SA"/>
        </w:rPr>
        <w:t xml:space="preserve"> 填报日期：</w:t>
      </w:r>
      <w:r>
        <w:rPr>
          <w:rFonts w:hint="eastAsia" w:ascii="Times New Roman" w:hAnsi="Times New Roman" w:eastAsia="仿宋_GB2312" w:cs="Times New Roman"/>
          <w:snapToGrid/>
          <w:color w:val="000000"/>
          <w:kern w:val="0"/>
          <w:sz w:val="24"/>
          <w:szCs w:val="24"/>
          <w:lang w:val="en-US" w:eastAsia="zh-CN" w:bidi="ar-SA"/>
        </w:rPr>
        <w:t xml:space="preserve">2026年6月9日    </w:t>
      </w:r>
      <w:r>
        <w:rPr>
          <w:rFonts w:hint="default" w:ascii="Times New Roman" w:hAnsi="Times New Roman" w:eastAsia="仿宋_GB2312" w:cs="Times New Roman"/>
          <w:snapToGrid/>
          <w:color w:val="000000"/>
          <w:kern w:val="0"/>
          <w:sz w:val="24"/>
          <w:szCs w:val="24"/>
          <w:lang w:val="en-US" w:eastAsia="zh-CN" w:bidi="ar-SA"/>
        </w:rPr>
        <w:t>联系电话</w:t>
      </w:r>
      <w:r>
        <w:rPr>
          <w:rFonts w:hint="eastAsia" w:ascii="Times New Roman" w:hAnsi="Times New Roman" w:eastAsia="仿宋_GB2312" w:cs="Times New Roman"/>
          <w:snapToGrid/>
          <w:color w:val="000000"/>
          <w:kern w:val="0"/>
          <w:sz w:val="24"/>
          <w:szCs w:val="24"/>
          <w:lang w:val="en-US" w:eastAsia="zh-CN" w:bidi="ar-SA"/>
        </w:rPr>
        <w:t>：2711853</w:t>
      </w:r>
    </w:p>
    <w:sectPr>
      <w:footerReference r:id="rId3" w:type="default"/>
      <w:pgSz w:w="11906" w:h="16838"/>
      <w:pgMar w:top="2098" w:right="1800" w:bottom="1984" w:left="1587"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libri Light">
    <w:altName w:val="Times New Roman"/>
    <w:panose1 w:val="020F0302020204030204"/>
    <w:charset w:val="00"/>
    <w:family w:val="auto"/>
    <w:pitch w:val="default"/>
    <w:sig w:usb0="00000000" w:usb1="00000000" w:usb2="00000000" w:usb3="00000000" w:csb0="2000019F" w:csb1="00000000"/>
  </w:font>
  <w:font w:name="楷体_GB2312">
    <w:panose1 w:val="02010609030101010101"/>
    <w:charset w:val="86"/>
    <w:family w:val="auto"/>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
    <w:altName w:val="方正楷体_GBK"/>
    <w:panose1 w:val="02010609060101010101"/>
    <w:charset w:val="86"/>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文泉驿微米黑">
    <w:panose1 w:val="020B0606030804020204"/>
    <w:charset w:val="86"/>
    <w:family w:val="auto"/>
    <w:pitch w:val="default"/>
    <w:sig w:usb0="E10002EF" w:usb1="6BDFFCFB" w:usb2="00800036" w:usb3="00000000" w:csb0="603E019F" w:csb1="DFD70000"/>
  </w:font>
  <w:font w:name="Noto Music">
    <w:panose1 w:val="020B0502040504020204"/>
    <w:charset w:val="00"/>
    <w:family w:val="auto"/>
    <w:pitch w:val="default"/>
    <w:sig w:usb0="00000003" w:usb1="02006000" w:usb2="01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B20C20">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D2FAD2">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40D2FAD2">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A4YjljOWRkYTEwMzVhMGU0MTZkMjJmNzQ2MTZmMDEifQ=="/>
    <w:docVar w:name="KSO_WPS_MARK_KEY" w:val="9920a277-c0c3-43b4-93d3-1636fe398e0b"/>
  </w:docVars>
  <w:rsids>
    <w:rsidRoot w:val="753C4E9B"/>
    <w:rsid w:val="02120164"/>
    <w:rsid w:val="04776E02"/>
    <w:rsid w:val="05E95AA6"/>
    <w:rsid w:val="06600D82"/>
    <w:rsid w:val="080D5C46"/>
    <w:rsid w:val="08170001"/>
    <w:rsid w:val="09E6096D"/>
    <w:rsid w:val="0C180A78"/>
    <w:rsid w:val="0C8A08AC"/>
    <w:rsid w:val="0CFC4E9C"/>
    <w:rsid w:val="0D276746"/>
    <w:rsid w:val="0D464D9C"/>
    <w:rsid w:val="0D8609C6"/>
    <w:rsid w:val="0DD52794"/>
    <w:rsid w:val="0E956870"/>
    <w:rsid w:val="0EF868C4"/>
    <w:rsid w:val="10C666A5"/>
    <w:rsid w:val="1223366A"/>
    <w:rsid w:val="129425BC"/>
    <w:rsid w:val="12BB692A"/>
    <w:rsid w:val="143877FD"/>
    <w:rsid w:val="14B80712"/>
    <w:rsid w:val="15404E25"/>
    <w:rsid w:val="15E35884"/>
    <w:rsid w:val="17E62CA7"/>
    <w:rsid w:val="17FCFFF6"/>
    <w:rsid w:val="192373AB"/>
    <w:rsid w:val="19C041C7"/>
    <w:rsid w:val="19E805B2"/>
    <w:rsid w:val="1B027E17"/>
    <w:rsid w:val="1CBF872E"/>
    <w:rsid w:val="1E255A10"/>
    <w:rsid w:val="1F561703"/>
    <w:rsid w:val="200C6A27"/>
    <w:rsid w:val="20A95575"/>
    <w:rsid w:val="217414EF"/>
    <w:rsid w:val="224264A1"/>
    <w:rsid w:val="22FE234B"/>
    <w:rsid w:val="24B54237"/>
    <w:rsid w:val="26197A19"/>
    <w:rsid w:val="2769334A"/>
    <w:rsid w:val="277E6F02"/>
    <w:rsid w:val="29990575"/>
    <w:rsid w:val="2A446AF7"/>
    <w:rsid w:val="2AF6742D"/>
    <w:rsid w:val="2BE709DF"/>
    <w:rsid w:val="2DD03FC3"/>
    <w:rsid w:val="2EE85E03"/>
    <w:rsid w:val="30D14993"/>
    <w:rsid w:val="312A2265"/>
    <w:rsid w:val="333F3E43"/>
    <w:rsid w:val="34222C80"/>
    <w:rsid w:val="34A20134"/>
    <w:rsid w:val="35EE4CED"/>
    <w:rsid w:val="36FC0F5D"/>
    <w:rsid w:val="375773F8"/>
    <w:rsid w:val="3781678C"/>
    <w:rsid w:val="38A65B4C"/>
    <w:rsid w:val="391F29E2"/>
    <w:rsid w:val="393E32BB"/>
    <w:rsid w:val="395E0E28"/>
    <w:rsid w:val="3A7D4635"/>
    <w:rsid w:val="3AC43D97"/>
    <w:rsid w:val="3B25713C"/>
    <w:rsid w:val="3CB55CBD"/>
    <w:rsid w:val="3D656B98"/>
    <w:rsid w:val="3E537DBA"/>
    <w:rsid w:val="3EDB5211"/>
    <w:rsid w:val="3EFDDE87"/>
    <w:rsid w:val="3F6A2846"/>
    <w:rsid w:val="40B03427"/>
    <w:rsid w:val="40C7011D"/>
    <w:rsid w:val="40D47A68"/>
    <w:rsid w:val="419B2857"/>
    <w:rsid w:val="41A63B4C"/>
    <w:rsid w:val="41D71DA8"/>
    <w:rsid w:val="42AE1103"/>
    <w:rsid w:val="469618BE"/>
    <w:rsid w:val="4715592A"/>
    <w:rsid w:val="474132C8"/>
    <w:rsid w:val="48F41DBB"/>
    <w:rsid w:val="49365A21"/>
    <w:rsid w:val="4BD0452B"/>
    <w:rsid w:val="4C6611ED"/>
    <w:rsid w:val="4D5D3BD3"/>
    <w:rsid w:val="4DD33549"/>
    <w:rsid w:val="4E30497B"/>
    <w:rsid w:val="4E711636"/>
    <w:rsid w:val="4EB6763C"/>
    <w:rsid w:val="4EB7F892"/>
    <w:rsid w:val="510F1E7A"/>
    <w:rsid w:val="53542E94"/>
    <w:rsid w:val="53685304"/>
    <w:rsid w:val="54036C3E"/>
    <w:rsid w:val="54CF02EF"/>
    <w:rsid w:val="55043A1A"/>
    <w:rsid w:val="552A0475"/>
    <w:rsid w:val="5539794F"/>
    <w:rsid w:val="56E46D0C"/>
    <w:rsid w:val="578D10CB"/>
    <w:rsid w:val="580D5B09"/>
    <w:rsid w:val="5A5915AC"/>
    <w:rsid w:val="5ABBC979"/>
    <w:rsid w:val="5ACD100D"/>
    <w:rsid w:val="5AF96E26"/>
    <w:rsid w:val="5B1E1B04"/>
    <w:rsid w:val="5BFC7B3B"/>
    <w:rsid w:val="5DEF4142"/>
    <w:rsid w:val="5E77C7C6"/>
    <w:rsid w:val="5F97010C"/>
    <w:rsid w:val="5FF7FA9A"/>
    <w:rsid w:val="5FFFAAE0"/>
    <w:rsid w:val="617059E9"/>
    <w:rsid w:val="65AE5E67"/>
    <w:rsid w:val="66347B2F"/>
    <w:rsid w:val="66390EC2"/>
    <w:rsid w:val="667FD72C"/>
    <w:rsid w:val="67BE6FC2"/>
    <w:rsid w:val="6A12486A"/>
    <w:rsid w:val="6ABB3244"/>
    <w:rsid w:val="6ABE64BE"/>
    <w:rsid w:val="6B5F16C5"/>
    <w:rsid w:val="6CF3EA5A"/>
    <w:rsid w:val="6EDB3446"/>
    <w:rsid w:val="6F16344D"/>
    <w:rsid w:val="6F694D6E"/>
    <w:rsid w:val="6F8D24E2"/>
    <w:rsid w:val="718B464C"/>
    <w:rsid w:val="72AB5D3D"/>
    <w:rsid w:val="73AF2C71"/>
    <w:rsid w:val="74713743"/>
    <w:rsid w:val="750B2CAC"/>
    <w:rsid w:val="753C4E9B"/>
    <w:rsid w:val="769B7804"/>
    <w:rsid w:val="779FCBF0"/>
    <w:rsid w:val="77DB33B4"/>
    <w:rsid w:val="77F7E21B"/>
    <w:rsid w:val="781113A7"/>
    <w:rsid w:val="791E6510"/>
    <w:rsid w:val="79E2F975"/>
    <w:rsid w:val="7AB913FD"/>
    <w:rsid w:val="7B3BDBF2"/>
    <w:rsid w:val="7C8D4A41"/>
    <w:rsid w:val="7D6F13E7"/>
    <w:rsid w:val="7EBDCBBF"/>
    <w:rsid w:val="7EC74CC1"/>
    <w:rsid w:val="7EE6408F"/>
    <w:rsid w:val="7F3EB32E"/>
    <w:rsid w:val="7F5F3F3B"/>
    <w:rsid w:val="7F5FE5E8"/>
    <w:rsid w:val="7F7FC8C5"/>
    <w:rsid w:val="7FFDE9AB"/>
    <w:rsid w:val="7FFEB77D"/>
    <w:rsid w:val="7FFFADA2"/>
    <w:rsid w:val="9ED5792A"/>
    <w:rsid w:val="AEFFB886"/>
    <w:rsid w:val="BEFF7926"/>
    <w:rsid w:val="CF12F568"/>
    <w:rsid w:val="DEBF7731"/>
    <w:rsid w:val="E39F96A6"/>
    <w:rsid w:val="E6DFCF67"/>
    <w:rsid w:val="EBB76B61"/>
    <w:rsid w:val="F6D78CAF"/>
    <w:rsid w:val="F7DA3342"/>
    <w:rsid w:val="FBD266D3"/>
    <w:rsid w:val="FBFF7914"/>
    <w:rsid w:val="FDBFA637"/>
    <w:rsid w:val="FE6B70D4"/>
    <w:rsid w:val="FF2C1D8F"/>
    <w:rsid w:val="FF7BBB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keepNext/>
      <w:keepLines/>
      <w:spacing w:line="560" w:lineRule="exact"/>
      <w:ind w:firstLine="200" w:firstLineChars="200"/>
      <w:outlineLvl w:val="1"/>
    </w:pPr>
    <w:rPr>
      <w:rFonts w:eastAsia="楷体_GB2312" w:asciiTheme="majorAscii" w:hAnsiTheme="majorAscii" w:cstheme="majorBidi"/>
      <w:bCs/>
      <w:sz w:val="32"/>
      <w:szCs w:val="32"/>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Indent"/>
    <w:basedOn w:val="1"/>
    <w:unhideWhenUsed/>
    <w:qFormat/>
    <w:uiPriority w:val="0"/>
    <w:pPr>
      <w:spacing w:beforeLines="0" w:afterLines="0"/>
      <w:ind w:firstLine="640" w:firstLineChars="200"/>
    </w:pPr>
    <w:rPr>
      <w:rFonts w:hint="default"/>
      <w:sz w:val="32"/>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paragraph" w:styleId="7">
    <w:name w:val="Body Text First Indent 2"/>
    <w:basedOn w:val="3"/>
    <w:unhideWhenUsed/>
    <w:qFormat/>
    <w:uiPriority w:val="99"/>
    <w:pPr>
      <w:spacing w:beforeLines="0" w:afterLines="0"/>
      <w:ind w:firstLine="420"/>
    </w:pPr>
    <w:rPr>
      <w:rFonts w:hint="default"/>
      <w:sz w:val="32"/>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
    <w:name w:val="标题1"/>
    <w:basedOn w:val="2"/>
    <w:qFormat/>
    <w:uiPriority w:val="0"/>
    <w:rPr>
      <w:rFonts w:eastAsia="黑体"/>
    </w:rPr>
  </w:style>
  <w:style w:type="paragraph" w:customStyle="1" w:styleId="12">
    <w:name w:val="首行缩进"/>
    <w:basedOn w:val="1"/>
    <w:qFormat/>
    <w:uiPriority w:val="0"/>
    <w:pPr>
      <w:ind w:firstLine="480" w:firstLineChars="200"/>
    </w:pPr>
    <w:rPr>
      <w:lang w:val="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30</Pages>
  <Words>2893</Words>
  <Characters>2971</Characters>
  <Lines>0</Lines>
  <Paragraphs>0</Paragraphs>
  <TotalTime>3</TotalTime>
  <ScaleCrop>false</ScaleCrop>
  <LinksUpToDate>false</LinksUpToDate>
  <CharactersWithSpaces>2971</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2024-02-23T18:03:00Z</dcterms:created>
  <dc:creator>1402836399</dc:creator>
  <cp:lastModifiedBy>A梦</cp:lastModifiedBy>
  <cp:lastPrinted>2026-06-30T08:58:00Z</cp:lastPrinted>
  <dcterms:modified xsi:type="dcterms:W3CDTF">2026-10-15T15:41:30Z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3BC7C96D49564CEDB4C077FA167872B1_13</vt:lpwstr>
  </property>
  <property fmtid="{D5CDD505-2E9C-101B-9397-08002B2CF9AE}" pid="4" name="KSOTemplateDocerSaveRecord">
    <vt:lpwstr>eyJoZGlkIjoiNTU1ZTgwMmJjNDcyNjkwNzUxNzZlNGEyMWYwOTQwOGUifQ==</vt:lpwstr>
  </property>
</Properties>
</file>