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60" w:rsidRDefault="00683D60" w:rsidP="004465B2">
      <w:pPr>
        <w:pStyle w:val="a6"/>
        <w:ind w:firstLine="480"/>
        <w:rPr>
          <w:rFonts w:hint="eastAsia"/>
          <w:shd w:val="clear" w:color="auto" w:fill="FFFFFF"/>
        </w:rPr>
      </w:pPr>
    </w:p>
    <w:p w:rsidR="00683D60" w:rsidRPr="004465B2" w:rsidRDefault="002E2930" w:rsidP="005D60B9">
      <w:pPr>
        <w:ind w:firstLineChars="450" w:firstLine="1626"/>
        <w:rPr>
          <w:rFonts w:asciiTheme="minorEastAsia" w:eastAsiaTheme="minorEastAsia" w:hAnsiTheme="minorEastAsia"/>
          <w:b/>
          <w:sz w:val="36"/>
          <w:szCs w:val="36"/>
        </w:rPr>
      </w:pPr>
      <w:r w:rsidRPr="004465B2">
        <w:rPr>
          <w:rFonts w:asciiTheme="minorEastAsia" w:eastAsiaTheme="minorEastAsia" w:hAnsiTheme="minorEastAsia" w:hint="eastAsia"/>
          <w:b/>
          <w:sz w:val="36"/>
          <w:szCs w:val="36"/>
        </w:rPr>
        <w:t>部门整体支出绩效评价基础数据表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189"/>
        <w:gridCol w:w="849"/>
        <w:gridCol w:w="1129"/>
        <w:gridCol w:w="1111"/>
        <w:gridCol w:w="969"/>
        <w:gridCol w:w="863"/>
      </w:tblGrid>
      <w:tr w:rsidR="00683D60" w:rsidTr="003F61B8">
        <w:trPr>
          <w:trHeight w:val="397"/>
          <w:jc w:val="center"/>
        </w:trPr>
        <w:tc>
          <w:tcPr>
            <w:tcW w:w="3539" w:type="dxa"/>
            <w:vMerge w:val="restart"/>
            <w:vAlign w:val="center"/>
          </w:tcPr>
          <w:p w:rsidR="00683D60" w:rsidRDefault="009C50A7" w:rsidP="004465B2">
            <w:r>
              <w:rPr>
                <w:rFonts w:hint="eastAsia"/>
              </w:rPr>
              <w:t>财政供养人员情况</w:t>
            </w:r>
          </w:p>
        </w:tc>
        <w:tc>
          <w:tcPr>
            <w:tcW w:w="2038" w:type="dxa"/>
            <w:gridSpan w:val="2"/>
            <w:vAlign w:val="center"/>
          </w:tcPr>
          <w:p w:rsidR="00683D60" w:rsidRDefault="009C50A7" w:rsidP="004465B2">
            <w:r>
              <w:rPr>
                <w:rFonts w:hint="eastAsia"/>
              </w:rPr>
              <w:t>编制数</w:t>
            </w:r>
          </w:p>
        </w:tc>
        <w:tc>
          <w:tcPr>
            <w:tcW w:w="2240" w:type="dxa"/>
            <w:gridSpan w:val="2"/>
            <w:vAlign w:val="center"/>
          </w:tcPr>
          <w:p w:rsidR="00683D60" w:rsidRDefault="009C50A7" w:rsidP="004465B2">
            <w:r>
              <w:rPr>
                <w:rFonts w:hint="eastAsia"/>
              </w:rPr>
              <w:t>2024年实际在职人数</w:t>
            </w:r>
          </w:p>
        </w:tc>
        <w:tc>
          <w:tcPr>
            <w:tcW w:w="1832" w:type="dxa"/>
            <w:gridSpan w:val="2"/>
            <w:vAlign w:val="center"/>
          </w:tcPr>
          <w:p w:rsidR="00683D60" w:rsidRDefault="009C50A7" w:rsidP="004465B2">
            <w:r>
              <w:rPr>
                <w:rFonts w:hint="eastAsia"/>
              </w:rPr>
              <w:t>控制率</w:t>
            </w:r>
          </w:p>
        </w:tc>
      </w:tr>
      <w:tr w:rsidR="00683D60" w:rsidTr="003F61B8">
        <w:trPr>
          <w:trHeight w:val="222"/>
          <w:jc w:val="center"/>
        </w:trPr>
        <w:tc>
          <w:tcPr>
            <w:tcW w:w="3539" w:type="dxa"/>
            <w:vMerge/>
            <w:vAlign w:val="center"/>
          </w:tcPr>
          <w:p w:rsidR="00683D60" w:rsidRDefault="00683D60" w:rsidP="004465B2"/>
        </w:tc>
        <w:tc>
          <w:tcPr>
            <w:tcW w:w="2038" w:type="dxa"/>
            <w:gridSpan w:val="2"/>
            <w:vAlign w:val="center"/>
          </w:tcPr>
          <w:p w:rsidR="00683D60" w:rsidRDefault="009C50A7" w:rsidP="004465B2">
            <w:r>
              <w:rPr>
                <w:rFonts w:hint="eastAsia"/>
              </w:rPr>
              <w:t>4</w:t>
            </w:r>
            <w:r>
              <w:t>8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683D60" w:rsidRDefault="009C50A7" w:rsidP="004465B2">
            <w:r>
              <w:rPr>
                <w:rFonts w:hint="eastAsia"/>
              </w:rPr>
              <w:t>4</w:t>
            </w:r>
            <w:r>
              <w:t>6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832" w:type="dxa"/>
            <w:gridSpan w:val="2"/>
            <w:vAlign w:val="center"/>
          </w:tcPr>
          <w:p w:rsidR="00683D60" w:rsidRDefault="009C50A7" w:rsidP="004465B2">
            <w:r>
              <w:rPr>
                <w:rFonts w:hint="eastAsia"/>
              </w:rPr>
              <w:t>9</w:t>
            </w:r>
            <w:r>
              <w:t>6%</w:t>
            </w:r>
            <w:r>
              <w:rPr>
                <w:rFonts w:hint="eastAsia"/>
              </w:rPr>
              <w:t xml:space="preserve">　</w:t>
            </w:r>
          </w:p>
        </w:tc>
      </w:tr>
      <w:tr w:rsidR="00683D60" w:rsidTr="003F61B8">
        <w:trPr>
          <w:trHeight w:val="397"/>
          <w:jc w:val="center"/>
        </w:trPr>
        <w:tc>
          <w:tcPr>
            <w:tcW w:w="353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经费控制情况</w:t>
            </w:r>
          </w:p>
        </w:tc>
        <w:tc>
          <w:tcPr>
            <w:tcW w:w="2038" w:type="dxa"/>
            <w:gridSpan w:val="2"/>
            <w:vAlign w:val="center"/>
          </w:tcPr>
          <w:p w:rsidR="00683D60" w:rsidRDefault="009C50A7" w:rsidP="004465B2">
            <w:r>
              <w:rPr>
                <w:rFonts w:hint="eastAsia"/>
              </w:rPr>
              <w:t>2023年决算数</w:t>
            </w:r>
          </w:p>
        </w:tc>
        <w:tc>
          <w:tcPr>
            <w:tcW w:w="2240" w:type="dxa"/>
            <w:gridSpan w:val="2"/>
            <w:vAlign w:val="center"/>
          </w:tcPr>
          <w:p w:rsidR="00683D60" w:rsidRDefault="009C50A7" w:rsidP="004465B2">
            <w:r>
              <w:rPr>
                <w:rFonts w:hint="eastAsia"/>
              </w:rPr>
              <w:t>2024年预算数</w:t>
            </w:r>
          </w:p>
        </w:tc>
        <w:tc>
          <w:tcPr>
            <w:tcW w:w="1832" w:type="dxa"/>
            <w:gridSpan w:val="2"/>
            <w:vAlign w:val="center"/>
          </w:tcPr>
          <w:p w:rsidR="00683D60" w:rsidRDefault="009C50A7" w:rsidP="004465B2">
            <w:r>
              <w:rPr>
                <w:rFonts w:hint="eastAsia"/>
              </w:rPr>
              <w:t>2024年决算数</w:t>
            </w:r>
          </w:p>
        </w:tc>
      </w:tr>
      <w:tr w:rsidR="00683D60" w:rsidRPr="00F16E19" w:rsidTr="003F61B8">
        <w:trPr>
          <w:trHeight w:val="397"/>
          <w:jc w:val="center"/>
        </w:trPr>
        <w:tc>
          <w:tcPr>
            <w:tcW w:w="353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三公经费</w:t>
            </w:r>
          </w:p>
        </w:tc>
        <w:tc>
          <w:tcPr>
            <w:tcW w:w="2038" w:type="dxa"/>
            <w:gridSpan w:val="2"/>
            <w:vAlign w:val="center"/>
          </w:tcPr>
          <w:p w:rsidR="00683D60" w:rsidRDefault="00E505FA" w:rsidP="004465B2">
            <w:r>
              <w:rPr>
                <w:rFonts w:hint="eastAsia"/>
              </w:rPr>
              <w:t>2</w:t>
            </w:r>
            <w:r>
              <w:t>7.35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683D60" w:rsidRPr="00F16E19" w:rsidRDefault="00F16E19" w:rsidP="004465B2">
            <w:r>
              <w:rPr>
                <w:rFonts w:hint="eastAsia"/>
              </w:rPr>
              <w:t>5</w:t>
            </w:r>
            <w:r>
              <w:t>8</w:t>
            </w:r>
          </w:p>
        </w:tc>
        <w:tc>
          <w:tcPr>
            <w:tcW w:w="1832" w:type="dxa"/>
            <w:gridSpan w:val="2"/>
            <w:vAlign w:val="center"/>
          </w:tcPr>
          <w:p w:rsidR="00683D60" w:rsidRPr="00F16E19" w:rsidRDefault="00F16E19" w:rsidP="004465B2">
            <w:r>
              <w:rPr>
                <w:rFonts w:hint="eastAsia"/>
              </w:rPr>
              <w:t>4</w:t>
            </w:r>
            <w:r>
              <w:t>6.48</w:t>
            </w:r>
          </w:p>
        </w:tc>
      </w:tr>
      <w:tr w:rsidR="00683D60" w:rsidRPr="00F16E19" w:rsidTr="003F61B8">
        <w:trPr>
          <w:trHeight w:val="397"/>
          <w:jc w:val="center"/>
        </w:trPr>
        <w:tc>
          <w:tcPr>
            <w:tcW w:w="353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 1、公务用车购置和维护经费</w:t>
            </w:r>
          </w:p>
        </w:tc>
        <w:tc>
          <w:tcPr>
            <w:tcW w:w="2038" w:type="dxa"/>
            <w:gridSpan w:val="2"/>
            <w:vAlign w:val="center"/>
          </w:tcPr>
          <w:p w:rsidR="00683D60" w:rsidRDefault="00E505FA" w:rsidP="004465B2">
            <w:r>
              <w:rPr>
                <w:rFonts w:hint="eastAsia"/>
              </w:rPr>
              <w:t>2</w:t>
            </w:r>
            <w:r>
              <w:t>6.09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683D60" w:rsidRPr="00F16E19" w:rsidRDefault="00F16E19" w:rsidP="004465B2"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1832" w:type="dxa"/>
            <w:gridSpan w:val="2"/>
            <w:vAlign w:val="center"/>
          </w:tcPr>
          <w:p w:rsidR="00683D60" w:rsidRPr="00F16E19" w:rsidRDefault="00F16E19" w:rsidP="004465B2">
            <w:r>
              <w:rPr>
                <w:rFonts w:hint="eastAsia"/>
              </w:rPr>
              <w:t>4</w:t>
            </w:r>
            <w:r>
              <w:t>5.4</w:t>
            </w:r>
          </w:p>
        </w:tc>
      </w:tr>
      <w:tr w:rsidR="00683D60" w:rsidRPr="00F16E19" w:rsidTr="003F61B8">
        <w:trPr>
          <w:trHeight w:val="397"/>
          <w:jc w:val="center"/>
        </w:trPr>
        <w:tc>
          <w:tcPr>
            <w:tcW w:w="353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vAlign w:val="center"/>
          </w:tcPr>
          <w:p w:rsidR="00683D60" w:rsidRDefault="00E505FA" w:rsidP="004465B2">
            <w:r>
              <w:rPr>
                <w:rFonts w:hint="eastAsia"/>
              </w:rPr>
              <w:t>1</w:t>
            </w:r>
            <w:r>
              <w:t>1.65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683D60" w:rsidRPr="00F16E19" w:rsidRDefault="00F16E19" w:rsidP="004465B2">
            <w:r w:rsidRPr="00F16E19">
              <w:rPr>
                <w:rFonts w:hint="eastAsia"/>
              </w:rPr>
              <w:t>3</w:t>
            </w:r>
            <w:r w:rsidRPr="00F16E19">
              <w:t>0</w:t>
            </w:r>
          </w:p>
        </w:tc>
        <w:tc>
          <w:tcPr>
            <w:tcW w:w="1832" w:type="dxa"/>
            <w:gridSpan w:val="2"/>
            <w:vAlign w:val="center"/>
          </w:tcPr>
          <w:p w:rsidR="00683D60" w:rsidRPr="00F16E19" w:rsidRDefault="00F16E19" w:rsidP="004465B2">
            <w:r>
              <w:rPr>
                <w:rFonts w:hint="eastAsia"/>
              </w:rPr>
              <w:t>2</w:t>
            </w:r>
            <w:r>
              <w:t>7.2</w:t>
            </w:r>
          </w:p>
        </w:tc>
      </w:tr>
      <w:tr w:rsidR="00683D60" w:rsidRPr="00F16E19" w:rsidTr="003F61B8">
        <w:trPr>
          <w:trHeight w:val="397"/>
          <w:jc w:val="center"/>
        </w:trPr>
        <w:tc>
          <w:tcPr>
            <w:tcW w:w="353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vAlign w:val="center"/>
          </w:tcPr>
          <w:p w:rsidR="00683D60" w:rsidRDefault="00E505FA" w:rsidP="004465B2">
            <w:r>
              <w:rPr>
                <w:rFonts w:hint="eastAsia"/>
              </w:rPr>
              <w:t>1</w:t>
            </w:r>
            <w:r>
              <w:t>4.44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683D60" w:rsidRPr="00F16E19" w:rsidRDefault="00F16E19" w:rsidP="004465B2">
            <w:r w:rsidRPr="00F16E19">
              <w:rPr>
                <w:rFonts w:hint="eastAsia"/>
              </w:rPr>
              <w:t>2</w:t>
            </w:r>
            <w:r w:rsidRPr="00F16E19">
              <w:t>5</w:t>
            </w:r>
          </w:p>
        </w:tc>
        <w:tc>
          <w:tcPr>
            <w:tcW w:w="1832" w:type="dxa"/>
            <w:gridSpan w:val="2"/>
            <w:vAlign w:val="center"/>
          </w:tcPr>
          <w:p w:rsidR="00683D60" w:rsidRPr="00F16E19" w:rsidRDefault="00F16E19" w:rsidP="004465B2">
            <w:r>
              <w:rPr>
                <w:rFonts w:hint="eastAsia"/>
              </w:rPr>
              <w:t>1</w:t>
            </w:r>
            <w:r>
              <w:t>8.2</w:t>
            </w:r>
          </w:p>
        </w:tc>
      </w:tr>
      <w:tr w:rsidR="00683D60" w:rsidRPr="00F16E19" w:rsidTr="003F61B8">
        <w:trPr>
          <w:trHeight w:val="397"/>
          <w:jc w:val="center"/>
        </w:trPr>
        <w:tc>
          <w:tcPr>
            <w:tcW w:w="353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 2、出国经费</w:t>
            </w:r>
          </w:p>
        </w:tc>
        <w:tc>
          <w:tcPr>
            <w:tcW w:w="2038" w:type="dxa"/>
            <w:gridSpan w:val="2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683D60" w:rsidRPr="00F16E19" w:rsidRDefault="00683D60" w:rsidP="004465B2"/>
        </w:tc>
        <w:tc>
          <w:tcPr>
            <w:tcW w:w="1832" w:type="dxa"/>
            <w:gridSpan w:val="2"/>
            <w:vAlign w:val="center"/>
          </w:tcPr>
          <w:p w:rsidR="00683D60" w:rsidRPr="00F16E19" w:rsidRDefault="00683D60" w:rsidP="004465B2"/>
        </w:tc>
      </w:tr>
      <w:tr w:rsidR="00683D60" w:rsidRPr="00F16E19" w:rsidTr="003F61B8">
        <w:trPr>
          <w:trHeight w:val="397"/>
          <w:jc w:val="center"/>
        </w:trPr>
        <w:tc>
          <w:tcPr>
            <w:tcW w:w="353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 3、公务接待</w:t>
            </w:r>
          </w:p>
        </w:tc>
        <w:tc>
          <w:tcPr>
            <w:tcW w:w="2038" w:type="dxa"/>
            <w:gridSpan w:val="2"/>
            <w:vAlign w:val="center"/>
          </w:tcPr>
          <w:p w:rsidR="00683D60" w:rsidRDefault="00E505FA" w:rsidP="004465B2">
            <w:r>
              <w:rPr>
                <w:rFonts w:hint="eastAsia"/>
              </w:rPr>
              <w:t>1</w:t>
            </w:r>
            <w:r>
              <w:t>.26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683D60" w:rsidRPr="00F16E19" w:rsidRDefault="00F16E19" w:rsidP="004465B2">
            <w:r w:rsidRPr="00F16E19">
              <w:rPr>
                <w:rFonts w:hint="eastAsia"/>
              </w:rPr>
              <w:t>3</w:t>
            </w:r>
          </w:p>
        </w:tc>
        <w:tc>
          <w:tcPr>
            <w:tcW w:w="1832" w:type="dxa"/>
            <w:gridSpan w:val="2"/>
            <w:vAlign w:val="center"/>
          </w:tcPr>
          <w:p w:rsidR="00683D60" w:rsidRPr="00F16E19" w:rsidRDefault="00F16E19" w:rsidP="004465B2">
            <w:r>
              <w:rPr>
                <w:rFonts w:hint="eastAsia"/>
              </w:rPr>
              <w:t>1</w:t>
            </w:r>
            <w:r>
              <w:t>.08</w:t>
            </w:r>
          </w:p>
        </w:tc>
      </w:tr>
      <w:tr w:rsidR="00683D60" w:rsidRPr="00F16E19" w:rsidTr="003F61B8">
        <w:trPr>
          <w:trHeight w:val="397"/>
          <w:jc w:val="center"/>
        </w:trPr>
        <w:tc>
          <w:tcPr>
            <w:tcW w:w="353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项目支出：</w:t>
            </w:r>
          </w:p>
        </w:tc>
        <w:tc>
          <w:tcPr>
            <w:tcW w:w="2038" w:type="dxa"/>
            <w:gridSpan w:val="2"/>
            <w:vAlign w:val="center"/>
          </w:tcPr>
          <w:p w:rsidR="00683D60" w:rsidRDefault="00E505FA" w:rsidP="004465B2">
            <w:r>
              <w:rPr>
                <w:rFonts w:hint="eastAsia"/>
              </w:rPr>
              <w:t>2</w:t>
            </w:r>
            <w:r>
              <w:t>11.2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683D60" w:rsidRPr="00F16E19" w:rsidRDefault="00F16E19" w:rsidP="004465B2">
            <w:r>
              <w:rPr>
                <w:rFonts w:hint="eastAsia"/>
              </w:rPr>
              <w:t>1</w:t>
            </w:r>
            <w:r>
              <w:t>15</w:t>
            </w:r>
          </w:p>
        </w:tc>
        <w:tc>
          <w:tcPr>
            <w:tcW w:w="1832" w:type="dxa"/>
            <w:gridSpan w:val="2"/>
            <w:vAlign w:val="center"/>
          </w:tcPr>
          <w:p w:rsidR="00683D60" w:rsidRPr="00F16E19" w:rsidRDefault="00F16E19" w:rsidP="004465B2">
            <w:r>
              <w:rPr>
                <w:rFonts w:hint="eastAsia"/>
              </w:rPr>
              <w:t>1</w:t>
            </w:r>
            <w:r>
              <w:t>31.6</w:t>
            </w:r>
          </w:p>
        </w:tc>
      </w:tr>
      <w:tr w:rsidR="00683D60" w:rsidRPr="00F16E19" w:rsidTr="003F61B8">
        <w:trPr>
          <w:trHeight w:val="397"/>
          <w:jc w:val="center"/>
        </w:trPr>
        <w:tc>
          <w:tcPr>
            <w:tcW w:w="353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1、业务工作经费</w:t>
            </w:r>
          </w:p>
        </w:tc>
        <w:tc>
          <w:tcPr>
            <w:tcW w:w="2038" w:type="dxa"/>
            <w:gridSpan w:val="2"/>
            <w:vAlign w:val="center"/>
          </w:tcPr>
          <w:p w:rsidR="00683D60" w:rsidRDefault="00E505FA" w:rsidP="004465B2">
            <w:r>
              <w:rPr>
                <w:rFonts w:hint="eastAsia"/>
              </w:rPr>
              <w:t>3</w:t>
            </w:r>
            <w:r>
              <w:t>6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683D60" w:rsidRPr="00F16E19" w:rsidRDefault="00F16E19" w:rsidP="004465B2">
            <w:r>
              <w:t>30</w:t>
            </w:r>
          </w:p>
        </w:tc>
        <w:tc>
          <w:tcPr>
            <w:tcW w:w="1832" w:type="dxa"/>
            <w:gridSpan w:val="2"/>
            <w:vAlign w:val="center"/>
          </w:tcPr>
          <w:p w:rsidR="00683D60" w:rsidRPr="00F16E19" w:rsidRDefault="00F16E19" w:rsidP="004465B2">
            <w:r>
              <w:rPr>
                <w:rFonts w:hint="eastAsia"/>
              </w:rPr>
              <w:t>5</w:t>
            </w:r>
            <w:r>
              <w:t>0</w:t>
            </w:r>
          </w:p>
        </w:tc>
      </w:tr>
      <w:tr w:rsidR="00683D60" w:rsidRPr="00F16E19" w:rsidTr="003F61B8">
        <w:trPr>
          <w:trHeight w:val="397"/>
          <w:jc w:val="center"/>
        </w:trPr>
        <w:tc>
          <w:tcPr>
            <w:tcW w:w="353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2、运行维护经费</w:t>
            </w:r>
          </w:p>
        </w:tc>
        <w:tc>
          <w:tcPr>
            <w:tcW w:w="2038" w:type="dxa"/>
            <w:gridSpan w:val="2"/>
            <w:vAlign w:val="center"/>
          </w:tcPr>
          <w:p w:rsidR="00683D60" w:rsidRDefault="00E505FA" w:rsidP="004465B2"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2240" w:type="dxa"/>
            <w:gridSpan w:val="2"/>
            <w:vAlign w:val="center"/>
          </w:tcPr>
          <w:p w:rsidR="00683D60" w:rsidRPr="00F16E19" w:rsidRDefault="00F16E19" w:rsidP="004465B2"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1832" w:type="dxa"/>
            <w:gridSpan w:val="2"/>
            <w:vAlign w:val="center"/>
          </w:tcPr>
          <w:p w:rsidR="00683D60" w:rsidRPr="00F16E19" w:rsidRDefault="00683D60" w:rsidP="004465B2"/>
        </w:tc>
      </w:tr>
      <w:tr w:rsidR="00683D60" w:rsidRPr="00F16E19" w:rsidTr="003F61B8">
        <w:trPr>
          <w:trHeight w:val="267"/>
          <w:jc w:val="center"/>
        </w:trPr>
        <w:tc>
          <w:tcPr>
            <w:tcW w:w="3539" w:type="dxa"/>
            <w:vAlign w:val="center"/>
          </w:tcPr>
          <w:p w:rsidR="00683D60" w:rsidRDefault="00F16E19" w:rsidP="004465B2">
            <w:r>
              <w:rPr>
                <w:rFonts w:hint="eastAsia"/>
              </w:rPr>
              <w:t>3、</w:t>
            </w:r>
            <w:r w:rsidR="00E505FA" w:rsidRPr="00E505FA">
              <w:rPr>
                <w:rFonts w:hint="eastAsia"/>
              </w:rPr>
              <w:t>上级和省级政法转移支付资金</w:t>
            </w:r>
          </w:p>
        </w:tc>
        <w:tc>
          <w:tcPr>
            <w:tcW w:w="2038" w:type="dxa"/>
            <w:gridSpan w:val="2"/>
            <w:vAlign w:val="center"/>
          </w:tcPr>
          <w:p w:rsidR="00683D60" w:rsidRDefault="00E505FA" w:rsidP="004465B2">
            <w:r>
              <w:rPr>
                <w:rFonts w:hint="eastAsia"/>
              </w:rPr>
              <w:t>1</w:t>
            </w:r>
            <w:r>
              <w:t>51.2</w:t>
            </w:r>
          </w:p>
        </w:tc>
        <w:tc>
          <w:tcPr>
            <w:tcW w:w="2240" w:type="dxa"/>
            <w:gridSpan w:val="2"/>
            <w:vAlign w:val="center"/>
          </w:tcPr>
          <w:p w:rsidR="00683D60" w:rsidRPr="00F16E19" w:rsidRDefault="00F16E19" w:rsidP="004465B2"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832" w:type="dxa"/>
            <w:gridSpan w:val="2"/>
            <w:vAlign w:val="center"/>
          </w:tcPr>
          <w:p w:rsidR="00683D60" w:rsidRPr="00F16E19" w:rsidRDefault="00F16E19" w:rsidP="004465B2">
            <w:r>
              <w:rPr>
                <w:rFonts w:hint="eastAsia"/>
              </w:rPr>
              <w:t>3</w:t>
            </w:r>
            <w:r>
              <w:t>1.6</w:t>
            </w:r>
          </w:p>
        </w:tc>
      </w:tr>
      <w:tr w:rsidR="00F16E19" w:rsidRPr="00F16E19" w:rsidTr="003F61B8">
        <w:trPr>
          <w:trHeight w:val="397"/>
          <w:jc w:val="center"/>
        </w:trPr>
        <w:tc>
          <w:tcPr>
            <w:tcW w:w="3539" w:type="dxa"/>
            <w:vAlign w:val="center"/>
          </w:tcPr>
          <w:p w:rsidR="00F16E19" w:rsidRDefault="00F16E19" w:rsidP="004465B2">
            <w:r>
              <w:rPr>
                <w:rFonts w:hint="eastAsia"/>
              </w:rPr>
              <w:t>4、智慧生态警务平台资金</w:t>
            </w:r>
          </w:p>
        </w:tc>
        <w:tc>
          <w:tcPr>
            <w:tcW w:w="2038" w:type="dxa"/>
            <w:gridSpan w:val="2"/>
            <w:vAlign w:val="center"/>
          </w:tcPr>
          <w:p w:rsidR="00F16E19" w:rsidRDefault="00F16E19" w:rsidP="004465B2"/>
        </w:tc>
        <w:tc>
          <w:tcPr>
            <w:tcW w:w="2240" w:type="dxa"/>
            <w:gridSpan w:val="2"/>
            <w:vAlign w:val="center"/>
          </w:tcPr>
          <w:p w:rsidR="00F16E19" w:rsidRPr="00F16E19" w:rsidRDefault="00F16E19" w:rsidP="004465B2"/>
        </w:tc>
        <w:tc>
          <w:tcPr>
            <w:tcW w:w="1832" w:type="dxa"/>
            <w:gridSpan w:val="2"/>
            <w:vAlign w:val="center"/>
          </w:tcPr>
          <w:p w:rsidR="00F16E19" w:rsidRPr="00F16E19" w:rsidRDefault="00F16E19" w:rsidP="004465B2">
            <w:r>
              <w:rPr>
                <w:rFonts w:hint="eastAsia"/>
              </w:rPr>
              <w:t>5</w:t>
            </w:r>
            <w:r>
              <w:t>0</w:t>
            </w:r>
          </w:p>
        </w:tc>
      </w:tr>
      <w:tr w:rsidR="00683D60" w:rsidRPr="00F16E19" w:rsidTr="003F61B8">
        <w:trPr>
          <w:trHeight w:val="397"/>
          <w:jc w:val="center"/>
        </w:trPr>
        <w:tc>
          <w:tcPr>
            <w:tcW w:w="353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公用经费</w:t>
            </w:r>
          </w:p>
        </w:tc>
        <w:tc>
          <w:tcPr>
            <w:tcW w:w="2038" w:type="dxa"/>
            <w:gridSpan w:val="2"/>
            <w:vAlign w:val="center"/>
          </w:tcPr>
          <w:p w:rsidR="00683D60" w:rsidRDefault="00E505FA" w:rsidP="004465B2">
            <w:r>
              <w:rPr>
                <w:rFonts w:hint="eastAsia"/>
              </w:rPr>
              <w:t>1</w:t>
            </w:r>
            <w:r>
              <w:t>04.82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683D60" w:rsidRPr="00F16E19" w:rsidRDefault="00CB27DA" w:rsidP="004465B2">
            <w:r>
              <w:t>69.32</w:t>
            </w:r>
          </w:p>
        </w:tc>
        <w:tc>
          <w:tcPr>
            <w:tcW w:w="1832" w:type="dxa"/>
            <w:gridSpan w:val="2"/>
            <w:vAlign w:val="center"/>
          </w:tcPr>
          <w:p w:rsidR="00683D60" w:rsidRPr="00F16E19" w:rsidRDefault="00CB27DA" w:rsidP="004465B2">
            <w:r>
              <w:rPr>
                <w:rFonts w:hint="eastAsia"/>
              </w:rPr>
              <w:t>1</w:t>
            </w:r>
            <w:r>
              <w:t>00.8</w:t>
            </w:r>
          </w:p>
        </w:tc>
      </w:tr>
      <w:tr w:rsidR="00683D60" w:rsidRPr="00F16E19" w:rsidTr="003F61B8">
        <w:trPr>
          <w:trHeight w:val="397"/>
          <w:jc w:val="center"/>
        </w:trPr>
        <w:tc>
          <w:tcPr>
            <w:tcW w:w="353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    其中：办公费</w:t>
            </w:r>
          </w:p>
        </w:tc>
        <w:tc>
          <w:tcPr>
            <w:tcW w:w="2038" w:type="dxa"/>
            <w:gridSpan w:val="2"/>
            <w:vAlign w:val="center"/>
          </w:tcPr>
          <w:p w:rsidR="00683D60" w:rsidRDefault="00E505FA" w:rsidP="004465B2">
            <w:r>
              <w:rPr>
                <w:rFonts w:hint="eastAsia"/>
              </w:rPr>
              <w:t>4</w:t>
            </w:r>
            <w:r>
              <w:t>.33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683D60" w:rsidRPr="00F16E19" w:rsidRDefault="00CB27DA" w:rsidP="004465B2">
            <w:r>
              <w:rPr>
                <w:rFonts w:hint="eastAsia"/>
              </w:rPr>
              <w:t>0</w:t>
            </w:r>
          </w:p>
        </w:tc>
        <w:tc>
          <w:tcPr>
            <w:tcW w:w="1832" w:type="dxa"/>
            <w:gridSpan w:val="2"/>
            <w:vAlign w:val="center"/>
          </w:tcPr>
          <w:p w:rsidR="00683D60" w:rsidRPr="00F16E19" w:rsidRDefault="00CB27DA" w:rsidP="004465B2">
            <w:r>
              <w:rPr>
                <w:rFonts w:hint="eastAsia"/>
              </w:rPr>
              <w:t>1</w:t>
            </w:r>
          </w:p>
        </w:tc>
      </w:tr>
      <w:tr w:rsidR="00683D60" w:rsidRPr="00F16E19" w:rsidTr="003F61B8">
        <w:trPr>
          <w:trHeight w:val="397"/>
          <w:jc w:val="center"/>
        </w:trPr>
        <w:tc>
          <w:tcPr>
            <w:tcW w:w="353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 </w:t>
            </w:r>
            <w:r w:rsidR="0095610C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水费、电费、差旅费</w:t>
            </w:r>
          </w:p>
        </w:tc>
        <w:tc>
          <w:tcPr>
            <w:tcW w:w="2038" w:type="dxa"/>
            <w:gridSpan w:val="2"/>
            <w:vAlign w:val="center"/>
          </w:tcPr>
          <w:p w:rsidR="00683D60" w:rsidRDefault="00E505FA" w:rsidP="004465B2">
            <w:r>
              <w:rPr>
                <w:rFonts w:hint="eastAsia"/>
              </w:rPr>
              <w:t>1</w:t>
            </w:r>
            <w:r>
              <w:t>1.05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683D60" w:rsidRPr="00F16E19" w:rsidRDefault="00CB27DA" w:rsidP="004465B2">
            <w:r>
              <w:rPr>
                <w:rFonts w:hint="eastAsia"/>
              </w:rPr>
              <w:t>0</w:t>
            </w:r>
          </w:p>
        </w:tc>
        <w:tc>
          <w:tcPr>
            <w:tcW w:w="1832" w:type="dxa"/>
            <w:gridSpan w:val="2"/>
            <w:vAlign w:val="center"/>
          </w:tcPr>
          <w:p w:rsidR="00683D60" w:rsidRPr="00F16E19" w:rsidRDefault="00CB27DA" w:rsidP="004465B2">
            <w:r>
              <w:rPr>
                <w:rFonts w:hint="eastAsia"/>
              </w:rPr>
              <w:t>5</w:t>
            </w:r>
            <w:r>
              <w:t>.7</w:t>
            </w:r>
          </w:p>
        </w:tc>
      </w:tr>
      <w:tr w:rsidR="00683D60" w:rsidRPr="00F16E19" w:rsidTr="003F61B8">
        <w:trPr>
          <w:trHeight w:val="342"/>
          <w:jc w:val="center"/>
        </w:trPr>
        <w:tc>
          <w:tcPr>
            <w:tcW w:w="353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vAlign w:val="center"/>
          </w:tcPr>
          <w:p w:rsidR="00683D60" w:rsidRDefault="00E505FA" w:rsidP="004465B2">
            <w:r>
              <w:rPr>
                <w:rFonts w:hint="eastAsia"/>
              </w:rPr>
              <w:t>0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683D60" w:rsidRPr="00F16E19" w:rsidRDefault="00CB27DA" w:rsidP="004465B2">
            <w:r>
              <w:rPr>
                <w:rFonts w:hint="eastAsia"/>
              </w:rPr>
              <w:t>0</w:t>
            </w:r>
          </w:p>
        </w:tc>
        <w:tc>
          <w:tcPr>
            <w:tcW w:w="1832" w:type="dxa"/>
            <w:gridSpan w:val="2"/>
            <w:vAlign w:val="center"/>
          </w:tcPr>
          <w:p w:rsidR="00683D60" w:rsidRPr="00F16E19" w:rsidRDefault="00CB27DA" w:rsidP="004465B2">
            <w:r>
              <w:rPr>
                <w:rFonts w:hint="eastAsia"/>
              </w:rPr>
              <w:t>0</w:t>
            </w:r>
          </w:p>
        </w:tc>
      </w:tr>
      <w:tr w:rsidR="00683D60" w:rsidRPr="00F16E19" w:rsidTr="003F61B8">
        <w:trPr>
          <w:trHeight w:val="397"/>
          <w:jc w:val="center"/>
        </w:trPr>
        <w:tc>
          <w:tcPr>
            <w:tcW w:w="353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政府采购金额</w:t>
            </w:r>
          </w:p>
        </w:tc>
        <w:tc>
          <w:tcPr>
            <w:tcW w:w="2038" w:type="dxa"/>
            <w:gridSpan w:val="2"/>
            <w:vAlign w:val="center"/>
          </w:tcPr>
          <w:p w:rsidR="00683D60" w:rsidRDefault="009C50A7" w:rsidP="004465B2">
            <w:r>
              <w:rPr>
                <w:rFonts w:hint="eastAsia"/>
              </w:rPr>
              <w:t>——</w:t>
            </w:r>
          </w:p>
        </w:tc>
        <w:tc>
          <w:tcPr>
            <w:tcW w:w="2240" w:type="dxa"/>
            <w:gridSpan w:val="2"/>
            <w:vAlign w:val="center"/>
          </w:tcPr>
          <w:p w:rsidR="00683D60" w:rsidRPr="00F16E19" w:rsidRDefault="00CB27DA" w:rsidP="004465B2"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1832" w:type="dxa"/>
            <w:gridSpan w:val="2"/>
            <w:vAlign w:val="center"/>
          </w:tcPr>
          <w:p w:rsidR="00683D60" w:rsidRPr="00F16E19" w:rsidRDefault="00CB27DA" w:rsidP="004465B2">
            <w:r>
              <w:rPr>
                <w:rFonts w:hint="eastAsia"/>
              </w:rPr>
              <w:t>3</w:t>
            </w:r>
            <w:r>
              <w:t>7.9</w:t>
            </w:r>
          </w:p>
        </w:tc>
      </w:tr>
      <w:tr w:rsidR="00683D60" w:rsidRPr="00F16E19" w:rsidTr="003F61B8">
        <w:trPr>
          <w:trHeight w:val="397"/>
          <w:jc w:val="center"/>
        </w:trPr>
        <w:tc>
          <w:tcPr>
            <w:tcW w:w="353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vAlign w:val="center"/>
          </w:tcPr>
          <w:p w:rsidR="00683D60" w:rsidRDefault="009C50A7" w:rsidP="004465B2">
            <w:r>
              <w:rPr>
                <w:rFonts w:hint="eastAsia"/>
              </w:rPr>
              <w:t>——</w:t>
            </w:r>
          </w:p>
        </w:tc>
        <w:tc>
          <w:tcPr>
            <w:tcW w:w="2240" w:type="dxa"/>
            <w:gridSpan w:val="2"/>
            <w:vAlign w:val="center"/>
          </w:tcPr>
          <w:p w:rsidR="00683D60" w:rsidRPr="00F16E19" w:rsidRDefault="00683D60" w:rsidP="004465B2"/>
        </w:tc>
        <w:tc>
          <w:tcPr>
            <w:tcW w:w="1832" w:type="dxa"/>
            <w:gridSpan w:val="2"/>
            <w:vAlign w:val="center"/>
          </w:tcPr>
          <w:p w:rsidR="00683D60" w:rsidRPr="00F16E19" w:rsidRDefault="00683D60" w:rsidP="004465B2"/>
        </w:tc>
      </w:tr>
      <w:tr w:rsidR="00683D60" w:rsidTr="003F61B8">
        <w:trPr>
          <w:trHeight w:val="837"/>
          <w:jc w:val="center"/>
        </w:trPr>
        <w:tc>
          <w:tcPr>
            <w:tcW w:w="3539" w:type="dxa"/>
            <w:vMerge w:val="restart"/>
            <w:vAlign w:val="center"/>
          </w:tcPr>
          <w:p w:rsidR="0095610C" w:rsidRDefault="009C50A7" w:rsidP="004465B2">
            <w:r>
              <w:rPr>
                <w:rFonts w:hint="eastAsia"/>
              </w:rPr>
              <w:t>楼堂馆所控制情况</w:t>
            </w:r>
          </w:p>
          <w:p w:rsidR="00683D60" w:rsidRDefault="009C50A7" w:rsidP="004465B2">
            <w:r>
              <w:rPr>
                <w:rFonts w:hint="eastAsia"/>
              </w:rPr>
              <w:t>（2024年完工情况）</w:t>
            </w:r>
          </w:p>
        </w:tc>
        <w:tc>
          <w:tcPr>
            <w:tcW w:w="118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批复规模</w:t>
            </w:r>
            <w:r>
              <w:rPr>
                <w:rFonts w:hint="eastAsia"/>
              </w:rPr>
              <w:br/>
              <w:t>（㎡）</w:t>
            </w:r>
          </w:p>
        </w:tc>
        <w:tc>
          <w:tcPr>
            <w:tcW w:w="84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实际规模（㎡）</w:t>
            </w:r>
          </w:p>
        </w:tc>
        <w:tc>
          <w:tcPr>
            <w:tcW w:w="112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规模控制率</w:t>
            </w:r>
          </w:p>
        </w:tc>
        <w:tc>
          <w:tcPr>
            <w:tcW w:w="1111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预算投资（万元）</w:t>
            </w:r>
          </w:p>
        </w:tc>
        <w:tc>
          <w:tcPr>
            <w:tcW w:w="96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实际投资（万元）</w:t>
            </w:r>
          </w:p>
        </w:tc>
        <w:tc>
          <w:tcPr>
            <w:tcW w:w="863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投资概算控制率</w:t>
            </w:r>
          </w:p>
        </w:tc>
      </w:tr>
      <w:tr w:rsidR="00683D60" w:rsidTr="003F61B8">
        <w:trPr>
          <w:trHeight w:val="264"/>
          <w:jc w:val="center"/>
        </w:trPr>
        <w:tc>
          <w:tcPr>
            <w:tcW w:w="3539" w:type="dxa"/>
            <w:vMerge/>
            <w:vAlign w:val="center"/>
          </w:tcPr>
          <w:p w:rsidR="00683D60" w:rsidRDefault="00683D60" w:rsidP="004465B2"/>
        </w:tc>
        <w:tc>
          <w:tcPr>
            <w:tcW w:w="118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96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</w:tr>
      <w:tr w:rsidR="00683D60" w:rsidTr="003F61B8">
        <w:trPr>
          <w:trHeight w:val="450"/>
          <w:jc w:val="center"/>
        </w:trPr>
        <w:tc>
          <w:tcPr>
            <w:tcW w:w="353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厉行节约保障措施</w:t>
            </w:r>
          </w:p>
        </w:tc>
        <w:tc>
          <w:tcPr>
            <w:tcW w:w="6110" w:type="dxa"/>
            <w:gridSpan w:val="6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</w:tr>
    </w:tbl>
    <w:p w:rsidR="003634F9" w:rsidRPr="003634F9" w:rsidRDefault="003634F9" w:rsidP="004465B2">
      <w:pPr>
        <w:rPr>
          <w:rFonts w:eastAsia="黑体"/>
          <w:kern w:val="2"/>
          <w:sz w:val="32"/>
        </w:rPr>
      </w:pPr>
      <w:r w:rsidRPr="003634F9">
        <w:t>说明：“项目支出”需要填报基本支出以外的所有项目支出情况，“公用经费”填报基本支出中的一般商品和服务支出。</w:t>
      </w:r>
    </w:p>
    <w:p w:rsidR="003634F9" w:rsidRDefault="003634F9" w:rsidP="004465B2"/>
    <w:p w:rsidR="003634F9" w:rsidRPr="003F61B8" w:rsidRDefault="00A750A5" w:rsidP="004465B2">
      <w:pPr>
        <w:rPr>
          <w:rFonts w:ascii="方正小标宋_GBK" w:eastAsia="方正小标宋_GBK" w:hAnsi="方正小标宋_GBK" w:cs="方正小标宋_GBK"/>
          <w:sz w:val="32"/>
          <w:szCs w:val="32"/>
          <w:shd w:val="clear" w:color="auto" w:fill="FFFFFF"/>
        </w:rPr>
      </w:pPr>
      <w:r w:rsidRPr="00A750A5">
        <w:t>填表人：</w:t>
      </w:r>
      <w:r w:rsidRPr="003634F9">
        <w:rPr>
          <w:rFonts w:hint="eastAsia"/>
        </w:rPr>
        <w:t>李婷</w:t>
      </w:r>
      <w:r w:rsidRPr="00A750A5">
        <w:rPr>
          <w:rFonts w:hint="eastAsia"/>
        </w:rPr>
        <w:t xml:space="preserve">       </w:t>
      </w:r>
      <w:r w:rsidRPr="00A750A5">
        <w:t xml:space="preserve"> </w:t>
      </w:r>
      <w:r w:rsidRPr="00A750A5">
        <w:rPr>
          <w:rFonts w:hint="eastAsia"/>
        </w:rPr>
        <w:t xml:space="preserve"> </w:t>
      </w:r>
      <w:r w:rsidR="004465B2">
        <w:rPr>
          <w:rFonts w:hint="eastAsia"/>
        </w:rPr>
        <w:t xml:space="preserve">       </w:t>
      </w:r>
      <w:r w:rsidRPr="00A750A5">
        <w:t>填报日期：</w:t>
      </w:r>
      <w:r w:rsidRPr="00A750A5">
        <w:rPr>
          <w:rFonts w:hint="eastAsia"/>
        </w:rPr>
        <w:t>2</w:t>
      </w:r>
      <w:r w:rsidRPr="00A750A5">
        <w:t>02</w:t>
      </w:r>
      <w:r w:rsidR="00A1608D">
        <w:t>5</w:t>
      </w:r>
      <w:r w:rsidRPr="00A750A5">
        <w:t>.</w:t>
      </w:r>
      <w:r w:rsidR="004465B2">
        <w:rPr>
          <w:rFonts w:hint="eastAsia"/>
        </w:rPr>
        <w:t>6</w:t>
      </w:r>
      <w:r w:rsidRPr="00A750A5">
        <w:t>.</w:t>
      </w:r>
      <w:r w:rsidR="005B4ACA">
        <w:t>1</w:t>
      </w:r>
      <w:r w:rsidR="004465B2">
        <w:rPr>
          <w:rFonts w:hint="eastAsia"/>
        </w:rPr>
        <w:t>6</w:t>
      </w:r>
      <w:r w:rsidRPr="00A750A5">
        <w:rPr>
          <w:rFonts w:hint="eastAsia"/>
        </w:rPr>
        <w:t xml:space="preserve">  </w:t>
      </w:r>
      <w:r w:rsidRPr="00A750A5">
        <w:t xml:space="preserve">  </w:t>
      </w:r>
      <w:r w:rsidR="004465B2">
        <w:rPr>
          <w:rFonts w:hint="eastAsia"/>
        </w:rPr>
        <w:t xml:space="preserve">     </w:t>
      </w:r>
      <w:r w:rsidRPr="00A750A5">
        <w:rPr>
          <w:rFonts w:hint="eastAsia"/>
        </w:rPr>
        <w:t xml:space="preserve"> </w:t>
      </w:r>
      <w:r w:rsidRPr="00A750A5">
        <w:t xml:space="preserve"> 联系电话：</w:t>
      </w:r>
      <w:r w:rsidRPr="00A750A5">
        <w:rPr>
          <w:rFonts w:hint="eastAsia"/>
        </w:rPr>
        <w:t>1</w:t>
      </w:r>
      <w:r w:rsidRPr="00A750A5">
        <w:t>5115195079</w:t>
      </w:r>
      <w:r w:rsidRPr="00A750A5">
        <w:rPr>
          <w:rFonts w:hint="eastAsia"/>
        </w:rPr>
        <w:t xml:space="preserve"> </w:t>
      </w:r>
    </w:p>
    <w:p w:rsidR="00683D60" w:rsidRDefault="00683D60" w:rsidP="004465B2">
      <w:pPr>
        <w:pStyle w:val="a6"/>
        <w:ind w:firstLine="480"/>
        <w:rPr>
          <w:rFonts w:hint="eastAsia"/>
          <w:shd w:val="clear" w:color="auto" w:fill="FFFFFF"/>
        </w:rPr>
      </w:pPr>
      <w:bookmarkStart w:id="0" w:name="_GoBack"/>
      <w:bookmarkEnd w:id="0"/>
    </w:p>
    <w:p w:rsidR="002E2930" w:rsidRPr="004465B2" w:rsidRDefault="002E2930" w:rsidP="005D60B9">
      <w:pPr>
        <w:ind w:firstLineChars="650" w:firstLine="2349"/>
        <w:rPr>
          <w:rFonts w:asciiTheme="minorEastAsia" w:eastAsiaTheme="minorEastAsia" w:hAnsiTheme="minorEastAsia"/>
          <w:b/>
          <w:sz w:val="36"/>
          <w:szCs w:val="36"/>
        </w:rPr>
      </w:pPr>
      <w:r w:rsidRPr="004465B2">
        <w:rPr>
          <w:rFonts w:asciiTheme="minorEastAsia" w:eastAsiaTheme="minorEastAsia" w:hAnsiTheme="minorEastAsia" w:hint="eastAsia"/>
          <w:b/>
          <w:sz w:val="36"/>
          <w:szCs w:val="36"/>
        </w:rPr>
        <w:t>部门整体支出绩效自评表</w:t>
      </w:r>
    </w:p>
    <w:p w:rsidR="00683D60" w:rsidRDefault="00683D60" w:rsidP="004465B2"/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55"/>
        <w:gridCol w:w="921"/>
        <w:gridCol w:w="974"/>
        <w:gridCol w:w="295"/>
        <w:gridCol w:w="1168"/>
        <w:gridCol w:w="1214"/>
        <w:gridCol w:w="740"/>
        <w:gridCol w:w="965"/>
        <w:gridCol w:w="1021"/>
      </w:tblGrid>
      <w:tr w:rsidR="00683D60" w:rsidTr="00373ED6">
        <w:trPr>
          <w:trHeight w:val="227"/>
          <w:jc w:val="center"/>
        </w:trPr>
        <w:tc>
          <w:tcPr>
            <w:tcW w:w="921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预算部门名称</w:t>
            </w:r>
          </w:p>
        </w:tc>
        <w:tc>
          <w:tcPr>
            <w:tcW w:w="8341" w:type="dxa"/>
            <w:gridSpan w:val="9"/>
            <w:vAlign w:val="center"/>
          </w:tcPr>
          <w:p w:rsidR="00683D60" w:rsidRDefault="004E768D" w:rsidP="004465B2">
            <w:r>
              <w:rPr>
                <w:rFonts w:hint="eastAsia"/>
              </w:rPr>
              <w:t>怀化市森林公安局</w:t>
            </w:r>
            <w:r w:rsidR="009C50A7">
              <w:rPr>
                <w:rFonts w:hint="eastAsia"/>
              </w:rPr>
              <w:t xml:space="preserve">　</w:t>
            </w:r>
          </w:p>
        </w:tc>
      </w:tr>
      <w:tr w:rsidR="00683D60" w:rsidTr="00A1608D">
        <w:trPr>
          <w:trHeight w:val="605"/>
          <w:jc w:val="center"/>
        </w:trPr>
        <w:tc>
          <w:tcPr>
            <w:tcW w:w="1143" w:type="dxa"/>
            <w:vMerge w:val="restart"/>
            <w:vAlign w:val="center"/>
          </w:tcPr>
          <w:p w:rsidR="00683D60" w:rsidRDefault="009C50A7" w:rsidP="004465B2">
            <w:r>
              <w:rPr>
                <w:rFonts w:hint="eastAsia"/>
              </w:rPr>
              <w:t>年度预</w:t>
            </w:r>
          </w:p>
          <w:p w:rsidR="00683D60" w:rsidRDefault="009C50A7" w:rsidP="004465B2">
            <w:r>
              <w:rPr>
                <w:rFonts w:hint="eastAsia"/>
              </w:rPr>
              <w:t>算申请</w:t>
            </w:r>
            <w:r>
              <w:rPr>
                <w:rFonts w:hint="eastAsia"/>
              </w:rPr>
              <w:br/>
              <w:t>（万元）</w:t>
            </w:r>
          </w:p>
        </w:tc>
        <w:tc>
          <w:tcPr>
            <w:tcW w:w="2233" w:type="dxa"/>
            <w:gridSpan w:val="2"/>
            <w:vAlign w:val="center"/>
          </w:tcPr>
          <w:p w:rsidR="00683D60" w:rsidRDefault="00683D60" w:rsidP="004465B2"/>
        </w:tc>
        <w:tc>
          <w:tcPr>
            <w:tcW w:w="994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年初预算数</w:t>
            </w:r>
          </w:p>
        </w:tc>
        <w:tc>
          <w:tcPr>
            <w:tcW w:w="1276" w:type="dxa"/>
            <w:gridSpan w:val="2"/>
            <w:vAlign w:val="center"/>
          </w:tcPr>
          <w:p w:rsidR="00683D60" w:rsidRDefault="009C50A7" w:rsidP="004465B2">
            <w:r>
              <w:rPr>
                <w:rFonts w:hint="eastAsia"/>
              </w:rPr>
              <w:t>全年预算数</w:t>
            </w:r>
          </w:p>
        </w:tc>
        <w:tc>
          <w:tcPr>
            <w:tcW w:w="1124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全年执行数</w:t>
            </w:r>
          </w:p>
        </w:tc>
        <w:tc>
          <w:tcPr>
            <w:tcW w:w="816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分值</w:t>
            </w:r>
          </w:p>
        </w:tc>
        <w:tc>
          <w:tcPr>
            <w:tcW w:w="516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执行率</w:t>
            </w:r>
          </w:p>
        </w:tc>
        <w:tc>
          <w:tcPr>
            <w:tcW w:w="1160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得分</w:t>
            </w:r>
          </w:p>
        </w:tc>
      </w:tr>
      <w:tr w:rsidR="00683D60" w:rsidTr="00A1608D">
        <w:trPr>
          <w:trHeight w:val="340"/>
          <w:jc w:val="center"/>
        </w:trPr>
        <w:tc>
          <w:tcPr>
            <w:tcW w:w="1143" w:type="dxa"/>
            <w:vMerge/>
            <w:vAlign w:val="center"/>
          </w:tcPr>
          <w:p w:rsidR="00683D60" w:rsidRDefault="00683D60" w:rsidP="004465B2"/>
        </w:tc>
        <w:tc>
          <w:tcPr>
            <w:tcW w:w="2233" w:type="dxa"/>
            <w:gridSpan w:val="2"/>
            <w:vAlign w:val="center"/>
          </w:tcPr>
          <w:p w:rsidR="00683D60" w:rsidRDefault="009C50A7" w:rsidP="004465B2">
            <w:r>
              <w:rPr>
                <w:rFonts w:hint="eastAsia"/>
              </w:rPr>
              <w:t>年度资金总额</w:t>
            </w:r>
          </w:p>
        </w:tc>
        <w:tc>
          <w:tcPr>
            <w:tcW w:w="994" w:type="dxa"/>
            <w:vAlign w:val="center"/>
          </w:tcPr>
          <w:p w:rsidR="00683D60" w:rsidRDefault="004E768D" w:rsidP="004465B2">
            <w:r>
              <w:rPr>
                <w:rFonts w:hint="eastAsia"/>
              </w:rPr>
              <w:t>1</w:t>
            </w:r>
            <w:r>
              <w:t>095.25</w:t>
            </w:r>
          </w:p>
        </w:tc>
        <w:tc>
          <w:tcPr>
            <w:tcW w:w="1276" w:type="dxa"/>
            <w:gridSpan w:val="2"/>
            <w:vAlign w:val="center"/>
          </w:tcPr>
          <w:p w:rsidR="00683D60" w:rsidRDefault="004E768D" w:rsidP="004465B2">
            <w:r>
              <w:rPr>
                <w:rFonts w:hint="eastAsia"/>
              </w:rPr>
              <w:t>1</w:t>
            </w:r>
            <w:r>
              <w:t>380.58</w:t>
            </w:r>
          </w:p>
        </w:tc>
        <w:tc>
          <w:tcPr>
            <w:tcW w:w="1124" w:type="dxa"/>
            <w:vAlign w:val="center"/>
          </w:tcPr>
          <w:p w:rsidR="00683D60" w:rsidRDefault="004E768D" w:rsidP="004465B2">
            <w:r>
              <w:rPr>
                <w:rFonts w:hint="eastAsia"/>
              </w:rPr>
              <w:t>1</w:t>
            </w:r>
            <w:r>
              <w:t>280.19</w:t>
            </w:r>
          </w:p>
        </w:tc>
        <w:tc>
          <w:tcPr>
            <w:tcW w:w="816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1</w:t>
            </w:r>
            <w:r w:rsidR="00D8548A">
              <w:rPr>
                <w:rFonts w:hint="eastAsia"/>
              </w:rPr>
              <w:t>10</w:t>
            </w:r>
          </w:p>
        </w:tc>
        <w:tc>
          <w:tcPr>
            <w:tcW w:w="516" w:type="dxa"/>
            <w:vAlign w:val="center"/>
          </w:tcPr>
          <w:p w:rsidR="00683D60" w:rsidRDefault="004E768D" w:rsidP="004465B2">
            <w:r>
              <w:rPr>
                <w:rFonts w:hint="eastAsia"/>
              </w:rPr>
              <w:t>9</w:t>
            </w:r>
            <w:r w:rsidR="00F1051E">
              <w:rPr>
                <w:rFonts w:hint="eastAsia"/>
              </w:rPr>
              <w:t>2.73</w:t>
            </w:r>
            <w:r>
              <w:t>%</w:t>
            </w:r>
          </w:p>
        </w:tc>
        <w:tc>
          <w:tcPr>
            <w:tcW w:w="1160" w:type="dxa"/>
            <w:vAlign w:val="center"/>
          </w:tcPr>
          <w:p w:rsidR="00683D60" w:rsidRDefault="004E768D" w:rsidP="004465B2">
            <w:r>
              <w:rPr>
                <w:rFonts w:hint="eastAsia"/>
              </w:rPr>
              <w:t>9</w:t>
            </w:r>
            <w:r w:rsidR="00F1051E">
              <w:rPr>
                <w:rFonts w:hint="eastAsia"/>
              </w:rPr>
              <w:t>.27</w:t>
            </w:r>
          </w:p>
        </w:tc>
      </w:tr>
      <w:tr w:rsidR="00683D60" w:rsidTr="00A1608D">
        <w:trPr>
          <w:trHeight w:val="340"/>
          <w:jc w:val="center"/>
        </w:trPr>
        <w:tc>
          <w:tcPr>
            <w:tcW w:w="1143" w:type="dxa"/>
            <w:vMerge/>
            <w:vAlign w:val="center"/>
          </w:tcPr>
          <w:p w:rsidR="00683D60" w:rsidRDefault="00683D60" w:rsidP="004465B2"/>
        </w:tc>
        <w:tc>
          <w:tcPr>
            <w:tcW w:w="4503" w:type="dxa"/>
            <w:gridSpan w:val="5"/>
            <w:vAlign w:val="center"/>
          </w:tcPr>
          <w:p w:rsidR="00683D60" w:rsidRDefault="009C50A7" w:rsidP="004465B2">
            <w:r>
              <w:rPr>
                <w:rFonts w:hint="eastAsia"/>
              </w:rPr>
              <w:t>按收入性质分：</w:t>
            </w:r>
            <w:r w:rsidR="006D1DBB">
              <w:rPr>
                <w:rFonts w:hint="eastAsia"/>
              </w:rPr>
              <w:t>1</w:t>
            </w:r>
            <w:r w:rsidR="006D1DBB">
              <w:t>280.19</w:t>
            </w:r>
          </w:p>
        </w:tc>
        <w:tc>
          <w:tcPr>
            <w:tcW w:w="3616" w:type="dxa"/>
            <w:gridSpan w:val="4"/>
            <w:vAlign w:val="center"/>
          </w:tcPr>
          <w:p w:rsidR="00683D60" w:rsidRDefault="009C50A7" w:rsidP="004465B2">
            <w:r>
              <w:rPr>
                <w:rFonts w:hint="eastAsia"/>
              </w:rPr>
              <w:t>按支出性质分：</w:t>
            </w:r>
            <w:r w:rsidR="006D1DBB">
              <w:rPr>
                <w:rFonts w:hint="eastAsia"/>
              </w:rPr>
              <w:t>1</w:t>
            </w:r>
            <w:r w:rsidR="006D1DBB">
              <w:t>280.19</w:t>
            </w:r>
          </w:p>
        </w:tc>
      </w:tr>
      <w:tr w:rsidR="00683D60" w:rsidTr="00A1608D">
        <w:trPr>
          <w:trHeight w:val="340"/>
          <w:jc w:val="center"/>
        </w:trPr>
        <w:tc>
          <w:tcPr>
            <w:tcW w:w="1143" w:type="dxa"/>
            <w:vMerge/>
            <w:vAlign w:val="center"/>
          </w:tcPr>
          <w:p w:rsidR="00683D60" w:rsidRDefault="00683D60" w:rsidP="004465B2"/>
        </w:tc>
        <w:tc>
          <w:tcPr>
            <w:tcW w:w="4503" w:type="dxa"/>
            <w:gridSpan w:val="5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  其中：  一般公共预算：</w:t>
            </w:r>
            <w:r w:rsidR="004E768D">
              <w:rPr>
                <w:rFonts w:hint="eastAsia"/>
              </w:rPr>
              <w:t>1</w:t>
            </w:r>
            <w:r w:rsidR="004E768D">
              <w:t>2</w:t>
            </w:r>
            <w:r w:rsidR="006D1DBB">
              <w:t>74.16</w:t>
            </w:r>
          </w:p>
        </w:tc>
        <w:tc>
          <w:tcPr>
            <w:tcW w:w="3616" w:type="dxa"/>
            <w:gridSpan w:val="4"/>
            <w:vAlign w:val="center"/>
          </w:tcPr>
          <w:p w:rsidR="00683D60" w:rsidRDefault="009C50A7" w:rsidP="004465B2">
            <w:r>
              <w:rPr>
                <w:rFonts w:hint="eastAsia"/>
              </w:rPr>
              <w:t>其中：基本支出：</w:t>
            </w:r>
            <w:r w:rsidR="004E768D">
              <w:rPr>
                <w:rFonts w:hint="eastAsia"/>
              </w:rPr>
              <w:t>1</w:t>
            </w:r>
            <w:r w:rsidR="004E768D">
              <w:t>148.64</w:t>
            </w:r>
          </w:p>
        </w:tc>
      </w:tr>
      <w:tr w:rsidR="00683D60" w:rsidTr="00A1608D">
        <w:trPr>
          <w:trHeight w:val="340"/>
          <w:jc w:val="center"/>
        </w:trPr>
        <w:tc>
          <w:tcPr>
            <w:tcW w:w="1143" w:type="dxa"/>
            <w:vMerge/>
            <w:vAlign w:val="center"/>
          </w:tcPr>
          <w:p w:rsidR="00683D60" w:rsidRDefault="00683D60" w:rsidP="004465B2"/>
        </w:tc>
        <w:tc>
          <w:tcPr>
            <w:tcW w:w="4503" w:type="dxa"/>
            <w:gridSpan w:val="5"/>
            <w:vAlign w:val="center"/>
          </w:tcPr>
          <w:p w:rsidR="00683D60" w:rsidRDefault="009C50A7" w:rsidP="004465B2">
            <w:r>
              <w:rPr>
                <w:rFonts w:hint="eastAsia"/>
              </w:rPr>
              <w:t>政府性基金拨款：</w:t>
            </w:r>
          </w:p>
        </w:tc>
        <w:tc>
          <w:tcPr>
            <w:tcW w:w="3616" w:type="dxa"/>
            <w:gridSpan w:val="4"/>
            <w:vAlign w:val="center"/>
          </w:tcPr>
          <w:p w:rsidR="00683D60" w:rsidRDefault="009C50A7" w:rsidP="004465B2">
            <w:r>
              <w:rPr>
                <w:rFonts w:hint="eastAsia"/>
              </w:rPr>
              <w:t>项目支出：</w:t>
            </w:r>
            <w:r w:rsidR="004E768D">
              <w:rPr>
                <w:rFonts w:hint="eastAsia"/>
              </w:rPr>
              <w:t>1</w:t>
            </w:r>
            <w:r w:rsidR="004E768D">
              <w:t>31.55</w:t>
            </w:r>
          </w:p>
        </w:tc>
      </w:tr>
      <w:tr w:rsidR="00683D60" w:rsidTr="00A1608D">
        <w:trPr>
          <w:trHeight w:val="340"/>
          <w:jc w:val="center"/>
        </w:trPr>
        <w:tc>
          <w:tcPr>
            <w:tcW w:w="1143" w:type="dxa"/>
            <w:vMerge/>
            <w:vAlign w:val="center"/>
          </w:tcPr>
          <w:p w:rsidR="00683D60" w:rsidRDefault="00683D60" w:rsidP="004465B2"/>
        </w:tc>
        <w:tc>
          <w:tcPr>
            <w:tcW w:w="4503" w:type="dxa"/>
            <w:gridSpan w:val="5"/>
            <w:vAlign w:val="center"/>
          </w:tcPr>
          <w:p w:rsidR="00683D60" w:rsidRDefault="009C50A7" w:rsidP="004465B2">
            <w:r>
              <w:rPr>
                <w:rFonts w:hint="eastAsia"/>
              </w:rPr>
              <w:t>纳入专户管理的非税收入拨款：</w:t>
            </w:r>
          </w:p>
        </w:tc>
        <w:tc>
          <w:tcPr>
            <w:tcW w:w="3616" w:type="dxa"/>
            <w:gridSpan w:val="4"/>
            <w:vAlign w:val="center"/>
          </w:tcPr>
          <w:p w:rsidR="00683D60" w:rsidRDefault="00683D60" w:rsidP="004465B2"/>
        </w:tc>
      </w:tr>
      <w:tr w:rsidR="00683D60" w:rsidTr="00A1608D">
        <w:trPr>
          <w:trHeight w:val="270"/>
          <w:jc w:val="center"/>
        </w:trPr>
        <w:tc>
          <w:tcPr>
            <w:tcW w:w="1143" w:type="dxa"/>
            <w:vMerge/>
            <w:vAlign w:val="center"/>
          </w:tcPr>
          <w:p w:rsidR="00683D60" w:rsidRDefault="00683D60" w:rsidP="004465B2"/>
        </w:tc>
        <w:tc>
          <w:tcPr>
            <w:tcW w:w="4503" w:type="dxa"/>
            <w:gridSpan w:val="5"/>
            <w:vAlign w:val="center"/>
          </w:tcPr>
          <w:p w:rsidR="00683D60" w:rsidRDefault="009C50A7" w:rsidP="004465B2">
            <w:r>
              <w:rPr>
                <w:rFonts w:hint="eastAsia"/>
              </w:rPr>
              <w:t>其他资金：</w:t>
            </w:r>
            <w:r w:rsidR="006D1DBB">
              <w:rPr>
                <w:rFonts w:hint="eastAsia"/>
              </w:rPr>
              <w:t>6</w:t>
            </w:r>
            <w:r w:rsidR="006D1DBB">
              <w:t>.03</w:t>
            </w:r>
          </w:p>
        </w:tc>
        <w:tc>
          <w:tcPr>
            <w:tcW w:w="3616" w:type="dxa"/>
            <w:gridSpan w:val="4"/>
            <w:vAlign w:val="center"/>
          </w:tcPr>
          <w:p w:rsidR="00683D60" w:rsidRDefault="00683D60" w:rsidP="004465B2"/>
        </w:tc>
      </w:tr>
      <w:tr w:rsidR="00683D60" w:rsidTr="00A1608D">
        <w:trPr>
          <w:trHeight w:val="226"/>
          <w:jc w:val="center"/>
        </w:trPr>
        <w:tc>
          <w:tcPr>
            <w:tcW w:w="1143" w:type="dxa"/>
            <w:vMerge w:val="restart"/>
            <w:vAlign w:val="center"/>
          </w:tcPr>
          <w:p w:rsidR="00683D60" w:rsidRDefault="009C50A7" w:rsidP="004465B2">
            <w:r>
              <w:rPr>
                <w:rFonts w:hint="eastAsia"/>
              </w:rPr>
              <w:t>年度总体目标</w:t>
            </w:r>
          </w:p>
        </w:tc>
        <w:tc>
          <w:tcPr>
            <w:tcW w:w="4503" w:type="dxa"/>
            <w:gridSpan w:val="5"/>
            <w:vAlign w:val="center"/>
          </w:tcPr>
          <w:p w:rsidR="00683D60" w:rsidRDefault="009C50A7" w:rsidP="004465B2">
            <w:r>
              <w:rPr>
                <w:rFonts w:hint="eastAsia"/>
              </w:rPr>
              <w:t>预期目标</w:t>
            </w:r>
          </w:p>
        </w:tc>
        <w:tc>
          <w:tcPr>
            <w:tcW w:w="3616" w:type="dxa"/>
            <w:gridSpan w:val="4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实际完成情况　</w:t>
            </w:r>
          </w:p>
        </w:tc>
      </w:tr>
      <w:tr w:rsidR="00683D60" w:rsidTr="00A1608D">
        <w:trPr>
          <w:trHeight w:val="145"/>
          <w:jc w:val="center"/>
        </w:trPr>
        <w:tc>
          <w:tcPr>
            <w:tcW w:w="1143" w:type="dxa"/>
            <w:vMerge/>
            <w:vAlign w:val="center"/>
          </w:tcPr>
          <w:p w:rsidR="00683D60" w:rsidRDefault="00683D60" w:rsidP="004465B2"/>
        </w:tc>
        <w:tc>
          <w:tcPr>
            <w:tcW w:w="4503" w:type="dxa"/>
            <w:gridSpan w:val="5"/>
            <w:vAlign w:val="center"/>
          </w:tcPr>
          <w:p w:rsidR="00683D60" w:rsidRDefault="00AE4FFA" w:rsidP="004465B2">
            <w:r w:rsidRPr="00AE4FFA">
              <w:rPr>
                <w:rFonts w:hint="eastAsia"/>
              </w:rPr>
              <w:t>2024年组织开展1次县市区森林公安机关执法质量考评，1－4季度组织开展昆仑2024专项行动、生态三湘2024专项行动。春、秋、冬三季开展火案侦破行动。负责河长制、林长制相关工作。严厉打击各类相关违法犯罪活动，案件出警率达100%，案件查处率达100%。办案开支降到最低成本，城区内出差办案尽量不发生住宿费用，警车运行使用严格按照单位公车使用管理办法，降低车辆运行维护成本。“三公经费”严格控制在财政预算批复范围内。</w:t>
            </w:r>
          </w:p>
        </w:tc>
        <w:tc>
          <w:tcPr>
            <w:tcW w:w="3616" w:type="dxa"/>
            <w:gridSpan w:val="4"/>
            <w:vAlign w:val="center"/>
          </w:tcPr>
          <w:p w:rsidR="00683D60" w:rsidRPr="003B69FA" w:rsidRDefault="003B69FA" w:rsidP="004465B2">
            <w:r w:rsidRPr="003B69FA">
              <w:rPr>
                <w:rFonts w:hint="eastAsia"/>
              </w:rPr>
              <w:t>按照公安部、省厅、市局部署要求，充分发挥公安机关职能作用，重拳打击生态环境领域违法犯罪，深入开展“昆仑2024”“生态三湘2024”“夏季行动”等专项行动，依法严厉打击“非法捕捞、破坏野生动物资源、非法采砂采矿、污染环境、非法占用农用地”等五类重点案件。实施“山水林田湖草”一体化保护，搭建全要素、全环节联防联查联控机制，全面推进“林长+河长+田长+警长”工作管理机制，立足公安职能，重拳出击、打管结合，开展“清风2024”“护松2024”“平安长江2024”等专项行动，扎实开展污染防治“百日攻坚”，开展联合巡山巡河巡田，通过联席会议、联动执法、信息共享、案件协办等制度，形成上下贯通、横向联动的执法闭环，全力维护林区、水域、农田的安全。健全森防体制机制，全力火灾案件侦破，扎实做好火灾防控。“三公经费”较年初预算减少</w:t>
            </w:r>
            <w:r w:rsidRPr="003B69FA">
              <w:t>11.52</w:t>
            </w:r>
            <w:r w:rsidRPr="003B69FA">
              <w:rPr>
                <w:rFonts w:hint="eastAsia"/>
              </w:rPr>
              <w:t>万元，较去年决算增加1</w:t>
            </w:r>
            <w:r w:rsidRPr="003B69FA">
              <w:t>9.13</w:t>
            </w:r>
            <w:r w:rsidRPr="003B69FA">
              <w:rPr>
                <w:rFonts w:hint="eastAsia"/>
              </w:rPr>
              <w:t>万元（主要是车辆购置费增加了</w:t>
            </w:r>
            <w:r w:rsidRPr="003B69FA">
              <w:rPr>
                <w:rFonts w:hint="eastAsia"/>
              </w:rPr>
              <w:lastRenderedPageBreak/>
              <w:t>1</w:t>
            </w:r>
            <w:r w:rsidRPr="003B69FA">
              <w:t>5.55</w:t>
            </w:r>
            <w:r w:rsidRPr="003B69FA">
              <w:rPr>
                <w:rFonts w:hint="eastAsia"/>
              </w:rPr>
              <w:t>万元，增加了一台车辆运行维护费）。</w:t>
            </w:r>
          </w:p>
        </w:tc>
      </w:tr>
      <w:tr w:rsidR="00683D60" w:rsidTr="00A1608D">
        <w:trPr>
          <w:trHeight w:val="595"/>
          <w:jc w:val="center"/>
        </w:trPr>
        <w:tc>
          <w:tcPr>
            <w:tcW w:w="1143" w:type="dxa"/>
            <w:vMerge w:val="restart"/>
            <w:vAlign w:val="center"/>
          </w:tcPr>
          <w:p w:rsidR="00683D60" w:rsidRDefault="009C50A7" w:rsidP="004465B2">
            <w:r>
              <w:rPr>
                <w:rFonts w:hint="eastAsia"/>
              </w:rPr>
              <w:lastRenderedPageBreak/>
              <w:t>绩</w:t>
            </w:r>
          </w:p>
          <w:p w:rsidR="00683D60" w:rsidRDefault="009C50A7" w:rsidP="004465B2">
            <w:r>
              <w:rPr>
                <w:rFonts w:hint="eastAsia"/>
              </w:rPr>
              <w:t>效</w:t>
            </w:r>
          </w:p>
          <w:p w:rsidR="00683D60" w:rsidRDefault="009C50A7" w:rsidP="004465B2">
            <w:r>
              <w:rPr>
                <w:rFonts w:hint="eastAsia"/>
              </w:rPr>
              <w:t>指</w:t>
            </w:r>
          </w:p>
          <w:p w:rsidR="00683D60" w:rsidRDefault="009C50A7" w:rsidP="004465B2">
            <w:r>
              <w:rPr>
                <w:rFonts w:hint="eastAsia"/>
              </w:rPr>
              <w:t>标</w:t>
            </w:r>
          </w:p>
        </w:tc>
        <w:tc>
          <w:tcPr>
            <w:tcW w:w="113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一级指标</w:t>
            </w:r>
          </w:p>
        </w:tc>
        <w:tc>
          <w:tcPr>
            <w:tcW w:w="1094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二级指标</w:t>
            </w:r>
          </w:p>
        </w:tc>
        <w:tc>
          <w:tcPr>
            <w:tcW w:w="1085" w:type="dxa"/>
            <w:gridSpan w:val="2"/>
            <w:vAlign w:val="center"/>
          </w:tcPr>
          <w:p w:rsidR="00683D60" w:rsidRDefault="009C50A7" w:rsidP="004465B2">
            <w:r>
              <w:rPr>
                <w:rFonts w:hint="eastAsia"/>
              </w:rPr>
              <w:t>三级指标</w:t>
            </w:r>
          </w:p>
        </w:tc>
        <w:tc>
          <w:tcPr>
            <w:tcW w:w="1185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年度指标值</w:t>
            </w:r>
          </w:p>
        </w:tc>
        <w:tc>
          <w:tcPr>
            <w:tcW w:w="1124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实际完成值</w:t>
            </w:r>
          </w:p>
        </w:tc>
        <w:tc>
          <w:tcPr>
            <w:tcW w:w="816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分值</w:t>
            </w:r>
          </w:p>
        </w:tc>
        <w:tc>
          <w:tcPr>
            <w:tcW w:w="516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得分</w:t>
            </w:r>
          </w:p>
        </w:tc>
        <w:tc>
          <w:tcPr>
            <w:tcW w:w="1160" w:type="dxa"/>
          </w:tcPr>
          <w:p w:rsidR="00683D60" w:rsidRDefault="009C50A7" w:rsidP="004465B2">
            <w:r>
              <w:rPr>
                <w:rFonts w:hint="eastAsia"/>
              </w:rPr>
              <w:t>偏差原因分析及改进措施</w:t>
            </w:r>
          </w:p>
        </w:tc>
      </w:tr>
      <w:tr w:rsidR="00373ED6" w:rsidTr="00A1608D">
        <w:trPr>
          <w:trHeight w:val="239"/>
          <w:jc w:val="center"/>
        </w:trPr>
        <w:tc>
          <w:tcPr>
            <w:tcW w:w="1143" w:type="dxa"/>
            <w:vMerge/>
            <w:vAlign w:val="center"/>
          </w:tcPr>
          <w:p w:rsidR="00373ED6" w:rsidRDefault="00373ED6" w:rsidP="004465B2"/>
        </w:tc>
        <w:tc>
          <w:tcPr>
            <w:tcW w:w="1139" w:type="dxa"/>
            <w:vMerge w:val="restart"/>
            <w:vAlign w:val="center"/>
          </w:tcPr>
          <w:p w:rsidR="00373ED6" w:rsidRDefault="00373ED6" w:rsidP="004465B2">
            <w:r>
              <w:rPr>
                <w:rFonts w:hint="eastAsia"/>
              </w:rPr>
              <w:t>成本指标</w:t>
            </w:r>
          </w:p>
        </w:tc>
        <w:tc>
          <w:tcPr>
            <w:tcW w:w="1094" w:type="dxa"/>
            <w:vMerge w:val="restart"/>
            <w:vAlign w:val="center"/>
          </w:tcPr>
          <w:p w:rsidR="00373ED6" w:rsidRDefault="00373ED6" w:rsidP="004465B2">
            <w:r>
              <w:rPr>
                <w:rFonts w:hint="eastAsia"/>
              </w:rPr>
              <w:t>经济成本指标</w:t>
            </w:r>
          </w:p>
        </w:tc>
        <w:tc>
          <w:tcPr>
            <w:tcW w:w="1085" w:type="dxa"/>
            <w:gridSpan w:val="2"/>
            <w:vAlign w:val="center"/>
          </w:tcPr>
          <w:p w:rsidR="00373ED6" w:rsidRPr="003B69FA" w:rsidRDefault="00373ED6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基本支出成本控制</w:t>
            </w:r>
          </w:p>
        </w:tc>
        <w:tc>
          <w:tcPr>
            <w:tcW w:w="1185" w:type="dxa"/>
            <w:vAlign w:val="center"/>
          </w:tcPr>
          <w:p w:rsidR="00373ED6" w:rsidRPr="003B69FA" w:rsidRDefault="00373ED6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980.25</w:t>
            </w:r>
            <w:r>
              <w:rPr>
                <w:rFonts w:ascii="宋体" w:eastAsia="宋体" w:hAnsi="宋体" w:cs="宋体" w:hint="eastAsia"/>
                <w:color w:val="auto"/>
              </w:rPr>
              <w:t>万元</w:t>
            </w:r>
          </w:p>
        </w:tc>
        <w:tc>
          <w:tcPr>
            <w:tcW w:w="1124" w:type="dxa"/>
            <w:vAlign w:val="center"/>
          </w:tcPr>
          <w:p w:rsidR="00373ED6" w:rsidRDefault="00373ED6" w:rsidP="004465B2">
            <w:r>
              <w:rPr>
                <w:rFonts w:hint="eastAsia"/>
              </w:rPr>
              <w:t>1</w:t>
            </w:r>
            <w:r>
              <w:t>148.64</w:t>
            </w:r>
            <w:r>
              <w:rPr>
                <w:rFonts w:hint="eastAsia"/>
              </w:rPr>
              <w:t>万元</w:t>
            </w:r>
          </w:p>
        </w:tc>
        <w:tc>
          <w:tcPr>
            <w:tcW w:w="816" w:type="dxa"/>
            <w:vAlign w:val="center"/>
          </w:tcPr>
          <w:p w:rsidR="00373ED6" w:rsidRDefault="00373ED6" w:rsidP="004465B2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16" w:type="dxa"/>
            <w:vAlign w:val="center"/>
          </w:tcPr>
          <w:p w:rsidR="00373ED6" w:rsidRDefault="00373ED6" w:rsidP="004465B2">
            <w:pPr>
              <w:jc w:val="center"/>
            </w:pPr>
            <w:r>
              <w:rPr>
                <w:rFonts w:hint="eastAsia"/>
              </w:rPr>
              <w:t>9</w:t>
            </w:r>
            <w:r>
              <w:t>.8</w:t>
            </w:r>
          </w:p>
        </w:tc>
        <w:tc>
          <w:tcPr>
            <w:tcW w:w="1160" w:type="dxa"/>
            <w:vMerge w:val="restart"/>
            <w:vAlign w:val="center"/>
          </w:tcPr>
          <w:p w:rsidR="00373ED6" w:rsidRDefault="00373ED6" w:rsidP="004465B2">
            <w:pPr>
              <w:jc w:val="center"/>
            </w:pPr>
            <w:r>
              <w:rPr>
                <w:rFonts w:hint="eastAsia"/>
              </w:rPr>
              <w:t>预算编制不全面，下年度编制预算时要考虑充分、细致。</w:t>
            </w:r>
          </w:p>
        </w:tc>
      </w:tr>
      <w:tr w:rsidR="00373ED6" w:rsidTr="00373ED6">
        <w:trPr>
          <w:trHeight w:val="237"/>
          <w:jc w:val="center"/>
        </w:trPr>
        <w:tc>
          <w:tcPr>
            <w:tcW w:w="921" w:type="dxa"/>
            <w:vMerge/>
            <w:vAlign w:val="center"/>
          </w:tcPr>
          <w:p w:rsidR="00373ED6" w:rsidRDefault="00373ED6" w:rsidP="004465B2"/>
        </w:tc>
        <w:tc>
          <w:tcPr>
            <w:tcW w:w="920" w:type="dxa"/>
            <w:vMerge/>
            <w:vAlign w:val="center"/>
          </w:tcPr>
          <w:p w:rsidR="00373ED6" w:rsidRDefault="00373ED6" w:rsidP="004465B2"/>
        </w:tc>
        <w:tc>
          <w:tcPr>
            <w:tcW w:w="634" w:type="dxa"/>
            <w:vMerge/>
            <w:vAlign w:val="center"/>
          </w:tcPr>
          <w:p w:rsidR="00373ED6" w:rsidRDefault="00373ED6" w:rsidP="004465B2"/>
        </w:tc>
        <w:tc>
          <w:tcPr>
            <w:tcW w:w="1381" w:type="dxa"/>
            <w:gridSpan w:val="2"/>
            <w:vAlign w:val="center"/>
          </w:tcPr>
          <w:p w:rsidR="00373ED6" w:rsidRPr="003B69FA" w:rsidRDefault="00373ED6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项目支出成本控制</w:t>
            </w:r>
          </w:p>
        </w:tc>
        <w:tc>
          <w:tcPr>
            <w:tcW w:w="1263" w:type="dxa"/>
            <w:vAlign w:val="center"/>
          </w:tcPr>
          <w:p w:rsidR="00373ED6" w:rsidRDefault="00373ED6" w:rsidP="004465B2">
            <w:r>
              <w:rPr>
                <w:rFonts w:hint="eastAsia"/>
              </w:rPr>
              <w:t>1</w:t>
            </w:r>
            <w:r>
              <w:t>15</w:t>
            </w:r>
            <w:r>
              <w:rPr>
                <w:rFonts w:hint="eastAsia"/>
              </w:rPr>
              <w:t>万元</w:t>
            </w:r>
          </w:p>
        </w:tc>
        <w:tc>
          <w:tcPr>
            <w:tcW w:w="1316" w:type="dxa"/>
            <w:vAlign w:val="center"/>
          </w:tcPr>
          <w:p w:rsidR="00373ED6" w:rsidRDefault="00373ED6" w:rsidP="004465B2">
            <w:r>
              <w:rPr>
                <w:rFonts w:hint="eastAsia"/>
              </w:rPr>
              <w:t>1</w:t>
            </w:r>
            <w:r>
              <w:t>31.55</w:t>
            </w:r>
            <w:r>
              <w:rPr>
                <w:rFonts w:hint="eastAsia"/>
              </w:rPr>
              <w:t>万元</w:t>
            </w:r>
          </w:p>
        </w:tc>
        <w:tc>
          <w:tcPr>
            <w:tcW w:w="816" w:type="dxa"/>
            <w:vAlign w:val="center"/>
          </w:tcPr>
          <w:p w:rsidR="00373ED6" w:rsidRDefault="00373ED6" w:rsidP="004465B2">
            <w:r>
              <w:rPr>
                <w:rFonts w:hint="eastAsia"/>
              </w:rPr>
              <w:t>1</w:t>
            </w:r>
            <w:r w:rsidR="00D8548A">
              <w:rPr>
                <w:rFonts w:hint="eastAsia"/>
              </w:rPr>
              <w:t>0</w:t>
            </w:r>
          </w:p>
        </w:tc>
        <w:tc>
          <w:tcPr>
            <w:tcW w:w="1016" w:type="dxa"/>
            <w:vAlign w:val="center"/>
          </w:tcPr>
          <w:p w:rsidR="00373ED6" w:rsidRDefault="00373ED6" w:rsidP="004465B2">
            <w:pPr>
              <w:jc w:val="center"/>
            </w:pPr>
            <w:r>
              <w:rPr>
                <w:rFonts w:hint="eastAsia"/>
              </w:rPr>
              <w:t>9</w:t>
            </w:r>
            <w:r>
              <w:t>.8</w:t>
            </w:r>
          </w:p>
        </w:tc>
        <w:tc>
          <w:tcPr>
            <w:tcW w:w="995" w:type="dxa"/>
            <w:vMerge/>
            <w:vAlign w:val="center"/>
          </w:tcPr>
          <w:p w:rsidR="00373ED6" w:rsidRDefault="00373ED6" w:rsidP="004465B2">
            <w:pPr>
              <w:jc w:val="center"/>
            </w:pPr>
          </w:p>
        </w:tc>
      </w:tr>
      <w:tr w:rsidR="00683D60" w:rsidTr="00373ED6">
        <w:trPr>
          <w:trHeight w:val="203"/>
          <w:jc w:val="center"/>
        </w:trPr>
        <w:tc>
          <w:tcPr>
            <w:tcW w:w="921" w:type="dxa"/>
            <w:vMerge/>
            <w:vAlign w:val="center"/>
          </w:tcPr>
          <w:p w:rsidR="00683D60" w:rsidRDefault="00683D60" w:rsidP="004465B2"/>
        </w:tc>
        <w:tc>
          <w:tcPr>
            <w:tcW w:w="920" w:type="dxa"/>
            <w:vMerge/>
            <w:vAlign w:val="center"/>
          </w:tcPr>
          <w:p w:rsidR="00683D60" w:rsidRDefault="00683D60" w:rsidP="004465B2"/>
        </w:tc>
        <w:tc>
          <w:tcPr>
            <w:tcW w:w="634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社会成本指标</w:t>
            </w:r>
          </w:p>
        </w:tc>
        <w:tc>
          <w:tcPr>
            <w:tcW w:w="1381" w:type="dxa"/>
            <w:gridSpan w:val="2"/>
            <w:vAlign w:val="center"/>
          </w:tcPr>
          <w:p w:rsidR="00683D60" w:rsidRDefault="00910716" w:rsidP="004465B2">
            <w:r>
              <w:rPr>
                <w:rFonts w:hint="eastAsia"/>
              </w:rPr>
              <w:t>不适用</w:t>
            </w:r>
          </w:p>
        </w:tc>
        <w:tc>
          <w:tcPr>
            <w:tcW w:w="1263" w:type="dxa"/>
            <w:vAlign w:val="center"/>
          </w:tcPr>
          <w:p w:rsidR="00683D60" w:rsidRDefault="00683D60" w:rsidP="004465B2"/>
        </w:tc>
        <w:tc>
          <w:tcPr>
            <w:tcW w:w="1316" w:type="dxa"/>
            <w:vAlign w:val="center"/>
          </w:tcPr>
          <w:p w:rsidR="00683D60" w:rsidRDefault="00683D60" w:rsidP="004465B2"/>
        </w:tc>
        <w:tc>
          <w:tcPr>
            <w:tcW w:w="816" w:type="dxa"/>
            <w:vAlign w:val="center"/>
          </w:tcPr>
          <w:p w:rsidR="00683D60" w:rsidRDefault="00683D60" w:rsidP="004465B2"/>
        </w:tc>
        <w:tc>
          <w:tcPr>
            <w:tcW w:w="1016" w:type="dxa"/>
            <w:vAlign w:val="center"/>
          </w:tcPr>
          <w:p w:rsidR="00683D60" w:rsidRDefault="00683D60" w:rsidP="004465B2">
            <w:pPr>
              <w:jc w:val="center"/>
            </w:pPr>
          </w:p>
        </w:tc>
        <w:tc>
          <w:tcPr>
            <w:tcW w:w="995" w:type="dxa"/>
            <w:vAlign w:val="center"/>
          </w:tcPr>
          <w:p w:rsidR="00683D60" w:rsidRDefault="00683D60" w:rsidP="004465B2">
            <w:pPr>
              <w:jc w:val="center"/>
            </w:pPr>
          </w:p>
        </w:tc>
      </w:tr>
      <w:tr w:rsidR="00683D60" w:rsidTr="00373ED6">
        <w:trPr>
          <w:trHeight w:val="203"/>
          <w:jc w:val="center"/>
        </w:trPr>
        <w:tc>
          <w:tcPr>
            <w:tcW w:w="921" w:type="dxa"/>
            <w:vMerge/>
            <w:vAlign w:val="center"/>
          </w:tcPr>
          <w:p w:rsidR="00683D60" w:rsidRDefault="00683D60" w:rsidP="004465B2"/>
        </w:tc>
        <w:tc>
          <w:tcPr>
            <w:tcW w:w="920" w:type="dxa"/>
            <w:vMerge/>
            <w:vAlign w:val="center"/>
          </w:tcPr>
          <w:p w:rsidR="00683D60" w:rsidRDefault="00683D60" w:rsidP="004465B2"/>
        </w:tc>
        <w:tc>
          <w:tcPr>
            <w:tcW w:w="634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生态成本指标</w:t>
            </w:r>
          </w:p>
        </w:tc>
        <w:tc>
          <w:tcPr>
            <w:tcW w:w="1381" w:type="dxa"/>
            <w:gridSpan w:val="2"/>
            <w:vAlign w:val="center"/>
          </w:tcPr>
          <w:p w:rsidR="00683D60" w:rsidRDefault="00910716" w:rsidP="004465B2">
            <w:r>
              <w:rPr>
                <w:rFonts w:hint="eastAsia"/>
              </w:rPr>
              <w:t>不</w:t>
            </w:r>
            <w:r w:rsidR="00065075">
              <w:rPr>
                <w:rFonts w:hint="eastAsia"/>
              </w:rPr>
              <w:t>适用</w:t>
            </w:r>
          </w:p>
        </w:tc>
        <w:tc>
          <w:tcPr>
            <w:tcW w:w="1263" w:type="dxa"/>
            <w:vAlign w:val="center"/>
          </w:tcPr>
          <w:p w:rsidR="00683D60" w:rsidRDefault="00683D60" w:rsidP="004465B2"/>
        </w:tc>
        <w:tc>
          <w:tcPr>
            <w:tcW w:w="1316" w:type="dxa"/>
            <w:vAlign w:val="center"/>
          </w:tcPr>
          <w:p w:rsidR="00683D60" w:rsidRDefault="00683D60" w:rsidP="004465B2"/>
        </w:tc>
        <w:tc>
          <w:tcPr>
            <w:tcW w:w="816" w:type="dxa"/>
            <w:vAlign w:val="center"/>
          </w:tcPr>
          <w:p w:rsidR="00683D60" w:rsidRDefault="00683D60" w:rsidP="004465B2"/>
        </w:tc>
        <w:tc>
          <w:tcPr>
            <w:tcW w:w="1016" w:type="dxa"/>
            <w:vAlign w:val="center"/>
          </w:tcPr>
          <w:p w:rsidR="00683D60" w:rsidRDefault="00683D60" w:rsidP="004465B2">
            <w:pPr>
              <w:jc w:val="center"/>
            </w:pPr>
          </w:p>
        </w:tc>
        <w:tc>
          <w:tcPr>
            <w:tcW w:w="995" w:type="dxa"/>
            <w:vAlign w:val="center"/>
          </w:tcPr>
          <w:p w:rsidR="00683D60" w:rsidRDefault="00683D60" w:rsidP="004465B2">
            <w:pPr>
              <w:jc w:val="center"/>
            </w:pPr>
          </w:p>
        </w:tc>
      </w:tr>
      <w:tr w:rsidR="00683D60" w:rsidTr="00373ED6">
        <w:trPr>
          <w:trHeight w:val="214"/>
          <w:jc w:val="center"/>
        </w:trPr>
        <w:tc>
          <w:tcPr>
            <w:tcW w:w="921" w:type="dxa"/>
            <w:vMerge/>
            <w:vAlign w:val="center"/>
          </w:tcPr>
          <w:p w:rsidR="00683D60" w:rsidRDefault="00683D60" w:rsidP="004465B2"/>
        </w:tc>
        <w:tc>
          <w:tcPr>
            <w:tcW w:w="920" w:type="dxa"/>
            <w:vMerge w:val="restart"/>
            <w:vAlign w:val="center"/>
          </w:tcPr>
          <w:p w:rsidR="003F61B8" w:rsidRDefault="009C50A7" w:rsidP="004465B2">
            <w:r>
              <w:rPr>
                <w:rFonts w:hint="eastAsia"/>
              </w:rPr>
              <w:t>产出</w:t>
            </w:r>
          </w:p>
          <w:p w:rsidR="00683D60" w:rsidRDefault="009C50A7" w:rsidP="004465B2">
            <w:r>
              <w:rPr>
                <w:rFonts w:hint="eastAsia"/>
              </w:rPr>
              <w:t>指标</w:t>
            </w:r>
          </w:p>
          <w:p w:rsidR="00683D60" w:rsidRDefault="00683D60" w:rsidP="004465B2"/>
        </w:tc>
        <w:tc>
          <w:tcPr>
            <w:tcW w:w="634" w:type="dxa"/>
            <w:vMerge w:val="restart"/>
            <w:vAlign w:val="center"/>
          </w:tcPr>
          <w:p w:rsidR="00683D60" w:rsidRDefault="009C50A7" w:rsidP="004465B2">
            <w:r>
              <w:rPr>
                <w:rFonts w:hint="eastAsia"/>
              </w:rPr>
              <w:t>数量指标</w:t>
            </w:r>
          </w:p>
        </w:tc>
        <w:tc>
          <w:tcPr>
            <w:tcW w:w="1381" w:type="dxa"/>
            <w:gridSpan w:val="2"/>
            <w:vAlign w:val="center"/>
          </w:tcPr>
          <w:p w:rsidR="00683D60" w:rsidRDefault="00910716" w:rsidP="004465B2">
            <w:r w:rsidRPr="00910716">
              <w:t>2024年组织开展县市区森林公安机关执法质量考评</w:t>
            </w:r>
          </w:p>
        </w:tc>
        <w:tc>
          <w:tcPr>
            <w:tcW w:w="1263" w:type="dxa"/>
            <w:vAlign w:val="center"/>
          </w:tcPr>
          <w:p w:rsidR="00910716" w:rsidRDefault="009C50A7" w:rsidP="004465B2">
            <w:r>
              <w:rPr>
                <w:rFonts w:hint="eastAsia"/>
              </w:rPr>
              <w:t xml:space="preserve">　</w:t>
            </w:r>
          </w:p>
          <w:p w:rsidR="00910716" w:rsidRDefault="00910716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≥1次</w:t>
            </w:r>
          </w:p>
          <w:p w:rsidR="00683D60" w:rsidRDefault="00683D60" w:rsidP="004465B2"/>
        </w:tc>
        <w:tc>
          <w:tcPr>
            <w:tcW w:w="1316" w:type="dxa"/>
            <w:vAlign w:val="center"/>
          </w:tcPr>
          <w:p w:rsidR="00683D60" w:rsidRDefault="00B33760" w:rsidP="004465B2">
            <w:r>
              <w:t>1</w:t>
            </w:r>
          </w:p>
        </w:tc>
        <w:tc>
          <w:tcPr>
            <w:tcW w:w="816" w:type="dxa"/>
            <w:vAlign w:val="center"/>
          </w:tcPr>
          <w:p w:rsidR="00683D60" w:rsidRDefault="004465B2" w:rsidP="004465B2">
            <w:r>
              <w:rPr>
                <w:rFonts w:hint="eastAsia"/>
              </w:rPr>
              <w:t>10</w:t>
            </w:r>
          </w:p>
        </w:tc>
        <w:tc>
          <w:tcPr>
            <w:tcW w:w="1016" w:type="dxa"/>
            <w:vAlign w:val="center"/>
          </w:tcPr>
          <w:p w:rsidR="00683D60" w:rsidRDefault="00F1051E" w:rsidP="004465B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5" w:type="dxa"/>
            <w:vAlign w:val="center"/>
          </w:tcPr>
          <w:p w:rsidR="00683D60" w:rsidRDefault="00683D60" w:rsidP="004465B2">
            <w:pPr>
              <w:jc w:val="center"/>
            </w:pPr>
          </w:p>
        </w:tc>
      </w:tr>
      <w:tr w:rsidR="00910716" w:rsidTr="00373ED6">
        <w:trPr>
          <w:trHeight w:val="214"/>
          <w:jc w:val="center"/>
        </w:trPr>
        <w:tc>
          <w:tcPr>
            <w:tcW w:w="921" w:type="dxa"/>
            <w:vMerge/>
            <w:vAlign w:val="center"/>
          </w:tcPr>
          <w:p w:rsidR="00910716" w:rsidRDefault="00910716" w:rsidP="004465B2"/>
        </w:tc>
        <w:tc>
          <w:tcPr>
            <w:tcW w:w="920" w:type="dxa"/>
            <w:vMerge/>
            <w:vAlign w:val="center"/>
          </w:tcPr>
          <w:p w:rsidR="00910716" w:rsidRDefault="00910716" w:rsidP="004465B2"/>
        </w:tc>
        <w:tc>
          <w:tcPr>
            <w:tcW w:w="634" w:type="dxa"/>
            <w:vMerge/>
            <w:vAlign w:val="center"/>
          </w:tcPr>
          <w:p w:rsidR="00910716" w:rsidRDefault="00910716" w:rsidP="004465B2"/>
        </w:tc>
        <w:tc>
          <w:tcPr>
            <w:tcW w:w="1381" w:type="dxa"/>
            <w:gridSpan w:val="2"/>
            <w:vAlign w:val="center"/>
          </w:tcPr>
          <w:p w:rsidR="00910716" w:rsidRDefault="00910716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春、秋、冬三季开展火案侦破行动</w:t>
            </w:r>
          </w:p>
          <w:p w:rsidR="00910716" w:rsidRDefault="00910716" w:rsidP="004465B2"/>
        </w:tc>
        <w:tc>
          <w:tcPr>
            <w:tcW w:w="1263" w:type="dxa"/>
            <w:vAlign w:val="center"/>
          </w:tcPr>
          <w:p w:rsidR="00910716" w:rsidRDefault="00910716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≥2次</w:t>
            </w:r>
          </w:p>
          <w:p w:rsidR="00910716" w:rsidRDefault="00910716" w:rsidP="004465B2"/>
        </w:tc>
        <w:tc>
          <w:tcPr>
            <w:tcW w:w="1316" w:type="dxa"/>
            <w:vAlign w:val="center"/>
          </w:tcPr>
          <w:p w:rsidR="00910716" w:rsidRDefault="00910716" w:rsidP="004465B2">
            <w:r>
              <w:rPr>
                <w:rFonts w:hint="eastAsia"/>
              </w:rPr>
              <w:t>2</w:t>
            </w:r>
          </w:p>
        </w:tc>
        <w:tc>
          <w:tcPr>
            <w:tcW w:w="816" w:type="dxa"/>
            <w:vAlign w:val="center"/>
          </w:tcPr>
          <w:p w:rsidR="00910716" w:rsidRDefault="00892702" w:rsidP="004465B2">
            <w:r>
              <w:rPr>
                <w:rFonts w:hint="eastAsia"/>
              </w:rPr>
              <w:t>1</w:t>
            </w:r>
            <w:r w:rsidR="004465B2">
              <w:rPr>
                <w:rFonts w:hint="eastAsia"/>
              </w:rPr>
              <w:t>0</w:t>
            </w:r>
          </w:p>
        </w:tc>
        <w:tc>
          <w:tcPr>
            <w:tcW w:w="1016" w:type="dxa"/>
            <w:vAlign w:val="center"/>
          </w:tcPr>
          <w:p w:rsidR="00910716" w:rsidRDefault="00892702" w:rsidP="004465B2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995" w:type="dxa"/>
            <w:vAlign w:val="center"/>
          </w:tcPr>
          <w:p w:rsidR="00910716" w:rsidRDefault="00910716" w:rsidP="004465B2">
            <w:pPr>
              <w:jc w:val="center"/>
            </w:pPr>
          </w:p>
        </w:tc>
      </w:tr>
      <w:tr w:rsidR="00683D60" w:rsidTr="00373ED6">
        <w:trPr>
          <w:trHeight w:val="2223"/>
          <w:jc w:val="center"/>
        </w:trPr>
        <w:tc>
          <w:tcPr>
            <w:tcW w:w="921" w:type="dxa"/>
            <w:vMerge/>
            <w:vAlign w:val="center"/>
          </w:tcPr>
          <w:p w:rsidR="00683D60" w:rsidRDefault="00683D60" w:rsidP="004465B2"/>
        </w:tc>
        <w:tc>
          <w:tcPr>
            <w:tcW w:w="920" w:type="dxa"/>
            <w:vMerge/>
            <w:vAlign w:val="center"/>
          </w:tcPr>
          <w:p w:rsidR="00683D60" w:rsidRDefault="00683D60" w:rsidP="004465B2"/>
        </w:tc>
        <w:tc>
          <w:tcPr>
            <w:tcW w:w="634" w:type="dxa"/>
            <w:vMerge/>
            <w:vAlign w:val="center"/>
          </w:tcPr>
          <w:p w:rsidR="00683D60" w:rsidRDefault="00683D60" w:rsidP="004465B2"/>
        </w:tc>
        <w:tc>
          <w:tcPr>
            <w:tcW w:w="1381" w:type="dxa"/>
            <w:gridSpan w:val="2"/>
            <w:vAlign w:val="center"/>
          </w:tcPr>
          <w:p w:rsidR="00910716" w:rsidRDefault="00910716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1－4季度组织开展昆仑2024专项行动、生态三湘2024专项行动</w:t>
            </w:r>
          </w:p>
          <w:p w:rsidR="00683D60" w:rsidRDefault="00683D60" w:rsidP="004465B2"/>
        </w:tc>
        <w:tc>
          <w:tcPr>
            <w:tcW w:w="1263" w:type="dxa"/>
            <w:vAlign w:val="center"/>
          </w:tcPr>
          <w:p w:rsidR="00910716" w:rsidRDefault="00910716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≥1次</w:t>
            </w:r>
          </w:p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vAlign w:val="center"/>
          </w:tcPr>
          <w:p w:rsidR="00683D60" w:rsidRDefault="00910716" w:rsidP="004465B2">
            <w:r>
              <w:rPr>
                <w:rFonts w:hint="eastAsia"/>
              </w:rPr>
              <w:t>2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816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  <w:r w:rsidR="005766E6">
              <w:t>5</w:t>
            </w:r>
          </w:p>
        </w:tc>
        <w:tc>
          <w:tcPr>
            <w:tcW w:w="1016" w:type="dxa"/>
            <w:vAlign w:val="center"/>
          </w:tcPr>
          <w:p w:rsidR="00683D60" w:rsidRDefault="005766E6" w:rsidP="004465B2">
            <w:pPr>
              <w:jc w:val="center"/>
            </w:pPr>
            <w:r>
              <w:t>5</w:t>
            </w:r>
          </w:p>
        </w:tc>
        <w:tc>
          <w:tcPr>
            <w:tcW w:w="995" w:type="dxa"/>
            <w:vAlign w:val="center"/>
          </w:tcPr>
          <w:p w:rsidR="00683D60" w:rsidRDefault="00683D60" w:rsidP="004465B2">
            <w:pPr>
              <w:jc w:val="center"/>
            </w:pPr>
          </w:p>
        </w:tc>
      </w:tr>
      <w:tr w:rsidR="00683D60" w:rsidTr="00373ED6">
        <w:trPr>
          <w:trHeight w:val="203"/>
          <w:jc w:val="center"/>
        </w:trPr>
        <w:tc>
          <w:tcPr>
            <w:tcW w:w="921" w:type="dxa"/>
            <w:vMerge/>
            <w:vAlign w:val="center"/>
          </w:tcPr>
          <w:p w:rsidR="00683D60" w:rsidRDefault="00683D60" w:rsidP="004465B2"/>
        </w:tc>
        <w:tc>
          <w:tcPr>
            <w:tcW w:w="920" w:type="dxa"/>
            <w:vMerge/>
            <w:vAlign w:val="center"/>
          </w:tcPr>
          <w:p w:rsidR="00683D60" w:rsidRDefault="00683D60" w:rsidP="004465B2"/>
        </w:tc>
        <w:tc>
          <w:tcPr>
            <w:tcW w:w="634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质量</w:t>
            </w:r>
          </w:p>
          <w:p w:rsidR="00683D60" w:rsidRDefault="009C50A7" w:rsidP="004465B2">
            <w:r>
              <w:rPr>
                <w:rFonts w:hint="eastAsia"/>
              </w:rPr>
              <w:t>指标</w:t>
            </w:r>
          </w:p>
        </w:tc>
        <w:tc>
          <w:tcPr>
            <w:tcW w:w="1381" w:type="dxa"/>
            <w:gridSpan w:val="2"/>
            <w:vAlign w:val="center"/>
          </w:tcPr>
          <w:p w:rsidR="00683D60" w:rsidRDefault="00910716" w:rsidP="004465B2">
            <w:r w:rsidRPr="00910716">
              <w:rPr>
                <w:rFonts w:hint="eastAsia"/>
              </w:rPr>
              <w:t>达标完成率</w:t>
            </w:r>
          </w:p>
        </w:tc>
        <w:tc>
          <w:tcPr>
            <w:tcW w:w="1263" w:type="dxa"/>
            <w:vAlign w:val="center"/>
          </w:tcPr>
          <w:p w:rsidR="00683D60" w:rsidRDefault="00910716" w:rsidP="004465B2">
            <w:r>
              <w:rPr>
                <w:rFonts w:hint="eastAsia"/>
              </w:rPr>
              <w:t>=</w:t>
            </w:r>
            <w:r>
              <w:t>100%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vAlign w:val="center"/>
          </w:tcPr>
          <w:p w:rsidR="00683D60" w:rsidRDefault="00910716" w:rsidP="004465B2">
            <w:r>
              <w:rPr>
                <w:rFonts w:hint="eastAsia"/>
              </w:rPr>
              <w:t>1</w:t>
            </w:r>
            <w:r>
              <w:t>00%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816" w:type="dxa"/>
            <w:vAlign w:val="center"/>
          </w:tcPr>
          <w:p w:rsidR="00683D60" w:rsidRDefault="00A1608D" w:rsidP="004465B2">
            <w:r>
              <w:t>1</w:t>
            </w:r>
            <w:r w:rsidR="004465B2">
              <w:rPr>
                <w:rFonts w:hint="eastAsia"/>
              </w:rPr>
              <w:t>0</w:t>
            </w:r>
          </w:p>
        </w:tc>
        <w:tc>
          <w:tcPr>
            <w:tcW w:w="1016" w:type="dxa"/>
            <w:vAlign w:val="center"/>
          </w:tcPr>
          <w:p w:rsidR="00683D60" w:rsidRDefault="00892702" w:rsidP="004465B2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995" w:type="dxa"/>
            <w:vAlign w:val="center"/>
          </w:tcPr>
          <w:p w:rsidR="00683D60" w:rsidRDefault="00683D60" w:rsidP="004465B2">
            <w:pPr>
              <w:jc w:val="center"/>
            </w:pPr>
          </w:p>
        </w:tc>
      </w:tr>
      <w:tr w:rsidR="00683D60" w:rsidTr="00373ED6">
        <w:trPr>
          <w:trHeight w:val="226"/>
          <w:jc w:val="center"/>
        </w:trPr>
        <w:tc>
          <w:tcPr>
            <w:tcW w:w="921" w:type="dxa"/>
            <w:vMerge/>
            <w:vAlign w:val="center"/>
          </w:tcPr>
          <w:p w:rsidR="00683D60" w:rsidRDefault="00683D60" w:rsidP="004465B2"/>
        </w:tc>
        <w:tc>
          <w:tcPr>
            <w:tcW w:w="920" w:type="dxa"/>
            <w:vMerge/>
            <w:vAlign w:val="center"/>
          </w:tcPr>
          <w:p w:rsidR="00683D60" w:rsidRDefault="00683D60" w:rsidP="004465B2"/>
        </w:tc>
        <w:tc>
          <w:tcPr>
            <w:tcW w:w="634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时效</w:t>
            </w:r>
          </w:p>
          <w:p w:rsidR="00683D60" w:rsidRDefault="009C50A7" w:rsidP="004465B2">
            <w:r>
              <w:rPr>
                <w:rFonts w:hint="eastAsia"/>
              </w:rPr>
              <w:t>指标</w:t>
            </w:r>
          </w:p>
        </w:tc>
        <w:tc>
          <w:tcPr>
            <w:tcW w:w="1381" w:type="dxa"/>
            <w:gridSpan w:val="2"/>
            <w:vAlign w:val="center"/>
          </w:tcPr>
          <w:p w:rsidR="00683D60" w:rsidRDefault="00910716" w:rsidP="004465B2">
            <w:r w:rsidRPr="00910716">
              <w:rPr>
                <w:rFonts w:hint="eastAsia"/>
              </w:rPr>
              <w:t>及时完成情况</w:t>
            </w:r>
          </w:p>
        </w:tc>
        <w:tc>
          <w:tcPr>
            <w:tcW w:w="1263" w:type="dxa"/>
            <w:vAlign w:val="center"/>
          </w:tcPr>
          <w:p w:rsidR="00910716" w:rsidRPr="00540AC7" w:rsidRDefault="009C50A7" w:rsidP="004465B2">
            <w:r>
              <w:rPr>
                <w:rFonts w:hint="eastAsia"/>
              </w:rPr>
              <w:t xml:space="preserve">　</w:t>
            </w:r>
            <w:r w:rsidR="00910716">
              <w:rPr>
                <w:rFonts w:hint="eastAsia"/>
              </w:rPr>
              <w:t>2024年12月之前</w:t>
            </w:r>
          </w:p>
          <w:p w:rsidR="00683D60" w:rsidRDefault="00683D60" w:rsidP="004465B2"/>
        </w:tc>
        <w:tc>
          <w:tcPr>
            <w:tcW w:w="1316" w:type="dxa"/>
            <w:vAlign w:val="center"/>
          </w:tcPr>
          <w:p w:rsidR="00683D60" w:rsidRPr="009578C4" w:rsidRDefault="009578C4" w:rsidP="004465B2">
            <w:pPr>
              <w:rPr>
                <w:rFonts w:ascii="宋体" w:eastAsia="宋体" w:hAnsi="宋体" w:cs="宋体"/>
                <w:color w:val="auto"/>
              </w:rPr>
            </w:pPr>
            <w:bookmarkStart w:id="1" w:name="OLE_LINK11"/>
            <w:bookmarkStart w:id="2" w:name="OLE_LINK12"/>
            <w:r>
              <w:rPr>
                <w:rFonts w:hint="eastAsia"/>
              </w:rPr>
              <w:t>2024年12月</w:t>
            </w:r>
            <w:r w:rsidR="00B646B7">
              <w:rPr>
                <w:rFonts w:hint="eastAsia"/>
              </w:rPr>
              <w:t>2</w:t>
            </w:r>
            <w:r w:rsidR="00B646B7">
              <w:t>5</w:t>
            </w:r>
            <w:r w:rsidR="00B646B7">
              <w:rPr>
                <w:rFonts w:hint="eastAsia"/>
              </w:rPr>
              <w:t>日3</w:t>
            </w:r>
            <w:r w:rsidR="00B646B7">
              <w:t>840</w:t>
            </w:r>
            <w:r w:rsidR="00B646B7">
              <w:rPr>
                <w:rFonts w:hint="eastAsia"/>
              </w:rPr>
              <w:t>元退休人员独</w:t>
            </w:r>
            <w:r w:rsidR="00B646B7">
              <w:rPr>
                <w:rFonts w:hint="eastAsia"/>
              </w:rPr>
              <w:lastRenderedPageBreak/>
              <w:t>生子女奖励金账号有误被退回</w:t>
            </w:r>
            <w:r w:rsidR="00583C17">
              <w:rPr>
                <w:rFonts w:hint="eastAsia"/>
              </w:rPr>
              <w:t>，未及时通知我单位，导致</w:t>
            </w:r>
            <w:r w:rsidR="00B646B7">
              <w:rPr>
                <w:rFonts w:hint="eastAsia"/>
              </w:rPr>
              <w:t>年底未</w:t>
            </w:r>
            <w:r w:rsidR="00583C17">
              <w:rPr>
                <w:rFonts w:hint="eastAsia"/>
              </w:rPr>
              <w:t>支付</w:t>
            </w:r>
            <w:r w:rsidR="00B646B7">
              <w:rPr>
                <w:rFonts w:hint="eastAsia"/>
              </w:rPr>
              <w:t>。</w:t>
            </w:r>
            <w:bookmarkEnd w:id="1"/>
            <w:bookmarkEnd w:id="2"/>
          </w:p>
        </w:tc>
        <w:tc>
          <w:tcPr>
            <w:tcW w:w="816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lastRenderedPageBreak/>
              <w:t xml:space="preserve">　</w:t>
            </w:r>
            <w:r w:rsidR="005766E6">
              <w:rPr>
                <w:rFonts w:hint="eastAsia"/>
              </w:rPr>
              <w:t>1</w:t>
            </w:r>
            <w:r w:rsidR="005766E6">
              <w:t>0</w:t>
            </w:r>
          </w:p>
        </w:tc>
        <w:tc>
          <w:tcPr>
            <w:tcW w:w="1016" w:type="dxa"/>
            <w:vAlign w:val="center"/>
          </w:tcPr>
          <w:p w:rsidR="00683D60" w:rsidRDefault="005721B9" w:rsidP="004465B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5" w:type="dxa"/>
            <w:vAlign w:val="center"/>
          </w:tcPr>
          <w:p w:rsidR="00683D60" w:rsidRDefault="00583C17" w:rsidP="004465B2">
            <w:pPr>
              <w:jc w:val="center"/>
            </w:pPr>
            <w:r w:rsidRPr="0059037C">
              <w:rPr>
                <w:rFonts w:hint="eastAsia"/>
              </w:rPr>
              <w:t>我单位开户行农业银行支付系统操作</w:t>
            </w:r>
            <w:r w:rsidRPr="0059037C">
              <w:rPr>
                <w:rFonts w:hint="eastAsia"/>
              </w:rPr>
              <w:lastRenderedPageBreak/>
              <w:t>人员</w:t>
            </w:r>
            <w:r>
              <w:rPr>
                <w:rFonts w:hint="eastAsia"/>
              </w:rPr>
              <w:t>未及时退回</w:t>
            </w:r>
            <w:r w:rsidRPr="0059037C">
              <w:rPr>
                <w:rFonts w:hint="eastAsia"/>
              </w:rPr>
              <w:t>，导致资金未能支付成功</w:t>
            </w:r>
            <w:r>
              <w:rPr>
                <w:rFonts w:hint="eastAsia"/>
              </w:rPr>
              <w:t>。</w:t>
            </w:r>
            <w:r w:rsidR="005721B9">
              <w:rPr>
                <w:rFonts w:hint="eastAsia"/>
              </w:rPr>
              <w:t>2</w:t>
            </w:r>
            <w:r w:rsidR="005721B9">
              <w:t>025</w:t>
            </w:r>
            <w:r w:rsidR="005721B9">
              <w:rPr>
                <w:rFonts w:hint="eastAsia"/>
              </w:rPr>
              <w:t>年1月2</w:t>
            </w:r>
            <w:r w:rsidR="005721B9">
              <w:t>2</w:t>
            </w:r>
            <w:r w:rsidR="005721B9">
              <w:rPr>
                <w:rFonts w:hint="eastAsia"/>
              </w:rPr>
              <w:t>日已</w:t>
            </w:r>
            <w:r>
              <w:rPr>
                <w:rFonts w:hint="eastAsia"/>
              </w:rPr>
              <w:t>完成</w:t>
            </w:r>
            <w:r w:rsidR="005721B9">
              <w:rPr>
                <w:rFonts w:hint="eastAsia"/>
              </w:rPr>
              <w:t>支付。</w:t>
            </w:r>
          </w:p>
        </w:tc>
      </w:tr>
      <w:tr w:rsidR="00683D60" w:rsidTr="00373ED6">
        <w:trPr>
          <w:trHeight w:val="157"/>
          <w:jc w:val="center"/>
        </w:trPr>
        <w:tc>
          <w:tcPr>
            <w:tcW w:w="921" w:type="dxa"/>
            <w:vMerge/>
            <w:vAlign w:val="center"/>
          </w:tcPr>
          <w:p w:rsidR="00683D60" w:rsidRDefault="00683D60" w:rsidP="004465B2"/>
        </w:tc>
        <w:tc>
          <w:tcPr>
            <w:tcW w:w="920" w:type="dxa"/>
            <w:vMerge w:val="restart"/>
            <w:vAlign w:val="center"/>
          </w:tcPr>
          <w:p w:rsidR="00683D60" w:rsidRDefault="009C50A7" w:rsidP="004465B2">
            <w:r>
              <w:rPr>
                <w:rFonts w:hint="eastAsia"/>
              </w:rPr>
              <w:t>效益指标</w:t>
            </w:r>
          </w:p>
          <w:p w:rsidR="00683D60" w:rsidRDefault="00683D60" w:rsidP="004465B2"/>
        </w:tc>
        <w:tc>
          <w:tcPr>
            <w:tcW w:w="634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经济效益指标</w:t>
            </w:r>
          </w:p>
        </w:tc>
        <w:tc>
          <w:tcPr>
            <w:tcW w:w="1381" w:type="dxa"/>
            <w:gridSpan w:val="2"/>
            <w:vAlign w:val="center"/>
          </w:tcPr>
          <w:p w:rsidR="00683D60" w:rsidRDefault="00910716" w:rsidP="004465B2">
            <w:r w:rsidRPr="00910716">
              <w:rPr>
                <w:rFonts w:hint="eastAsia"/>
              </w:rPr>
              <w:t>查处案件，挽回经济损失</w:t>
            </w:r>
          </w:p>
        </w:tc>
        <w:tc>
          <w:tcPr>
            <w:tcW w:w="1263" w:type="dxa"/>
            <w:vAlign w:val="center"/>
          </w:tcPr>
          <w:p w:rsidR="00683D60" w:rsidRDefault="00910716" w:rsidP="004465B2">
            <w:bookmarkStart w:id="3" w:name="OLE_LINK1"/>
            <w:bookmarkStart w:id="4" w:name="OLE_LINK2"/>
            <w:r w:rsidRPr="00910716">
              <w:rPr>
                <w:rFonts w:hint="eastAsia"/>
              </w:rPr>
              <w:t>效果明显</w:t>
            </w:r>
            <w:bookmarkEnd w:id="3"/>
            <w:bookmarkEnd w:id="4"/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vAlign w:val="center"/>
          </w:tcPr>
          <w:p w:rsidR="00683D60" w:rsidRDefault="009578C4" w:rsidP="004465B2">
            <w:r w:rsidRPr="00910716">
              <w:rPr>
                <w:rFonts w:hint="eastAsia"/>
              </w:rPr>
              <w:t>效果明显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816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  <w:r w:rsidR="005766E6">
              <w:rPr>
                <w:rFonts w:hint="eastAsia"/>
              </w:rPr>
              <w:t>5</w:t>
            </w:r>
          </w:p>
        </w:tc>
        <w:tc>
          <w:tcPr>
            <w:tcW w:w="1016" w:type="dxa"/>
            <w:vAlign w:val="center"/>
          </w:tcPr>
          <w:p w:rsidR="00683D60" w:rsidRDefault="00182BD5" w:rsidP="004465B2">
            <w:pPr>
              <w:jc w:val="center"/>
            </w:pPr>
            <w:r>
              <w:t>5</w:t>
            </w:r>
          </w:p>
        </w:tc>
        <w:tc>
          <w:tcPr>
            <w:tcW w:w="995" w:type="dxa"/>
            <w:vAlign w:val="center"/>
          </w:tcPr>
          <w:p w:rsidR="00683D60" w:rsidRDefault="00683D60" w:rsidP="004465B2">
            <w:pPr>
              <w:jc w:val="center"/>
            </w:pPr>
          </w:p>
        </w:tc>
      </w:tr>
      <w:tr w:rsidR="00A1608D" w:rsidTr="00373ED6">
        <w:trPr>
          <w:trHeight w:val="1865"/>
          <w:jc w:val="center"/>
        </w:trPr>
        <w:tc>
          <w:tcPr>
            <w:tcW w:w="921" w:type="dxa"/>
            <w:vMerge/>
            <w:vAlign w:val="center"/>
          </w:tcPr>
          <w:p w:rsidR="00A1608D" w:rsidRDefault="00A1608D" w:rsidP="004465B2"/>
        </w:tc>
        <w:tc>
          <w:tcPr>
            <w:tcW w:w="920" w:type="dxa"/>
            <w:vMerge/>
            <w:vAlign w:val="center"/>
          </w:tcPr>
          <w:p w:rsidR="00A1608D" w:rsidRDefault="00A1608D" w:rsidP="004465B2"/>
        </w:tc>
        <w:tc>
          <w:tcPr>
            <w:tcW w:w="634" w:type="dxa"/>
            <w:vAlign w:val="center"/>
          </w:tcPr>
          <w:p w:rsidR="00A1608D" w:rsidRDefault="00A1608D" w:rsidP="004465B2">
            <w:r>
              <w:rPr>
                <w:rFonts w:hint="eastAsia"/>
              </w:rPr>
              <w:t>社会效益指标</w:t>
            </w:r>
          </w:p>
        </w:tc>
        <w:tc>
          <w:tcPr>
            <w:tcW w:w="1381" w:type="dxa"/>
            <w:gridSpan w:val="2"/>
            <w:vAlign w:val="center"/>
          </w:tcPr>
          <w:p w:rsidR="00A1608D" w:rsidRDefault="00A1608D" w:rsidP="004465B2">
            <w:r w:rsidRPr="00910716">
              <w:rPr>
                <w:rFonts w:hint="eastAsia"/>
              </w:rPr>
              <w:t>通过依法履职，维护社会稳定，严厉打击打击破坏生态环境、生物安全、森林和野生动植物资源犯罪</w:t>
            </w:r>
          </w:p>
        </w:tc>
        <w:tc>
          <w:tcPr>
            <w:tcW w:w="1263" w:type="dxa"/>
            <w:vAlign w:val="center"/>
          </w:tcPr>
          <w:p w:rsidR="00A1608D" w:rsidRDefault="00A1608D" w:rsidP="004465B2">
            <w:r w:rsidRPr="00910716">
              <w:rPr>
                <w:rFonts w:hint="eastAsia"/>
              </w:rPr>
              <w:t>效果明显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vAlign w:val="center"/>
          </w:tcPr>
          <w:p w:rsidR="00A1608D" w:rsidRPr="00A1608D" w:rsidRDefault="00A1608D" w:rsidP="004465B2">
            <w:r w:rsidRPr="00A1608D">
              <w:rPr>
                <w:rFonts w:hint="eastAsia"/>
              </w:rPr>
              <w:t>实施“山水林田湖草”一体化保护，搭建全要素、全环节联防联查联控机制，全面推进“林长+河长+田长+警长”工作管理机制，立足公安职能，重拳出击、打管结合，开展“清风2024”“护松2024”“平安长江2024”等专项行动，扎实开展污染防治</w:t>
            </w:r>
            <w:r w:rsidRPr="00A1608D">
              <w:rPr>
                <w:rFonts w:hint="eastAsia"/>
              </w:rPr>
              <w:lastRenderedPageBreak/>
              <w:t>“百日攻坚”，开展联合巡山巡河巡田，通过联席会议、联动执法、信息共享、案件协办等制度，形成上下贯通、横向联动的执法闭环，全力维护林区、水域、农田的安全。</w:t>
            </w:r>
          </w:p>
          <w:p w:rsidR="00A1608D" w:rsidRDefault="00A1608D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816" w:type="dxa"/>
            <w:vAlign w:val="center"/>
          </w:tcPr>
          <w:p w:rsidR="00A1608D" w:rsidRDefault="005766E6" w:rsidP="004465B2"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1016" w:type="dxa"/>
            <w:vAlign w:val="center"/>
          </w:tcPr>
          <w:p w:rsidR="00A1608D" w:rsidRDefault="00B57666" w:rsidP="004465B2">
            <w:pPr>
              <w:jc w:val="center"/>
            </w:pPr>
            <w:r>
              <w:t>5</w:t>
            </w:r>
          </w:p>
        </w:tc>
        <w:tc>
          <w:tcPr>
            <w:tcW w:w="995" w:type="dxa"/>
            <w:vAlign w:val="center"/>
          </w:tcPr>
          <w:p w:rsidR="00A1608D" w:rsidRDefault="00A1608D" w:rsidP="004465B2">
            <w:pPr>
              <w:jc w:val="center"/>
            </w:pPr>
          </w:p>
        </w:tc>
      </w:tr>
      <w:tr w:rsidR="005766E6" w:rsidTr="00373ED6">
        <w:trPr>
          <w:trHeight w:val="159"/>
          <w:jc w:val="center"/>
        </w:trPr>
        <w:tc>
          <w:tcPr>
            <w:tcW w:w="921" w:type="dxa"/>
            <w:vMerge/>
            <w:vAlign w:val="center"/>
          </w:tcPr>
          <w:p w:rsidR="005766E6" w:rsidRDefault="005766E6" w:rsidP="004465B2"/>
        </w:tc>
        <w:tc>
          <w:tcPr>
            <w:tcW w:w="920" w:type="dxa"/>
            <w:vMerge/>
            <w:vAlign w:val="center"/>
          </w:tcPr>
          <w:p w:rsidR="005766E6" w:rsidRDefault="005766E6" w:rsidP="004465B2"/>
        </w:tc>
        <w:tc>
          <w:tcPr>
            <w:tcW w:w="634" w:type="dxa"/>
            <w:vAlign w:val="center"/>
          </w:tcPr>
          <w:p w:rsidR="005766E6" w:rsidRDefault="005766E6" w:rsidP="004465B2">
            <w:r>
              <w:rPr>
                <w:rFonts w:hint="eastAsia"/>
              </w:rPr>
              <w:t>生态效益指标</w:t>
            </w:r>
          </w:p>
        </w:tc>
        <w:tc>
          <w:tcPr>
            <w:tcW w:w="1381" w:type="dxa"/>
            <w:gridSpan w:val="2"/>
            <w:vAlign w:val="center"/>
          </w:tcPr>
          <w:p w:rsidR="005766E6" w:rsidRDefault="005766E6" w:rsidP="004465B2">
            <w:r w:rsidRPr="00065075">
              <w:rPr>
                <w:rFonts w:hint="eastAsia"/>
              </w:rPr>
              <w:t>通过防火宣传，让民众了解和防范森林野外用火安全，确保生态环境质量不断提高</w:t>
            </w:r>
          </w:p>
        </w:tc>
        <w:tc>
          <w:tcPr>
            <w:tcW w:w="1263" w:type="dxa"/>
            <w:vAlign w:val="center"/>
          </w:tcPr>
          <w:p w:rsidR="005766E6" w:rsidRDefault="005766E6" w:rsidP="004465B2">
            <w:r w:rsidRPr="00910716">
              <w:rPr>
                <w:rFonts w:hint="eastAsia"/>
              </w:rPr>
              <w:t>效果明显</w:t>
            </w:r>
          </w:p>
        </w:tc>
        <w:tc>
          <w:tcPr>
            <w:tcW w:w="1316" w:type="dxa"/>
            <w:vAlign w:val="center"/>
          </w:tcPr>
          <w:p w:rsidR="005766E6" w:rsidRDefault="005766E6" w:rsidP="004465B2">
            <w:r w:rsidRPr="00A1608D">
              <w:rPr>
                <w:rFonts w:hint="eastAsia"/>
              </w:rPr>
              <w:t>坚持一手抓防范，一手抓打击，加大森林火灾案件查处和责任追究力度，结合“生态三湘2024”专项行动，集中打击一批涉林火灾案件的违法犯罪人员，起到震慑犯罪、教育群众</w:t>
            </w:r>
            <w:r w:rsidRPr="00A1608D">
              <w:rPr>
                <w:rFonts w:hint="eastAsia"/>
              </w:rPr>
              <w:lastRenderedPageBreak/>
              <w:t>的目的。截至目前，全市森林公安机关共投入宣传警力4804人次，火场警力159人次，参与火场决策5人次，参与森林防火指挥部合署办公399人次。</w:t>
            </w:r>
          </w:p>
        </w:tc>
        <w:tc>
          <w:tcPr>
            <w:tcW w:w="816" w:type="dxa"/>
            <w:vAlign w:val="center"/>
          </w:tcPr>
          <w:p w:rsidR="005766E6" w:rsidRDefault="005766E6" w:rsidP="004465B2"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1016" w:type="dxa"/>
            <w:vAlign w:val="center"/>
          </w:tcPr>
          <w:p w:rsidR="005766E6" w:rsidRDefault="00B57666" w:rsidP="004465B2">
            <w:pPr>
              <w:jc w:val="center"/>
            </w:pPr>
            <w:r>
              <w:t>5</w:t>
            </w:r>
          </w:p>
        </w:tc>
        <w:tc>
          <w:tcPr>
            <w:tcW w:w="995" w:type="dxa"/>
            <w:vAlign w:val="center"/>
          </w:tcPr>
          <w:p w:rsidR="005766E6" w:rsidRDefault="005766E6" w:rsidP="004465B2">
            <w:pPr>
              <w:jc w:val="center"/>
            </w:pPr>
          </w:p>
        </w:tc>
      </w:tr>
      <w:tr w:rsidR="005766E6" w:rsidTr="00373ED6">
        <w:trPr>
          <w:trHeight w:val="114"/>
          <w:jc w:val="center"/>
        </w:trPr>
        <w:tc>
          <w:tcPr>
            <w:tcW w:w="921" w:type="dxa"/>
            <w:vMerge/>
            <w:vAlign w:val="center"/>
          </w:tcPr>
          <w:p w:rsidR="005766E6" w:rsidRDefault="005766E6" w:rsidP="004465B2"/>
        </w:tc>
        <w:tc>
          <w:tcPr>
            <w:tcW w:w="920" w:type="dxa"/>
            <w:vMerge/>
            <w:vAlign w:val="center"/>
          </w:tcPr>
          <w:p w:rsidR="005766E6" w:rsidRDefault="005766E6" w:rsidP="004465B2"/>
        </w:tc>
        <w:tc>
          <w:tcPr>
            <w:tcW w:w="634" w:type="dxa"/>
            <w:vAlign w:val="center"/>
          </w:tcPr>
          <w:p w:rsidR="005766E6" w:rsidRDefault="005766E6" w:rsidP="004465B2">
            <w:r>
              <w:rPr>
                <w:rFonts w:hint="eastAsia"/>
              </w:rPr>
              <w:t>可持续影响指标</w:t>
            </w:r>
          </w:p>
        </w:tc>
        <w:tc>
          <w:tcPr>
            <w:tcW w:w="1381" w:type="dxa"/>
            <w:gridSpan w:val="2"/>
            <w:vAlign w:val="center"/>
          </w:tcPr>
          <w:p w:rsidR="005766E6" w:rsidRPr="00065075" w:rsidRDefault="005766E6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林区社会治安持续稳定</w:t>
            </w:r>
          </w:p>
        </w:tc>
        <w:tc>
          <w:tcPr>
            <w:tcW w:w="1263" w:type="dxa"/>
            <w:vAlign w:val="center"/>
          </w:tcPr>
          <w:p w:rsidR="005766E6" w:rsidRDefault="005766E6" w:rsidP="004465B2">
            <w:r w:rsidRPr="00910716">
              <w:rPr>
                <w:rFonts w:hint="eastAsia"/>
              </w:rPr>
              <w:t>效果明显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vAlign w:val="center"/>
          </w:tcPr>
          <w:p w:rsidR="005766E6" w:rsidRDefault="005766E6" w:rsidP="004465B2">
            <w:r w:rsidRPr="00910716">
              <w:rPr>
                <w:rFonts w:hint="eastAsia"/>
              </w:rPr>
              <w:t>效果明显</w:t>
            </w:r>
          </w:p>
        </w:tc>
        <w:tc>
          <w:tcPr>
            <w:tcW w:w="816" w:type="dxa"/>
            <w:vAlign w:val="center"/>
          </w:tcPr>
          <w:p w:rsidR="005766E6" w:rsidRDefault="005766E6" w:rsidP="004465B2">
            <w:r>
              <w:rPr>
                <w:rFonts w:hint="eastAsia"/>
              </w:rPr>
              <w:t xml:space="preserve">　5</w:t>
            </w:r>
          </w:p>
        </w:tc>
        <w:tc>
          <w:tcPr>
            <w:tcW w:w="1016" w:type="dxa"/>
            <w:vAlign w:val="center"/>
          </w:tcPr>
          <w:p w:rsidR="005766E6" w:rsidRDefault="00B57666" w:rsidP="004465B2">
            <w:pPr>
              <w:jc w:val="center"/>
            </w:pPr>
            <w:r>
              <w:t>5</w:t>
            </w:r>
          </w:p>
        </w:tc>
        <w:tc>
          <w:tcPr>
            <w:tcW w:w="995" w:type="dxa"/>
            <w:vAlign w:val="center"/>
          </w:tcPr>
          <w:p w:rsidR="005766E6" w:rsidRDefault="005766E6" w:rsidP="004465B2">
            <w:pPr>
              <w:jc w:val="center"/>
            </w:pPr>
          </w:p>
        </w:tc>
      </w:tr>
      <w:tr w:rsidR="005766E6" w:rsidTr="00373ED6">
        <w:trPr>
          <w:trHeight w:val="192"/>
          <w:jc w:val="center"/>
        </w:trPr>
        <w:tc>
          <w:tcPr>
            <w:tcW w:w="921" w:type="dxa"/>
            <w:vMerge/>
            <w:vAlign w:val="center"/>
          </w:tcPr>
          <w:p w:rsidR="005766E6" w:rsidRDefault="005766E6" w:rsidP="004465B2"/>
        </w:tc>
        <w:tc>
          <w:tcPr>
            <w:tcW w:w="920" w:type="dxa"/>
            <w:vAlign w:val="center"/>
          </w:tcPr>
          <w:p w:rsidR="005766E6" w:rsidRDefault="005766E6" w:rsidP="004465B2">
            <w:r>
              <w:rPr>
                <w:rFonts w:hint="eastAsia"/>
              </w:rPr>
              <w:t>满意度</w:t>
            </w:r>
          </w:p>
          <w:p w:rsidR="005766E6" w:rsidRDefault="005766E6" w:rsidP="004465B2">
            <w:r>
              <w:rPr>
                <w:rFonts w:hint="eastAsia"/>
              </w:rPr>
              <w:t>指标</w:t>
            </w:r>
          </w:p>
          <w:p w:rsidR="005766E6" w:rsidRDefault="005766E6" w:rsidP="004465B2"/>
        </w:tc>
        <w:tc>
          <w:tcPr>
            <w:tcW w:w="634" w:type="dxa"/>
            <w:vAlign w:val="center"/>
          </w:tcPr>
          <w:p w:rsidR="005766E6" w:rsidRDefault="005766E6" w:rsidP="004465B2">
            <w:r>
              <w:rPr>
                <w:rFonts w:hint="eastAsia"/>
              </w:rPr>
              <w:t>服务对象满意度指标</w:t>
            </w:r>
          </w:p>
        </w:tc>
        <w:tc>
          <w:tcPr>
            <w:tcW w:w="1381" w:type="dxa"/>
            <w:gridSpan w:val="2"/>
            <w:vAlign w:val="center"/>
          </w:tcPr>
          <w:p w:rsidR="005766E6" w:rsidRDefault="005766E6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社会公众满意度</w:t>
            </w:r>
          </w:p>
          <w:p w:rsidR="005766E6" w:rsidRDefault="005766E6" w:rsidP="004465B2"/>
        </w:tc>
        <w:tc>
          <w:tcPr>
            <w:tcW w:w="1263" w:type="dxa"/>
            <w:vAlign w:val="center"/>
          </w:tcPr>
          <w:p w:rsidR="005766E6" w:rsidRDefault="005766E6" w:rsidP="004465B2">
            <w:r w:rsidRPr="00065075">
              <w:rPr>
                <w:rFonts w:hint="eastAsia"/>
              </w:rPr>
              <w:t>≥</w:t>
            </w:r>
            <w:r>
              <w:rPr>
                <w:rFonts w:hint="eastAsia"/>
              </w:rPr>
              <w:t>9</w:t>
            </w:r>
            <w:r>
              <w:t>5%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vAlign w:val="center"/>
          </w:tcPr>
          <w:p w:rsidR="005766E6" w:rsidRDefault="005766E6" w:rsidP="004465B2">
            <w:r>
              <w:rPr>
                <w:rFonts w:hint="eastAsia"/>
              </w:rPr>
              <w:t xml:space="preserve">　</w:t>
            </w:r>
            <w:r w:rsidR="002379B4">
              <w:rPr>
                <w:rFonts w:hint="eastAsia"/>
              </w:rPr>
              <w:t>97%</w:t>
            </w:r>
          </w:p>
        </w:tc>
        <w:tc>
          <w:tcPr>
            <w:tcW w:w="816" w:type="dxa"/>
            <w:vAlign w:val="center"/>
          </w:tcPr>
          <w:p w:rsidR="005766E6" w:rsidRDefault="005766E6" w:rsidP="004465B2">
            <w:r>
              <w:rPr>
                <w:rFonts w:hint="eastAsia"/>
              </w:rPr>
              <w:t xml:space="preserve">　</w:t>
            </w:r>
            <w:r>
              <w:t>10</w:t>
            </w:r>
          </w:p>
        </w:tc>
        <w:tc>
          <w:tcPr>
            <w:tcW w:w="1016" w:type="dxa"/>
            <w:vAlign w:val="center"/>
          </w:tcPr>
          <w:p w:rsidR="005766E6" w:rsidRDefault="002D2ED7" w:rsidP="004465B2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995" w:type="dxa"/>
            <w:vAlign w:val="center"/>
          </w:tcPr>
          <w:p w:rsidR="005766E6" w:rsidRDefault="005766E6" w:rsidP="004465B2">
            <w:pPr>
              <w:jc w:val="center"/>
            </w:pPr>
          </w:p>
        </w:tc>
      </w:tr>
      <w:tr w:rsidR="005766E6" w:rsidTr="00373ED6">
        <w:trPr>
          <w:trHeight w:val="340"/>
          <w:jc w:val="center"/>
        </w:trPr>
        <w:tc>
          <w:tcPr>
            <w:tcW w:w="6435" w:type="dxa"/>
            <w:gridSpan w:val="7"/>
            <w:vAlign w:val="center"/>
          </w:tcPr>
          <w:p w:rsidR="005766E6" w:rsidRDefault="005766E6" w:rsidP="004465B2">
            <w:r>
              <w:rPr>
                <w:rFonts w:hint="eastAsia"/>
              </w:rPr>
              <w:t>总分</w:t>
            </w:r>
          </w:p>
        </w:tc>
        <w:tc>
          <w:tcPr>
            <w:tcW w:w="816" w:type="dxa"/>
            <w:vAlign w:val="center"/>
          </w:tcPr>
          <w:p w:rsidR="005766E6" w:rsidRDefault="005766E6" w:rsidP="004465B2"/>
        </w:tc>
        <w:tc>
          <w:tcPr>
            <w:tcW w:w="1016" w:type="dxa"/>
            <w:vAlign w:val="center"/>
          </w:tcPr>
          <w:p w:rsidR="005766E6" w:rsidRDefault="00583C17" w:rsidP="004465B2">
            <w:pPr>
              <w:jc w:val="center"/>
            </w:pPr>
            <w:r>
              <w:rPr>
                <w:rFonts w:hint="eastAsia"/>
              </w:rPr>
              <w:t>9</w:t>
            </w:r>
            <w:r>
              <w:t>6.</w:t>
            </w:r>
            <w:r w:rsidR="00F1051E">
              <w:rPr>
                <w:rFonts w:hint="eastAsia"/>
              </w:rPr>
              <w:t>87</w:t>
            </w:r>
          </w:p>
        </w:tc>
        <w:tc>
          <w:tcPr>
            <w:tcW w:w="995" w:type="dxa"/>
            <w:vAlign w:val="center"/>
          </w:tcPr>
          <w:p w:rsidR="005766E6" w:rsidRDefault="005766E6" w:rsidP="004465B2">
            <w:pPr>
              <w:jc w:val="center"/>
            </w:pPr>
          </w:p>
        </w:tc>
      </w:tr>
    </w:tbl>
    <w:p w:rsidR="00683D60" w:rsidRDefault="009C50A7" w:rsidP="004465B2">
      <w:pPr>
        <w:rPr>
          <w:sz w:val="32"/>
          <w:szCs w:val="32"/>
        </w:rPr>
      </w:pPr>
      <w:r>
        <w:t>填表人：</w:t>
      </w:r>
      <w:r w:rsidR="00943B48">
        <w:rPr>
          <w:rFonts w:hint="eastAsia"/>
        </w:rPr>
        <w:t xml:space="preserve">李婷                  </w:t>
      </w:r>
      <w:r>
        <w:t xml:space="preserve"> 填报日期：</w:t>
      </w:r>
      <w:r w:rsidR="00943B48" w:rsidRPr="00A750A5">
        <w:rPr>
          <w:rFonts w:hint="eastAsia"/>
        </w:rPr>
        <w:t>2</w:t>
      </w:r>
      <w:r w:rsidR="00943B48" w:rsidRPr="00A750A5">
        <w:t>02</w:t>
      </w:r>
      <w:r w:rsidR="00943B48">
        <w:t>5</w:t>
      </w:r>
      <w:r w:rsidR="00943B48" w:rsidRPr="00A750A5">
        <w:t>.</w:t>
      </w:r>
      <w:r w:rsidR="004465B2">
        <w:rPr>
          <w:rFonts w:hint="eastAsia"/>
        </w:rPr>
        <w:t>6</w:t>
      </w:r>
      <w:r w:rsidR="004465B2">
        <w:t>.</w:t>
      </w:r>
      <w:r w:rsidR="005B4ACA">
        <w:t>1</w:t>
      </w:r>
      <w:r w:rsidR="004465B2">
        <w:t>6</w:t>
      </w:r>
      <w:r w:rsidR="00943B48" w:rsidRPr="00A750A5">
        <w:rPr>
          <w:rFonts w:hint="eastAsia"/>
        </w:rPr>
        <w:t xml:space="preserve"> </w:t>
      </w:r>
      <w:r w:rsidR="00943B48">
        <w:rPr>
          <w:rFonts w:hint="eastAsia"/>
        </w:rPr>
        <w:t xml:space="preserve">   </w:t>
      </w:r>
      <w:r w:rsidR="004465B2">
        <w:rPr>
          <w:rFonts w:hint="eastAsia"/>
        </w:rPr>
        <w:t xml:space="preserve">    </w:t>
      </w:r>
      <w:r w:rsidR="00943B48">
        <w:rPr>
          <w:rFonts w:hint="eastAsia"/>
        </w:rPr>
        <w:t xml:space="preserve">   </w:t>
      </w:r>
      <w:r>
        <w:t>联系电话：</w:t>
      </w:r>
      <w:r>
        <w:rPr>
          <w:rFonts w:hint="eastAsia"/>
        </w:rPr>
        <w:t xml:space="preserve"> </w:t>
      </w:r>
      <w:r w:rsidR="00943B48">
        <w:t>15115195079</w:t>
      </w:r>
    </w:p>
    <w:p w:rsidR="00683D60" w:rsidRDefault="00683D60" w:rsidP="004465B2"/>
    <w:sectPr w:rsidR="00683D60" w:rsidSect="005D60B9">
      <w:footerReference w:type="default" r:id="rId7"/>
      <w:pgSz w:w="11906" w:h="16838"/>
      <w:pgMar w:top="2098" w:right="1701" w:bottom="170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67A" w:rsidRDefault="0065267A" w:rsidP="004465B2">
      <w:r>
        <w:separator/>
      </w:r>
    </w:p>
  </w:endnote>
  <w:endnote w:type="continuationSeparator" w:id="0">
    <w:p w:rsidR="0065267A" w:rsidRDefault="0065267A" w:rsidP="0044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28F0F49-A3D6-489D-8E46-05DAC11CD1C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CEC" w:rsidRDefault="0065267A" w:rsidP="004465B2">
    <w:pPr>
      <w:pStyle w:val="a4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1284.8pt;margin-top:0;width:2in;height:2in;z-index:251659264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<v:textbox style="mso-next-textbox:#文本框 2;mso-fit-shape-to-text:t" inset="0,0,0,0">
            <w:txbxContent>
              <w:p w:rsidR="007B6CEC" w:rsidRDefault="0065267A" w:rsidP="004465B2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FC299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67A" w:rsidRDefault="0065267A" w:rsidP="004465B2">
      <w:r>
        <w:separator/>
      </w:r>
    </w:p>
  </w:footnote>
  <w:footnote w:type="continuationSeparator" w:id="0">
    <w:p w:rsidR="0065267A" w:rsidRDefault="0065267A" w:rsidP="00446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BjYmJkZTgyZjQzZTk3ZTUzMWNlNWIzZDJmYjY5OGMifQ=="/>
    <w:docVar w:name="KSO_WPS_MARK_KEY" w:val="9920a277-c0c3-43b4-93d3-1636fe398e0b"/>
  </w:docVars>
  <w:rsids>
    <w:rsidRoot w:val="753C4E9B"/>
    <w:rsid w:val="00DB188E"/>
    <w:rsid w:val="753C4E9B"/>
    <w:rsid w:val="9ED5792A"/>
    <w:rsid w:val="AEFFB886"/>
    <w:rsid w:val="BEFF7926"/>
    <w:rsid w:val="CF12F568"/>
    <w:rsid w:val="DEBF7731"/>
    <w:rsid w:val="E39F96A6"/>
    <w:rsid w:val="E6DFCF67"/>
    <w:rsid w:val="EBB76B61"/>
    <w:rsid w:val="F6D78CAF"/>
    <w:rsid w:val="F7DA3342"/>
    <w:rsid w:val="FBD266D3"/>
    <w:rsid w:val="FBFF7914"/>
    <w:rsid w:val="FDBFA637"/>
    <w:rsid w:val="FE6B70D4"/>
    <w:rsid w:val="FF2C1D8F"/>
    <w:rsid w:val="FF7BBB0C"/>
    <w:rsid w:val="0000797F"/>
    <w:rsid w:val="000309A7"/>
    <w:rsid w:val="00061563"/>
    <w:rsid w:val="00065075"/>
    <w:rsid w:val="00076589"/>
    <w:rsid w:val="000B4CEE"/>
    <w:rsid w:val="000C40B2"/>
    <w:rsid w:val="000E1E3C"/>
    <w:rsid w:val="00117DB7"/>
    <w:rsid w:val="001200CF"/>
    <w:rsid w:val="001337BD"/>
    <w:rsid w:val="001365E4"/>
    <w:rsid w:val="00142115"/>
    <w:rsid w:val="00153307"/>
    <w:rsid w:val="0015496B"/>
    <w:rsid w:val="001603B6"/>
    <w:rsid w:val="00164A21"/>
    <w:rsid w:val="00180DF8"/>
    <w:rsid w:val="00182BD5"/>
    <w:rsid w:val="00187625"/>
    <w:rsid w:val="001926F0"/>
    <w:rsid w:val="001A2ADB"/>
    <w:rsid w:val="001C2605"/>
    <w:rsid w:val="001C6057"/>
    <w:rsid w:val="001C6AFC"/>
    <w:rsid w:val="001D699E"/>
    <w:rsid w:val="001E3074"/>
    <w:rsid w:val="001F515F"/>
    <w:rsid w:val="002258FE"/>
    <w:rsid w:val="002261C8"/>
    <w:rsid w:val="00226ADC"/>
    <w:rsid w:val="002379B4"/>
    <w:rsid w:val="00246514"/>
    <w:rsid w:val="00280C54"/>
    <w:rsid w:val="002867F8"/>
    <w:rsid w:val="002B5279"/>
    <w:rsid w:val="002D2ED7"/>
    <w:rsid w:val="002E2930"/>
    <w:rsid w:val="002F26B4"/>
    <w:rsid w:val="002F5ADE"/>
    <w:rsid w:val="003115D5"/>
    <w:rsid w:val="00313132"/>
    <w:rsid w:val="00314B5D"/>
    <w:rsid w:val="00341D4E"/>
    <w:rsid w:val="0034372D"/>
    <w:rsid w:val="00345742"/>
    <w:rsid w:val="00354D29"/>
    <w:rsid w:val="00357A7B"/>
    <w:rsid w:val="003634F9"/>
    <w:rsid w:val="0036700C"/>
    <w:rsid w:val="00373ED6"/>
    <w:rsid w:val="00383D68"/>
    <w:rsid w:val="00391DDB"/>
    <w:rsid w:val="003B69FA"/>
    <w:rsid w:val="003C58A2"/>
    <w:rsid w:val="003D0985"/>
    <w:rsid w:val="003F61B8"/>
    <w:rsid w:val="00422FFB"/>
    <w:rsid w:val="00426A3A"/>
    <w:rsid w:val="004465B2"/>
    <w:rsid w:val="004534EB"/>
    <w:rsid w:val="004725E9"/>
    <w:rsid w:val="00475D70"/>
    <w:rsid w:val="0049735A"/>
    <w:rsid w:val="004C7C1E"/>
    <w:rsid w:val="004E768D"/>
    <w:rsid w:val="004F331C"/>
    <w:rsid w:val="00512C68"/>
    <w:rsid w:val="00522DCA"/>
    <w:rsid w:val="00540AC7"/>
    <w:rsid w:val="005721B9"/>
    <w:rsid w:val="005766E6"/>
    <w:rsid w:val="00583C17"/>
    <w:rsid w:val="005B4ACA"/>
    <w:rsid w:val="005C3254"/>
    <w:rsid w:val="005D18A0"/>
    <w:rsid w:val="005D60B9"/>
    <w:rsid w:val="005D6B4B"/>
    <w:rsid w:val="005E4018"/>
    <w:rsid w:val="005F18C4"/>
    <w:rsid w:val="0060352E"/>
    <w:rsid w:val="00635E8C"/>
    <w:rsid w:val="0065267A"/>
    <w:rsid w:val="00665639"/>
    <w:rsid w:val="00676BDC"/>
    <w:rsid w:val="00683D60"/>
    <w:rsid w:val="00690DA5"/>
    <w:rsid w:val="006A57F7"/>
    <w:rsid w:val="006C4147"/>
    <w:rsid w:val="006D1DBB"/>
    <w:rsid w:val="006E0DE2"/>
    <w:rsid w:val="006F439E"/>
    <w:rsid w:val="006F6713"/>
    <w:rsid w:val="00715D3E"/>
    <w:rsid w:val="007217DC"/>
    <w:rsid w:val="00742C31"/>
    <w:rsid w:val="0074463E"/>
    <w:rsid w:val="007471A1"/>
    <w:rsid w:val="00757452"/>
    <w:rsid w:val="0077199B"/>
    <w:rsid w:val="007966E6"/>
    <w:rsid w:val="007A4F3A"/>
    <w:rsid w:val="007B6CEC"/>
    <w:rsid w:val="007D3579"/>
    <w:rsid w:val="007D37C4"/>
    <w:rsid w:val="007D7AE1"/>
    <w:rsid w:val="00804583"/>
    <w:rsid w:val="00815645"/>
    <w:rsid w:val="00847412"/>
    <w:rsid w:val="0085696D"/>
    <w:rsid w:val="00872E24"/>
    <w:rsid w:val="00883E32"/>
    <w:rsid w:val="00892702"/>
    <w:rsid w:val="008A2B9F"/>
    <w:rsid w:val="008A4E90"/>
    <w:rsid w:val="008E4A68"/>
    <w:rsid w:val="008F497B"/>
    <w:rsid w:val="008F6CD0"/>
    <w:rsid w:val="008F6CDB"/>
    <w:rsid w:val="00910716"/>
    <w:rsid w:val="0091495C"/>
    <w:rsid w:val="009175AD"/>
    <w:rsid w:val="00943B48"/>
    <w:rsid w:val="00947D02"/>
    <w:rsid w:val="00951DAF"/>
    <w:rsid w:val="00955BE2"/>
    <w:rsid w:val="0095610C"/>
    <w:rsid w:val="0095677D"/>
    <w:rsid w:val="009578C4"/>
    <w:rsid w:val="009713FE"/>
    <w:rsid w:val="00983658"/>
    <w:rsid w:val="009846AC"/>
    <w:rsid w:val="009A5A90"/>
    <w:rsid w:val="009A6C2E"/>
    <w:rsid w:val="009B5D0E"/>
    <w:rsid w:val="009C50A7"/>
    <w:rsid w:val="009D08DB"/>
    <w:rsid w:val="009D20E1"/>
    <w:rsid w:val="009E4AA7"/>
    <w:rsid w:val="009F198F"/>
    <w:rsid w:val="009F7057"/>
    <w:rsid w:val="00A06C38"/>
    <w:rsid w:val="00A11055"/>
    <w:rsid w:val="00A1608D"/>
    <w:rsid w:val="00A32592"/>
    <w:rsid w:val="00A50F0E"/>
    <w:rsid w:val="00A6795A"/>
    <w:rsid w:val="00A750A5"/>
    <w:rsid w:val="00A75A8D"/>
    <w:rsid w:val="00A9030C"/>
    <w:rsid w:val="00A9456C"/>
    <w:rsid w:val="00AB0A58"/>
    <w:rsid w:val="00AC5DF3"/>
    <w:rsid w:val="00AE3A37"/>
    <w:rsid w:val="00AE4FFA"/>
    <w:rsid w:val="00AF1C7D"/>
    <w:rsid w:val="00B02AB8"/>
    <w:rsid w:val="00B113A8"/>
    <w:rsid w:val="00B17F98"/>
    <w:rsid w:val="00B22A7E"/>
    <w:rsid w:val="00B30359"/>
    <w:rsid w:val="00B33760"/>
    <w:rsid w:val="00B35375"/>
    <w:rsid w:val="00B40FF9"/>
    <w:rsid w:val="00B43A4B"/>
    <w:rsid w:val="00B57666"/>
    <w:rsid w:val="00B646B7"/>
    <w:rsid w:val="00BC4743"/>
    <w:rsid w:val="00BE0E5E"/>
    <w:rsid w:val="00C0079C"/>
    <w:rsid w:val="00C018D6"/>
    <w:rsid w:val="00C201C3"/>
    <w:rsid w:val="00C2303D"/>
    <w:rsid w:val="00C2518B"/>
    <w:rsid w:val="00C260C5"/>
    <w:rsid w:val="00C2671D"/>
    <w:rsid w:val="00C4053A"/>
    <w:rsid w:val="00C4290E"/>
    <w:rsid w:val="00C45080"/>
    <w:rsid w:val="00C661D9"/>
    <w:rsid w:val="00C80406"/>
    <w:rsid w:val="00C80D7C"/>
    <w:rsid w:val="00CB27DA"/>
    <w:rsid w:val="00CD2207"/>
    <w:rsid w:val="00D00850"/>
    <w:rsid w:val="00D21707"/>
    <w:rsid w:val="00D225E9"/>
    <w:rsid w:val="00D27760"/>
    <w:rsid w:val="00D42FE3"/>
    <w:rsid w:val="00D45754"/>
    <w:rsid w:val="00D4631E"/>
    <w:rsid w:val="00D72AF6"/>
    <w:rsid w:val="00D82D25"/>
    <w:rsid w:val="00D8548A"/>
    <w:rsid w:val="00DE4F69"/>
    <w:rsid w:val="00DE5155"/>
    <w:rsid w:val="00E22AF3"/>
    <w:rsid w:val="00E24ADA"/>
    <w:rsid w:val="00E352BC"/>
    <w:rsid w:val="00E505FA"/>
    <w:rsid w:val="00E53C43"/>
    <w:rsid w:val="00E5554D"/>
    <w:rsid w:val="00E627A4"/>
    <w:rsid w:val="00E64422"/>
    <w:rsid w:val="00E66F70"/>
    <w:rsid w:val="00E768B8"/>
    <w:rsid w:val="00E77236"/>
    <w:rsid w:val="00E82BD9"/>
    <w:rsid w:val="00E949D4"/>
    <w:rsid w:val="00EA03D7"/>
    <w:rsid w:val="00EB5A85"/>
    <w:rsid w:val="00EB79DF"/>
    <w:rsid w:val="00EC357E"/>
    <w:rsid w:val="00ED13D3"/>
    <w:rsid w:val="00ED4D0D"/>
    <w:rsid w:val="00EE74D8"/>
    <w:rsid w:val="00F1051E"/>
    <w:rsid w:val="00F15FCE"/>
    <w:rsid w:val="00F16E19"/>
    <w:rsid w:val="00F42B19"/>
    <w:rsid w:val="00F44327"/>
    <w:rsid w:val="00F51714"/>
    <w:rsid w:val="00F534ED"/>
    <w:rsid w:val="00F564C3"/>
    <w:rsid w:val="00F609CF"/>
    <w:rsid w:val="00F767A6"/>
    <w:rsid w:val="00F85142"/>
    <w:rsid w:val="00FB0FBB"/>
    <w:rsid w:val="00FB2BF2"/>
    <w:rsid w:val="00FC02A7"/>
    <w:rsid w:val="00FC2994"/>
    <w:rsid w:val="00FC7D3A"/>
    <w:rsid w:val="00FD189F"/>
    <w:rsid w:val="00FD5F65"/>
    <w:rsid w:val="00FF5C6E"/>
    <w:rsid w:val="00FF5DDE"/>
    <w:rsid w:val="00FF66A1"/>
    <w:rsid w:val="05E95AA6"/>
    <w:rsid w:val="0C180A78"/>
    <w:rsid w:val="0D276746"/>
    <w:rsid w:val="0D464D9C"/>
    <w:rsid w:val="0DD52794"/>
    <w:rsid w:val="0E956870"/>
    <w:rsid w:val="10C666A5"/>
    <w:rsid w:val="1223366A"/>
    <w:rsid w:val="143877FD"/>
    <w:rsid w:val="17FCFFF6"/>
    <w:rsid w:val="19E805B2"/>
    <w:rsid w:val="1CBF872E"/>
    <w:rsid w:val="22FE234B"/>
    <w:rsid w:val="277E6F02"/>
    <w:rsid w:val="29990575"/>
    <w:rsid w:val="2AF6742D"/>
    <w:rsid w:val="312A2265"/>
    <w:rsid w:val="333F3E43"/>
    <w:rsid w:val="36FC0F5D"/>
    <w:rsid w:val="375773F8"/>
    <w:rsid w:val="393E32BB"/>
    <w:rsid w:val="3EFDDE87"/>
    <w:rsid w:val="419B2857"/>
    <w:rsid w:val="41D71DA8"/>
    <w:rsid w:val="4C6611ED"/>
    <w:rsid w:val="4D5D3BD3"/>
    <w:rsid w:val="4EB7F892"/>
    <w:rsid w:val="552A0475"/>
    <w:rsid w:val="578D10CB"/>
    <w:rsid w:val="5A5915AC"/>
    <w:rsid w:val="5ABBC979"/>
    <w:rsid w:val="5BFC7B3B"/>
    <w:rsid w:val="5E77C7C6"/>
    <w:rsid w:val="5FFFAAE0"/>
    <w:rsid w:val="66347B2F"/>
    <w:rsid w:val="667FD72C"/>
    <w:rsid w:val="6A12486A"/>
    <w:rsid w:val="6ABE64BE"/>
    <w:rsid w:val="6B5F16C5"/>
    <w:rsid w:val="6CF3EA5A"/>
    <w:rsid w:val="753C4E9B"/>
    <w:rsid w:val="769B7804"/>
    <w:rsid w:val="779FCBF0"/>
    <w:rsid w:val="77F7E21B"/>
    <w:rsid w:val="781113A7"/>
    <w:rsid w:val="791E6510"/>
    <w:rsid w:val="79E2F975"/>
    <w:rsid w:val="7B3BDBF2"/>
    <w:rsid w:val="7C8D4A41"/>
    <w:rsid w:val="7EBDCBBF"/>
    <w:rsid w:val="7EC74CC1"/>
    <w:rsid w:val="7EE6408F"/>
    <w:rsid w:val="7F3EB32E"/>
    <w:rsid w:val="7F5F3F3B"/>
    <w:rsid w:val="7F5FE5E8"/>
    <w:rsid w:val="7F7FC8C5"/>
    <w:rsid w:val="7FFDE9AB"/>
    <w:rsid w:val="7FFEB77D"/>
    <w:rsid w:val="7FFFA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D98F74"/>
  <w15:docId w15:val="{2594A8B9-A459-40CA-AE7E-204547AC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465B2"/>
    <w:pPr>
      <w:tabs>
        <w:tab w:val="left" w:pos="8505"/>
      </w:tabs>
      <w:spacing w:line="276" w:lineRule="auto"/>
    </w:pPr>
    <w:rPr>
      <w:rFonts w:ascii="仿宋" w:eastAsia="仿宋" w:hAnsi="仿宋" w:cs="仿宋"/>
      <w:color w:val="000000"/>
    </w:rPr>
  </w:style>
  <w:style w:type="paragraph" w:styleId="2">
    <w:name w:val="heading 2"/>
    <w:basedOn w:val="a"/>
    <w:next w:val="a"/>
    <w:autoRedefine/>
    <w:semiHidden/>
    <w:unhideWhenUsed/>
    <w:qFormat/>
    <w:rsid w:val="007471A1"/>
    <w:pPr>
      <w:keepNext/>
      <w:keepLines/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C60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unhideWhenUsed/>
    <w:qFormat/>
    <w:rsid w:val="007471A1"/>
    <w:pPr>
      <w:ind w:firstLineChars="200" w:firstLine="640"/>
    </w:pPr>
    <w:rPr>
      <w:sz w:val="32"/>
    </w:rPr>
  </w:style>
  <w:style w:type="paragraph" w:styleId="a4">
    <w:name w:val="footer"/>
    <w:basedOn w:val="a"/>
    <w:autoRedefine/>
    <w:qFormat/>
    <w:rsid w:val="007471A1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autoRedefine/>
    <w:qFormat/>
    <w:rsid w:val="007471A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qFormat/>
    <w:rsid w:val="007471A1"/>
    <w:pPr>
      <w:spacing w:beforeAutospacing="1" w:afterAutospacing="1"/>
    </w:pPr>
    <w:rPr>
      <w:rFonts w:cs="Times New Roman"/>
      <w:sz w:val="24"/>
    </w:rPr>
  </w:style>
  <w:style w:type="paragraph" w:styleId="20">
    <w:name w:val="Body Text First Indent 2"/>
    <w:basedOn w:val="a3"/>
    <w:autoRedefine/>
    <w:uiPriority w:val="99"/>
    <w:unhideWhenUsed/>
    <w:qFormat/>
    <w:rsid w:val="007471A1"/>
    <w:pPr>
      <w:ind w:firstLine="420"/>
    </w:pPr>
  </w:style>
  <w:style w:type="table" w:styleId="a7">
    <w:name w:val="Table Grid"/>
    <w:basedOn w:val="a1"/>
    <w:rsid w:val="007471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标题1"/>
    <w:basedOn w:val="2"/>
    <w:autoRedefine/>
    <w:qFormat/>
    <w:rsid w:val="007471A1"/>
    <w:rPr>
      <w:rFonts w:eastAsia="黑体"/>
    </w:rPr>
  </w:style>
  <w:style w:type="paragraph" w:customStyle="1" w:styleId="a8">
    <w:name w:val="首行缩进"/>
    <w:basedOn w:val="a"/>
    <w:autoRedefine/>
    <w:qFormat/>
    <w:rsid w:val="007471A1"/>
    <w:pPr>
      <w:ind w:firstLineChars="200" w:firstLine="480"/>
    </w:pPr>
    <w:rPr>
      <w:lang w:val="zh-CN"/>
    </w:rPr>
  </w:style>
  <w:style w:type="character" w:customStyle="1" w:styleId="30">
    <w:name w:val="标题 3 字符"/>
    <w:basedOn w:val="a0"/>
    <w:link w:val="3"/>
    <w:uiPriority w:val="99"/>
    <w:qFormat/>
    <w:rsid w:val="001C6057"/>
    <w:rPr>
      <w:rFonts w:ascii="仿宋" w:eastAsia="仿宋" w:hAnsi="仿宋" w:cs="仿宋"/>
      <w:b/>
      <w:bCs/>
      <w:color w:val="000000"/>
      <w:sz w:val="32"/>
      <w:szCs w:val="32"/>
    </w:rPr>
  </w:style>
  <w:style w:type="character" w:customStyle="1" w:styleId="Char">
    <w:name w:val="文章 Char"/>
    <w:basedOn w:val="a0"/>
    <w:link w:val="a9"/>
    <w:autoRedefine/>
    <w:uiPriority w:val="99"/>
    <w:qFormat/>
    <w:locked/>
    <w:rsid w:val="001C6057"/>
    <w:rPr>
      <w:rFonts w:ascii="Arial" w:eastAsia="仿宋_GB2312" w:hAnsi="Arial" w:cs="Arial"/>
      <w:kern w:val="2"/>
      <w:sz w:val="24"/>
      <w:szCs w:val="24"/>
    </w:rPr>
  </w:style>
  <w:style w:type="paragraph" w:customStyle="1" w:styleId="a9">
    <w:name w:val="文章"/>
    <w:basedOn w:val="2"/>
    <w:next w:val="a"/>
    <w:link w:val="Char"/>
    <w:autoRedefine/>
    <w:uiPriority w:val="99"/>
    <w:qFormat/>
    <w:rsid w:val="001C6057"/>
    <w:pPr>
      <w:keepNext w:val="0"/>
      <w:keepLines w:val="0"/>
      <w:widowControl w:val="0"/>
      <w:tabs>
        <w:tab w:val="clear" w:pos="8505"/>
      </w:tabs>
      <w:spacing w:line="580" w:lineRule="exact"/>
      <w:jc w:val="both"/>
    </w:pPr>
    <w:rPr>
      <w:rFonts w:ascii="Arial" w:eastAsia="仿宋_GB2312" w:hAnsi="Arial" w:cs="Arial"/>
      <w:bCs w:val="0"/>
      <w:color w:val="auto"/>
      <w:kern w:val="2"/>
      <w:sz w:val="24"/>
      <w:szCs w:val="24"/>
    </w:rPr>
  </w:style>
  <w:style w:type="paragraph" w:styleId="aa">
    <w:name w:val="Balloon Text"/>
    <w:basedOn w:val="a"/>
    <w:link w:val="ab"/>
    <w:rsid w:val="003F61B8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rsid w:val="003F61B8"/>
    <w:rPr>
      <w:rFonts w:ascii="仿宋" w:eastAsia="仿宋" w:hAnsi="仿宋" w:cs="仿宋"/>
      <w:color w:val="000000"/>
      <w:sz w:val="18"/>
      <w:szCs w:val="18"/>
    </w:rPr>
  </w:style>
  <w:style w:type="paragraph" w:customStyle="1" w:styleId="Default">
    <w:name w:val="Default"/>
    <w:qFormat/>
    <w:rsid w:val="00ED13D3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6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1402836399</dc:creator>
  <cp:lastModifiedBy>Administrator</cp:lastModifiedBy>
  <cp:revision>165</cp:revision>
  <cp:lastPrinted>2025-06-23T09:24:00Z</cp:lastPrinted>
  <dcterms:created xsi:type="dcterms:W3CDTF">2025-05-13T02:21:00Z</dcterms:created>
  <dcterms:modified xsi:type="dcterms:W3CDTF">2025-09-16T02:03:00Z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2E59967559EAD85B47E0F5671AAD0169_43</vt:lpwstr>
  </property>
  <property fmtid="{D5CDD505-2E9C-101B-9397-08002B2CF9AE}" pid="4" name="KSOTemplateDocerSaveRecord">
    <vt:lpwstr>eyJoZGlkIjoiMDE2ZDUwMjk0Njk1OGNhMTIwMjQ2Y2Q5NDBhYjY2NmQiLCJ1c2VySWQiOiI1MjY0MDU5NjkifQ==</vt:lpwstr>
  </property>
</Properties>
</file>