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eastAsia" w:hAnsi="黑体"/>
          <w:color w:val="000000" w:themeColor="text1"/>
          <w:sz w:val="36"/>
          <w:szCs w:val="36"/>
          <w:lang w:val="en-US" w:eastAsia="zh-CN"/>
          <w14:textFill>
            <w14:solidFill>
              <w14:schemeClr w14:val="tx1"/>
            </w14:solidFill>
          </w14:textFill>
        </w:rPr>
      </w:pPr>
      <w:r>
        <w:rPr>
          <w:rFonts w:hint="eastAsia" w:hAnsi="黑体"/>
          <w:color w:val="000000" w:themeColor="text1"/>
          <w:sz w:val="36"/>
          <w:szCs w:val="36"/>
          <w:lang w:val="en-US" w:eastAsia="zh-CN"/>
          <w14:textFill>
            <w14:solidFill>
              <w14:schemeClr w14:val="tx1"/>
            </w14:solidFill>
          </w14:textFill>
        </w:rPr>
        <w:t xml:space="preserve"> </w:t>
      </w:r>
    </w:p>
    <w:p>
      <w:pPr>
        <w:pStyle w:val="13"/>
        <w:jc w:val="center"/>
        <w:rPr>
          <w:rFonts w:hint="eastAsia" w:hAnsi="黑体"/>
          <w:color w:val="000000" w:themeColor="text1"/>
          <w:sz w:val="36"/>
          <w:szCs w:val="36"/>
          <w:lang w:val="en-US" w:eastAsia="zh-CN"/>
          <w14:textFill>
            <w14:solidFill>
              <w14:schemeClr w14:val="tx1"/>
            </w14:solidFill>
          </w14:textFill>
        </w:rPr>
      </w:pPr>
    </w:p>
    <w:p>
      <w:pPr>
        <w:pStyle w:val="13"/>
        <w:jc w:val="center"/>
        <w:rPr>
          <w:rFonts w:ascii="Times New Roman" w:hAnsi="Times New Roman" w:cs="Times New Roman"/>
          <w:color w:val="000000" w:themeColor="text1"/>
          <w:sz w:val="84"/>
          <w:szCs w:val="84"/>
          <w14:textFill>
            <w14:solidFill>
              <w14:schemeClr w14:val="tx1"/>
            </w14:solidFill>
          </w14:textFill>
        </w:rPr>
      </w:pPr>
    </w:p>
    <w:p>
      <w:pPr>
        <w:pStyle w:val="13"/>
        <w:jc w:val="center"/>
        <w:rPr>
          <w:rFonts w:ascii="Times New Roman" w:hAnsi="Times New Roman" w:cs="Times New Roman"/>
          <w:color w:val="000000" w:themeColor="text1"/>
          <w:sz w:val="84"/>
          <w:szCs w:val="84"/>
          <w14:textFill>
            <w14:solidFill>
              <w14:schemeClr w14:val="tx1"/>
            </w14:solidFill>
          </w14:textFill>
        </w:rPr>
      </w:pPr>
    </w:p>
    <w:p>
      <w:pPr>
        <w:pStyle w:val="13"/>
        <w:jc w:val="center"/>
        <w:rPr>
          <w:rFonts w:ascii="Times New Roman" w:hAnsi="Times New Roman" w:eastAsia="方正小标宋简体" w:cs="Times New Roman"/>
          <w:color w:val="000000" w:themeColor="text1"/>
          <w:sz w:val="72"/>
          <w:szCs w:val="72"/>
          <w14:textFill>
            <w14:solidFill>
              <w14:schemeClr w14:val="tx1"/>
            </w14:solidFill>
          </w14:textFill>
        </w:rPr>
      </w:pPr>
      <w:r>
        <w:rPr>
          <w:rFonts w:ascii="Times New Roman" w:hAnsi="Times New Roman" w:eastAsia="方正小标宋简体" w:cs="Times New Roman"/>
          <w:color w:val="000000" w:themeColor="text1"/>
          <w:sz w:val="72"/>
          <w:szCs w:val="72"/>
          <w14:textFill>
            <w14:solidFill>
              <w14:schemeClr w14:val="tx1"/>
            </w14:solidFill>
          </w14:textFill>
        </w:rPr>
        <w:t>2024年度</w:t>
      </w:r>
    </w:p>
    <w:p>
      <w:pPr>
        <w:pStyle w:val="13"/>
        <w:jc w:val="center"/>
        <w:rPr>
          <w:rFonts w:hint="eastAsia" w:ascii="Times New Roman" w:hAnsi="Times New Roman" w:eastAsia="方正小标宋简体" w:cs="Times New Roman"/>
          <w:color w:val="000000" w:themeColor="text1"/>
          <w:sz w:val="72"/>
          <w:szCs w:val="72"/>
          <w:lang w:eastAsia="zh-CN"/>
          <w14:textFill>
            <w14:solidFill>
              <w14:schemeClr w14:val="tx1"/>
            </w14:solidFill>
          </w14:textFill>
        </w:rPr>
      </w:pPr>
      <w:r>
        <w:rPr>
          <w:rFonts w:hint="eastAsia" w:ascii="Times New Roman" w:hAnsi="Times New Roman" w:eastAsia="方正小标宋简体" w:cs="Times New Roman"/>
          <w:color w:val="000000" w:themeColor="text1"/>
          <w:sz w:val="72"/>
          <w:szCs w:val="72"/>
          <w:lang w:eastAsia="zh-CN"/>
          <w14:textFill>
            <w14:solidFill>
              <w14:schemeClr w14:val="tx1"/>
            </w14:solidFill>
          </w14:textFill>
        </w:rPr>
        <w:t>怀化市公安局鹤城分局</w:t>
      </w:r>
    </w:p>
    <w:p>
      <w:pPr>
        <w:pStyle w:val="13"/>
        <w:jc w:val="center"/>
        <w:rPr>
          <w:rFonts w:ascii="Times New Roman" w:hAnsi="Times New Roman" w:eastAsia="方正小标宋简体" w:cs="Times New Roman"/>
          <w:color w:val="000000" w:themeColor="text1"/>
          <w:sz w:val="72"/>
          <w:szCs w:val="72"/>
          <w14:textFill>
            <w14:solidFill>
              <w14:schemeClr w14:val="tx1"/>
            </w14:solidFill>
          </w14:textFill>
        </w:rPr>
      </w:pPr>
      <w:r>
        <w:rPr>
          <w:rFonts w:ascii="Times New Roman" w:hAnsi="Times New Roman" w:eastAsia="方正小标宋简体" w:cs="Times New Roman"/>
          <w:color w:val="000000" w:themeColor="text1"/>
          <w:sz w:val="72"/>
          <w:szCs w:val="72"/>
          <w14:textFill>
            <w14:solidFill>
              <w14:schemeClr w14:val="tx1"/>
            </w14:solidFill>
          </w14:textFill>
        </w:rPr>
        <w:t>部门决算</w:t>
      </w:r>
    </w:p>
    <w:p>
      <w:pPr>
        <w:pStyle w:val="13"/>
        <w:jc w:val="center"/>
        <w:rPr>
          <w:rFonts w:ascii="Times New Roman" w:hAnsi="Times New Roman" w:eastAsia="方正小标宋_GBK" w:cs="Times New Roman"/>
          <w:color w:val="000000" w:themeColor="text1"/>
          <w:sz w:val="56"/>
          <w:szCs w:val="56"/>
          <w14:textFill>
            <w14:solidFill>
              <w14:schemeClr w14:val="tx1"/>
            </w14:solidFill>
          </w14:textFill>
        </w:rPr>
      </w:pPr>
    </w:p>
    <w:p>
      <w:pPr>
        <w:pStyle w:val="13"/>
        <w:jc w:val="center"/>
        <w:rPr>
          <w:rFonts w:ascii="Times New Roman" w:hAnsi="Times New Roman" w:cs="Times New Roman"/>
          <w:color w:val="000000" w:themeColor="text1"/>
          <w:sz w:val="56"/>
          <w:szCs w:val="56"/>
          <w14:textFill>
            <w14:solidFill>
              <w14:schemeClr w14:val="tx1"/>
            </w14:solidFill>
          </w14:textFill>
        </w:rPr>
      </w:pPr>
    </w:p>
    <w:p>
      <w:pPr>
        <w:pStyle w:val="13"/>
        <w:rPr>
          <w:rFonts w:ascii="Times New Roman" w:hAnsi="Times New Roman" w:cs="Times New Roman"/>
          <w:color w:val="000000" w:themeColor="text1"/>
          <w:sz w:val="56"/>
          <w:szCs w:val="56"/>
          <w14:textFill>
            <w14:solidFill>
              <w14:schemeClr w14:val="tx1"/>
            </w14:solidFill>
          </w14:textFill>
        </w:rPr>
      </w:pPr>
    </w:p>
    <w:p>
      <w:pPr>
        <w:pStyle w:val="13"/>
        <w:jc w:val="center"/>
        <w:rPr>
          <w:rFonts w:ascii="Times New Roman" w:hAnsi="Times New Roman" w:cs="Times New Roman"/>
          <w:color w:val="000000" w:themeColor="text1"/>
          <w:sz w:val="32"/>
          <w:szCs w:val="32"/>
          <w14:textFill>
            <w14:solidFill>
              <w14:schemeClr w14:val="tx1"/>
            </w14:solidFill>
          </w14:textFill>
        </w:rPr>
      </w:pPr>
    </w:p>
    <w:p>
      <w:pPr>
        <w:pStyle w:val="13"/>
        <w:jc w:val="center"/>
        <w:rPr>
          <w:rFonts w:ascii="Times New Roman" w:hAnsi="Times New Roman" w:cs="Times New Roman"/>
          <w:color w:val="000000" w:themeColor="text1"/>
          <w:sz w:val="32"/>
          <w:szCs w:val="32"/>
          <w14:textFill>
            <w14:solidFill>
              <w14:schemeClr w14:val="tx1"/>
            </w14:solidFill>
          </w14:textFill>
        </w:rPr>
      </w:pPr>
    </w:p>
    <w:p>
      <w:pPr>
        <w:pStyle w:val="13"/>
        <w:jc w:val="center"/>
        <w:rPr>
          <w:rFonts w:ascii="Times New Roman" w:hAnsi="Times New Roman" w:cs="Times New Roman"/>
          <w:color w:val="000000" w:themeColor="text1"/>
          <w:sz w:val="32"/>
          <w:szCs w:val="32"/>
          <w14:textFill>
            <w14:solidFill>
              <w14:schemeClr w14:val="tx1"/>
            </w14:solidFill>
          </w14:textFill>
        </w:rPr>
      </w:pPr>
    </w:p>
    <w:p>
      <w:pPr>
        <w:pStyle w:val="13"/>
        <w:jc w:val="center"/>
        <w:rPr>
          <w:rFonts w:ascii="Times New Roman" w:hAnsi="Times New Roman" w:cs="Times New Roman"/>
          <w:color w:val="000000" w:themeColor="text1"/>
          <w:sz w:val="32"/>
          <w:szCs w:val="32"/>
          <w14:textFill>
            <w14:solidFill>
              <w14:schemeClr w14:val="tx1"/>
            </w14:solidFill>
          </w14:textFill>
        </w:rPr>
      </w:pPr>
    </w:p>
    <w:p>
      <w:pPr>
        <w:rPr>
          <w:rFonts w:ascii="Times New Roman" w:hAnsi="Times New Roman" w:cs="Times New Roman"/>
          <w:b/>
          <w:color w:val="000000" w:themeColor="text1"/>
          <w:sz w:val="36"/>
          <w:szCs w:val="28"/>
          <w14:textFill>
            <w14:solidFill>
              <w14:schemeClr w14:val="tx1"/>
            </w14:solidFill>
          </w14:textFill>
        </w:rPr>
        <w:sectPr>
          <w:pgSz w:w="11906" w:h="16838"/>
          <w:pgMar w:top="1417" w:right="1588" w:bottom="1417" w:left="1588" w:header="851" w:footer="992" w:gutter="0"/>
          <w:cols w:space="425" w:num="1"/>
          <w:docGrid w:type="lines" w:linePitch="312" w:charSpace="0"/>
        </w:sectPr>
      </w:pPr>
    </w:p>
    <w:p>
      <w:pPr>
        <w:pStyle w:val="13"/>
        <w:spacing w:line="600" w:lineRule="exact"/>
        <w:jc w:val="center"/>
        <w:rPr>
          <w:rFonts w:ascii="Times New Roman" w:hAnsi="Times New Roman" w:cs="Times New Roman"/>
          <w:bCs/>
          <w:color w:val="000000" w:themeColor="text1"/>
          <w:sz w:val="36"/>
          <w:szCs w:val="28"/>
          <w14:textFill>
            <w14:solidFill>
              <w14:schemeClr w14:val="tx1"/>
            </w14:solidFill>
          </w14:textFill>
        </w:rPr>
      </w:pPr>
      <w:r>
        <w:rPr>
          <w:rFonts w:ascii="Times New Roman" w:hAnsi="Times New Roman" w:cs="Times New Roman"/>
          <w:bCs/>
          <w:color w:val="000000" w:themeColor="text1"/>
          <w:sz w:val="36"/>
          <w:szCs w:val="28"/>
          <w14:textFill>
            <w14:solidFill>
              <w14:schemeClr w14:val="tx1"/>
            </w14:solidFill>
          </w14:textFill>
        </w:rPr>
        <w:t>目  录</w:t>
      </w:r>
    </w:p>
    <w:p>
      <w:pPr>
        <w:pStyle w:val="13"/>
        <w:spacing w:line="600" w:lineRule="exact"/>
        <w:jc w:val="center"/>
        <w:rPr>
          <w:rFonts w:ascii="Times New Roman" w:hAnsi="Times New Roman" w:cs="Times New Roman"/>
          <w:b/>
          <w:color w:val="000000" w:themeColor="text1"/>
          <w:sz w:val="36"/>
          <w:szCs w:val="28"/>
          <w14:textFill>
            <w14:solidFill>
              <w14:schemeClr w14:val="tx1"/>
            </w14:solidFill>
          </w14:textFill>
        </w:rPr>
      </w:pPr>
    </w:p>
    <w:p>
      <w:pPr>
        <w:pStyle w:val="13"/>
        <w:jc w:val="left"/>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 xml:space="preserve">第一部分 </w:t>
      </w:r>
      <w:r>
        <w:rPr>
          <w:rFonts w:hint="eastAsia" w:ascii="Times New Roman" w:hAnsi="Times New Roman" w:cs="Times New Roman"/>
          <w:bCs/>
          <w:color w:val="000000" w:themeColor="text1"/>
          <w:sz w:val="32"/>
          <w:szCs w:val="32"/>
          <w:lang w:eastAsia="zh-CN"/>
          <w14:textFill>
            <w14:solidFill>
              <w14:schemeClr w14:val="tx1"/>
            </w14:solidFill>
          </w14:textFill>
        </w:rPr>
        <w:t>怀化市公安局鹤城分局</w:t>
      </w:r>
      <w:r>
        <w:rPr>
          <w:rFonts w:ascii="Times New Roman" w:hAnsi="Times New Roman" w:cs="Times New Roman"/>
          <w:bCs/>
          <w:color w:val="000000" w:themeColor="text1"/>
          <w:sz w:val="32"/>
          <w:szCs w:val="32"/>
          <w14:textFill>
            <w14:solidFill>
              <w14:schemeClr w14:val="tx1"/>
            </w14:solidFill>
          </w14:textFill>
        </w:rPr>
        <w:t>概况</w:t>
      </w:r>
    </w:p>
    <w:p>
      <w:pPr>
        <w:pStyle w:val="13"/>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一、部门职责</w:t>
      </w:r>
    </w:p>
    <w:p>
      <w:pPr>
        <w:pStyle w:val="13"/>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二、机构设置及决算单位构成</w:t>
      </w:r>
    </w:p>
    <w:p>
      <w:pPr>
        <w:pStyle w:val="13"/>
        <w:spacing w:before="156" w:beforeLines="50" w:after="156" w:afterLines="50" w:line="600" w:lineRule="exact"/>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第二部分 部门决算表</w:t>
      </w:r>
    </w:p>
    <w:p>
      <w:pPr>
        <w:pStyle w:val="13"/>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一、收入支出决算总表</w:t>
      </w:r>
    </w:p>
    <w:p>
      <w:pPr>
        <w:pStyle w:val="13"/>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二、收入决算表</w:t>
      </w:r>
    </w:p>
    <w:p>
      <w:pPr>
        <w:pStyle w:val="13"/>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三、支出决算表</w:t>
      </w:r>
    </w:p>
    <w:p>
      <w:pPr>
        <w:pStyle w:val="13"/>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四、财政拨款收入支出决算总表</w:t>
      </w:r>
    </w:p>
    <w:p>
      <w:pPr>
        <w:pStyle w:val="13"/>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五、一般公共预算财政拨款支出决算表</w:t>
      </w:r>
    </w:p>
    <w:p>
      <w:pPr>
        <w:pStyle w:val="13"/>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六、一般公共预算财政拨款基本支出决算明细表</w:t>
      </w:r>
    </w:p>
    <w:p>
      <w:pPr>
        <w:pStyle w:val="13"/>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七、政府性基金预算财政拨款收入支出决算表</w:t>
      </w:r>
    </w:p>
    <w:p>
      <w:pPr>
        <w:pStyle w:val="13"/>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八、国有资本经营预算财政拨款支出决算表</w:t>
      </w:r>
    </w:p>
    <w:p>
      <w:pPr>
        <w:pStyle w:val="13"/>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九、财政拨款“三公”经费支出决算表</w:t>
      </w:r>
    </w:p>
    <w:p>
      <w:pPr>
        <w:pStyle w:val="13"/>
        <w:spacing w:before="156" w:beforeLines="50" w:after="156" w:afterLines="50" w:line="600" w:lineRule="exact"/>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第三部分 部门决算情况说明</w:t>
      </w:r>
    </w:p>
    <w:p>
      <w:pPr>
        <w:pStyle w:val="13"/>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一、收入支出决算总体情况说明</w:t>
      </w:r>
    </w:p>
    <w:p>
      <w:pPr>
        <w:spacing w:line="600" w:lineRule="exact"/>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二、收入决算情况说明</w:t>
      </w:r>
    </w:p>
    <w:p>
      <w:pP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三、支出决算情况说明</w:t>
      </w:r>
    </w:p>
    <w:p>
      <w:pP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八、政府性基金预算收入支出决算情况</w:t>
      </w:r>
    </w:p>
    <w:p>
      <w:pPr>
        <w:pStyle w:val="13"/>
        <w:rPr>
          <w:color w:val="000000" w:themeColor="text1"/>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九、国有资本经营预算财政拨款支出决算情况说明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十</w:t>
      </w:r>
      <w:r>
        <w:rPr>
          <w:rFonts w:ascii="Times New Roman" w:hAnsi="Times New Roman" w:eastAsia="仿宋_GB2312" w:cs="Times New Roman"/>
          <w:color w:val="000000" w:themeColor="text1"/>
          <w:kern w:val="0"/>
          <w:sz w:val="32"/>
          <w:szCs w:val="32"/>
          <w14:textFill>
            <w14:solidFill>
              <w14:schemeClr w14:val="tx1"/>
            </w14:solidFill>
          </w14:textFill>
        </w:rPr>
        <w:t>、关于机关运行经费支出说明</w:t>
      </w:r>
    </w:p>
    <w:p>
      <w:pP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十</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一</w:t>
      </w:r>
      <w:r>
        <w:rPr>
          <w:rFonts w:ascii="Times New Roman" w:hAnsi="Times New Roman" w:eastAsia="仿宋_GB2312" w:cs="Times New Roman"/>
          <w:color w:val="000000" w:themeColor="text1"/>
          <w:kern w:val="0"/>
          <w:sz w:val="32"/>
          <w:szCs w:val="32"/>
          <w14:textFill>
            <w14:solidFill>
              <w14:schemeClr w14:val="tx1"/>
            </w14:solidFill>
          </w14:textFill>
        </w:rPr>
        <w:t>、一般性支出情况说明</w:t>
      </w:r>
    </w:p>
    <w:p>
      <w:pPr>
        <w:autoSpaceDE w:val="0"/>
        <w:autoSpaceDN w:val="0"/>
        <w:adjustRightInd w:val="0"/>
        <w:spacing w:line="600" w:lineRule="exact"/>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十</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二</w:t>
      </w:r>
      <w:r>
        <w:rPr>
          <w:rFonts w:ascii="Times New Roman" w:hAnsi="Times New Roman" w:eastAsia="仿宋_GB2312" w:cs="Times New Roman"/>
          <w:color w:val="000000" w:themeColor="text1"/>
          <w:kern w:val="0"/>
          <w:sz w:val="32"/>
          <w:szCs w:val="32"/>
          <w14:textFill>
            <w14:solidFill>
              <w14:schemeClr w14:val="tx1"/>
            </w14:solidFill>
          </w14:textFill>
        </w:rPr>
        <w:t>、关于政府采购支出说明</w:t>
      </w:r>
    </w:p>
    <w:p>
      <w:pPr>
        <w:pStyle w:val="13"/>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w:t>
      </w:r>
      <w:r>
        <w:rPr>
          <w:rFonts w:ascii="Times New Roman" w:hAnsi="Times New Roman" w:eastAsia="仿宋_GB2312" w:cs="Times New Roman"/>
          <w:color w:val="000000" w:themeColor="text1"/>
          <w:sz w:val="32"/>
          <w:szCs w:val="32"/>
          <w14:textFill>
            <w14:solidFill>
              <w14:schemeClr w14:val="tx1"/>
            </w14:solidFill>
          </w14:textFill>
        </w:rPr>
        <w:t>、关于国有资产占用情况说明</w:t>
      </w:r>
    </w:p>
    <w:p>
      <w:pPr>
        <w:pStyle w:val="13"/>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四</w:t>
      </w:r>
      <w:r>
        <w:rPr>
          <w:rFonts w:ascii="Times New Roman" w:hAnsi="Times New Roman" w:eastAsia="仿宋_GB2312" w:cs="Times New Roman"/>
          <w:color w:val="000000" w:themeColor="text1"/>
          <w:sz w:val="32"/>
          <w:szCs w:val="32"/>
          <w14:textFill>
            <w14:solidFill>
              <w14:schemeClr w14:val="tx1"/>
            </w14:solidFill>
          </w14:textFill>
        </w:rPr>
        <w:t>、关于2024年度预算绩效管理情况的说明</w:t>
      </w:r>
    </w:p>
    <w:p>
      <w:pPr>
        <w:pStyle w:val="13"/>
        <w:spacing w:before="156" w:beforeLines="50" w:after="156" w:afterLines="50" w:line="600" w:lineRule="exact"/>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第四部分 名词解释</w:t>
      </w:r>
    </w:p>
    <w:p>
      <w:pPr>
        <w:pStyle w:val="13"/>
        <w:spacing w:before="156" w:beforeLines="50" w:after="156" w:afterLines="50" w:line="600" w:lineRule="exact"/>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第五部分 附件</w:t>
      </w:r>
    </w:p>
    <w:p>
      <w:pPr>
        <w:pStyle w:val="13"/>
        <w:spacing w:line="600" w:lineRule="exact"/>
        <w:rPr>
          <w:rFonts w:ascii="Times New Roman" w:hAnsi="Times New Roman" w:cs="Times New Roman"/>
          <w:bCs/>
          <w:color w:val="000000" w:themeColor="text1"/>
          <w:sz w:val="28"/>
          <w:szCs w:val="28"/>
          <w14:textFill>
            <w14:solidFill>
              <w14:schemeClr w14:val="tx1"/>
            </w14:solidFill>
          </w14:textFill>
        </w:rPr>
      </w:pPr>
    </w:p>
    <w:p>
      <w:pPr>
        <w:jc w:val="center"/>
        <w:rPr>
          <w:rFonts w:ascii="Times New Roman" w:hAnsi="Times New Roman" w:cs="Times New Roman"/>
          <w:color w:val="000000" w:themeColor="text1"/>
          <w:sz w:val="72"/>
          <w:szCs w:val="72"/>
          <w14:textFill>
            <w14:solidFill>
              <w14:schemeClr w14:val="tx1"/>
            </w14:solidFill>
          </w14:textFill>
        </w:rPr>
      </w:pPr>
    </w:p>
    <w:p>
      <w:pPr>
        <w:jc w:val="center"/>
        <w:rPr>
          <w:rFonts w:ascii="Times New Roman" w:hAnsi="Times New Roman" w:cs="Times New Roman"/>
          <w:color w:val="000000" w:themeColor="text1"/>
          <w:sz w:val="72"/>
          <w:szCs w:val="72"/>
          <w14:textFill>
            <w14:solidFill>
              <w14:schemeClr w14:val="tx1"/>
            </w14:solidFill>
          </w14:textFill>
        </w:rPr>
      </w:pPr>
    </w:p>
    <w:p>
      <w:pPr>
        <w:pStyle w:val="2"/>
        <w:rPr>
          <w:rFonts w:ascii="Times New Roman" w:hAnsi="Times New Roman" w:cs="Times New Roman"/>
          <w:color w:val="000000" w:themeColor="text1"/>
          <w14:textFill>
            <w14:solidFill>
              <w14:schemeClr w14:val="tx1"/>
            </w14:solidFill>
          </w14:textFill>
        </w:rPr>
        <w:sectPr>
          <w:footerReference r:id="rId4"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color w:val="000000" w:themeColor="text1"/>
          <w:sz w:val="72"/>
          <w:szCs w:val="72"/>
          <w14:textFill>
            <w14:solidFill>
              <w14:schemeClr w14:val="tx1"/>
            </w14:solidFill>
          </w14:textFill>
        </w:rPr>
      </w:pPr>
    </w:p>
    <w:p>
      <w:pPr>
        <w:pStyle w:val="13"/>
        <w:spacing w:line="360" w:lineRule="auto"/>
        <w:jc w:val="center"/>
        <w:rPr>
          <w:rFonts w:ascii="Times New Roman" w:hAnsi="Times New Roman" w:eastAsia="方正小标宋_GBK" w:cs="Times New Roman"/>
          <w:color w:val="000000" w:themeColor="text1"/>
          <w:sz w:val="52"/>
          <w:szCs w:val="52"/>
          <w14:textFill>
            <w14:solidFill>
              <w14:schemeClr w14:val="tx1"/>
            </w14:solidFill>
          </w14:textFill>
        </w:rPr>
      </w:pPr>
      <w:r>
        <w:rPr>
          <w:rFonts w:ascii="Times New Roman" w:hAnsi="Times New Roman" w:eastAsia="方正小标宋_GBK" w:cs="Times New Roman"/>
          <w:color w:val="000000" w:themeColor="text1"/>
          <w:sz w:val="52"/>
          <w:szCs w:val="52"/>
          <w14:textFill>
            <w14:solidFill>
              <w14:schemeClr w14:val="tx1"/>
            </w14:solidFill>
          </w14:textFill>
        </w:rPr>
        <w:t>第一部分</w:t>
      </w:r>
    </w:p>
    <w:p>
      <w:pPr>
        <w:pStyle w:val="13"/>
        <w:spacing w:line="360" w:lineRule="auto"/>
        <w:jc w:val="center"/>
        <w:rPr>
          <w:rFonts w:ascii="Times New Roman" w:hAnsi="Times New Roman" w:eastAsia="方正小标宋_GBK" w:cs="Times New Roman"/>
          <w:color w:val="000000" w:themeColor="text1"/>
          <w:sz w:val="52"/>
          <w:szCs w:val="52"/>
          <w14:textFill>
            <w14:solidFill>
              <w14:schemeClr w14:val="tx1"/>
            </w14:solidFill>
          </w14:textFill>
        </w:rPr>
      </w:pPr>
      <w:r>
        <w:rPr>
          <w:rFonts w:hint="eastAsia" w:ascii="Times New Roman" w:hAnsi="Times New Roman" w:eastAsia="方正小标宋_GBK" w:cs="Times New Roman"/>
          <w:color w:val="000000" w:themeColor="text1"/>
          <w:sz w:val="52"/>
          <w:szCs w:val="52"/>
          <w:lang w:eastAsia="zh-CN"/>
          <w14:textFill>
            <w14:solidFill>
              <w14:schemeClr w14:val="tx1"/>
            </w14:solidFill>
          </w14:textFill>
        </w:rPr>
        <w:t>怀化市公安局鹤城分局</w:t>
      </w:r>
      <w:r>
        <w:rPr>
          <w:rFonts w:ascii="Times New Roman" w:hAnsi="Times New Roman" w:eastAsia="方正小标宋_GBK" w:cs="Times New Roman"/>
          <w:color w:val="000000" w:themeColor="text1"/>
          <w:sz w:val="52"/>
          <w:szCs w:val="52"/>
          <w14:textFill>
            <w14:solidFill>
              <w14:schemeClr w14:val="tx1"/>
            </w14:solidFill>
          </w14:textFill>
        </w:rPr>
        <w:t>概况</w:t>
      </w:r>
    </w:p>
    <w:p>
      <w:pPr>
        <w:pStyle w:val="3"/>
        <w:ind w:left="0" w:leftChars="0" w:firstLine="0" w:firstLineChars="0"/>
        <w:rPr>
          <w:rFonts w:ascii="Times New Roman" w:hAnsi="Times New Roman" w:cs="Times New Roman"/>
          <w:color w:val="000000" w:themeColor="text1"/>
          <w14:textFill>
            <w14:solidFill>
              <w14:schemeClr w14:val="tx1"/>
            </w14:solidFill>
          </w14:textFill>
        </w:rPr>
      </w:pPr>
    </w:p>
    <w:p>
      <w:pPr>
        <w:pStyle w:val="14"/>
        <w:spacing w:line="600" w:lineRule="exact"/>
        <w:ind w:firstLine="0" w:firstLineChars="0"/>
        <w:jc w:val="left"/>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w:t>
      </w:r>
      <w:r>
        <w:rPr>
          <w:rFonts w:ascii="Times New Roman" w:hAnsi="Times New Roman" w:eastAsia="黑体" w:cs="Times New Roman"/>
          <w:color w:val="000000" w:themeColor="text1"/>
          <w:sz w:val="32"/>
          <w:szCs w:val="32"/>
          <w14:textFill>
            <w14:solidFill>
              <w14:schemeClr w14:val="tx1"/>
            </w14:solidFill>
          </w14:textFill>
        </w:rPr>
        <w:t>部门职责</w:t>
      </w:r>
    </w:p>
    <w:p>
      <w:pPr>
        <w:pStyle w:val="13"/>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本部门主要职责是：预防、制止和侦查违法犯罪活动；维护社会治安秩序，制止危害社会治安秩序的行为；管理户政、国籍、入境出境事务和外国人在中国境内居留、旅行的有关事务；监督管理计算机信息系统的安全保护工作；指导和监督国家机关、社会团体、企业事业组织和重点建设工程的治安保卫工作，指导治安保卫委员会等群众性组织的治安防范工作；法律、法规规定的其他职责。</w:t>
      </w:r>
    </w:p>
    <w:p>
      <w:pPr>
        <w:widowControl/>
        <w:spacing w:line="600" w:lineRule="exact"/>
        <w:rPr>
          <w:rFonts w:ascii="Times New Roman" w:hAnsi="Times New Roman" w:eastAsia="黑体" w:cs="Times New Roman"/>
          <w:bCs/>
          <w:color w:val="000000" w:themeColor="text1"/>
          <w:kern w:val="0"/>
          <w:sz w:val="32"/>
          <w:szCs w:val="32"/>
          <w14:textFill>
            <w14:solidFill>
              <w14:schemeClr w14:val="tx1"/>
            </w14:solidFill>
          </w14:textFill>
        </w:rPr>
      </w:pPr>
      <w:r>
        <w:rPr>
          <w:rFonts w:ascii="Times New Roman" w:hAnsi="Times New Roman" w:eastAsia="黑体" w:cs="Times New Roman"/>
          <w:bCs/>
          <w:color w:val="000000" w:themeColor="text1"/>
          <w:kern w:val="0"/>
          <w:sz w:val="32"/>
          <w:szCs w:val="32"/>
          <w14:textFill>
            <w14:solidFill>
              <w14:schemeClr w14:val="tx1"/>
            </w14:solidFill>
          </w14:textFill>
        </w:rPr>
        <w:t>二、机构设置及决算单位构成</w:t>
      </w:r>
    </w:p>
    <w:p>
      <w:pPr>
        <w:widowControl/>
        <w:spacing w:line="600" w:lineRule="exact"/>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ascii="Times New Roman" w:hAnsi="Times New Roman" w:eastAsia="仿宋_GB2312" w:cs="Times New Roman"/>
          <w:bCs/>
          <w:color w:val="000000" w:themeColor="text1"/>
          <w:kern w:val="0"/>
          <w:sz w:val="32"/>
          <w:szCs w:val="32"/>
          <w14:textFill>
            <w14:solidFill>
              <w14:schemeClr w14:val="tx1"/>
            </w14:solidFill>
          </w14:textFill>
        </w:rPr>
        <w:t>（一）内设机构设置。</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怀化市公安局鹤城分局作为一级部门预算单位，内设6个中心，包括：指挥中心、队管中心、防控中心、侦查中心、监管中心、执法管理中心；12个派出所，包括：广场派出所、团结派出所、迎丰派出所、湖天派出所、城中派出所、新园派出所、城东派出所、城南派出所、黄金坳派出所、舞阳派出所（筹备中）、杨村派出所（筹备中）、城北派出所（筹备中）。</w:t>
      </w:r>
    </w:p>
    <w:p>
      <w:pPr>
        <w:widowControl/>
        <w:spacing w:line="600" w:lineRule="exact"/>
        <w:ind w:firstLine="640" w:firstLineChars="200"/>
        <w:rPr>
          <w:rFonts w:ascii="宋体"/>
          <w:bCs/>
          <w:color w:val="000000" w:themeColor="text1"/>
          <w:kern w:val="0"/>
          <w:sz w:val="32"/>
          <w:szCs w:val="32"/>
          <w14:textFill>
            <w14:solidFill>
              <w14:schemeClr w14:val="tx1"/>
            </w14:solidFill>
          </w14:textFill>
        </w:rPr>
      </w:pPr>
      <w:r>
        <w:rPr>
          <w:rFonts w:ascii="Times New Roman" w:hAnsi="Times New Roman" w:eastAsia="仿宋_GB2312" w:cs="Times New Roman"/>
          <w:bCs/>
          <w:color w:val="000000" w:themeColor="text1"/>
          <w:kern w:val="0"/>
          <w:sz w:val="32"/>
          <w:szCs w:val="32"/>
          <w14:textFill>
            <w14:solidFill>
              <w14:schemeClr w14:val="tx1"/>
            </w14:solidFill>
          </w14:textFill>
        </w:rPr>
        <w:t>（二）决算单位构成。</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怀化市公安局鹤城分局</w:t>
      </w:r>
      <w:r>
        <w:rPr>
          <w:rFonts w:ascii="Times New Roman" w:hAnsi="Times New Roman" w:eastAsia="仿宋_GB2312" w:cs="Times New Roman"/>
          <w:bCs/>
          <w:color w:val="000000" w:themeColor="text1"/>
          <w:kern w:val="0"/>
          <w:sz w:val="32"/>
          <w:szCs w:val="32"/>
          <w14:textFill>
            <w14:solidFill>
              <w14:schemeClr w14:val="tx1"/>
            </w14:solidFill>
          </w14:textFill>
        </w:rPr>
        <w:t>2024年部门决算汇总公开单位构成包括：</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怀化市公安局鹤城分局本级。</w:t>
      </w:r>
    </w:p>
    <w:p>
      <w:pPr>
        <w:widowControl/>
        <w:spacing w:line="600" w:lineRule="exact"/>
        <w:rPr>
          <w:rFonts w:ascii="Times New Roman" w:hAnsi="Times New Roman" w:eastAsia="仿宋_GB2312" w:cs="Times New Roman"/>
          <w:bCs/>
          <w:color w:val="000000" w:themeColor="text1"/>
          <w:kern w:val="0"/>
          <w:sz w:val="32"/>
          <w:szCs w:val="32"/>
          <w14:textFill>
            <w14:solidFill>
              <w14:schemeClr w14:val="tx1"/>
            </w14:solidFill>
          </w14:textFill>
        </w:rPr>
      </w:pPr>
    </w:p>
    <w:p>
      <w:pPr>
        <w:jc w:val="left"/>
        <w:rPr>
          <w:rFonts w:ascii="Times New Roman" w:hAnsi="Times New Roman" w:eastAsia="仿宋_GB2312" w:cs="Times New Roman"/>
          <w:color w:val="000000" w:themeColor="text1"/>
          <w:sz w:val="28"/>
          <w:szCs w:val="32"/>
          <w14:textFill>
            <w14:solidFill>
              <w14:schemeClr w14:val="tx1"/>
            </w14:solidFill>
          </w14:textFill>
        </w:rPr>
      </w:pPr>
    </w:p>
    <w:p>
      <w:pPr>
        <w:jc w:val="center"/>
        <w:rPr>
          <w:rFonts w:ascii="Times New Roman" w:hAnsi="Times New Roman" w:eastAsia="黑体" w:cs="Times New Roman"/>
          <w:color w:val="000000" w:themeColor="text1"/>
          <w:sz w:val="28"/>
          <w:szCs w:val="28"/>
          <w14:textFill>
            <w14:solidFill>
              <w14:schemeClr w14:val="tx1"/>
            </w14:solidFill>
          </w14:textFill>
        </w:rPr>
      </w:pPr>
    </w:p>
    <w:p>
      <w:pPr>
        <w:jc w:val="center"/>
        <w:rPr>
          <w:rFonts w:ascii="Times New Roman" w:hAnsi="Times New Roman" w:eastAsia="黑体" w:cs="Times New Roman"/>
          <w:color w:val="000000" w:themeColor="text1"/>
          <w:sz w:val="28"/>
          <w:szCs w:val="28"/>
          <w14:textFill>
            <w14:solidFill>
              <w14:schemeClr w14:val="tx1"/>
            </w14:solidFill>
          </w14:textFill>
        </w:rPr>
      </w:pPr>
    </w:p>
    <w:p>
      <w:pPr>
        <w:jc w:val="center"/>
        <w:rPr>
          <w:rFonts w:ascii="Times New Roman" w:hAnsi="Times New Roman" w:eastAsia="黑体" w:cs="Times New Roman"/>
          <w:color w:val="000000" w:themeColor="text1"/>
          <w:sz w:val="28"/>
          <w:szCs w:val="28"/>
          <w14:textFill>
            <w14:solidFill>
              <w14:schemeClr w14:val="tx1"/>
            </w14:solidFill>
          </w14:textFill>
        </w:rPr>
      </w:pPr>
    </w:p>
    <w:p>
      <w:pPr>
        <w:jc w:val="center"/>
        <w:rPr>
          <w:rFonts w:ascii="Times New Roman" w:hAnsi="Times New Roman" w:eastAsia="黑体" w:cs="Times New Roman"/>
          <w:color w:val="000000" w:themeColor="text1"/>
          <w:sz w:val="28"/>
          <w:szCs w:val="28"/>
          <w14:textFill>
            <w14:solidFill>
              <w14:schemeClr w14:val="tx1"/>
            </w14:solidFill>
          </w14:textFill>
        </w:rPr>
      </w:pPr>
    </w:p>
    <w:p>
      <w:pPr>
        <w:jc w:val="center"/>
        <w:rPr>
          <w:rFonts w:ascii="Times New Roman" w:hAnsi="Times New Roman" w:eastAsia="黑体" w:cs="Times New Roman"/>
          <w:color w:val="000000" w:themeColor="text1"/>
          <w:sz w:val="28"/>
          <w:szCs w:val="28"/>
          <w14:textFill>
            <w14:solidFill>
              <w14:schemeClr w14:val="tx1"/>
            </w14:solidFill>
          </w14:textFill>
        </w:rPr>
      </w:pPr>
    </w:p>
    <w:p>
      <w:pPr>
        <w:pStyle w:val="2"/>
        <w:rPr>
          <w:rFonts w:ascii="Times New Roman" w:hAnsi="Times New Roman" w:cs="Times New Roman"/>
          <w:color w:val="000000" w:themeColor="text1"/>
          <w14:textFill>
            <w14:solidFill>
              <w14:schemeClr w14:val="tx1"/>
            </w14:solidFill>
          </w14:textFill>
        </w:rPr>
        <w:sectPr>
          <w:footerReference r:id="rId5" w:type="default"/>
          <w:pgSz w:w="11906" w:h="16838"/>
          <w:pgMar w:top="1417" w:right="1588" w:bottom="1417" w:left="1588" w:header="851" w:footer="992" w:gutter="0"/>
          <w:pgNumType w:start="1"/>
          <w:cols w:space="425" w:num="1"/>
          <w:docGrid w:type="lines" w:linePitch="312" w:charSpace="0"/>
        </w:sectPr>
      </w:pPr>
    </w:p>
    <w:p>
      <w:pPr>
        <w:pStyle w:val="13"/>
        <w:jc w:val="center"/>
        <w:rPr>
          <w:rFonts w:ascii="Times New Roman" w:hAnsi="Times New Roman" w:eastAsia="方正小标宋_GBK" w:cs="Times New Roman"/>
          <w:color w:val="000000" w:themeColor="text1"/>
          <w:sz w:val="52"/>
          <w:szCs w:val="52"/>
          <w14:textFill>
            <w14:solidFill>
              <w14:schemeClr w14:val="tx1"/>
            </w14:solidFill>
          </w14:textFill>
        </w:rPr>
      </w:pPr>
      <w:r>
        <w:rPr>
          <w:rFonts w:ascii="Times New Roman" w:hAnsi="Times New Roman" w:eastAsia="方正小标宋_GBK" w:cs="Times New Roman"/>
          <w:color w:val="000000" w:themeColor="text1"/>
          <w:sz w:val="52"/>
          <w:szCs w:val="52"/>
          <w14:textFill>
            <w14:solidFill>
              <w14:schemeClr w14:val="tx1"/>
            </w14:solidFill>
          </w14:textFill>
        </w:rPr>
        <w:br w:type="textWrapping"/>
      </w:r>
    </w:p>
    <w:p>
      <w:pPr>
        <w:pStyle w:val="13"/>
        <w:jc w:val="center"/>
        <w:rPr>
          <w:rFonts w:ascii="Times New Roman" w:hAnsi="Times New Roman" w:eastAsia="方正小标宋_GBK" w:cs="Times New Roman"/>
          <w:color w:val="000000" w:themeColor="text1"/>
          <w:sz w:val="52"/>
          <w:szCs w:val="52"/>
          <w14:textFill>
            <w14:solidFill>
              <w14:schemeClr w14:val="tx1"/>
            </w14:solidFill>
          </w14:textFill>
        </w:rPr>
      </w:pPr>
      <w:r>
        <w:rPr>
          <w:rFonts w:ascii="Times New Roman" w:hAnsi="Times New Roman" w:eastAsia="方正小标宋_GBK" w:cs="Times New Roman"/>
          <w:color w:val="000000" w:themeColor="text1"/>
          <w:sz w:val="52"/>
          <w:szCs w:val="52"/>
          <w14:textFill>
            <w14:solidFill>
              <w14:schemeClr w14:val="tx1"/>
            </w14:solidFill>
          </w14:textFill>
        </w:rPr>
        <w:t>第二部分    部门决算表</w:t>
      </w:r>
    </w:p>
    <w:p>
      <w:pPr>
        <w:pStyle w:val="13"/>
        <w:rPr>
          <w:rFonts w:ascii="Times New Roman" w:hAnsi="Times New Roman" w:cs="Times New Roman"/>
          <w:color w:val="000000" w:themeColor="text1"/>
          <w:sz w:val="72"/>
          <w:szCs w:val="72"/>
          <w14:textFill>
            <w14:solidFill>
              <w14:schemeClr w14:val="tx1"/>
            </w14:solidFill>
          </w14:textFill>
        </w:rPr>
      </w:pPr>
    </w:p>
    <w:p>
      <w:pPr>
        <w:pStyle w:val="13"/>
        <w:rPr>
          <w:rFonts w:ascii="Times New Roman" w:hAnsi="Times New Roman" w:cs="Times New Roman"/>
          <w:color w:val="000000" w:themeColor="text1"/>
          <w:sz w:val="72"/>
          <w:szCs w:val="72"/>
          <w14:textFill>
            <w14:solidFill>
              <w14:schemeClr w14:val="tx1"/>
            </w14:solidFill>
          </w14:textFill>
        </w:rPr>
      </w:pPr>
    </w:p>
    <w:p>
      <w:pPr>
        <w:pStyle w:val="13"/>
        <w:rPr>
          <w:rFonts w:ascii="Times New Roman" w:hAnsi="Times New Roman" w:cs="Times New Roman"/>
          <w:color w:val="000000" w:themeColor="text1"/>
          <w:sz w:val="72"/>
          <w:szCs w:val="72"/>
          <w14:textFill>
            <w14:solidFill>
              <w14:schemeClr w14:val="tx1"/>
            </w14:solidFill>
          </w14:textFill>
        </w:rPr>
      </w:pPr>
    </w:p>
    <w:p>
      <w:pPr>
        <w:pStyle w:val="13"/>
        <w:jc w:val="center"/>
        <w:rPr>
          <w:rFonts w:hint="eastAsia"/>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见附件</w:t>
      </w:r>
    </w:p>
    <w:p>
      <w:pPr>
        <w:pStyle w:val="13"/>
        <w:rPr>
          <w:rFonts w:ascii="Times New Roman" w:hAnsi="Times New Roman" w:cs="Times New Roman"/>
          <w:color w:val="000000" w:themeColor="text1"/>
          <w:sz w:val="72"/>
          <w:szCs w:val="72"/>
          <w14:textFill>
            <w14:solidFill>
              <w14:schemeClr w14:val="tx1"/>
            </w14:solidFill>
          </w14:textFill>
        </w:rPr>
      </w:pPr>
    </w:p>
    <w:p>
      <w:pPr>
        <w:pStyle w:val="13"/>
        <w:rPr>
          <w:rFonts w:ascii="Times New Roman" w:hAnsi="Times New Roman" w:cs="Times New Roman"/>
          <w:color w:val="000000" w:themeColor="text1"/>
          <w:sz w:val="72"/>
          <w:szCs w:val="72"/>
          <w14:textFill>
            <w14:solidFill>
              <w14:schemeClr w14:val="tx1"/>
            </w14:solidFill>
          </w14:textFill>
        </w:rPr>
      </w:pPr>
    </w:p>
    <w:p>
      <w:pPr>
        <w:pStyle w:val="13"/>
        <w:rPr>
          <w:rFonts w:ascii="Times New Roman" w:hAnsi="Times New Roman" w:cs="Times New Roman"/>
          <w:color w:val="000000" w:themeColor="text1"/>
          <w:sz w:val="72"/>
          <w:szCs w:val="72"/>
          <w14:textFill>
            <w14:solidFill>
              <w14:schemeClr w14:val="tx1"/>
            </w14:solidFill>
          </w14:textFill>
        </w:rPr>
      </w:pPr>
    </w:p>
    <w:p>
      <w:pPr>
        <w:pStyle w:val="13"/>
        <w:rPr>
          <w:rFonts w:ascii="Times New Roman" w:hAnsi="Times New Roman" w:cs="Times New Roman"/>
          <w:color w:val="000000" w:themeColor="text1"/>
          <w:sz w:val="72"/>
          <w:szCs w:val="72"/>
          <w14:textFill>
            <w14:solidFill>
              <w14:schemeClr w14:val="tx1"/>
            </w14:solidFill>
          </w14:textFill>
        </w:rPr>
      </w:pPr>
    </w:p>
    <w:p>
      <w:pPr>
        <w:pStyle w:val="13"/>
        <w:rPr>
          <w:rFonts w:ascii="Times New Roman" w:hAnsi="Times New Roman" w:cs="Times New Roman"/>
          <w:color w:val="000000" w:themeColor="text1"/>
          <w:sz w:val="72"/>
          <w:szCs w:val="72"/>
          <w14:textFill>
            <w14:solidFill>
              <w14:schemeClr w14:val="tx1"/>
            </w14:solidFill>
          </w14:textFill>
        </w:rPr>
      </w:pPr>
    </w:p>
    <w:p>
      <w:pPr>
        <w:pStyle w:val="13"/>
        <w:rPr>
          <w:rFonts w:ascii="Times New Roman" w:hAnsi="Times New Roman" w:cs="Times New Roman"/>
          <w:color w:val="000000" w:themeColor="text1"/>
          <w:sz w:val="72"/>
          <w:szCs w:val="72"/>
          <w14:textFill>
            <w14:solidFill>
              <w14:schemeClr w14:val="tx1"/>
            </w14:solidFill>
          </w14:textFill>
        </w:rPr>
      </w:pPr>
    </w:p>
    <w:p>
      <w:pPr>
        <w:pStyle w:val="13"/>
        <w:rPr>
          <w:rFonts w:ascii="Times New Roman" w:hAnsi="Times New Roman" w:cs="Times New Roman"/>
          <w:color w:val="000000" w:themeColor="text1"/>
          <w:sz w:val="72"/>
          <w:szCs w:val="72"/>
          <w14:textFill>
            <w14:solidFill>
              <w14:schemeClr w14:val="tx1"/>
            </w14:solidFill>
          </w14:textFill>
        </w:rPr>
      </w:pPr>
    </w:p>
    <w:p>
      <w:pPr>
        <w:pStyle w:val="13"/>
        <w:rPr>
          <w:rFonts w:ascii="Times New Roman" w:hAnsi="Times New Roman" w:cs="Times New Roman"/>
          <w:color w:val="000000" w:themeColor="text1"/>
          <w:sz w:val="72"/>
          <w:szCs w:val="72"/>
          <w14:textFill>
            <w14:solidFill>
              <w14:schemeClr w14:val="tx1"/>
            </w14:solidFill>
          </w14:textFill>
        </w:rPr>
      </w:pPr>
    </w:p>
    <w:p>
      <w:pPr>
        <w:pStyle w:val="13"/>
        <w:jc w:val="center"/>
        <w:rPr>
          <w:rFonts w:ascii="Times New Roman" w:hAnsi="Times New Roman" w:cs="Times New Roman"/>
          <w:color w:val="000000" w:themeColor="text1"/>
          <w:sz w:val="72"/>
          <w:szCs w:val="72"/>
          <w14:textFill>
            <w14:solidFill>
              <w14:schemeClr w14:val="tx1"/>
            </w14:solidFill>
          </w14:textFill>
        </w:rPr>
      </w:pPr>
    </w:p>
    <w:p>
      <w:pPr>
        <w:pStyle w:val="13"/>
        <w:jc w:val="center"/>
        <w:rPr>
          <w:rFonts w:ascii="Times New Roman" w:hAnsi="Times New Roman" w:eastAsia="方正小标宋_GBK" w:cs="Times New Roman"/>
          <w:color w:val="000000" w:themeColor="text1"/>
          <w:sz w:val="72"/>
          <w:szCs w:val="72"/>
          <w14:textFill>
            <w14:solidFill>
              <w14:schemeClr w14:val="tx1"/>
            </w14:solidFill>
          </w14:textFill>
        </w:rPr>
      </w:pPr>
    </w:p>
    <w:p>
      <w:pPr>
        <w:pStyle w:val="13"/>
        <w:spacing w:line="360" w:lineRule="auto"/>
        <w:jc w:val="center"/>
        <w:rPr>
          <w:rFonts w:ascii="Times New Roman" w:hAnsi="Times New Roman" w:eastAsia="方正小标宋_GBK" w:cs="Times New Roman"/>
          <w:color w:val="000000" w:themeColor="text1"/>
          <w:sz w:val="52"/>
          <w:szCs w:val="52"/>
          <w14:textFill>
            <w14:solidFill>
              <w14:schemeClr w14:val="tx1"/>
            </w14:solidFill>
          </w14:textFill>
        </w:rPr>
      </w:pPr>
      <w:r>
        <w:rPr>
          <w:rFonts w:ascii="Times New Roman" w:hAnsi="Times New Roman" w:eastAsia="方正小标宋_GBK" w:cs="Times New Roman"/>
          <w:color w:val="000000" w:themeColor="text1"/>
          <w:sz w:val="52"/>
          <w:szCs w:val="52"/>
          <w14:textFill>
            <w14:solidFill>
              <w14:schemeClr w14:val="tx1"/>
            </w14:solidFill>
          </w14:textFill>
        </w:rPr>
        <w:t>第三部分</w:t>
      </w:r>
    </w:p>
    <w:p>
      <w:pPr>
        <w:pStyle w:val="13"/>
        <w:spacing w:line="360" w:lineRule="auto"/>
        <w:jc w:val="center"/>
        <w:rPr>
          <w:rFonts w:ascii="Times New Roman" w:hAnsi="Times New Roman" w:eastAsia="方正小标宋_GBK" w:cs="Times New Roman"/>
          <w:color w:val="000000" w:themeColor="text1"/>
          <w:sz w:val="52"/>
          <w:szCs w:val="52"/>
          <w14:textFill>
            <w14:solidFill>
              <w14:schemeClr w14:val="tx1"/>
            </w14:solidFill>
          </w14:textFill>
        </w:rPr>
      </w:pPr>
      <w:r>
        <w:rPr>
          <w:rFonts w:ascii="Times New Roman" w:hAnsi="Times New Roman" w:eastAsia="方正小标宋_GBK" w:cs="Times New Roman"/>
          <w:color w:val="000000" w:themeColor="text1"/>
          <w:sz w:val="52"/>
          <w:szCs w:val="52"/>
          <w14:textFill>
            <w14:solidFill>
              <w14:schemeClr w14:val="tx1"/>
            </w14:solidFill>
          </w14:textFill>
        </w:rPr>
        <w:t>2024年度部门决算情况说明</w:t>
      </w:r>
    </w:p>
    <w:p>
      <w:pPr>
        <w:widowControl/>
        <w:jc w:val="left"/>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eastAsia="方正小标宋_GBK" w:cs="Times New Roman"/>
          <w:color w:val="000000" w:themeColor="text1"/>
          <w:sz w:val="70"/>
          <w:szCs w:val="70"/>
          <w14:textFill>
            <w14:solidFill>
              <w14:schemeClr w14:val="tx1"/>
            </w14:solidFill>
          </w14:textFill>
        </w:rPr>
        <w:br w:type="page"/>
      </w:r>
    </w:p>
    <w:p>
      <w:pPr>
        <w:pStyle w:val="13"/>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一、收入支出决算总体情况说明</w:t>
      </w:r>
    </w:p>
    <w:p>
      <w:pPr>
        <w:autoSpaceDE w:val="0"/>
        <w:autoSpaceDN w:val="0"/>
        <w:adjustRightInd w:val="0"/>
        <w:ind w:firstLine="643"/>
        <w:jc w:val="both"/>
        <w:rPr>
          <w:rFonts w:hint="eastAsia" w:ascii="宋体" w:hAnsi="宋体" w:eastAsia="宋体"/>
          <w:color w:val="000000" w:themeColor="text1"/>
          <w:sz w:val="32"/>
          <w:szCs w:val="32"/>
          <w:lang w:val="en-US" w:eastAsia="zh-CN"/>
          <w14:textFill>
            <w14:solidFill>
              <w14:schemeClr w14:val="tx1"/>
            </w14:solidFill>
          </w14:textFill>
        </w:rPr>
      </w:pPr>
      <w:r>
        <w:rPr>
          <w:rFonts w:ascii="Times New Roman" w:hAnsi="Times New Roman" w:eastAsia="仿宋_GB2312" w:cs="Times New Roman"/>
          <w:bCs/>
          <w:color w:val="000000" w:themeColor="text1"/>
          <w:kern w:val="0"/>
          <w:sz w:val="32"/>
          <w:szCs w:val="32"/>
          <w14:textFill>
            <w14:solidFill>
              <w14:schemeClr w14:val="tx1"/>
            </w14:solidFill>
          </w14:textFill>
        </w:rPr>
        <w:t>202</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4</w:t>
      </w:r>
      <w:r>
        <w:rPr>
          <w:rFonts w:hint="eastAsia" w:ascii="Times New Roman" w:hAnsi="Times New Roman" w:eastAsia="仿宋_GB2312" w:cs="Times New Roman"/>
          <w:bCs/>
          <w:color w:val="000000" w:themeColor="text1"/>
          <w:kern w:val="0"/>
          <w:sz w:val="32"/>
          <w:szCs w:val="32"/>
          <w14:textFill>
            <w14:solidFill>
              <w14:schemeClr w14:val="tx1"/>
            </w14:solidFill>
          </w14:textFill>
        </w:rPr>
        <w:t>年度收、支总计</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34297.26</w:t>
      </w:r>
      <w:r>
        <w:rPr>
          <w:rFonts w:hint="eastAsia" w:ascii="Times New Roman" w:hAnsi="Times New Roman" w:eastAsia="仿宋_GB2312" w:cs="Times New Roman"/>
          <w:bCs/>
          <w:color w:val="000000" w:themeColor="text1"/>
          <w:kern w:val="0"/>
          <w:sz w:val="32"/>
          <w:szCs w:val="32"/>
          <w14:textFill>
            <w14:solidFill>
              <w14:schemeClr w14:val="tx1"/>
            </w14:solidFill>
          </w14:textFill>
        </w:rPr>
        <w:t>万元。与上年相比，增加</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744.42</w:t>
      </w:r>
      <w:r>
        <w:rPr>
          <w:rFonts w:hint="eastAsia" w:ascii="Times New Roman" w:hAnsi="Times New Roman" w:eastAsia="仿宋_GB2312" w:cs="Times New Roman"/>
          <w:bCs/>
          <w:color w:val="000000" w:themeColor="text1"/>
          <w:kern w:val="0"/>
          <w:sz w:val="32"/>
          <w:szCs w:val="32"/>
          <w14:textFill>
            <w14:solidFill>
              <w14:schemeClr w14:val="tx1"/>
            </w14:solidFill>
          </w14:textFill>
        </w:rPr>
        <w:t>万元，增长</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2.21</w:t>
      </w:r>
      <w:r>
        <w:rPr>
          <w:rFonts w:ascii="Times New Roman" w:hAnsi="Times New Roman" w:eastAsia="仿宋_GB2312" w:cs="Times New Roman"/>
          <w:bCs/>
          <w:color w:val="000000" w:themeColor="text1"/>
          <w:kern w:val="0"/>
          <w:sz w:val="32"/>
          <w:szCs w:val="32"/>
          <w14:textFill>
            <w14:solidFill>
              <w14:schemeClr w14:val="tx1"/>
            </w14:solidFill>
          </w14:textFill>
        </w:rPr>
        <w:t>%</w:t>
      </w:r>
      <w:r>
        <w:rPr>
          <w:rFonts w:hint="eastAsia" w:ascii="Times New Roman" w:hAnsi="Times New Roman" w:eastAsia="仿宋_GB2312" w:cs="Times New Roman"/>
          <w:bCs/>
          <w:color w:val="000000" w:themeColor="text1"/>
          <w:kern w:val="0"/>
          <w:sz w:val="32"/>
          <w:szCs w:val="32"/>
          <w14:textFill>
            <w14:solidFill>
              <w14:schemeClr w14:val="tx1"/>
            </w14:solidFill>
          </w14:textFill>
        </w:rPr>
        <w:t>，</w:t>
      </w:r>
      <w:r>
        <w:rPr>
          <w:rFonts w:hint="eastAsia" w:ascii="Times New Roman" w:hAnsi="Times New Roman" w:eastAsia="仿宋_GB2312" w:cs="Times New Roman"/>
          <w:bCs/>
          <w:color w:val="000000" w:themeColor="text1"/>
          <w:kern w:val="0"/>
          <w:sz w:val="32"/>
          <w:szCs w:val="32"/>
          <w:lang w:eastAsia="zh-CN"/>
          <w14:textFill>
            <w14:solidFill>
              <w14:schemeClr w14:val="tx1"/>
            </w14:solidFill>
          </w14:textFill>
        </w:rPr>
        <w:t>原因为：</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1、收入增加：本年非税罚没款收入2447.07万元，较上年增加161.28万元；本年民警基本工资收入增加276.1万元。2、支出增加：本年非税罚没款支出2447.06万元，较上年增加161.28万元；本年民警基本工资支出增加276.1万元。</w:t>
      </w:r>
    </w:p>
    <w:p>
      <w:pPr>
        <w:pStyle w:val="13"/>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二、收入决算情况说明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2024年度收入合计</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17148.63</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万元，其中：财政拨款收入</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17148.63</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万元，占</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100</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w:t>
      </w:r>
    </w:p>
    <w:p>
      <w:pPr>
        <w:pStyle w:val="13"/>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三、支出决算情况说明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2024年度支出合计</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17148.63</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万元，其中：基本支出</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8980.2</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万元，占</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52.37</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%；项目支出</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8168.44</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万元，占</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47.63</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w:t>
      </w:r>
    </w:p>
    <w:p>
      <w:pPr>
        <w:pStyle w:val="13"/>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四、财政拨款收入支出决算总体情况说明</w:t>
      </w:r>
    </w:p>
    <w:p>
      <w:pPr>
        <w:autoSpaceDE w:val="0"/>
        <w:autoSpaceDN w:val="0"/>
        <w:adjustRightInd w:val="0"/>
        <w:ind w:firstLine="643"/>
        <w:jc w:val="both"/>
        <w:rPr>
          <w:rFonts w:hint="eastAsia" w:ascii="宋体" w:hAnsi="宋体" w:eastAsia="宋体"/>
          <w:color w:val="000000" w:themeColor="text1"/>
          <w:sz w:val="32"/>
          <w:szCs w:val="32"/>
          <w:lang w:val="en-US" w:eastAsia="zh-CN"/>
          <w14:textFill>
            <w14:solidFill>
              <w14:schemeClr w14:val="tx1"/>
            </w14:solidFill>
          </w14:textFill>
        </w:rPr>
      </w:pPr>
      <w:r>
        <w:rPr>
          <w:rFonts w:ascii="Times New Roman" w:hAnsi="Times New Roman" w:eastAsia="仿宋_GB2312" w:cs="Times New Roman"/>
          <w:bCs/>
          <w:color w:val="000000" w:themeColor="text1"/>
          <w:kern w:val="0"/>
          <w:sz w:val="32"/>
          <w:szCs w:val="32"/>
          <w14:textFill>
            <w14:solidFill>
              <w14:schemeClr w14:val="tx1"/>
            </w14:solidFill>
          </w14:textFill>
        </w:rPr>
        <w:t>2024年度财政拨款收、支总计</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34297.26</w:t>
      </w:r>
      <w:r>
        <w:rPr>
          <w:rFonts w:hint="eastAsia" w:ascii="Times New Roman" w:hAnsi="Times New Roman" w:eastAsia="仿宋_GB2312" w:cs="Times New Roman"/>
          <w:bCs/>
          <w:color w:val="000000" w:themeColor="text1"/>
          <w:kern w:val="0"/>
          <w:sz w:val="32"/>
          <w:szCs w:val="32"/>
          <w14:textFill>
            <w14:solidFill>
              <w14:schemeClr w14:val="tx1"/>
            </w14:solidFill>
          </w14:textFill>
        </w:rPr>
        <w:t>万元。与上年相比，增加</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744.42</w:t>
      </w:r>
      <w:r>
        <w:rPr>
          <w:rFonts w:hint="eastAsia" w:ascii="Times New Roman" w:hAnsi="Times New Roman" w:eastAsia="仿宋_GB2312" w:cs="Times New Roman"/>
          <w:bCs/>
          <w:color w:val="000000" w:themeColor="text1"/>
          <w:kern w:val="0"/>
          <w:sz w:val="32"/>
          <w:szCs w:val="32"/>
          <w14:textFill>
            <w14:solidFill>
              <w14:schemeClr w14:val="tx1"/>
            </w14:solidFill>
          </w14:textFill>
        </w:rPr>
        <w:t>万元，增长</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2.21</w:t>
      </w:r>
      <w:r>
        <w:rPr>
          <w:rFonts w:ascii="Times New Roman" w:hAnsi="Times New Roman" w:eastAsia="仿宋_GB2312" w:cs="Times New Roman"/>
          <w:bCs/>
          <w:color w:val="000000" w:themeColor="text1"/>
          <w:kern w:val="0"/>
          <w:sz w:val="32"/>
          <w:szCs w:val="32"/>
          <w14:textFill>
            <w14:solidFill>
              <w14:schemeClr w14:val="tx1"/>
            </w14:solidFill>
          </w14:textFill>
        </w:rPr>
        <w:t>%</w:t>
      </w:r>
      <w:r>
        <w:rPr>
          <w:rFonts w:hint="eastAsia" w:ascii="Times New Roman" w:hAnsi="Times New Roman" w:eastAsia="仿宋_GB2312" w:cs="Times New Roman"/>
          <w:bCs/>
          <w:color w:val="000000" w:themeColor="text1"/>
          <w:kern w:val="0"/>
          <w:sz w:val="32"/>
          <w:szCs w:val="32"/>
          <w14:textFill>
            <w14:solidFill>
              <w14:schemeClr w14:val="tx1"/>
            </w14:solidFill>
          </w14:textFill>
        </w:rPr>
        <w:t>，</w:t>
      </w:r>
      <w:r>
        <w:rPr>
          <w:rFonts w:hint="eastAsia" w:ascii="Times New Roman" w:hAnsi="Times New Roman" w:eastAsia="仿宋_GB2312" w:cs="Times New Roman"/>
          <w:bCs/>
          <w:color w:val="000000" w:themeColor="text1"/>
          <w:kern w:val="0"/>
          <w:sz w:val="32"/>
          <w:szCs w:val="32"/>
          <w:lang w:eastAsia="zh-CN"/>
          <w14:textFill>
            <w14:solidFill>
              <w14:schemeClr w14:val="tx1"/>
            </w14:solidFill>
          </w14:textFill>
        </w:rPr>
        <w:t>原因为：</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1、收入增加：本年非税罚没款收入2447.07万元，较上年增加161.28万元；本年民警基本工资收入增加276.1万元。2、支出增加：本年非税罚没款支出2447.06万元，较上年增加161.28万元；本年民警基本工资支出增加276.1万元。</w:t>
      </w:r>
    </w:p>
    <w:p>
      <w:pPr>
        <w:pStyle w:val="13"/>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五、一般公共预算财政拨款支出决算情况说明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（一）一般公共预算财政拨款支出决算总体情况</w:t>
      </w:r>
    </w:p>
    <w:p>
      <w:pPr>
        <w:autoSpaceDE w:val="0"/>
        <w:autoSpaceDN w:val="0"/>
        <w:adjustRightInd w:val="0"/>
        <w:ind w:firstLine="643"/>
        <w:jc w:val="both"/>
        <w:rPr>
          <w:rFonts w:hint="eastAsia" w:ascii="宋体" w:hAnsi="宋体" w:eastAsia="宋体"/>
          <w:color w:val="000000" w:themeColor="text1"/>
          <w:sz w:val="32"/>
          <w:szCs w:val="32"/>
          <w:lang w:val="en-US" w:eastAsia="zh-CN"/>
          <w14:textFill>
            <w14:solidFill>
              <w14:schemeClr w14:val="tx1"/>
            </w14:solidFill>
          </w14:textFill>
        </w:rPr>
      </w:pPr>
      <w:r>
        <w:rPr>
          <w:rFonts w:ascii="Times New Roman" w:hAnsi="Times New Roman" w:eastAsia="仿宋_GB2312" w:cs="Times New Roman"/>
          <w:bCs/>
          <w:color w:val="000000" w:themeColor="text1"/>
          <w:kern w:val="0"/>
          <w:sz w:val="32"/>
          <w:szCs w:val="32"/>
          <w14:textFill>
            <w14:solidFill>
              <w14:schemeClr w14:val="tx1"/>
            </w14:solidFill>
          </w14:textFill>
        </w:rPr>
        <w:t>2024年度财政拨款支出</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17148.63</w:t>
      </w:r>
      <w:r>
        <w:rPr>
          <w:rFonts w:ascii="Times New Roman" w:hAnsi="Times New Roman" w:eastAsia="仿宋_GB2312" w:cs="Times New Roman"/>
          <w:bCs/>
          <w:color w:val="000000" w:themeColor="text1"/>
          <w:kern w:val="0"/>
          <w:sz w:val="32"/>
          <w:szCs w:val="32"/>
          <w14:textFill>
            <w14:solidFill>
              <w14:schemeClr w14:val="tx1"/>
            </w14:solidFill>
          </w14:textFill>
        </w:rPr>
        <w:t>万元，占本年支出合计的</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100</w:t>
      </w:r>
      <w:r>
        <w:rPr>
          <w:rFonts w:ascii="Times New Roman" w:hAnsi="Times New Roman" w:eastAsia="仿宋_GB2312" w:cs="Times New Roman"/>
          <w:bCs/>
          <w:color w:val="000000" w:themeColor="text1"/>
          <w:kern w:val="0"/>
          <w:sz w:val="32"/>
          <w:szCs w:val="32"/>
          <w14:textFill>
            <w14:solidFill>
              <w14:schemeClr w14:val="tx1"/>
            </w14:solidFill>
          </w14:textFill>
        </w:rPr>
        <w:t>%，与上年相比，财政拨款支出增加</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461.33</w:t>
      </w:r>
      <w:r>
        <w:rPr>
          <w:rFonts w:ascii="Times New Roman" w:hAnsi="Times New Roman" w:eastAsia="仿宋_GB2312" w:cs="Times New Roman"/>
          <w:bCs/>
          <w:color w:val="000000" w:themeColor="text1"/>
          <w:kern w:val="0"/>
          <w:sz w:val="32"/>
          <w:szCs w:val="32"/>
          <w14:textFill>
            <w14:solidFill>
              <w14:schemeClr w14:val="tx1"/>
            </w14:solidFill>
          </w14:textFill>
        </w:rPr>
        <w:t>万元，增长</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2.76</w:t>
      </w:r>
      <w:r>
        <w:rPr>
          <w:rFonts w:ascii="Times New Roman" w:hAnsi="Times New Roman" w:eastAsia="仿宋_GB2312" w:cs="Times New Roman"/>
          <w:bCs/>
          <w:color w:val="000000" w:themeColor="text1"/>
          <w:kern w:val="0"/>
          <w:sz w:val="32"/>
          <w:szCs w:val="32"/>
          <w14:textFill>
            <w14:solidFill>
              <w14:schemeClr w14:val="tx1"/>
            </w14:solidFill>
          </w14:textFill>
        </w:rPr>
        <w:t>%，主要是因为</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本年非税罚没款支出2447.06万元，较上年增加161.28万元；本年民警基本工资支出增加276.1万元。</w:t>
      </w:r>
    </w:p>
    <w:p>
      <w:pPr>
        <w:pStyle w:val="13"/>
        <w:overflowPunct w:val="0"/>
        <w:autoSpaceDE/>
        <w:autoSpaceDN/>
        <w:spacing w:line="600" w:lineRule="exact"/>
        <w:ind w:firstLine="640" w:firstLineChars="200"/>
        <w:jc w:val="both"/>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（二）一般公共预算财政拨款支出决算结构情况</w:t>
      </w:r>
    </w:p>
    <w:p>
      <w:pPr>
        <w:pStyle w:val="13"/>
        <w:ind w:firstLine="640" w:firstLineChars="200"/>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2024年度财政拨款支出</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17148.63</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万元，主要用于以下方面：</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一般公安服务支出5万元，占比0.03</w:t>
      </w:r>
      <w:r>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，公共安全（类）支出15072.64万元，占比87.89</w:t>
      </w:r>
      <w:r>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，社会保障和就业（类）支出1021.98万元，占比5.96</w:t>
      </w:r>
      <w:r>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，卫生健康（类）支出288.97万元，占比1.69</w:t>
      </w:r>
      <w:r>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，住房保障支出760.04万元，占比4.43</w:t>
      </w:r>
      <w:r>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 xml:space="preserve">。 </w:t>
      </w:r>
    </w:p>
    <w:p>
      <w:pPr>
        <w:pStyle w:val="13"/>
        <w:overflowPunct w:val="0"/>
        <w:autoSpaceDE/>
        <w:autoSpaceDN/>
        <w:spacing w:line="600" w:lineRule="exact"/>
        <w:ind w:firstLine="640" w:firstLineChars="200"/>
        <w:jc w:val="both"/>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（三）一般公共预算财政拨款支出决算具体情况</w:t>
      </w:r>
    </w:p>
    <w:p>
      <w:pPr>
        <w:pStyle w:val="13"/>
        <w:keepNext w:val="0"/>
        <w:keepLines w:val="0"/>
        <w:pageBreakBefore w:val="0"/>
        <w:kinsoku/>
        <w:wordWrap/>
        <w:overflowPunct/>
        <w:topLinePunct w:val="0"/>
        <w:bidi w:val="0"/>
        <w:snapToGrid/>
        <w:spacing w:line="240" w:lineRule="auto"/>
        <w:ind w:firstLine="800" w:firstLineChars="250"/>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2024年度财政拨款支出年初预算数为14437.38万元，支出决算数为17148.63万元，完成年初预算的118.78</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，其中：</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firstLine="800"/>
        <w:textAlignment w:val="baseline"/>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1、一般公共服务支出（类）其他一般公共服务支出（款） 其他一般公共服务支出（项）。</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firstLine="800"/>
        <w:textAlignment w:val="baseline"/>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年初预算为0万元，支出决算为5万元，较年初预算增加5万元，决算数大于年初预算数的主要原因是：专项专案鉴定经费5万元未列入我单位年初预算，为年中调整，故预决算存在此差异。</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firstLine="800"/>
        <w:textAlignment w:val="baseline"/>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2、公共安全支出（类）公安（款） 行政运行（项）。</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firstLine="800"/>
        <w:textAlignment w:val="baseline"/>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年初预算为7221.92万元，支出决算为7371.2万元，完成年初预算的102.07%，决算数大于年初预算数的主要原因是：遗属生活补助33.61万元、退休费24.28万元、离退休人员春节一次性生活补助171万元均未列入我单位年初预算，为年中调整，故预决算存在此差异。</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firstLine="800"/>
        <w:textAlignment w:val="baseline"/>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3、公共安全支出（类）公安（款）</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 </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一般行政管理事务（项）。</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firstLine="800"/>
        <w:textAlignment w:val="baseline"/>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年初预算为0万元，支出决算为73万元，较年初预算增加73万元，决算数大于年初预算数的主要原因是：2024年中央政法转移支付专项业务经费及“一村一辅警”省级补助经费共73万元均未列入我单位年初预算，为年中调整，故预决算存在此差异。</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firstLine="800"/>
        <w:textAlignment w:val="baseline"/>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4、公共安全支出（类）公安（款）执法办案（项）。</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firstLine="800"/>
        <w:textAlignment w:val="baseline"/>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年初预算为0万元，支出决算为22.4万元，较年初预算增加22.4万元，决算数大于年初预算数的主要原因是：上级专款全省公安机关二代证与出入境证照业务工作经费22.4万元均未列入我单位年初预算，为年中调整，故预决算存在此差异。</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firstLine="800"/>
        <w:textAlignment w:val="baseline"/>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5、公共安全支出（类）公安（款）</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 </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其他公安支出（项）。</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firstLine="800"/>
        <w:textAlignment w:val="baseline"/>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年初预算为5514.9万元，支出决算为7391.32万元，完成年初预算的134.02%，决算数大于年初预算数的主要原因是：非税拨罚没返回款2447.07万元，较年初预算增长1709.07万元，因为年初预算非税返还比例为15%，年终调整至84%，故有此差异。</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left="319" w:leftChars="152" w:firstLine="320" w:firstLineChars="100"/>
        <w:textAlignment w:val="baseline"/>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6、公共安全支出（类）其他公共安全支出（款）其他公共安全支出（项）。</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firstLine="640" w:firstLineChars="200"/>
        <w:textAlignment w:val="baseline"/>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年初预算为0万元，支出决算为214.71万元，较年初预算增加214.71万元，决算数大于年初预算数的主要原因是：本年度拘留所羁押人员给养费14.71万元及扫黑除恶专项200万元均未列入我单位年初预算，为年中调整，故预决算存在此差异。</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firstLine="800"/>
        <w:textAlignment w:val="baseline"/>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8、社会保障和就业支出（类）行政事业单位养老支出（款）机关事业单位养老保险缴费支出（项）。</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firstLine="800"/>
        <w:textAlignment w:val="baseline"/>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年初预算为681.39万元，支出决算为759.98万元，完成年初预算的111.53%，决算数大于年初预算数的主要原因是：全额单位基本养老保险缴费97.82万元未列入我单位年初预算，为年中调整，故预决算存在此差异。</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firstLine="800"/>
        <w:textAlignment w:val="baseline"/>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 xml:space="preserve"> </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9、社会保障和就业支出（类）其他社会保障和就业支出（款）其他社会保障和就业支出（项）。</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firstLine="800"/>
        <w:textAlignment w:val="baseline"/>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年初预算为12万元，支出决算为262万元，完成年初预算的2183.33</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，决算数大于年初预算数的主要原因是：市公安局鹤城分局社会保险缴费250万元未列入我单位年初预算，为年中调整，故预决算存在此差异。</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firstLine="800"/>
        <w:textAlignment w:val="baseline"/>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1</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0、卫生健康支出（类）行政事业单位医疗（款）</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 </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行政单位医疗（项）。</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firstLine="800"/>
        <w:textAlignment w:val="baseline"/>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年初预算为285.69万元，支出决算为288.97万元，决算数大于年初预算数的主要原因是：全额单位医疗保险缴费3.28万元未列入我单位年初预算，为年中调整，故预决算存在此差异。</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firstLine="800"/>
        <w:textAlignment w:val="baseline"/>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1</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2、住房保障支出（类）住房改革支出（款）</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 </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住房公积金（项）。</w:t>
      </w:r>
    </w:p>
    <w:p>
      <w:pPr>
        <w:pStyle w:val="8"/>
        <w:keepNext w:val="0"/>
        <w:keepLines w:val="0"/>
        <w:pageBreakBefore w:val="0"/>
        <w:widowControl/>
        <w:shd w:val="clear" w:color="auto" w:fill="FFFFFF"/>
        <w:kinsoku/>
        <w:wordWrap/>
        <w:overflowPunct/>
        <w:topLinePunct w:val="0"/>
        <w:bidi w:val="0"/>
        <w:snapToGrid/>
        <w:spacing w:before="225" w:beforeAutospacing="0" w:afterAutospacing="0" w:line="240" w:lineRule="auto"/>
        <w:ind w:firstLine="800"/>
        <w:textAlignment w:val="baseline"/>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年初预算为721.49万元，支出决算为760.04万元，完成年初预算的105.34%，决算数大于年初预算数的主要原因是：市公安局鹤城分局住房公积金配套40万元未列入我单位年初预算，为年中调整，故预决算存在此差异。</w:t>
      </w:r>
    </w:p>
    <w:p>
      <w:pPr>
        <w:pStyle w:val="13"/>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六、一般公共预算财政拨款基本支出决算情况说明</w:t>
      </w:r>
    </w:p>
    <w:p>
      <w:pPr>
        <w:pStyle w:val="13"/>
        <w:ind w:firstLine="640" w:firstLineChars="200"/>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2024</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年度财政拨款基本支出8980.2万元，其中：</w:t>
      </w:r>
    </w:p>
    <w:p>
      <w:pPr>
        <w:pStyle w:val="13"/>
        <w:ind w:firstLine="640" w:firstLineChars="200"/>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人员经费7579.37万元，占基本支出的84.4</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主要包括基本工资、津贴补贴、奖金、伙食补助费、机关事业单位基本养老保险缴费、职工基本医疗保险缴费、其他社会保障缴费、住房公积金、其他工资福利支出、离休费、抚恤金、生活补助、奖励金、其他对个人和家庭的补助等；</w:t>
      </w:r>
    </w:p>
    <w:p>
      <w:pPr>
        <w:pStyle w:val="13"/>
        <w:ind w:firstLine="640" w:firstLineChars="200"/>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公用经费1400.84万元，占基本支出的15.6</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，主要包括办公费、印刷费、水费、电费、邮电费、差旅费、维修（护）费、租赁费、培训费、公务接待费、专用材料费、专用燃料费、劳务费等。</w:t>
      </w:r>
    </w:p>
    <w:p>
      <w:pPr>
        <w:pStyle w:val="13"/>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七、财政拨款“三公”经费支出决算情况说明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（一）“三公”经费财政拨款支出决算总体情况说明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2024年度“三公”经费财政拨款支出预算为</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546.54</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万元，支出决算为</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546.54</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万元，完成预算的</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100</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%；与上年相比增加</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232.54</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万元，增长</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74.05</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预决算一致。</w:t>
      </w:r>
    </w:p>
    <w:p>
      <w:pPr>
        <w:pStyle w:val="13"/>
        <w:overflowPunct w:val="0"/>
        <w:autoSpaceDE/>
        <w:autoSpaceDN/>
        <w:spacing w:line="600" w:lineRule="exact"/>
        <w:ind w:firstLine="640" w:firstLineChars="200"/>
        <w:jc w:val="both"/>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（二）“三公”经费财政拨款支出决算具体情况说明</w:t>
      </w:r>
    </w:p>
    <w:p>
      <w:pPr>
        <w:pStyle w:val="8"/>
        <w:widowControl/>
        <w:shd w:val="clear" w:color="auto" w:fill="FFFFFF"/>
        <w:spacing w:before="225" w:beforeAutospacing="0" w:afterAutospacing="0" w:line="600" w:lineRule="exact"/>
        <w:ind w:firstLine="800"/>
        <w:textAlignment w:val="baseline"/>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1.</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因公出国（境）费支出预算为0万元，支出决算为0万元，决算数年初预算数一致，与上年相比持平，主要原因为我单位一直无此项开支。</w:t>
      </w:r>
    </w:p>
    <w:p>
      <w:pPr>
        <w:pStyle w:val="8"/>
        <w:widowControl/>
        <w:shd w:val="clear" w:color="auto" w:fill="FFFFFF"/>
        <w:spacing w:before="225" w:beforeAutospacing="0" w:afterAutospacing="0" w:line="600" w:lineRule="exact"/>
        <w:ind w:firstLine="800"/>
        <w:textAlignment w:val="baseline"/>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2024年度安排因公出国（境）费支出决算为0万元，全年安排因公出国（境）团组0个，累计0人次。</w:t>
      </w:r>
    </w:p>
    <w:p>
      <w:pPr>
        <w:pStyle w:val="13"/>
        <w:overflowPunct w:val="0"/>
        <w:autoSpaceDE/>
        <w:autoSpaceDN/>
        <w:spacing w:line="600" w:lineRule="exact"/>
        <w:ind w:firstLine="640" w:firstLineChars="200"/>
        <w:jc w:val="both"/>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2.公务用车购置费及运行维护费支出预算为</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546.54</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万元，支出决算为</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546.54</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万元，完成预算的</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100</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%；与上年相比增加</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232.54</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万元，增长</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74.05</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%。其中：</w:t>
      </w:r>
    </w:p>
    <w:p>
      <w:pPr>
        <w:pStyle w:val="13"/>
        <w:overflowPunct w:val="0"/>
        <w:autoSpaceDE/>
        <w:autoSpaceDN/>
        <w:spacing w:line="600" w:lineRule="exact"/>
        <w:ind w:firstLine="640" w:firstLineChars="200"/>
        <w:jc w:val="both"/>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公务用车购置费支出预算为</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206.54</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万元，支出决算为</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206.54</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万元，完成预算的</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100</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%；与上年相比增加</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206.54万元</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预决算一致。</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决算数大于上年数的主要原因是</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本年因基层执勤执法车辆以旧换新，购置七台执勤执法车辆。</w:t>
      </w:r>
    </w:p>
    <w:p>
      <w:pPr>
        <w:autoSpaceDE w:val="0"/>
        <w:autoSpaceDN w:val="0"/>
        <w:adjustRightInd w:val="0"/>
        <w:ind w:firstLine="643"/>
        <w:jc w:val="both"/>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公务用车运行维护费支出预算为</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340</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万元，支出决算为</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340</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万元，主要是</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用于执勤执法车辆日常汽油费及运行费等</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支出，完成预算的</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100</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%；与上年相比增加</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26</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万元，增长</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8.28</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预决算一致</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。决算数大于上年数的主要原因是</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本年办案需求增加，执勤执法车辆需求增加，故车辆运行维护费有所增加</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。截止2024年12月31日，我单位开支财政拨款的公务用车保有量为</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73</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辆。</w:t>
      </w:r>
    </w:p>
    <w:p>
      <w:pPr>
        <w:pStyle w:val="8"/>
        <w:widowControl/>
        <w:shd w:val="clear" w:color="auto" w:fill="FFFFFF"/>
        <w:spacing w:before="225" w:beforeAutospacing="0" w:afterAutospacing="0" w:line="600" w:lineRule="exact"/>
        <w:ind w:firstLine="800"/>
        <w:textAlignment w:val="baseline"/>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3.公务接待费支出预算为</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0</w:t>
      </w:r>
      <w:r>
        <w:rPr>
          <w:rFonts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万元，</w:t>
      </w: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支出决算为0万元，决算数年初预算数一致，与上年相比持平，主要原因为我单位本年无此项开支。</w:t>
      </w:r>
    </w:p>
    <w:p>
      <w:pPr>
        <w:pStyle w:val="8"/>
        <w:widowControl/>
        <w:shd w:val="clear" w:color="auto" w:fill="FFFFFF"/>
        <w:spacing w:before="225" w:beforeAutospacing="0" w:afterAutospacing="0" w:line="600" w:lineRule="exact"/>
        <w:ind w:firstLine="800"/>
        <w:textAlignment w:val="baseline"/>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公务接待费支出决算为0万元，全年共接待来访团组0个、来宾0人次。</w:t>
      </w:r>
    </w:p>
    <w:p>
      <w:pPr>
        <w:pStyle w:val="13"/>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八、政府性基金预算收入支出决算情况</w:t>
      </w:r>
    </w:p>
    <w:p>
      <w:pPr>
        <w:pStyle w:val="13"/>
        <w:overflowPunct w:val="0"/>
        <w:autoSpaceDE/>
        <w:autoSpaceDN/>
        <w:spacing w:line="600" w:lineRule="exact"/>
        <w:ind w:firstLine="640" w:firstLineChars="200"/>
        <w:jc w:val="both"/>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本单位无政府性基金收支。</w:t>
      </w:r>
    </w:p>
    <w:p>
      <w:pPr>
        <w:pStyle w:val="13"/>
        <w:ind w:firstLine="640" w:firstLineChars="200"/>
        <w:rPr>
          <w:rFonts w:hint="eastAsia" w:hAnsi="黑体"/>
          <w:b/>
          <w:color w:val="000000" w:themeColor="text1"/>
          <w:sz w:val="32"/>
          <w:szCs w:val="32"/>
          <w:lang w:val="en-US" w:eastAsia="zh-CN"/>
          <w14:textFill>
            <w14:solidFill>
              <w14:schemeClr w14:val="tx1"/>
            </w14:solidFill>
          </w14:textFill>
        </w:rPr>
      </w:pPr>
      <w:r>
        <w:rPr>
          <w:rFonts w:hint="eastAsia" w:hAnsi="黑体"/>
          <w:b/>
          <w:color w:val="000000" w:themeColor="text1"/>
          <w:sz w:val="32"/>
          <w:szCs w:val="32"/>
          <w:lang w:val="en-US" w:eastAsia="zh-CN"/>
          <w14:textFill>
            <w14:solidFill>
              <w14:schemeClr w14:val="tx1"/>
            </w14:solidFill>
          </w14:textFill>
        </w:rPr>
        <w:t>九、国有资本经营预算财政拨款支出</w:t>
      </w:r>
      <w:r>
        <w:rPr>
          <w:rFonts w:hint="eastAsia" w:hAnsi="黑体"/>
          <w:b/>
          <w:color w:val="000000" w:themeColor="text1"/>
          <w:sz w:val="32"/>
          <w:szCs w:val="32"/>
          <w14:textFill>
            <w14:solidFill>
              <w14:schemeClr w14:val="tx1"/>
            </w14:solidFill>
          </w14:textFill>
        </w:rPr>
        <w:t>决算情况</w:t>
      </w:r>
      <w:r>
        <w:rPr>
          <w:rFonts w:hint="eastAsia" w:hAnsi="黑体"/>
          <w:b/>
          <w:color w:val="000000" w:themeColor="text1"/>
          <w:sz w:val="32"/>
          <w:szCs w:val="32"/>
          <w:lang w:val="en-US" w:eastAsia="zh-CN"/>
          <w14:textFill>
            <w14:solidFill>
              <w14:schemeClr w14:val="tx1"/>
            </w14:solidFill>
          </w14:textFill>
        </w:rPr>
        <w:t>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本单位无国有资本经营预算财政拨款支出。</w:t>
      </w:r>
    </w:p>
    <w:p>
      <w:pPr>
        <w:pStyle w:val="13"/>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hint="eastAsia" w:ascii="Times New Roman" w:hAnsi="Times New Roman" w:cs="Times New Roman"/>
          <w:bCs/>
          <w:color w:val="000000" w:themeColor="text1"/>
          <w:sz w:val="32"/>
          <w:szCs w:val="32"/>
          <w:lang w:eastAsia="zh-CN"/>
          <w14:textFill>
            <w14:solidFill>
              <w14:schemeClr w14:val="tx1"/>
            </w14:solidFill>
          </w14:textFill>
        </w:rPr>
        <w:t>十</w:t>
      </w:r>
      <w:r>
        <w:rPr>
          <w:rFonts w:ascii="Times New Roman" w:hAnsi="Times New Roman" w:cs="Times New Roman"/>
          <w:bCs/>
          <w:color w:val="000000" w:themeColor="text1"/>
          <w:sz w:val="32"/>
          <w:szCs w:val="32"/>
          <w14:textFill>
            <w14:solidFill>
              <w14:schemeClr w14:val="tx1"/>
            </w14:solidFill>
          </w14:textFill>
        </w:rPr>
        <w:t>、关于机关运行经费支出说明</w:t>
      </w:r>
    </w:p>
    <w:p>
      <w:pPr>
        <w:snapToGrid w:val="0"/>
        <w:spacing w:line="520" w:lineRule="exact"/>
        <w:ind w:firstLine="640" w:firstLineChars="200"/>
        <w:jc w:val="both"/>
        <w:rPr>
          <w:rFonts w:hint="eastAsia" w:ascii="宋体" w:hAnsi="宋体" w:cs="仿宋_GB2312"/>
          <w:color w:val="000000" w:themeColor="text1"/>
          <w:sz w:val="32"/>
          <w:szCs w:val="32"/>
          <w:highlight w:val="none"/>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本部门2024年度机关运行经费支出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1400.83</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宋体" w:hAnsi="宋体" w:eastAsia="宋体"/>
          <w:color w:val="000000" w:themeColor="text1"/>
          <w:sz w:val="32"/>
          <w:szCs w:val="32"/>
          <w14:textFill>
            <w14:solidFill>
              <w14:schemeClr w14:val="tx1"/>
            </w14:solidFill>
          </w14:textFill>
        </w:rPr>
        <w:t>比上年决算数</w:t>
      </w:r>
      <w:r>
        <w:rPr>
          <w:rFonts w:hint="eastAsia" w:ascii="宋体" w:hAnsi="宋体" w:eastAsia="宋体"/>
          <w:color w:val="000000" w:themeColor="text1"/>
          <w:sz w:val="32"/>
          <w:szCs w:val="32"/>
          <w:lang w:eastAsia="zh-CN"/>
          <w14:textFill>
            <w14:solidFill>
              <w14:schemeClr w14:val="tx1"/>
            </w14:solidFill>
          </w14:textFill>
        </w:rPr>
        <w:t>增加</w:t>
      </w:r>
      <w:r>
        <w:rPr>
          <w:rFonts w:hint="eastAsia" w:ascii="宋体" w:hAnsi="宋体" w:eastAsia="宋体"/>
          <w:color w:val="000000" w:themeColor="text1"/>
          <w:sz w:val="32"/>
          <w:szCs w:val="32"/>
          <w:lang w:val="en-US" w:eastAsia="zh-CN"/>
          <w14:textFill>
            <w14:solidFill>
              <w14:schemeClr w14:val="tx1"/>
            </w14:solidFill>
          </w14:textFill>
        </w:rPr>
        <w:t>227.49</w:t>
      </w:r>
      <w:r>
        <w:rPr>
          <w:rFonts w:hint="eastAsia" w:ascii="宋体" w:hAnsi="宋体" w:eastAsia="宋体"/>
          <w:color w:val="000000" w:themeColor="text1"/>
          <w:sz w:val="32"/>
          <w:szCs w:val="32"/>
          <w14:textFill>
            <w14:solidFill>
              <w14:schemeClr w14:val="tx1"/>
            </w14:solidFill>
          </w14:textFill>
        </w:rPr>
        <w:t>万元，</w:t>
      </w:r>
      <w:r>
        <w:rPr>
          <w:rFonts w:hint="eastAsia" w:ascii="宋体" w:hAnsi="宋体" w:eastAsia="宋体"/>
          <w:color w:val="000000" w:themeColor="text1"/>
          <w:sz w:val="32"/>
          <w:szCs w:val="32"/>
          <w:lang w:eastAsia="zh-CN"/>
          <w14:textFill>
            <w14:solidFill>
              <w14:schemeClr w14:val="tx1"/>
            </w14:solidFill>
          </w14:textFill>
        </w:rPr>
        <w:t>增加</w:t>
      </w:r>
      <w:r>
        <w:rPr>
          <w:rFonts w:hint="eastAsia" w:ascii="宋体" w:hAnsi="宋体" w:eastAsia="宋体"/>
          <w:color w:val="000000" w:themeColor="text1"/>
          <w:sz w:val="32"/>
          <w:szCs w:val="32"/>
          <w:lang w:val="en-US" w:eastAsia="zh-CN"/>
          <w14:textFill>
            <w14:solidFill>
              <w14:schemeClr w14:val="tx1"/>
            </w14:solidFill>
          </w14:textFill>
        </w:rPr>
        <w:t>19.39</w:t>
      </w:r>
      <w:r>
        <w:rPr>
          <w:rFonts w:ascii="宋体" w:hAnsi="宋体" w:eastAsia="宋体"/>
          <w:color w:val="000000" w:themeColor="text1"/>
          <w:sz w:val="32"/>
          <w:szCs w:val="32"/>
          <w14:textFill>
            <w14:solidFill>
              <w14:schemeClr w14:val="tx1"/>
            </w14:solidFill>
          </w14:textFill>
        </w:rPr>
        <w:t>%</w:t>
      </w:r>
      <w:r>
        <w:rPr>
          <w:rFonts w:hint="eastAsia" w:ascii="宋体" w:hAnsi="宋体" w:eastAsia="宋体"/>
          <w:color w:val="000000" w:themeColor="text1"/>
          <w:sz w:val="32"/>
          <w:szCs w:val="32"/>
          <w14:textFill>
            <w14:solidFill>
              <w14:schemeClr w14:val="tx1"/>
            </w14:solidFill>
          </w14:textFill>
        </w:rPr>
        <w:t>。主要原因是：</w:t>
      </w:r>
      <w:r>
        <w:rPr>
          <w:rFonts w:ascii="Times New Roman" w:hAnsi="Times New Roman" w:eastAsia="仿宋_GB2312" w:cs="Times New Roman"/>
          <w:color w:val="000000" w:themeColor="text1"/>
          <w:sz w:val="32"/>
          <w:szCs w:val="32"/>
          <w14:textFill>
            <w14:solidFill>
              <w14:schemeClr w14:val="tx1"/>
            </w14:solidFill>
          </w14:textFill>
        </w:rPr>
        <w:t>主要原因是：</w:t>
      </w:r>
      <w:r>
        <w:rPr>
          <w:rFonts w:hint="eastAsia" w:ascii="宋体" w:hAnsi="宋体" w:cs="仿宋_GB2312"/>
          <w:color w:val="000000" w:themeColor="text1"/>
          <w:sz w:val="32"/>
          <w:szCs w:val="32"/>
          <w:highlight w:val="none"/>
          <w:lang w:val="en-US" w:eastAsia="zh-CN"/>
          <w14:textFill>
            <w14:solidFill>
              <w14:schemeClr w14:val="tx1"/>
            </w14:solidFill>
          </w14:textFill>
        </w:rPr>
        <w:t>因为本年办公费较上年增加56.21万元，电费较上年增加15.5万元，差旅费较上年增加12.86万元，劳务费较上年增加46.86万元。</w:t>
      </w:r>
    </w:p>
    <w:p>
      <w:pPr>
        <w:pStyle w:val="13"/>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十</w:t>
      </w:r>
      <w:r>
        <w:rPr>
          <w:rFonts w:hint="eastAsia" w:ascii="Times New Roman" w:hAnsi="Times New Roman" w:cs="Times New Roman"/>
          <w:bCs/>
          <w:color w:val="000000" w:themeColor="text1"/>
          <w:sz w:val="32"/>
          <w:szCs w:val="32"/>
          <w:lang w:eastAsia="zh-CN"/>
          <w14:textFill>
            <w14:solidFill>
              <w14:schemeClr w14:val="tx1"/>
            </w14:solidFill>
          </w14:textFill>
        </w:rPr>
        <w:t>一</w:t>
      </w:r>
      <w:r>
        <w:rPr>
          <w:rFonts w:ascii="Times New Roman" w:hAnsi="Times New Roman" w:cs="Times New Roman"/>
          <w:bCs/>
          <w:color w:val="000000" w:themeColor="text1"/>
          <w:sz w:val="32"/>
          <w:szCs w:val="32"/>
          <w14:textFill>
            <w14:solidFill>
              <w14:schemeClr w14:val="tx1"/>
            </w14:solidFill>
          </w14:textFill>
        </w:rPr>
        <w:t>、一般性支出情况说明</w:t>
      </w:r>
    </w:p>
    <w:p>
      <w:pPr>
        <w:pStyle w:val="13"/>
        <w:overflowPunct w:val="0"/>
        <w:autoSpaceDE/>
        <w:autoSpaceDN/>
        <w:spacing w:line="600" w:lineRule="exact"/>
        <w:ind w:firstLine="640" w:firstLineChars="200"/>
        <w:jc w:val="both"/>
        <w:rPr>
          <w:rFonts w:hint="eastAsia" w:ascii="宋体" w:hAnsi="宋体" w:cs="仿宋_GB2312" w:eastAsiaTheme="minorEastAsia"/>
          <w:color w:val="000000" w:themeColor="text1"/>
          <w:kern w:val="2"/>
          <w:sz w:val="32"/>
          <w:szCs w:val="32"/>
          <w:highlight w:val="none"/>
          <w:lang w:val="en-US" w:eastAsia="zh-CN" w:bidi="ar-SA"/>
          <w14:textFill>
            <w14:solidFill>
              <w14:schemeClr w14:val="tx1"/>
            </w14:solidFill>
          </w14:textFill>
        </w:rPr>
      </w:pPr>
      <w:r>
        <w:rPr>
          <w:rFonts w:hint="eastAsia" w:ascii="宋体" w:hAnsi="宋体" w:cs="仿宋_GB2312" w:eastAsiaTheme="minorEastAsia"/>
          <w:color w:val="000000" w:themeColor="text1"/>
          <w:kern w:val="2"/>
          <w:sz w:val="32"/>
          <w:szCs w:val="32"/>
          <w:highlight w:val="none"/>
          <w:lang w:val="en-US" w:eastAsia="zh-CN" w:bidi="ar-SA"/>
          <w14:textFill>
            <w14:solidFill>
              <w14:schemeClr w14:val="tx1"/>
            </w14:solidFill>
          </w14:textFill>
        </w:rPr>
        <w:t>2024年本部门无会议费开支；未举办节庆、晚会、论坛、赛事等活动；全年开支培训费11.42万元，用于分局民警执法资格考试培训、各类公安业务培训等。（因部分培训内容涉密，不予具体公开会议及培训内容）</w:t>
      </w:r>
    </w:p>
    <w:p>
      <w:pPr>
        <w:pStyle w:val="13"/>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十</w:t>
      </w:r>
      <w:r>
        <w:rPr>
          <w:rFonts w:hint="eastAsia" w:ascii="Times New Roman" w:hAnsi="Times New Roman" w:cs="Times New Roman"/>
          <w:bCs/>
          <w:color w:val="000000" w:themeColor="text1"/>
          <w:sz w:val="32"/>
          <w:szCs w:val="32"/>
          <w:lang w:eastAsia="zh-CN"/>
          <w14:textFill>
            <w14:solidFill>
              <w14:schemeClr w14:val="tx1"/>
            </w14:solidFill>
          </w14:textFill>
        </w:rPr>
        <w:t>二</w:t>
      </w:r>
      <w:r>
        <w:rPr>
          <w:rFonts w:ascii="Times New Roman" w:hAnsi="Times New Roman" w:cs="Times New Roman"/>
          <w:bCs/>
          <w:color w:val="000000" w:themeColor="text1"/>
          <w:sz w:val="32"/>
          <w:szCs w:val="32"/>
          <w14:textFill>
            <w14:solidFill>
              <w14:schemeClr w14:val="tx1"/>
            </w14:solidFill>
          </w14:textFill>
        </w:rPr>
        <w:t>、关于政府采购支出说明</w:t>
      </w:r>
    </w:p>
    <w:p>
      <w:pPr>
        <w:pStyle w:val="13"/>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本部门2024年度政府采购支出总额</w:t>
      </w:r>
      <w:r>
        <w:rPr>
          <w:rFonts w:ascii="宋体" w:hAnsi="宋体" w:cs="宋体"/>
          <w:color w:val="000000" w:themeColor="text1"/>
          <w:sz w:val="30"/>
          <w:szCs w:val="30"/>
          <w:highlight w:val="none"/>
          <w:lang w:val="en-US" w:eastAsia="zh-CN"/>
          <w14:textFill>
            <w14:solidFill>
              <w14:schemeClr w14:val="tx1"/>
            </w14:solidFill>
          </w14:textFill>
        </w:rPr>
        <w:t>377.14</w:t>
      </w:r>
      <w:r>
        <w:rPr>
          <w:rFonts w:ascii="Times New Roman" w:hAnsi="Times New Roman" w:eastAsia="仿宋_GB2312" w:cs="Times New Roman"/>
          <w:color w:val="000000" w:themeColor="text1"/>
          <w:sz w:val="32"/>
          <w:szCs w:val="32"/>
          <w14:textFill>
            <w14:solidFill>
              <w14:schemeClr w14:val="tx1"/>
            </w14:solidFill>
          </w14:textFill>
        </w:rPr>
        <w:t>万元，其中：政府采购货物支出</w:t>
      </w:r>
      <w:r>
        <w:rPr>
          <w:rFonts w:ascii="宋体" w:hAnsi="宋体" w:cs="宋体"/>
          <w:color w:val="000000" w:themeColor="text1"/>
          <w:sz w:val="30"/>
          <w:szCs w:val="30"/>
          <w:highlight w:val="none"/>
          <w:lang w:val="en-US" w:eastAsia="zh-CN"/>
          <w14:textFill>
            <w14:solidFill>
              <w14:schemeClr w14:val="tx1"/>
            </w14:solidFill>
          </w14:textFill>
        </w:rPr>
        <w:t>326.46</w:t>
      </w:r>
      <w:r>
        <w:rPr>
          <w:rFonts w:ascii="Times New Roman" w:hAnsi="Times New Roman" w:eastAsia="仿宋_GB2312" w:cs="Times New Roman"/>
          <w:color w:val="000000" w:themeColor="text1"/>
          <w:sz w:val="32"/>
          <w:szCs w:val="32"/>
          <w14:textFill>
            <w14:solidFill>
              <w14:schemeClr w14:val="tx1"/>
            </w14:solidFill>
          </w14:textFill>
        </w:rPr>
        <w:t>万元、政府采购工程支出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万元、政府采购服务支出</w:t>
      </w:r>
      <w:r>
        <w:rPr>
          <w:rFonts w:ascii="宋体" w:hAnsi="宋体" w:cs="宋体"/>
          <w:color w:val="000000" w:themeColor="text1"/>
          <w:sz w:val="30"/>
          <w:szCs w:val="30"/>
          <w:highlight w:val="none"/>
          <w:lang w:val="en-US" w:eastAsia="zh-CN"/>
          <w14:textFill>
            <w14:solidFill>
              <w14:schemeClr w14:val="tx1"/>
            </w14:solidFill>
          </w14:textFill>
        </w:rPr>
        <w:t>50.68</w:t>
      </w:r>
      <w:r>
        <w:rPr>
          <w:rFonts w:ascii="Times New Roman" w:hAnsi="Times New Roman" w:eastAsia="仿宋_GB2312" w:cs="Times New Roman"/>
          <w:color w:val="000000" w:themeColor="text1"/>
          <w:sz w:val="32"/>
          <w:szCs w:val="32"/>
          <w14:textFill>
            <w14:solidFill>
              <w14:schemeClr w14:val="tx1"/>
            </w14:solidFill>
          </w14:textFill>
        </w:rPr>
        <w:t>万元。授予中小企业合同金额</w:t>
      </w:r>
      <w:r>
        <w:rPr>
          <w:rFonts w:ascii="宋体" w:hAnsi="宋体" w:cs="宋体"/>
          <w:color w:val="000000" w:themeColor="text1"/>
          <w:sz w:val="30"/>
          <w:szCs w:val="30"/>
          <w:highlight w:val="none"/>
          <w:lang w:val="en-US" w:eastAsia="zh-CN"/>
          <w14:textFill>
            <w14:solidFill>
              <w14:schemeClr w14:val="tx1"/>
            </w14:solidFill>
          </w14:textFill>
        </w:rPr>
        <w:t>377.14</w:t>
      </w:r>
      <w:r>
        <w:rPr>
          <w:rFonts w:ascii="Times New Roman" w:hAnsi="Times New Roman" w:eastAsia="仿宋_GB2312" w:cs="Times New Roman"/>
          <w:color w:val="000000" w:themeColor="text1"/>
          <w:sz w:val="32"/>
          <w:szCs w:val="32"/>
          <w14:textFill>
            <w14:solidFill>
              <w14:schemeClr w14:val="tx1"/>
            </w14:solidFill>
          </w14:textFill>
        </w:rPr>
        <w:t>万元，占政府采购支出总额的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%，其中：授予小微企业合同金额</w:t>
      </w:r>
      <w:r>
        <w:rPr>
          <w:rFonts w:ascii="宋体" w:hAnsi="宋体" w:cs="宋体"/>
          <w:color w:val="000000" w:themeColor="text1"/>
          <w:sz w:val="30"/>
          <w:szCs w:val="30"/>
          <w:highlight w:val="none"/>
          <w:lang w:val="en-US" w:eastAsia="zh-CN"/>
          <w14:textFill>
            <w14:solidFill>
              <w14:schemeClr w14:val="tx1"/>
            </w14:solidFill>
          </w14:textFill>
        </w:rPr>
        <w:t>377.14</w:t>
      </w:r>
      <w:r>
        <w:rPr>
          <w:rFonts w:ascii="Times New Roman" w:hAnsi="Times New Roman" w:eastAsia="仿宋_GB2312" w:cs="Times New Roman"/>
          <w:color w:val="000000" w:themeColor="text1"/>
          <w:sz w:val="32"/>
          <w:szCs w:val="32"/>
          <w14:textFill>
            <w14:solidFill>
              <w14:schemeClr w14:val="tx1"/>
            </w14:solidFill>
          </w14:textFill>
        </w:rPr>
        <w:t>万元，占授予中小企业合同金额的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%。货物采购授予中小企业合同金额占货物支出金额的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%，服务采购授予中小企业合同金额占服务支出金额的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w:t>
      </w:r>
    </w:p>
    <w:p>
      <w:pPr>
        <w:pStyle w:val="13"/>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十</w:t>
      </w:r>
      <w:r>
        <w:rPr>
          <w:rFonts w:hint="eastAsia" w:ascii="Times New Roman" w:hAnsi="Times New Roman" w:cs="Times New Roman"/>
          <w:bCs/>
          <w:color w:val="000000" w:themeColor="text1"/>
          <w:sz w:val="32"/>
          <w:szCs w:val="32"/>
          <w:lang w:eastAsia="zh-CN"/>
          <w14:textFill>
            <w14:solidFill>
              <w14:schemeClr w14:val="tx1"/>
            </w14:solidFill>
          </w14:textFill>
        </w:rPr>
        <w:t>三</w:t>
      </w:r>
      <w:r>
        <w:rPr>
          <w:rFonts w:ascii="Times New Roman" w:hAnsi="Times New Roman" w:cs="Times New Roman"/>
          <w:bCs/>
          <w:color w:val="000000" w:themeColor="text1"/>
          <w:sz w:val="32"/>
          <w:szCs w:val="32"/>
          <w14:textFill>
            <w14:solidFill>
              <w14:schemeClr w14:val="tx1"/>
            </w14:solidFill>
          </w14:textFill>
        </w:rPr>
        <w:t>、关于国有资产占用情况说明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截至2024年12月31日，单位共有车辆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73</w:t>
      </w:r>
      <w:r>
        <w:rPr>
          <w:rFonts w:ascii="Times New Roman" w:hAnsi="Times New Roman" w:eastAsia="仿宋_GB2312" w:cs="Times New Roman"/>
          <w:color w:val="000000" w:themeColor="text1"/>
          <w:sz w:val="32"/>
          <w:szCs w:val="32"/>
          <w14:textFill>
            <w14:solidFill>
              <w14:schemeClr w14:val="tx1"/>
            </w14:solidFill>
          </w14:textFill>
        </w:rPr>
        <w:t>辆，其中，</w:t>
      </w:r>
      <w:r>
        <w:rPr>
          <w:rFonts w:hint="eastAsia" w:ascii="Times New Roman" w:hAnsi="Times New Roman" w:eastAsia="仿宋_GB2312" w:cs="Times New Roman"/>
          <w:color w:val="000000" w:themeColor="text1"/>
          <w:sz w:val="32"/>
          <w:szCs w:val="32"/>
          <w14:textFill>
            <w14:solidFill>
              <w14:schemeClr w14:val="tx1"/>
            </w14:solidFill>
          </w14:textFill>
        </w:rPr>
        <w:t>执法执勤用车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71</w:t>
      </w:r>
      <w:r>
        <w:rPr>
          <w:rFonts w:hint="eastAsia" w:ascii="Times New Roman" w:hAnsi="Times New Roman" w:eastAsia="仿宋_GB2312" w:cs="Times New Roman"/>
          <w:color w:val="000000" w:themeColor="text1"/>
          <w:sz w:val="32"/>
          <w:szCs w:val="32"/>
          <w14:textFill>
            <w14:solidFill>
              <w14:schemeClr w14:val="tx1"/>
            </w14:solidFill>
          </w14:textFill>
        </w:rPr>
        <w:t>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、特种专业技术用车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2辆</w:t>
      </w:r>
      <w:bookmarkStart w:id="0" w:name="_GoBack"/>
      <w:bookmarkEnd w:id="0"/>
      <w:r>
        <w:rPr>
          <w:rFonts w:hint="eastAsia" w:ascii="Times New Roman" w:hAnsi="Times New Roman" w:eastAsia="仿宋_GB2312" w:cs="Times New Roman"/>
          <w:color w:val="000000" w:themeColor="text1"/>
          <w:sz w:val="32"/>
          <w:szCs w:val="32"/>
          <w14:textFill>
            <w14:solidFill>
              <w14:schemeClr w14:val="tx1"/>
            </w14:solidFill>
          </w14:textFill>
        </w:rPr>
        <w:t>；单位价值</w:t>
      </w:r>
      <w:r>
        <w:rPr>
          <w:rFonts w:ascii="Times New Roman" w:hAnsi="Times New Roman" w:eastAsia="仿宋_GB2312" w:cs="Times New Roman"/>
          <w:color w:val="000000" w:themeColor="text1"/>
          <w:sz w:val="32"/>
          <w:szCs w:val="32"/>
          <w14:textFill>
            <w14:solidFill>
              <w14:schemeClr w14:val="tx1"/>
            </w14:solidFill>
          </w14:textFill>
        </w:rPr>
        <w:t>100</w:t>
      </w:r>
      <w:r>
        <w:rPr>
          <w:rFonts w:hint="eastAsia" w:ascii="Times New Roman" w:hAnsi="Times New Roman" w:eastAsia="仿宋_GB2312" w:cs="Times New Roman"/>
          <w:color w:val="000000" w:themeColor="text1"/>
          <w:sz w:val="32"/>
          <w:szCs w:val="32"/>
          <w14:textFill>
            <w14:solidFill>
              <w14:schemeClr w14:val="tx1"/>
            </w14:solidFill>
          </w14:textFill>
        </w:rPr>
        <w:t>万元以上设备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（不含车辆）</w:t>
      </w:r>
      <w:r>
        <w:rPr>
          <w:rFonts w:ascii="Times New Roman" w:hAnsi="Times New Roman" w:eastAsia="仿宋_GB2312" w:cs="Times New Roman"/>
          <w:color w:val="000000" w:themeColor="text1"/>
          <w:sz w:val="32"/>
          <w:szCs w:val="32"/>
          <w14:textFill>
            <w14:solidFill>
              <w14:schemeClr w14:val="tx1"/>
            </w14:solidFill>
          </w14:textFill>
        </w:rPr>
        <w:t>0</w:t>
      </w:r>
      <w:r>
        <w:rPr>
          <w:rFonts w:hint="eastAsia" w:ascii="Times New Roman" w:hAnsi="Times New Roman" w:eastAsia="仿宋_GB2312" w:cs="Times New Roman"/>
          <w:color w:val="000000" w:themeColor="text1"/>
          <w:sz w:val="32"/>
          <w:szCs w:val="32"/>
          <w14:textFill>
            <w14:solidFill>
              <w14:schemeClr w14:val="tx1"/>
            </w14:solidFill>
          </w14:textFill>
        </w:rPr>
        <w:t>台（套）。</w:t>
      </w:r>
    </w:p>
    <w:p>
      <w:pPr>
        <w:pStyle w:val="13"/>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十</w:t>
      </w:r>
      <w:r>
        <w:rPr>
          <w:rFonts w:hint="eastAsia" w:ascii="Times New Roman" w:hAnsi="Times New Roman" w:cs="Times New Roman"/>
          <w:bCs/>
          <w:color w:val="000000" w:themeColor="text1"/>
          <w:sz w:val="32"/>
          <w:szCs w:val="32"/>
          <w:lang w:eastAsia="zh-CN"/>
          <w14:textFill>
            <w14:solidFill>
              <w14:schemeClr w14:val="tx1"/>
            </w14:solidFill>
          </w14:textFill>
        </w:rPr>
        <w:t>四</w:t>
      </w:r>
      <w:r>
        <w:rPr>
          <w:rFonts w:ascii="Times New Roman" w:hAnsi="Times New Roman" w:cs="Times New Roman"/>
          <w:bCs/>
          <w:color w:val="000000" w:themeColor="text1"/>
          <w:sz w:val="32"/>
          <w:szCs w:val="32"/>
          <w14:textFill>
            <w14:solidFill>
              <w14:schemeClr w14:val="tx1"/>
            </w14:solidFill>
          </w14:textFill>
        </w:rPr>
        <w:t>、关于</w:t>
      </w: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Times New Roman" w:cs="Times New Roman"/>
          <w:bCs/>
          <w:color w:val="000000" w:themeColor="text1"/>
          <w:sz w:val="32"/>
          <w:szCs w:val="32"/>
          <w14:textFill>
            <w14:solidFill>
              <w14:schemeClr w14:val="tx1"/>
            </w14:solidFill>
          </w14:textFill>
        </w:rPr>
        <w:t>年度预算绩效情况的说明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cs="Times New Roman"/>
          <w:color w:val="000000" w:themeColor="text1"/>
          <w:sz w:val="72"/>
          <w:szCs w:val="7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我单位高度重视预算绩效管理工作，本年度工作推进顺利、成效显著。严格按照政策要求和规范流程，我们全面完成了2024年度绩效评价工作。评价内容系统覆盖预算执行进度、总体目标实现情况和各项绩效指标的实际完成质量。整个过程科学规范，评价结果客观准确，所有自评材料均已按规定在我单位官网公开，主动接受社会监督。绩效评价结果已切实应用于下年度预算安排和政策优化，与资金分配直接挂钩，并用于提升项目管理、完善政策措施、督促落实整改，持续提高资金使用效益，实现了全流程闭环管理。（绩效自评报告见附件）</w:t>
      </w:r>
    </w:p>
    <w:p>
      <w:pPr>
        <w:pStyle w:val="13"/>
        <w:spacing w:line="360" w:lineRule="auto"/>
        <w:jc w:val="center"/>
        <w:rPr>
          <w:rFonts w:ascii="Times New Roman" w:hAnsi="Times New Roman" w:eastAsia="方正小标宋_GBK" w:cs="Times New Roman"/>
          <w:color w:val="000000" w:themeColor="text1"/>
          <w:sz w:val="52"/>
          <w:szCs w:val="52"/>
          <w14:textFill>
            <w14:solidFill>
              <w14:schemeClr w14:val="tx1"/>
            </w14:solidFill>
          </w14:textFill>
        </w:rPr>
      </w:pPr>
      <w:r>
        <w:rPr>
          <w:rFonts w:ascii="Times New Roman" w:hAnsi="Times New Roman" w:eastAsia="方正小标宋_GBK" w:cs="Times New Roman"/>
          <w:color w:val="000000" w:themeColor="text1"/>
          <w:sz w:val="52"/>
          <w:szCs w:val="52"/>
          <w14:textFill>
            <w14:solidFill>
              <w14:schemeClr w14:val="tx1"/>
            </w14:solidFill>
          </w14:textFill>
        </w:rPr>
        <w:t>第四部分    名词解释</w:t>
      </w:r>
    </w:p>
    <w:p>
      <w:pPr>
        <w:widowControl/>
        <w:jc w:val="left"/>
        <w:rPr>
          <w:rFonts w:ascii="Times New Roman" w:hAnsi="Times New Roman" w:cs="Times New Roman"/>
          <w:color w:val="000000" w:themeColor="text1"/>
          <w:kern w:val="0"/>
          <w:sz w:val="32"/>
          <w:szCs w:val="32"/>
          <w14:textFill>
            <w14:solidFill>
              <w14:schemeClr w14:val="tx1"/>
            </w14:solidFill>
          </w14:textFill>
        </w:rPr>
      </w:pPr>
    </w:p>
    <w:p>
      <w:pPr>
        <w:widowControl/>
        <w:shd w:val="clear" w:color="auto" w:fill="FFFFFF"/>
        <w:spacing w:before="225" w:line="600" w:lineRule="exact"/>
        <w:ind w:firstLine="640"/>
        <w:jc w:val="left"/>
        <w:textAlignment w:val="baseline"/>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kern w:val="0"/>
          <w:sz w:val="30"/>
          <w:szCs w:val="30"/>
          <w:shd w:val="clear" w:color="auto" w:fill="FFFFFF"/>
          <w14:textFill>
            <w14:solidFill>
              <w14:schemeClr w14:val="tx1"/>
            </w14:solidFill>
          </w14:textFill>
        </w:rPr>
        <w:t>一、机关运行经费：</w:t>
      </w:r>
      <w:r>
        <w:rPr>
          <w:rFonts w:hint="eastAsia" w:ascii="仿宋" w:hAnsi="仿宋" w:eastAsia="仿宋" w:cs="仿宋"/>
          <w:color w:val="000000" w:themeColor="text1"/>
          <w:kern w:val="0"/>
          <w:sz w:val="30"/>
          <w:szCs w:val="30"/>
          <w:shd w:val="clear" w:color="auto" w:fill="FFFFFF"/>
          <w14:textFill>
            <w14:solidFill>
              <w14:schemeClr w14:val="tx1"/>
            </w14:solidFill>
          </w14:textFill>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pPr>
        <w:widowControl/>
        <w:shd w:val="clear" w:color="auto" w:fill="FFFFFF"/>
        <w:spacing w:before="225" w:line="600" w:lineRule="exact"/>
        <w:ind w:firstLine="640"/>
        <w:jc w:val="left"/>
        <w:textAlignment w:val="baseline"/>
        <w:rPr>
          <w:rFonts w:ascii="仿宋" w:hAnsi="仿宋" w:eastAsia="仿宋" w:cs="仿宋"/>
          <w:color w:val="000000" w:themeColor="text1"/>
          <w:kern w:val="0"/>
          <w:sz w:val="30"/>
          <w:szCs w:val="30"/>
          <w:shd w:val="clear" w:color="auto" w:fill="FFFFFF"/>
          <w14:textFill>
            <w14:solidFill>
              <w14:schemeClr w14:val="tx1"/>
            </w14:solidFill>
          </w14:textFill>
        </w:rPr>
      </w:pPr>
      <w:r>
        <w:rPr>
          <w:rFonts w:hint="eastAsia" w:ascii="仿宋" w:hAnsi="仿宋" w:eastAsia="仿宋" w:cs="仿宋"/>
          <w:b/>
          <w:bCs/>
          <w:color w:val="000000" w:themeColor="text1"/>
          <w:kern w:val="0"/>
          <w:sz w:val="30"/>
          <w:szCs w:val="30"/>
          <w:shd w:val="clear" w:color="auto" w:fill="FFFFFF"/>
          <w14:textFill>
            <w14:solidFill>
              <w14:schemeClr w14:val="tx1"/>
            </w14:solidFill>
          </w14:textFill>
        </w:rPr>
        <w:t>二、“三公”经费：</w:t>
      </w:r>
      <w:r>
        <w:rPr>
          <w:rFonts w:hint="eastAsia" w:ascii="仿宋" w:hAnsi="仿宋" w:eastAsia="仿宋" w:cs="仿宋"/>
          <w:color w:val="000000" w:themeColor="text1"/>
          <w:kern w:val="0"/>
          <w:sz w:val="30"/>
          <w:szCs w:val="30"/>
          <w:shd w:val="clear" w:color="auto" w:fill="FFFFFF"/>
          <w14:textFill>
            <w14:solidFill>
              <w14:schemeClr w14:val="tx1"/>
            </w14:solidFill>
          </w14:textFill>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pPr>
        <w:pStyle w:val="13"/>
        <w:jc w:val="center"/>
        <w:rPr>
          <w:rFonts w:ascii="Times New Roman" w:hAnsi="Times New Roman" w:cs="Times New Roman"/>
          <w:color w:val="000000" w:themeColor="text1"/>
          <w:sz w:val="72"/>
          <w:szCs w:val="72"/>
          <w14:textFill>
            <w14:solidFill>
              <w14:schemeClr w14:val="tx1"/>
            </w14:solidFill>
          </w14:textFill>
        </w:rPr>
      </w:pPr>
    </w:p>
    <w:p>
      <w:pPr>
        <w:pStyle w:val="13"/>
        <w:jc w:val="center"/>
        <w:rPr>
          <w:rFonts w:ascii="Times New Roman" w:hAnsi="Times New Roman" w:cs="Times New Roman"/>
          <w:color w:val="000000" w:themeColor="text1"/>
          <w:sz w:val="72"/>
          <w:szCs w:val="72"/>
          <w14:textFill>
            <w14:solidFill>
              <w14:schemeClr w14:val="tx1"/>
            </w14:solidFill>
          </w14:textFill>
        </w:rPr>
      </w:pPr>
    </w:p>
    <w:p>
      <w:pPr>
        <w:pStyle w:val="13"/>
        <w:spacing w:line="360" w:lineRule="auto"/>
        <w:jc w:val="center"/>
        <w:rPr>
          <w:rFonts w:ascii="Times New Roman" w:hAnsi="Times New Roman" w:eastAsia="方正小标宋_GBK" w:cs="Times New Roman"/>
          <w:color w:val="000000" w:themeColor="text1"/>
          <w:sz w:val="52"/>
          <w:szCs w:val="52"/>
          <w14:textFill>
            <w14:solidFill>
              <w14:schemeClr w14:val="tx1"/>
            </w14:solidFill>
          </w14:textFill>
        </w:rPr>
      </w:pPr>
      <w:r>
        <w:rPr>
          <w:rFonts w:ascii="Times New Roman" w:hAnsi="Times New Roman" w:eastAsia="方正小标宋_GBK" w:cs="Times New Roman"/>
          <w:color w:val="000000" w:themeColor="text1"/>
          <w:sz w:val="52"/>
          <w:szCs w:val="52"/>
          <w14:textFill>
            <w14:solidFill>
              <w14:schemeClr w14:val="tx1"/>
            </w14:solidFill>
          </w14:textFill>
        </w:rPr>
        <w:t>第五部分   附 件</w:t>
      </w:r>
    </w:p>
    <w:p>
      <w:pPr>
        <w:rPr>
          <w:rFonts w:ascii="Times New Roman" w:hAnsi="Times New Roman" w:cs="Times New Roman"/>
          <w:color w:val="000000" w:themeColor="text1"/>
          <w:sz w:val="72"/>
          <w:szCs w:val="72"/>
          <w14:textFill>
            <w14:solidFill>
              <w14:schemeClr w14:val="tx1"/>
            </w14:solidFill>
          </w14:textFill>
        </w:rPr>
      </w:pP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一、</w:t>
      </w:r>
      <w:r>
        <w:rPr>
          <w:rFonts w:hint="eastAsia" w:ascii="Times New Roman" w:hAnsi="Times New Roman" w:eastAsia="仿宋_GB2312"/>
          <w:color w:val="000000" w:themeColor="text1"/>
          <w:sz w:val="32"/>
          <w:szCs w:val="32"/>
          <w:lang w:val="en-US" w:eastAsia="zh-CN"/>
          <w14:textFill>
            <w14:solidFill>
              <w14:schemeClr w14:val="tx1"/>
            </w14:solidFill>
          </w14:textFill>
        </w:rPr>
        <w:t>2024年度部门整体支出绩效自评报告</w:t>
      </w: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二、</w:t>
      </w:r>
      <w:r>
        <w:rPr>
          <w:rFonts w:hint="eastAsia" w:ascii="Times New Roman" w:hAnsi="Times New Roman" w:eastAsia="仿宋_GB2312"/>
          <w:color w:val="000000" w:themeColor="text1"/>
          <w:sz w:val="32"/>
          <w:szCs w:val="32"/>
          <w:lang w:val="en-US" w:eastAsia="zh-CN"/>
          <w14:textFill>
            <w14:solidFill>
              <w14:schemeClr w14:val="tx1"/>
            </w14:solidFill>
          </w14:textFill>
        </w:rPr>
        <w:t>2024年度部门专项支出绩效自评报告</w:t>
      </w: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三、2024年度部门决算公开表</w:t>
      </w:r>
    </w:p>
    <w:p>
      <w:pPr>
        <w:pStyle w:val="13"/>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pStyle w:val="13"/>
        <w:jc w:val="center"/>
        <w:rPr>
          <w:rFonts w:ascii="Times New Roman" w:hAnsi="Times New Roman" w:cs="Times New Roman"/>
          <w:color w:val="000000" w:themeColor="text1"/>
          <w:sz w:val="72"/>
          <w:szCs w:val="72"/>
          <w14:textFill>
            <w14:solidFill>
              <w14:schemeClr w14:val="tx1"/>
            </w14:solidFill>
          </w14:textFill>
        </w:rPr>
      </w:pPr>
    </w:p>
    <w:p>
      <w:pPr>
        <w:pStyle w:val="13"/>
        <w:jc w:val="center"/>
        <w:rPr>
          <w:rFonts w:ascii="Times New Roman" w:hAnsi="Times New Roman" w:cs="Times New Roman"/>
          <w:color w:val="000000" w:themeColor="text1"/>
          <w:sz w:val="72"/>
          <w:szCs w:val="72"/>
          <w14:textFill>
            <w14:solidFill>
              <w14:schemeClr w14:val="tx1"/>
            </w14:solidFill>
          </w14:textFill>
        </w:rPr>
      </w:pPr>
    </w:p>
    <w:p>
      <w:pPr>
        <w:pStyle w:val="13"/>
        <w:jc w:val="center"/>
        <w:rPr>
          <w:rFonts w:ascii="Times New Roman" w:hAnsi="Times New Roman" w:cs="Times New Roman"/>
          <w:color w:val="000000" w:themeColor="text1"/>
          <w:sz w:val="72"/>
          <w:szCs w:val="72"/>
          <w14:textFill>
            <w14:solidFill>
              <w14:schemeClr w14:val="tx1"/>
            </w14:solidFill>
          </w14:textFill>
        </w:rPr>
      </w:pPr>
    </w:p>
    <w:p>
      <w:pPr>
        <w:pStyle w:val="13"/>
        <w:jc w:val="center"/>
        <w:rPr>
          <w:rFonts w:ascii="Times New Roman" w:hAnsi="Times New Roman" w:cs="Times New Roman"/>
          <w:color w:val="000000" w:themeColor="text1"/>
          <w:sz w:val="72"/>
          <w:szCs w:val="72"/>
          <w14:textFill>
            <w14:solidFill>
              <w14:schemeClr w14:val="tx1"/>
            </w14:solidFill>
          </w14:textFill>
        </w:rPr>
      </w:pPr>
    </w:p>
    <w:p>
      <w:pPr>
        <w:jc w:val="left"/>
        <w:rPr>
          <w:rFonts w:ascii="Times New Roman" w:hAnsi="Times New Roman" w:cs="Times New Roman"/>
          <w:color w:val="000000" w:themeColor="text1"/>
          <w:kern w:val="0"/>
          <w:sz w:val="32"/>
          <w:szCs w:val="32"/>
          <w14:textFill>
            <w14:solidFill>
              <w14:schemeClr w14:val="tx1"/>
            </w14:solidFill>
          </w14:textFill>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NGZkYjc0YjgxYjJkMGNhOTQzOWY5ZmNjM2RlMWY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099E"/>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0F3B4F"/>
    <w:rsid w:val="02924A37"/>
    <w:rsid w:val="033124A2"/>
    <w:rsid w:val="06AE0FE1"/>
    <w:rsid w:val="07177C01"/>
    <w:rsid w:val="072145DC"/>
    <w:rsid w:val="07481B68"/>
    <w:rsid w:val="087E25F9"/>
    <w:rsid w:val="08F84E04"/>
    <w:rsid w:val="093B3FFD"/>
    <w:rsid w:val="09E15A70"/>
    <w:rsid w:val="09EF563E"/>
    <w:rsid w:val="0AFC3A37"/>
    <w:rsid w:val="0BC124B6"/>
    <w:rsid w:val="0C446F8E"/>
    <w:rsid w:val="0C8156A7"/>
    <w:rsid w:val="0DCD726B"/>
    <w:rsid w:val="0DDE4FD5"/>
    <w:rsid w:val="0EDC703A"/>
    <w:rsid w:val="0EED6E0A"/>
    <w:rsid w:val="0F143AB4"/>
    <w:rsid w:val="0F147C21"/>
    <w:rsid w:val="103D6EAA"/>
    <w:rsid w:val="13173AA0"/>
    <w:rsid w:val="131B2827"/>
    <w:rsid w:val="13BF6371"/>
    <w:rsid w:val="1432607A"/>
    <w:rsid w:val="14976965"/>
    <w:rsid w:val="152579CF"/>
    <w:rsid w:val="159266A5"/>
    <w:rsid w:val="15D522F4"/>
    <w:rsid w:val="15F80BFE"/>
    <w:rsid w:val="16753FFC"/>
    <w:rsid w:val="16CD208A"/>
    <w:rsid w:val="17B05F7A"/>
    <w:rsid w:val="181A3DB0"/>
    <w:rsid w:val="187327BD"/>
    <w:rsid w:val="18B20495"/>
    <w:rsid w:val="19DC4392"/>
    <w:rsid w:val="1AE23C2A"/>
    <w:rsid w:val="1B293607"/>
    <w:rsid w:val="1D32538B"/>
    <w:rsid w:val="1D97DEFF"/>
    <w:rsid w:val="1DAA6C81"/>
    <w:rsid w:val="1DFF72E5"/>
    <w:rsid w:val="1E85149C"/>
    <w:rsid w:val="1E890F8D"/>
    <w:rsid w:val="1E9B6CFD"/>
    <w:rsid w:val="1EFC6F07"/>
    <w:rsid w:val="20124FB2"/>
    <w:rsid w:val="23627FFE"/>
    <w:rsid w:val="24044C11"/>
    <w:rsid w:val="25B2317F"/>
    <w:rsid w:val="25DD571A"/>
    <w:rsid w:val="25FC46A0"/>
    <w:rsid w:val="261C6242"/>
    <w:rsid w:val="27895B59"/>
    <w:rsid w:val="279B588D"/>
    <w:rsid w:val="29194CBB"/>
    <w:rsid w:val="292024ED"/>
    <w:rsid w:val="294066EC"/>
    <w:rsid w:val="2B321298"/>
    <w:rsid w:val="2C11436F"/>
    <w:rsid w:val="2C882884"/>
    <w:rsid w:val="2CF72DFA"/>
    <w:rsid w:val="2D8F7C42"/>
    <w:rsid w:val="2DC154FE"/>
    <w:rsid w:val="2DC36F76"/>
    <w:rsid w:val="2EC80C7F"/>
    <w:rsid w:val="2F2820CA"/>
    <w:rsid w:val="2F535122"/>
    <w:rsid w:val="2FDF85B8"/>
    <w:rsid w:val="2FFFEE04"/>
    <w:rsid w:val="301A44E0"/>
    <w:rsid w:val="31BF54B8"/>
    <w:rsid w:val="31E51AE5"/>
    <w:rsid w:val="31F80D43"/>
    <w:rsid w:val="32257B03"/>
    <w:rsid w:val="328E2276"/>
    <w:rsid w:val="32F347CF"/>
    <w:rsid w:val="333E1EEE"/>
    <w:rsid w:val="336E20A7"/>
    <w:rsid w:val="337D2012"/>
    <w:rsid w:val="344C0A63"/>
    <w:rsid w:val="34DF85B0"/>
    <w:rsid w:val="34F03193"/>
    <w:rsid w:val="35C83CF1"/>
    <w:rsid w:val="36160F00"/>
    <w:rsid w:val="368F0CB2"/>
    <w:rsid w:val="37AC319E"/>
    <w:rsid w:val="38575800"/>
    <w:rsid w:val="387C7014"/>
    <w:rsid w:val="38F17A02"/>
    <w:rsid w:val="391A58BC"/>
    <w:rsid w:val="39D26C72"/>
    <w:rsid w:val="3B8F36BC"/>
    <w:rsid w:val="3C786C21"/>
    <w:rsid w:val="3E3A773C"/>
    <w:rsid w:val="3ECA02C5"/>
    <w:rsid w:val="429E7307"/>
    <w:rsid w:val="42D201CB"/>
    <w:rsid w:val="4429413D"/>
    <w:rsid w:val="453D1570"/>
    <w:rsid w:val="47DC7D8E"/>
    <w:rsid w:val="47F0626B"/>
    <w:rsid w:val="485A1120"/>
    <w:rsid w:val="491FF225"/>
    <w:rsid w:val="4A9A1CA8"/>
    <w:rsid w:val="4AAA7A11"/>
    <w:rsid w:val="4B121D62"/>
    <w:rsid w:val="4B434555"/>
    <w:rsid w:val="4B700C5B"/>
    <w:rsid w:val="4CF82CB6"/>
    <w:rsid w:val="4F4345B8"/>
    <w:rsid w:val="4FFD214C"/>
    <w:rsid w:val="51166C3E"/>
    <w:rsid w:val="52EA7778"/>
    <w:rsid w:val="53A5521A"/>
    <w:rsid w:val="53D0673A"/>
    <w:rsid w:val="54DE2FC8"/>
    <w:rsid w:val="55DB4F23"/>
    <w:rsid w:val="55F62501"/>
    <w:rsid w:val="566A0555"/>
    <w:rsid w:val="56835CE6"/>
    <w:rsid w:val="5777D4F5"/>
    <w:rsid w:val="59DD8326"/>
    <w:rsid w:val="5A660C42"/>
    <w:rsid w:val="5B896465"/>
    <w:rsid w:val="5BA150F9"/>
    <w:rsid w:val="5BA364E3"/>
    <w:rsid w:val="5BAC35E9"/>
    <w:rsid w:val="5D3C16A8"/>
    <w:rsid w:val="5DEF592A"/>
    <w:rsid w:val="5EA762EA"/>
    <w:rsid w:val="5EC34F6F"/>
    <w:rsid w:val="5EFD415C"/>
    <w:rsid w:val="5F0E0117"/>
    <w:rsid w:val="5FC6BB1E"/>
    <w:rsid w:val="5FF720F1"/>
    <w:rsid w:val="600D4872"/>
    <w:rsid w:val="604F09E7"/>
    <w:rsid w:val="60A170F3"/>
    <w:rsid w:val="60B81E3B"/>
    <w:rsid w:val="619739EC"/>
    <w:rsid w:val="62B86D17"/>
    <w:rsid w:val="62BC7559"/>
    <w:rsid w:val="62D24417"/>
    <w:rsid w:val="62E47B0C"/>
    <w:rsid w:val="62E87C0A"/>
    <w:rsid w:val="63522EC7"/>
    <w:rsid w:val="63EC69E9"/>
    <w:rsid w:val="643D0D5F"/>
    <w:rsid w:val="64626908"/>
    <w:rsid w:val="64C64FF0"/>
    <w:rsid w:val="65ED6CD8"/>
    <w:rsid w:val="66475777"/>
    <w:rsid w:val="67206C39"/>
    <w:rsid w:val="67370F2E"/>
    <w:rsid w:val="67395F4D"/>
    <w:rsid w:val="678C0773"/>
    <w:rsid w:val="67FF5C0B"/>
    <w:rsid w:val="685E5C6B"/>
    <w:rsid w:val="6A9E17EE"/>
    <w:rsid w:val="6DB061FF"/>
    <w:rsid w:val="6DF66946"/>
    <w:rsid w:val="6E102103"/>
    <w:rsid w:val="6E9C129B"/>
    <w:rsid w:val="6EFC0924"/>
    <w:rsid w:val="6FAC19B2"/>
    <w:rsid w:val="6FB74722"/>
    <w:rsid w:val="6FEF5D43"/>
    <w:rsid w:val="6FEF8B7E"/>
    <w:rsid w:val="70234260"/>
    <w:rsid w:val="70497875"/>
    <w:rsid w:val="70664980"/>
    <w:rsid w:val="71A6591B"/>
    <w:rsid w:val="72F603BB"/>
    <w:rsid w:val="737D59BA"/>
    <w:rsid w:val="73FF032A"/>
    <w:rsid w:val="752A1C3D"/>
    <w:rsid w:val="753453A3"/>
    <w:rsid w:val="75A153E9"/>
    <w:rsid w:val="75EE0C4D"/>
    <w:rsid w:val="761A519B"/>
    <w:rsid w:val="766C3C49"/>
    <w:rsid w:val="77050DB0"/>
    <w:rsid w:val="77130CFA"/>
    <w:rsid w:val="77C37683"/>
    <w:rsid w:val="786B1948"/>
    <w:rsid w:val="795A1158"/>
    <w:rsid w:val="79D19834"/>
    <w:rsid w:val="79FF515B"/>
    <w:rsid w:val="7A487B1A"/>
    <w:rsid w:val="7D8E070A"/>
    <w:rsid w:val="7E2C6B63"/>
    <w:rsid w:val="7E2E3E52"/>
    <w:rsid w:val="7E9D6BCF"/>
    <w:rsid w:val="7E9E1962"/>
    <w:rsid w:val="7E9F11B4"/>
    <w:rsid w:val="7F37EC1E"/>
    <w:rsid w:val="7F7DCD9D"/>
    <w:rsid w:val="7F970A6F"/>
    <w:rsid w:val="7FC1FFF3"/>
    <w:rsid w:val="7FC69637"/>
    <w:rsid w:val="7FDF8620"/>
    <w:rsid w:val="7FE8C8F7"/>
    <w:rsid w:val="7FEF579C"/>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kern w:val="0"/>
      <w:sz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5384</Words>
  <Characters>6129</Characters>
  <Lines>69</Lines>
  <Paragraphs>19</Paragraphs>
  <TotalTime>14</TotalTime>
  <ScaleCrop>false</ScaleCrop>
  <LinksUpToDate>false</LinksUpToDate>
  <CharactersWithSpaces>6166</CharactersWithSpaces>
  <Application>WPS Office_11.8.2.12012_F1E327BC-269C-435d-A152-05C5408002CA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2025-08-18T18:17:00Z</dcterms:created>
  <dc:creator>李航 null</dc:creator>
  <cp:lastModifiedBy>thtf</cp:lastModifiedBy>
  <cp:lastPrinted>2024-08-09T02:20:00Z</cp:lastPrinted>
  <dcterms:modified xsi:type="dcterms:W3CDTF">2025-09-22T11:09:42Z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2052-11.8.2.12012</vt:lpwstr>
  </property>
  <property fmtid="{D5CDD505-2E9C-101B-9397-08002B2CF9AE}" pid="3" name="ICV">
    <vt:lpwstr>BB7B6AA21D207914D6FDA268992A22D6</vt:lpwstr>
  </property>
</Properties>
</file>