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2FF9A">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0AFDEAC">
      <w:pPr>
        <w:pStyle w:val="14"/>
        <w:jc w:val="center"/>
        <w:rPr>
          <w:rFonts w:ascii="Times New Roman" w:hAnsi="Times New Roman" w:cs="Times New Roman"/>
          <w:sz w:val="56"/>
          <w:szCs w:val="56"/>
        </w:rPr>
      </w:pPr>
    </w:p>
    <w:p w14:paraId="6390F245">
      <w:pPr>
        <w:pStyle w:val="14"/>
        <w:jc w:val="center"/>
        <w:rPr>
          <w:rFonts w:ascii="Times New Roman" w:hAnsi="Times New Roman" w:cs="Times New Roman"/>
          <w:sz w:val="84"/>
          <w:szCs w:val="84"/>
        </w:rPr>
      </w:pPr>
    </w:p>
    <w:p w14:paraId="1BAD3450">
      <w:pPr>
        <w:pStyle w:val="14"/>
        <w:jc w:val="center"/>
        <w:rPr>
          <w:rFonts w:ascii="Times New Roman" w:hAnsi="Times New Roman" w:cs="Times New Roman"/>
          <w:sz w:val="84"/>
          <w:szCs w:val="84"/>
        </w:rPr>
      </w:pPr>
    </w:p>
    <w:p w14:paraId="332FF056">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16E993A">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怀化市人民政府研究室</w:t>
      </w:r>
    </w:p>
    <w:p w14:paraId="3CE97477">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2FA0903F">
      <w:pPr>
        <w:pStyle w:val="14"/>
        <w:jc w:val="center"/>
        <w:rPr>
          <w:rFonts w:ascii="Times New Roman" w:hAnsi="Times New Roman" w:eastAsia="方正小标宋_GBK" w:cs="Times New Roman"/>
          <w:sz w:val="56"/>
          <w:szCs w:val="56"/>
        </w:rPr>
      </w:pPr>
    </w:p>
    <w:p w14:paraId="608E38C6">
      <w:pPr>
        <w:pStyle w:val="14"/>
        <w:jc w:val="center"/>
        <w:rPr>
          <w:rFonts w:ascii="Times New Roman" w:hAnsi="Times New Roman" w:cs="Times New Roman"/>
          <w:sz w:val="56"/>
          <w:szCs w:val="56"/>
        </w:rPr>
      </w:pPr>
    </w:p>
    <w:p w14:paraId="7C9B8E62">
      <w:pPr>
        <w:pStyle w:val="14"/>
        <w:rPr>
          <w:rFonts w:ascii="Times New Roman" w:hAnsi="Times New Roman" w:cs="Times New Roman"/>
          <w:sz w:val="56"/>
          <w:szCs w:val="56"/>
        </w:rPr>
      </w:pPr>
    </w:p>
    <w:p w14:paraId="6901674F">
      <w:pPr>
        <w:pStyle w:val="14"/>
        <w:jc w:val="center"/>
        <w:rPr>
          <w:rFonts w:ascii="Times New Roman" w:hAnsi="Times New Roman" w:cs="Times New Roman"/>
          <w:sz w:val="32"/>
          <w:szCs w:val="32"/>
        </w:rPr>
      </w:pPr>
    </w:p>
    <w:p w14:paraId="1F16181D">
      <w:pPr>
        <w:pStyle w:val="14"/>
        <w:jc w:val="center"/>
        <w:rPr>
          <w:rFonts w:ascii="Times New Roman" w:hAnsi="Times New Roman" w:cs="Times New Roman"/>
          <w:sz w:val="32"/>
          <w:szCs w:val="32"/>
        </w:rPr>
      </w:pPr>
    </w:p>
    <w:p w14:paraId="591C32BE">
      <w:pPr>
        <w:pStyle w:val="14"/>
        <w:jc w:val="center"/>
        <w:rPr>
          <w:rFonts w:ascii="Times New Roman" w:hAnsi="Times New Roman" w:cs="Times New Roman"/>
          <w:sz w:val="32"/>
          <w:szCs w:val="32"/>
        </w:rPr>
      </w:pPr>
    </w:p>
    <w:p w14:paraId="7AF80AEA">
      <w:pPr>
        <w:pStyle w:val="14"/>
        <w:jc w:val="center"/>
        <w:rPr>
          <w:rFonts w:ascii="Times New Roman" w:hAnsi="Times New Roman" w:cs="Times New Roman"/>
          <w:sz w:val="32"/>
          <w:szCs w:val="32"/>
        </w:rPr>
      </w:pPr>
    </w:p>
    <w:p w14:paraId="5A44DA0A">
      <w:pPr>
        <w:pStyle w:val="14"/>
        <w:jc w:val="center"/>
        <w:rPr>
          <w:rFonts w:ascii="Times New Roman" w:hAnsi="Times New Roman" w:cs="Times New Roman"/>
          <w:sz w:val="32"/>
          <w:szCs w:val="32"/>
        </w:rPr>
      </w:pPr>
    </w:p>
    <w:p w14:paraId="7AF46D84">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504DE2E">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9647B81">
      <w:pPr>
        <w:pStyle w:val="14"/>
        <w:spacing w:line="600" w:lineRule="exact"/>
        <w:jc w:val="center"/>
        <w:rPr>
          <w:rFonts w:ascii="Times New Roman" w:hAnsi="Times New Roman" w:cs="Times New Roman"/>
          <w:b/>
          <w:sz w:val="36"/>
          <w:szCs w:val="28"/>
        </w:rPr>
      </w:pPr>
    </w:p>
    <w:p w14:paraId="020EAAB4">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怀化市人民政府研究室</w:t>
      </w:r>
      <w:r>
        <w:rPr>
          <w:rFonts w:ascii="Times New Roman" w:hAnsi="Times New Roman" w:cs="Times New Roman"/>
          <w:bCs/>
          <w:sz w:val="32"/>
          <w:szCs w:val="32"/>
        </w:rPr>
        <w:t>概况</w:t>
      </w:r>
    </w:p>
    <w:p w14:paraId="1F7AB51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E480A0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EC1C540">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F8A01A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3E2075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7ECE2E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79D82E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22D932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67839C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0A211E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656F19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F27910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A0082B0">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4573A1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5C320D2">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F04B3B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DD118B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8947E1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7E7A66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17805D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200E43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E1EEE3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A2AC657">
      <w:pPr>
        <w:pStyle w:val="14"/>
        <w:overflowPunct w:val="0"/>
        <w:autoSpaceDE/>
        <w:autoSpaceDN/>
        <w:spacing w:line="600" w:lineRule="exact"/>
        <w:jc w:val="both"/>
        <w:rPr>
          <w:rFonts w:ascii="Times New Roman" w:hAnsi="Times New Roman" w:cs="Times New Roman"/>
          <w:bCs/>
          <w:color w:val="FF0000"/>
          <w:sz w:val="32"/>
          <w:szCs w:val="32"/>
        </w:rPr>
      </w:pPr>
      <w:r>
        <w:rPr>
          <w:rFonts w:hint="eastAsia" w:ascii="Times New Roman" w:hAnsi="Times New Roman" w:eastAsia="仿宋_GB2312" w:cs="Times New Roman"/>
          <w:color w:val="000000"/>
          <w:kern w:val="0"/>
          <w:sz w:val="32"/>
          <w:szCs w:val="32"/>
          <w:lang w:val="en-US" w:eastAsia="zh-CN"/>
        </w:rPr>
        <w:t>九、</w:t>
      </w:r>
      <w:r>
        <w:rPr>
          <w:rFonts w:hint="eastAsia" w:ascii="Times New Roman" w:hAnsi="Times New Roman" w:eastAsia="仿宋_GB2312" w:cs="Times New Roman"/>
          <w:color w:val="000000"/>
          <w:kern w:val="0"/>
          <w:sz w:val="32"/>
          <w:szCs w:val="32"/>
          <w:lang w:val="en-US" w:eastAsia="zh-CN" w:bidi="ar-SA"/>
        </w:rPr>
        <w:t>国有资本经营预算</w:t>
      </w:r>
      <w:r>
        <w:rPr>
          <w:rFonts w:ascii="Times New Roman" w:hAnsi="Times New Roman" w:eastAsia="仿宋_GB2312" w:cs="Times New Roman"/>
          <w:color w:val="000000"/>
          <w:kern w:val="0"/>
          <w:sz w:val="32"/>
          <w:szCs w:val="32"/>
          <w:lang w:val="en-US" w:eastAsia="zh-CN" w:bidi="ar-SA"/>
        </w:rPr>
        <w:t>收入支出决算情况</w:t>
      </w:r>
    </w:p>
    <w:p w14:paraId="7A33A0C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5CFAA6E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7BB2EEA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756654E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2B111EE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C818BAE">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559CAB7">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10CE7F3">
      <w:pPr>
        <w:pStyle w:val="14"/>
        <w:spacing w:line="600" w:lineRule="exact"/>
        <w:rPr>
          <w:rFonts w:ascii="Times New Roman" w:hAnsi="Times New Roman" w:cs="Times New Roman"/>
          <w:bCs/>
          <w:sz w:val="28"/>
          <w:szCs w:val="28"/>
        </w:rPr>
      </w:pPr>
    </w:p>
    <w:p w14:paraId="158F7C59">
      <w:pPr>
        <w:jc w:val="center"/>
        <w:rPr>
          <w:rFonts w:ascii="Times New Roman" w:hAnsi="Times New Roman" w:cs="Times New Roman"/>
          <w:sz w:val="72"/>
          <w:szCs w:val="72"/>
        </w:rPr>
      </w:pPr>
    </w:p>
    <w:p w14:paraId="155D7B24">
      <w:pPr>
        <w:jc w:val="center"/>
        <w:rPr>
          <w:rFonts w:ascii="Times New Roman" w:hAnsi="Times New Roman" w:cs="Times New Roman"/>
          <w:sz w:val="72"/>
          <w:szCs w:val="72"/>
        </w:rPr>
      </w:pPr>
    </w:p>
    <w:p w14:paraId="342E0404">
      <w:pPr>
        <w:jc w:val="center"/>
        <w:rPr>
          <w:rFonts w:ascii="Times New Roman" w:hAnsi="Times New Roman" w:cs="Times New Roman"/>
          <w:sz w:val="72"/>
          <w:szCs w:val="72"/>
        </w:rPr>
      </w:pPr>
    </w:p>
    <w:p w14:paraId="7D381D9F">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F220B17">
      <w:pPr>
        <w:rPr>
          <w:rFonts w:ascii="Times New Roman" w:hAnsi="Times New Roman" w:eastAsia="方正小标宋_GBK" w:cs="Times New Roman"/>
          <w:sz w:val="72"/>
          <w:szCs w:val="72"/>
        </w:rPr>
      </w:pPr>
    </w:p>
    <w:p w14:paraId="45549F8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0CECCD0B">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怀化市人民政府研究室</w:t>
      </w:r>
      <w:r>
        <w:rPr>
          <w:rFonts w:ascii="Times New Roman" w:hAnsi="Times New Roman" w:eastAsia="方正小标宋_GBK" w:cs="Times New Roman"/>
          <w:sz w:val="52"/>
          <w:szCs w:val="52"/>
        </w:rPr>
        <w:t>概况</w:t>
      </w:r>
    </w:p>
    <w:p w14:paraId="5FB21800">
      <w:pPr>
        <w:pStyle w:val="3"/>
        <w:ind w:left="0" w:leftChars="0" w:firstLine="0" w:firstLineChars="0"/>
        <w:rPr>
          <w:rFonts w:ascii="Times New Roman" w:hAnsi="Times New Roman" w:cs="Times New Roman"/>
        </w:rPr>
      </w:pPr>
    </w:p>
    <w:p w14:paraId="22BD86CA">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83EEEF5">
      <w:pPr>
        <w:keepNext w:val="0"/>
        <w:keepLines w:val="0"/>
        <w:pageBreakBefore w:val="0"/>
        <w:widowControl/>
        <w:shd w:val="clear" w:color="auto" w:fill="FFFFFF"/>
        <w:kinsoku/>
        <w:wordWrap/>
        <w:topLinePunct w:val="0"/>
        <w:autoSpaceDE/>
        <w:autoSpaceDN/>
        <w:bidi w:val="0"/>
        <w:spacing w:line="560" w:lineRule="exact"/>
        <w:ind w:firstLine="632" w:firstLineChars="200"/>
        <w:rPr>
          <w:rFonts w:hint="eastAsia" w:ascii="仿宋" w:hAnsi="仿宋" w:eastAsia="仿宋" w:cs="仿宋"/>
          <w:spacing w:val="-2"/>
          <w:sz w:val="32"/>
          <w:szCs w:val="32"/>
          <w:lang w:val="en-US" w:eastAsia="zh-CN"/>
        </w:rPr>
      </w:pPr>
      <w:r>
        <w:rPr>
          <w:rFonts w:hint="eastAsia" w:ascii="仿宋" w:hAnsi="仿宋" w:eastAsia="仿宋" w:cs="仿宋"/>
          <w:spacing w:val="-2"/>
          <w:sz w:val="32"/>
          <w:szCs w:val="32"/>
          <w:lang w:val="en-US" w:eastAsia="zh-CN"/>
        </w:rPr>
        <w:t>（1）负责《政府工作报告》和市政府主要领导同志重要讲话、报告、文章的起草及有关新闻稿的审定。</w:t>
      </w:r>
    </w:p>
    <w:p w14:paraId="600EFBCD">
      <w:pPr>
        <w:keepNext w:val="0"/>
        <w:keepLines w:val="0"/>
        <w:pageBreakBefore w:val="0"/>
        <w:widowControl/>
        <w:shd w:val="clear" w:color="auto" w:fill="FFFFFF"/>
        <w:kinsoku/>
        <w:wordWrap/>
        <w:topLinePunct w:val="0"/>
        <w:autoSpaceDE/>
        <w:autoSpaceDN/>
        <w:bidi w:val="0"/>
        <w:spacing w:line="560" w:lineRule="exact"/>
        <w:ind w:firstLine="640"/>
        <w:rPr>
          <w:rFonts w:hint="eastAsia" w:ascii="仿宋" w:hAnsi="仿宋" w:eastAsia="仿宋" w:cs="仿宋"/>
          <w:spacing w:val="-2"/>
          <w:sz w:val="32"/>
          <w:szCs w:val="32"/>
          <w:lang w:val="en-US" w:eastAsia="zh-CN"/>
        </w:rPr>
      </w:pPr>
      <w:r>
        <w:rPr>
          <w:rFonts w:hint="eastAsia" w:ascii="仿宋" w:hAnsi="仿宋" w:eastAsia="仿宋" w:cs="仿宋"/>
          <w:spacing w:val="-2"/>
          <w:sz w:val="32"/>
          <w:szCs w:val="32"/>
          <w:lang w:val="en-US" w:eastAsia="zh-CN"/>
        </w:rPr>
        <w:t>（2）负责起草市政府向省委、省政府的重要汇报材料；组织和协同有关方面起草、修改市政府的有关重要综合性文件；参与起草市委、市政府有关重要会议的文件。</w:t>
      </w:r>
    </w:p>
    <w:p w14:paraId="698A00C9">
      <w:pPr>
        <w:keepNext w:val="0"/>
        <w:keepLines w:val="0"/>
        <w:pageBreakBefore w:val="0"/>
        <w:widowControl/>
        <w:shd w:val="clear" w:color="auto" w:fill="FFFFFF"/>
        <w:kinsoku/>
        <w:wordWrap/>
        <w:topLinePunct w:val="0"/>
        <w:autoSpaceDE/>
        <w:autoSpaceDN/>
        <w:bidi w:val="0"/>
        <w:spacing w:line="560" w:lineRule="exact"/>
        <w:ind w:firstLine="640"/>
        <w:rPr>
          <w:rFonts w:hint="eastAsia" w:ascii="仿宋" w:hAnsi="仿宋" w:eastAsia="仿宋" w:cs="仿宋"/>
          <w:spacing w:val="-2"/>
          <w:sz w:val="32"/>
          <w:szCs w:val="32"/>
          <w:lang w:val="en-US" w:eastAsia="zh-CN"/>
        </w:rPr>
      </w:pPr>
      <w:r>
        <w:rPr>
          <w:rFonts w:hint="eastAsia" w:ascii="仿宋" w:hAnsi="仿宋" w:eastAsia="仿宋" w:cs="仿宋"/>
          <w:spacing w:val="-2"/>
          <w:sz w:val="32"/>
          <w:szCs w:val="32"/>
          <w:lang w:val="en-US" w:eastAsia="zh-CN"/>
        </w:rPr>
        <w:t>（3）负责牵头组织涉及全市经济建设、社会发展和改革开放等战略性、全局性、综合性重大问题的调查研究，及时综合归纳，提出供市政府决策的参考方案和政策性建议。</w:t>
      </w:r>
    </w:p>
    <w:p w14:paraId="32CB60CA">
      <w:pPr>
        <w:keepNext w:val="0"/>
        <w:keepLines w:val="0"/>
        <w:pageBreakBefore w:val="0"/>
        <w:widowControl/>
        <w:shd w:val="clear" w:color="auto" w:fill="FFFFFF"/>
        <w:kinsoku/>
        <w:wordWrap/>
        <w:topLinePunct w:val="0"/>
        <w:autoSpaceDE/>
        <w:autoSpaceDN/>
        <w:bidi w:val="0"/>
        <w:spacing w:line="560" w:lineRule="exact"/>
        <w:ind w:firstLine="640"/>
        <w:rPr>
          <w:rFonts w:hint="eastAsia" w:ascii="仿宋" w:hAnsi="仿宋" w:eastAsia="仿宋" w:cs="仿宋"/>
          <w:spacing w:val="-2"/>
          <w:sz w:val="32"/>
          <w:szCs w:val="32"/>
          <w:lang w:val="en-US" w:eastAsia="zh-CN"/>
        </w:rPr>
      </w:pPr>
      <w:r>
        <w:rPr>
          <w:rFonts w:hint="eastAsia" w:ascii="仿宋" w:hAnsi="仿宋" w:eastAsia="仿宋" w:cs="仿宋"/>
          <w:spacing w:val="-2"/>
          <w:sz w:val="32"/>
          <w:szCs w:val="32"/>
          <w:lang w:val="en-US" w:eastAsia="zh-CN"/>
        </w:rPr>
        <w:t>（4）负责对市内外经济形势和社会发展政策进行分析和研究，提出政策建议；收集、分析、整理和报送经济社会发展的重要信息、动态，为市政府决策提供参考建议。</w:t>
      </w:r>
    </w:p>
    <w:p w14:paraId="176F2138">
      <w:pPr>
        <w:keepNext w:val="0"/>
        <w:keepLines w:val="0"/>
        <w:pageBreakBefore w:val="0"/>
        <w:widowControl/>
        <w:shd w:val="clear" w:color="auto" w:fill="FFFFFF"/>
        <w:kinsoku/>
        <w:wordWrap/>
        <w:topLinePunct w:val="0"/>
        <w:autoSpaceDE/>
        <w:autoSpaceDN/>
        <w:bidi w:val="0"/>
        <w:spacing w:line="560" w:lineRule="exact"/>
        <w:ind w:firstLine="640"/>
        <w:rPr>
          <w:rFonts w:hint="eastAsia" w:ascii="仿宋" w:hAnsi="仿宋" w:eastAsia="仿宋" w:cs="仿宋"/>
          <w:spacing w:val="-2"/>
          <w:sz w:val="32"/>
          <w:szCs w:val="32"/>
          <w:lang w:val="en-US" w:eastAsia="zh-CN"/>
        </w:rPr>
      </w:pPr>
      <w:r>
        <w:rPr>
          <w:rFonts w:hint="eastAsia" w:ascii="仿宋" w:hAnsi="仿宋" w:eastAsia="仿宋" w:cs="仿宋"/>
          <w:spacing w:val="-2"/>
          <w:sz w:val="32"/>
          <w:szCs w:val="32"/>
          <w:lang w:val="en-US" w:eastAsia="zh-CN"/>
        </w:rPr>
        <w:t>（5）负责市政府主要领导联络服务工作。</w:t>
      </w:r>
    </w:p>
    <w:p w14:paraId="538BD824">
      <w:pPr>
        <w:keepNext w:val="0"/>
        <w:keepLines w:val="0"/>
        <w:pageBreakBefore w:val="0"/>
        <w:widowControl/>
        <w:shd w:val="clear" w:color="auto" w:fill="FFFFFF"/>
        <w:kinsoku/>
        <w:wordWrap/>
        <w:overflowPunct/>
        <w:topLinePunct w:val="0"/>
        <w:autoSpaceDE/>
        <w:autoSpaceDN/>
        <w:bidi w:val="0"/>
        <w:adjustRightInd/>
        <w:spacing w:line="520" w:lineRule="exact"/>
        <w:ind w:firstLine="640"/>
        <w:textAlignment w:val="auto"/>
        <w:rPr>
          <w:rFonts w:hint="eastAsia" w:ascii="仿宋" w:hAnsi="仿宋" w:eastAsia="仿宋" w:cs="仿宋"/>
          <w:spacing w:val="-2"/>
          <w:sz w:val="32"/>
          <w:szCs w:val="32"/>
          <w:lang w:val="en-US" w:eastAsia="zh-CN"/>
        </w:rPr>
      </w:pPr>
      <w:r>
        <w:rPr>
          <w:rFonts w:hint="eastAsia" w:ascii="仿宋" w:hAnsi="仿宋" w:eastAsia="仿宋" w:cs="仿宋"/>
          <w:spacing w:val="-2"/>
          <w:sz w:val="32"/>
          <w:szCs w:val="32"/>
          <w:lang w:val="en-US" w:eastAsia="zh-CN"/>
        </w:rPr>
        <w:t>（6）负责组织全市政府系统经济研究工作人员的培训与业务交流。</w:t>
      </w:r>
    </w:p>
    <w:p w14:paraId="2C96B791">
      <w:pPr>
        <w:keepNext w:val="0"/>
        <w:keepLines w:val="0"/>
        <w:pageBreakBefore w:val="0"/>
        <w:widowControl/>
        <w:shd w:val="clear" w:color="auto" w:fill="FFFFFF"/>
        <w:kinsoku/>
        <w:wordWrap/>
        <w:overflowPunct/>
        <w:topLinePunct w:val="0"/>
        <w:autoSpaceDE/>
        <w:autoSpaceDN/>
        <w:bidi w:val="0"/>
        <w:adjustRightInd/>
        <w:spacing w:line="520" w:lineRule="exact"/>
        <w:ind w:firstLine="640"/>
        <w:textAlignment w:val="auto"/>
        <w:rPr>
          <w:rFonts w:hint="eastAsia" w:ascii="仿宋" w:hAnsi="仿宋" w:eastAsia="仿宋" w:cs="仿宋"/>
          <w:spacing w:val="-2"/>
          <w:sz w:val="32"/>
          <w:szCs w:val="32"/>
          <w:lang w:val="en-US" w:eastAsia="zh-CN"/>
        </w:rPr>
      </w:pPr>
      <w:r>
        <w:rPr>
          <w:rFonts w:hint="eastAsia" w:ascii="仿宋" w:hAnsi="仿宋" w:eastAsia="仿宋" w:cs="仿宋"/>
          <w:spacing w:val="-2"/>
          <w:sz w:val="32"/>
          <w:szCs w:val="32"/>
          <w:lang w:val="en-US" w:eastAsia="zh-CN"/>
        </w:rPr>
        <w:t>（7）负责组织专家对全市经济社会发展的重大问题、重大决策、重大项目进行研究论证、提供咨询服务。</w:t>
      </w:r>
    </w:p>
    <w:p w14:paraId="06953844">
      <w:pPr>
        <w:keepNext w:val="0"/>
        <w:keepLines w:val="0"/>
        <w:pageBreakBefore w:val="0"/>
        <w:widowControl/>
        <w:shd w:val="clear" w:color="auto" w:fill="FFFFFF"/>
        <w:kinsoku/>
        <w:wordWrap/>
        <w:overflowPunct/>
        <w:topLinePunct w:val="0"/>
        <w:autoSpaceDE/>
        <w:autoSpaceDN/>
        <w:bidi w:val="0"/>
        <w:adjustRightInd/>
        <w:spacing w:line="520" w:lineRule="exact"/>
        <w:ind w:firstLine="640"/>
        <w:textAlignment w:val="auto"/>
        <w:rPr>
          <w:rFonts w:hint="eastAsia" w:ascii="仿宋" w:hAnsi="仿宋" w:eastAsia="仿宋" w:cs="仿宋"/>
          <w:spacing w:val="-2"/>
          <w:sz w:val="32"/>
          <w:szCs w:val="32"/>
          <w:lang w:val="en-US" w:eastAsia="zh-CN"/>
        </w:rPr>
      </w:pPr>
      <w:r>
        <w:rPr>
          <w:rFonts w:hint="eastAsia" w:ascii="仿宋" w:hAnsi="仿宋" w:eastAsia="仿宋" w:cs="仿宋"/>
          <w:spacing w:val="-2"/>
          <w:sz w:val="32"/>
          <w:szCs w:val="32"/>
          <w:lang w:val="en-US" w:eastAsia="zh-CN"/>
        </w:rPr>
        <w:t>（8）承办市委、市政府交办的其他事项。</w:t>
      </w:r>
    </w:p>
    <w:p w14:paraId="175803FB">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0F0730A">
      <w:pPr>
        <w:spacing w:line="56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spacing w:val="-20"/>
          <w:kern w:val="0"/>
          <w:sz w:val="32"/>
          <w:szCs w:val="32"/>
        </w:rPr>
        <w:t>怀化市人民政府研究室单位内设机构包括：办公室、综合调研一科、综合调研二科、综合调研三科。</w:t>
      </w:r>
    </w:p>
    <w:p w14:paraId="3F8DE0BB">
      <w:pPr>
        <w:widowControl/>
        <w:spacing w:line="600" w:lineRule="exact"/>
        <w:ind w:firstLine="480" w:firstLineChars="15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spacing w:val="-20"/>
          <w:kern w:val="0"/>
          <w:sz w:val="32"/>
          <w:szCs w:val="32"/>
        </w:rPr>
        <w:t>怀化市人民政府研究室</w:t>
      </w:r>
      <w:r>
        <w:rPr>
          <w:rFonts w:ascii="Times New Roman" w:hAnsi="Times New Roman" w:eastAsia="仿宋_GB2312" w:cs="Times New Roman"/>
          <w:bCs/>
          <w:spacing w:val="-20"/>
          <w:kern w:val="0"/>
          <w:sz w:val="32"/>
          <w:szCs w:val="32"/>
        </w:rPr>
        <w:t>202</w:t>
      </w:r>
      <w:r>
        <w:rPr>
          <w:rFonts w:hint="default" w:ascii="Times New Roman" w:hAnsi="Times New Roman" w:eastAsia="仿宋_GB2312" w:cs="Times New Roman"/>
          <w:bCs/>
          <w:spacing w:val="-20"/>
          <w:kern w:val="0"/>
          <w:sz w:val="32"/>
          <w:szCs w:val="32"/>
          <w:lang w:val="en-US"/>
        </w:rPr>
        <w:t>5</w:t>
      </w:r>
      <w:r>
        <w:rPr>
          <w:rFonts w:ascii="Times New Roman" w:hAnsi="Times New Roman" w:eastAsia="仿宋_GB2312" w:cs="Times New Roman"/>
          <w:bCs/>
          <w:spacing w:val="-20"/>
          <w:kern w:val="0"/>
          <w:sz w:val="32"/>
          <w:szCs w:val="32"/>
        </w:rPr>
        <w:t>年部门决算汇总公开单位构成包括：</w:t>
      </w:r>
      <w:r>
        <w:rPr>
          <w:rFonts w:hint="eastAsia" w:ascii="Times New Roman" w:hAnsi="Times New Roman" w:eastAsia="仿宋_GB2312" w:cs="Times New Roman"/>
          <w:bCs/>
          <w:spacing w:val="-20"/>
          <w:kern w:val="0"/>
          <w:sz w:val="32"/>
          <w:szCs w:val="32"/>
        </w:rPr>
        <w:t>怀化市人民政府研究室本级。</w:t>
      </w:r>
    </w:p>
    <w:p w14:paraId="104BFCE6">
      <w:pPr>
        <w:jc w:val="left"/>
        <w:rPr>
          <w:rFonts w:ascii="Times New Roman" w:hAnsi="Times New Roman" w:eastAsia="仿宋_GB2312" w:cs="Times New Roman"/>
          <w:sz w:val="28"/>
          <w:szCs w:val="32"/>
        </w:rPr>
      </w:pPr>
    </w:p>
    <w:p w14:paraId="24895A5D">
      <w:pPr>
        <w:jc w:val="center"/>
        <w:rPr>
          <w:rFonts w:ascii="Times New Roman" w:hAnsi="Times New Roman" w:eastAsia="黑体" w:cs="Times New Roman"/>
          <w:sz w:val="28"/>
          <w:szCs w:val="28"/>
        </w:rPr>
      </w:pPr>
    </w:p>
    <w:p w14:paraId="23EFE998">
      <w:pPr>
        <w:jc w:val="center"/>
        <w:rPr>
          <w:rFonts w:ascii="Times New Roman" w:hAnsi="Times New Roman" w:eastAsia="黑体" w:cs="Times New Roman"/>
          <w:sz w:val="28"/>
          <w:szCs w:val="28"/>
        </w:rPr>
      </w:pPr>
    </w:p>
    <w:p w14:paraId="51514DDF">
      <w:pPr>
        <w:jc w:val="center"/>
        <w:rPr>
          <w:rFonts w:ascii="Times New Roman" w:hAnsi="Times New Roman" w:eastAsia="黑体" w:cs="Times New Roman"/>
          <w:sz w:val="28"/>
          <w:szCs w:val="28"/>
        </w:rPr>
      </w:pPr>
    </w:p>
    <w:p w14:paraId="7EDE0E49">
      <w:pPr>
        <w:jc w:val="center"/>
        <w:rPr>
          <w:rFonts w:ascii="Times New Roman" w:hAnsi="Times New Roman" w:eastAsia="黑体" w:cs="Times New Roman"/>
          <w:sz w:val="28"/>
          <w:szCs w:val="28"/>
        </w:rPr>
      </w:pPr>
    </w:p>
    <w:p w14:paraId="236408BF">
      <w:pPr>
        <w:jc w:val="center"/>
        <w:rPr>
          <w:rFonts w:ascii="Times New Roman" w:hAnsi="Times New Roman" w:eastAsia="黑体" w:cs="Times New Roman"/>
          <w:sz w:val="28"/>
          <w:szCs w:val="28"/>
        </w:rPr>
      </w:pPr>
    </w:p>
    <w:p w14:paraId="72B999F2">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3BAF877A">
      <w:pPr>
        <w:pStyle w:val="14"/>
        <w:jc w:val="center"/>
        <w:rPr>
          <w:rFonts w:ascii="Times New Roman" w:hAnsi="Times New Roman" w:eastAsia="方正小标宋_GBK" w:cs="Times New Roman"/>
          <w:sz w:val="52"/>
          <w:szCs w:val="52"/>
        </w:rPr>
      </w:pPr>
    </w:p>
    <w:p w14:paraId="574E5DD9">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第二部分   </w:t>
      </w:r>
    </w:p>
    <w:p w14:paraId="1EDD29F9">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部门决算表</w:t>
      </w:r>
    </w:p>
    <w:p w14:paraId="1F94BC80">
      <w:pPr>
        <w:pStyle w:val="14"/>
        <w:rPr>
          <w:rFonts w:ascii="Times New Roman" w:hAnsi="Times New Roman" w:cs="Times New Roman"/>
          <w:sz w:val="72"/>
          <w:szCs w:val="72"/>
        </w:rPr>
      </w:pPr>
    </w:p>
    <w:p w14:paraId="5C6D1C6C">
      <w:pPr>
        <w:pStyle w:val="14"/>
        <w:ind w:firstLine="2720" w:firstLineChars="850"/>
        <w:rPr>
          <w:rFonts w:ascii="Times New Roman" w:hAnsi="Times New Roman" w:cs="Times New Roman"/>
          <w:sz w:val="72"/>
          <w:szCs w:val="72"/>
        </w:rPr>
      </w:pPr>
      <w:r>
        <w:rPr>
          <w:rFonts w:hint="eastAsia" w:ascii="仿宋" w:hAnsi="仿宋" w:eastAsia="仿宋" w:cs="Times New Roman"/>
          <w:sz w:val="32"/>
          <w:szCs w:val="32"/>
        </w:rPr>
        <w:t>见附件：部门决算公开表。</w:t>
      </w:r>
    </w:p>
    <w:p w14:paraId="0D4AE072">
      <w:pPr>
        <w:pStyle w:val="14"/>
        <w:rPr>
          <w:rFonts w:ascii="Times New Roman" w:hAnsi="Times New Roman" w:cs="Times New Roman"/>
          <w:sz w:val="72"/>
          <w:szCs w:val="72"/>
        </w:rPr>
      </w:pPr>
    </w:p>
    <w:p w14:paraId="69DD97DE">
      <w:pPr>
        <w:pStyle w:val="14"/>
        <w:jc w:val="center"/>
        <w:rPr>
          <w:rFonts w:ascii="Times New Roman" w:hAnsi="Times New Roman" w:cs="Times New Roman"/>
          <w:sz w:val="72"/>
          <w:szCs w:val="72"/>
        </w:rPr>
      </w:pPr>
    </w:p>
    <w:p w14:paraId="270564C7">
      <w:pPr>
        <w:pStyle w:val="14"/>
        <w:jc w:val="center"/>
        <w:rPr>
          <w:rFonts w:ascii="Times New Roman" w:hAnsi="Times New Roman" w:eastAsia="方正小标宋_GBK" w:cs="Times New Roman"/>
          <w:sz w:val="72"/>
          <w:szCs w:val="72"/>
        </w:rPr>
      </w:pPr>
    </w:p>
    <w:p w14:paraId="394785A1">
      <w:pPr>
        <w:pStyle w:val="14"/>
        <w:spacing w:line="360" w:lineRule="auto"/>
        <w:jc w:val="center"/>
        <w:rPr>
          <w:rFonts w:ascii="Times New Roman" w:hAnsi="Times New Roman" w:eastAsia="方正小标宋_GBK" w:cs="Times New Roman"/>
          <w:sz w:val="52"/>
          <w:szCs w:val="52"/>
        </w:rPr>
      </w:pPr>
    </w:p>
    <w:p w14:paraId="44460D3C">
      <w:pPr>
        <w:pStyle w:val="14"/>
        <w:spacing w:line="360" w:lineRule="auto"/>
        <w:jc w:val="center"/>
        <w:rPr>
          <w:rFonts w:ascii="Times New Roman" w:hAnsi="Times New Roman" w:eastAsia="方正小标宋_GBK" w:cs="Times New Roman"/>
          <w:sz w:val="52"/>
          <w:szCs w:val="52"/>
        </w:rPr>
      </w:pPr>
    </w:p>
    <w:p w14:paraId="320192FE">
      <w:pPr>
        <w:pStyle w:val="14"/>
        <w:spacing w:line="360" w:lineRule="auto"/>
        <w:jc w:val="center"/>
        <w:rPr>
          <w:rFonts w:ascii="Times New Roman" w:hAnsi="Times New Roman" w:eastAsia="方正小标宋_GBK" w:cs="Times New Roman"/>
          <w:sz w:val="52"/>
          <w:szCs w:val="52"/>
        </w:rPr>
      </w:pPr>
    </w:p>
    <w:p w14:paraId="0BAF297A">
      <w:pPr>
        <w:pStyle w:val="14"/>
        <w:spacing w:line="360" w:lineRule="auto"/>
        <w:jc w:val="center"/>
        <w:rPr>
          <w:rFonts w:ascii="Times New Roman" w:hAnsi="Times New Roman" w:eastAsia="方正小标宋_GBK" w:cs="Times New Roman"/>
          <w:sz w:val="52"/>
          <w:szCs w:val="52"/>
        </w:rPr>
      </w:pPr>
    </w:p>
    <w:p w14:paraId="1A450A3F">
      <w:pPr>
        <w:pStyle w:val="14"/>
        <w:spacing w:line="360" w:lineRule="auto"/>
        <w:jc w:val="center"/>
        <w:rPr>
          <w:rFonts w:ascii="Times New Roman" w:hAnsi="Times New Roman" w:eastAsia="方正小标宋_GBK" w:cs="Times New Roman"/>
          <w:sz w:val="52"/>
          <w:szCs w:val="52"/>
        </w:rPr>
      </w:pPr>
    </w:p>
    <w:p w14:paraId="3382DCB1">
      <w:pPr>
        <w:pStyle w:val="14"/>
        <w:spacing w:line="360" w:lineRule="auto"/>
        <w:jc w:val="center"/>
        <w:rPr>
          <w:rFonts w:ascii="Times New Roman" w:hAnsi="Times New Roman" w:eastAsia="方正小标宋_GBK" w:cs="Times New Roman"/>
          <w:sz w:val="52"/>
          <w:szCs w:val="52"/>
        </w:rPr>
      </w:pPr>
    </w:p>
    <w:p w14:paraId="3501F6B6">
      <w:pPr>
        <w:pStyle w:val="14"/>
        <w:spacing w:line="360" w:lineRule="auto"/>
        <w:jc w:val="center"/>
        <w:rPr>
          <w:rFonts w:ascii="Times New Roman" w:hAnsi="Times New Roman" w:eastAsia="方正小标宋_GBK" w:cs="Times New Roman"/>
          <w:sz w:val="52"/>
          <w:szCs w:val="52"/>
        </w:rPr>
      </w:pPr>
    </w:p>
    <w:p w14:paraId="2810B813">
      <w:pPr>
        <w:pStyle w:val="14"/>
        <w:spacing w:line="360" w:lineRule="auto"/>
        <w:jc w:val="center"/>
        <w:rPr>
          <w:rFonts w:ascii="Times New Roman" w:hAnsi="Times New Roman" w:eastAsia="方正小标宋_GBK" w:cs="Times New Roman"/>
          <w:sz w:val="52"/>
          <w:szCs w:val="52"/>
        </w:rPr>
      </w:pPr>
    </w:p>
    <w:p w14:paraId="0352C47F">
      <w:pPr>
        <w:pStyle w:val="14"/>
        <w:spacing w:line="360" w:lineRule="auto"/>
        <w:jc w:val="center"/>
        <w:rPr>
          <w:rFonts w:ascii="Times New Roman" w:hAnsi="Times New Roman" w:eastAsia="方正小标宋_GBK" w:cs="Times New Roman"/>
          <w:sz w:val="52"/>
          <w:szCs w:val="52"/>
        </w:rPr>
      </w:pPr>
    </w:p>
    <w:p w14:paraId="0ADEFCFC">
      <w:pPr>
        <w:pStyle w:val="14"/>
        <w:spacing w:line="360" w:lineRule="auto"/>
        <w:jc w:val="center"/>
        <w:rPr>
          <w:rFonts w:ascii="Times New Roman" w:hAnsi="Times New Roman" w:eastAsia="方正小标宋_GBK" w:cs="Times New Roman"/>
          <w:sz w:val="52"/>
          <w:szCs w:val="52"/>
        </w:rPr>
      </w:pPr>
    </w:p>
    <w:p w14:paraId="344E4FAE">
      <w:pPr>
        <w:pStyle w:val="14"/>
        <w:spacing w:line="360" w:lineRule="auto"/>
        <w:jc w:val="center"/>
        <w:rPr>
          <w:rFonts w:ascii="Times New Roman" w:hAnsi="Times New Roman" w:eastAsia="方正小标宋_GBK" w:cs="Times New Roman"/>
          <w:sz w:val="52"/>
          <w:szCs w:val="52"/>
        </w:rPr>
      </w:pPr>
    </w:p>
    <w:p w14:paraId="5BCA05CA">
      <w:pPr>
        <w:pStyle w:val="14"/>
        <w:spacing w:line="360" w:lineRule="auto"/>
        <w:jc w:val="center"/>
        <w:rPr>
          <w:rFonts w:ascii="Times New Roman" w:hAnsi="Times New Roman" w:eastAsia="方正小标宋_GBK" w:cs="Times New Roman"/>
          <w:sz w:val="52"/>
          <w:szCs w:val="52"/>
        </w:rPr>
      </w:pPr>
    </w:p>
    <w:p w14:paraId="540A75FF">
      <w:pPr>
        <w:pStyle w:val="14"/>
        <w:spacing w:line="360" w:lineRule="auto"/>
        <w:jc w:val="center"/>
        <w:rPr>
          <w:rFonts w:ascii="Times New Roman" w:hAnsi="Times New Roman" w:eastAsia="方正小标宋_GBK" w:cs="Times New Roman"/>
          <w:sz w:val="52"/>
          <w:szCs w:val="52"/>
        </w:rPr>
      </w:pPr>
    </w:p>
    <w:p w14:paraId="6685CDAB">
      <w:pPr>
        <w:pStyle w:val="14"/>
        <w:spacing w:line="360" w:lineRule="auto"/>
        <w:jc w:val="center"/>
        <w:rPr>
          <w:rFonts w:ascii="Times New Roman" w:hAnsi="Times New Roman" w:eastAsia="方正小标宋_GBK" w:cs="Times New Roman"/>
          <w:sz w:val="52"/>
          <w:szCs w:val="52"/>
        </w:rPr>
      </w:pPr>
    </w:p>
    <w:p w14:paraId="2B750FEB">
      <w:pPr>
        <w:pStyle w:val="14"/>
        <w:spacing w:line="360" w:lineRule="auto"/>
        <w:jc w:val="center"/>
        <w:rPr>
          <w:rFonts w:ascii="Times New Roman" w:hAnsi="Times New Roman" w:eastAsia="方正小标宋_GBK" w:cs="Times New Roman"/>
          <w:sz w:val="52"/>
          <w:szCs w:val="52"/>
        </w:rPr>
      </w:pPr>
    </w:p>
    <w:p w14:paraId="6C6CA79E">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856CF6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A69ABE9">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4B7C0B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931FD49">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315.74</w:t>
      </w:r>
      <w:r>
        <w:rPr>
          <w:rFonts w:ascii="Times New Roman" w:hAnsi="Times New Roman" w:eastAsia="仿宋_GB2312" w:cs="Times New Roman"/>
          <w:sz w:val="32"/>
          <w:szCs w:val="32"/>
        </w:rPr>
        <w:t>万元。与上年相比，减少</w:t>
      </w:r>
      <w:r>
        <w:rPr>
          <w:rFonts w:hint="default" w:ascii="Times New Roman" w:hAnsi="Times New Roman" w:eastAsia="仿宋_GB2312" w:cs="Times New Roman"/>
          <w:sz w:val="32"/>
          <w:szCs w:val="32"/>
          <w:lang w:val="en-US"/>
        </w:rPr>
        <w:t>7.28</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US"/>
        </w:rPr>
        <w:t>2.</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一般公共服务支出</w:t>
      </w:r>
      <w:r>
        <w:rPr>
          <w:rFonts w:hint="eastAsia" w:ascii="Times New Roman" w:hAnsi="Times New Roman" w:eastAsia="仿宋_GB2312" w:cs="Times New Roman"/>
          <w:sz w:val="32"/>
          <w:szCs w:val="32"/>
          <w:lang w:val="en-US" w:eastAsia="zh-CN"/>
        </w:rPr>
        <w:t>减少</w:t>
      </w:r>
      <w:r>
        <w:rPr>
          <w:rFonts w:hint="eastAsia" w:ascii="Times New Roman" w:hAnsi="Times New Roman" w:eastAsia="仿宋_GB2312" w:cs="Times New Roman"/>
          <w:sz w:val="32"/>
          <w:szCs w:val="32"/>
          <w:lang w:eastAsia="zh-CN"/>
        </w:rPr>
        <w:t>。</w:t>
      </w:r>
    </w:p>
    <w:p w14:paraId="63A10A7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color w:val="auto"/>
          <w:sz w:val="32"/>
          <w:szCs w:val="32"/>
          <w:lang w:val="en-US" w:eastAsia="zh-CN"/>
        </w:rPr>
        <w:t>保工资</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保运作</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保基本民生</w:t>
      </w:r>
      <w:r>
        <w:rPr>
          <w:rFonts w:hint="eastAsia" w:ascii="Times New Roman" w:hAnsi="Times New Roman" w:eastAsia="仿宋_GB2312" w:cs="Times New Roman"/>
          <w:color w:val="auto"/>
          <w:sz w:val="32"/>
          <w:szCs w:val="32"/>
          <w:lang w:eastAsia="zh-CN"/>
        </w:rPr>
        <w:t>等重点支出，体现在有</w:t>
      </w:r>
      <w:r>
        <w:rPr>
          <w:rFonts w:hint="eastAsia" w:ascii="Times New Roman" w:hAnsi="Times New Roman" w:eastAsia="仿宋_GB2312" w:cs="Times New Roman"/>
          <w:sz w:val="32"/>
          <w:szCs w:val="32"/>
          <w:lang w:eastAsia="zh-CN"/>
        </w:rPr>
        <w:t>关支出科目中。</w:t>
      </w:r>
    </w:p>
    <w:p w14:paraId="3CC7EC8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E79D20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315.74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315.7</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99.99</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0.02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附属单位上缴收入。</w:t>
      </w:r>
    </w:p>
    <w:p w14:paraId="5FFF43A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7A0F33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315.74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263.75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83.53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51.99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16.47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对附属单位补助支出。</w:t>
      </w:r>
    </w:p>
    <w:p w14:paraId="06A0DD7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244DC74">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315.7</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7.26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2.25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公用经费拨款减少。</w:t>
      </w:r>
    </w:p>
    <w:p w14:paraId="6449B71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FEF0B65">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F008D3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315.7</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99.99</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7.26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2.25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商品和服务支出</w:t>
      </w:r>
      <w:r>
        <w:rPr>
          <w:rFonts w:hint="eastAsia" w:ascii="Times New Roman" w:hAnsi="Times New Roman" w:eastAsia="仿宋_GB2312" w:cs="Times New Roman"/>
          <w:sz w:val="32"/>
          <w:szCs w:val="32"/>
          <w:lang w:val="en-US" w:eastAsia="zh-CN"/>
        </w:rPr>
        <w:t>减少</w:t>
      </w:r>
    </w:p>
    <w:p w14:paraId="3004118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5FDF0F4">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315.7</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264.8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83.87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24.49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7.76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8.23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18.2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5.76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34A08481">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799F7E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302.04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315.72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104.53</w:t>
      </w:r>
      <w:r>
        <w:rPr>
          <w:rFonts w:ascii="Times New Roman" w:hAnsi="Times New Roman" w:eastAsia="仿宋_GB2312" w:cs="Times New Roman"/>
          <w:sz w:val="32"/>
          <w:szCs w:val="32"/>
        </w:rPr>
        <w:t>%，其中：</w:t>
      </w:r>
    </w:p>
    <w:p w14:paraId="1F6567F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1.</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7005840F">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251.5</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210.94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83.85</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项目支出“《政府工作报告》起草和文稿服务工作经费；政策研究、决策咨询和课题经费”功能科目调整。</w:t>
      </w:r>
    </w:p>
    <w:p w14:paraId="313B39F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w:t>
      </w:r>
    </w:p>
    <w:p w14:paraId="5E65B9F9">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51.99</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年初项目支出预算功能科目调整。</w:t>
      </w:r>
    </w:p>
    <w:p w14:paraId="0BA56E1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群众团体事务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工会事务</w:t>
      </w:r>
      <w:r>
        <w:rPr>
          <w:rFonts w:ascii="Times New Roman" w:hAnsi="Times New Roman" w:eastAsia="仿宋_GB2312" w:cs="Times New Roman"/>
          <w:sz w:val="32"/>
          <w:szCs w:val="32"/>
        </w:rPr>
        <w:t>（项）。</w:t>
      </w:r>
    </w:p>
    <w:p w14:paraId="74F8CFB9">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1.87</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一致，主要用于</w:t>
      </w:r>
      <w:r>
        <w:rPr>
          <w:rFonts w:hint="eastAsia" w:ascii="Times New Roman" w:hAnsi="Times New Roman" w:eastAsia="仿宋_GB2312" w:cs="Times New Roman"/>
          <w:color w:val="auto"/>
          <w:sz w:val="32"/>
          <w:szCs w:val="32"/>
          <w:lang w:val="en-US" w:eastAsia="zh-CN"/>
        </w:rPr>
        <w:t>工会经费支出</w:t>
      </w:r>
      <w:r>
        <w:rPr>
          <w:rFonts w:hint="eastAsia" w:ascii="Times New Roman" w:hAnsi="Times New Roman" w:eastAsia="仿宋_GB2312" w:cs="Times New Roman"/>
          <w:sz w:val="32"/>
          <w:szCs w:val="32"/>
          <w:lang w:val="en-US" w:eastAsia="zh-CN"/>
        </w:rPr>
        <w:t>。</w:t>
      </w:r>
    </w:p>
    <w:p w14:paraId="1DBCC26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5674468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行政单位离退休</w:t>
      </w:r>
      <w:r>
        <w:rPr>
          <w:rFonts w:ascii="Times New Roman" w:hAnsi="Times New Roman" w:eastAsia="仿宋_GB2312" w:cs="Times New Roman"/>
          <w:sz w:val="32"/>
          <w:szCs w:val="32"/>
        </w:rPr>
        <w:t>（项）。</w:t>
      </w:r>
    </w:p>
    <w:p w14:paraId="60BB1706">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3.81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108.66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基本一致，主要用于</w:t>
      </w:r>
      <w:r>
        <w:rPr>
          <w:rFonts w:hint="eastAsia" w:ascii="Times New Roman" w:hAnsi="Times New Roman" w:eastAsia="仿宋_GB2312" w:cs="Times New Roman"/>
          <w:color w:val="auto"/>
          <w:sz w:val="32"/>
          <w:szCs w:val="32"/>
          <w:lang w:val="en-US" w:eastAsia="zh-CN"/>
        </w:rPr>
        <w:t>退休人员一次性生活补助。</w:t>
      </w:r>
    </w:p>
    <w:p w14:paraId="2C951A3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55BCFADC">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20,12</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20.34</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101.09</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val="en-US" w:eastAsia="zh-CN"/>
        </w:rPr>
        <w:t>与</w:t>
      </w:r>
      <w:r>
        <w:rPr>
          <w:rFonts w:ascii="Times New Roman" w:hAnsi="Times New Roman" w:eastAsia="仿宋_GB2312" w:cs="Times New Roman"/>
          <w:color w:val="auto"/>
          <w:sz w:val="32"/>
          <w:szCs w:val="32"/>
        </w:rPr>
        <w:t>年初预算数</w:t>
      </w:r>
      <w:r>
        <w:rPr>
          <w:rFonts w:hint="eastAsia" w:ascii="Times New Roman" w:hAnsi="Times New Roman" w:eastAsia="仿宋_GB2312" w:cs="Times New Roman"/>
          <w:color w:val="auto"/>
          <w:sz w:val="32"/>
          <w:szCs w:val="32"/>
          <w:lang w:val="en-US" w:eastAsia="zh-CN"/>
        </w:rPr>
        <w:t>基本一致，主要用于机关事业单位基本养老保险缴费支出。</w:t>
      </w:r>
    </w:p>
    <w:p w14:paraId="0690090C">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卫生健康支出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行政事业单位医疗</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机关事业 行政单位医疗</w:t>
      </w:r>
      <w:r>
        <w:rPr>
          <w:rFonts w:ascii="Times New Roman" w:hAnsi="Times New Roman" w:eastAsia="仿宋_GB2312" w:cs="Times New Roman"/>
          <w:color w:val="auto"/>
          <w:sz w:val="32"/>
          <w:szCs w:val="32"/>
        </w:rPr>
        <w:t>（项）。</w:t>
      </w:r>
    </w:p>
    <w:p w14:paraId="2015F822">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7.89</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8.23</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104.31</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val="en-US" w:eastAsia="zh-CN"/>
        </w:rPr>
        <w:t>与</w:t>
      </w:r>
      <w:r>
        <w:rPr>
          <w:rFonts w:ascii="Times New Roman" w:hAnsi="Times New Roman" w:eastAsia="仿宋_GB2312" w:cs="Times New Roman"/>
          <w:color w:val="auto"/>
          <w:sz w:val="32"/>
          <w:szCs w:val="32"/>
        </w:rPr>
        <w:t>年初预算数</w:t>
      </w:r>
      <w:r>
        <w:rPr>
          <w:rFonts w:hint="eastAsia" w:ascii="Times New Roman" w:hAnsi="Times New Roman" w:eastAsia="仿宋_GB2312" w:cs="Times New Roman"/>
          <w:color w:val="auto"/>
          <w:sz w:val="32"/>
          <w:szCs w:val="32"/>
          <w:lang w:val="en-US" w:eastAsia="zh-CN"/>
        </w:rPr>
        <w:t>基本一致，主要用于在职人员基本医疗保险缴费。</w:t>
      </w:r>
    </w:p>
    <w:p w14:paraId="090A5E5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6D463158">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108.53</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的主要原因是：追加发放奖金部分</w:t>
      </w:r>
      <w:r>
        <w:rPr>
          <w:rFonts w:hint="eastAsia" w:ascii="Times New Roman" w:hAnsi="Times New Roman" w:eastAsia="仿宋_GB2312" w:cs="Times New Roman"/>
          <w:color w:val="auto"/>
          <w:sz w:val="32"/>
          <w:szCs w:val="32"/>
          <w:lang w:val="en-US" w:eastAsia="zh-CN"/>
        </w:rPr>
        <w:t>财政配套公积金。</w:t>
      </w:r>
    </w:p>
    <w:p w14:paraId="3A86F40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color w:val="auto"/>
          <w:sz w:val="32"/>
          <w:szCs w:val="32"/>
          <w:lang w:val="en-US" w:eastAsia="zh-CN"/>
        </w:rPr>
        <w:t>人员经费和公用经费支出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264.8</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83.87</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工资福利支出、对个人和家庭的补助、商品和服务支出等基本支出及《政府工作报告》起草和文稿服务工作经费；政策研究、决策咨询和课题经费项目支出</w:t>
      </w:r>
      <w:r>
        <w:rPr>
          <w:rFonts w:hint="eastAsia" w:ascii="Times New Roman" w:hAnsi="Times New Roman" w:eastAsia="楷体_GB2312" w:cs="Times New Roman"/>
          <w:b/>
          <w:bCs/>
          <w:i/>
          <w:color w:val="auto"/>
          <w:sz w:val="32"/>
          <w:szCs w:val="32"/>
        </w:rPr>
        <w:t>。</w:t>
      </w:r>
    </w:p>
    <w:p w14:paraId="058A280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22817D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263.73</w:t>
      </w:r>
      <w:r>
        <w:rPr>
          <w:rFonts w:ascii="Times New Roman" w:hAnsi="Times New Roman" w:eastAsia="仿宋_GB2312" w:cs="Times New Roman"/>
          <w:sz w:val="32"/>
          <w:szCs w:val="32"/>
        </w:rPr>
        <w:t>万元，其中：</w:t>
      </w:r>
    </w:p>
    <w:p w14:paraId="63C3700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228.67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86.71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、基本养老保险缴费、基本医疗保险缴费、住房公积金、</w:t>
      </w:r>
      <w:r>
        <w:rPr>
          <w:rFonts w:hint="eastAsia" w:ascii="Times New Roman" w:hAnsi="Times New Roman" w:eastAsia="仿宋_GB2312" w:cs="Times New Roman"/>
          <w:sz w:val="32"/>
          <w:szCs w:val="32"/>
          <w:lang w:val="en-US" w:eastAsia="zh-CN"/>
        </w:rPr>
        <w:t>退休人员一次性</w:t>
      </w:r>
      <w:r>
        <w:rPr>
          <w:rFonts w:hint="eastAsia" w:ascii="Times New Roman" w:hAnsi="Times New Roman" w:eastAsia="仿宋_GB2312" w:cs="Times New Roman"/>
          <w:sz w:val="32"/>
          <w:szCs w:val="32"/>
          <w:lang w:eastAsia="zh-CN"/>
        </w:rPr>
        <w:t>生活补助</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w:t>
      </w:r>
    </w:p>
    <w:p w14:paraId="0BA301D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35.06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13.29</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差旅费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邮电费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 xml:space="preserve"> 维修（护）费</w:t>
      </w:r>
      <w:r>
        <w:rPr>
          <w:rFonts w:hint="eastAsia" w:ascii="Times New Roman" w:hAnsi="Times New Roman" w:eastAsia="仿宋_GB2312" w:cs="Times New Roman"/>
          <w:sz w:val="32"/>
          <w:szCs w:val="32"/>
          <w:lang w:eastAsia="zh-CN"/>
        </w:rPr>
        <w:t>、公务接待费、工会经费、其他交通费用、其他商品和服务支出</w:t>
      </w:r>
      <w:r>
        <w:rPr>
          <w:rFonts w:ascii="Times New Roman" w:hAnsi="Times New Roman" w:eastAsia="仿宋_GB2312" w:cs="Times New Roman"/>
          <w:sz w:val="32"/>
          <w:szCs w:val="32"/>
        </w:rPr>
        <w:t>。</w:t>
      </w:r>
    </w:p>
    <w:p w14:paraId="6F1BA807">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1555D7E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D004015">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73.33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厉行节约，贯彻落实中央八项规定精神，严控</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三公</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经费支出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减少接待费支出</w:t>
      </w:r>
      <w:r>
        <w:rPr>
          <w:rFonts w:ascii="Times New Roman" w:hAnsi="Times New Roman" w:eastAsia="仿宋_GB2312" w:cs="Times New Roman"/>
          <w:sz w:val="32"/>
          <w:szCs w:val="32"/>
        </w:rPr>
        <w:t>。</w:t>
      </w:r>
    </w:p>
    <w:p w14:paraId="341BA33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CE3646D">
      <w:pPr>
        <w:pStyle w:val="14"/>
        <w:overflowPunct w:val="0"/>
        <w:autoSpaceDE/>
        <w:autoSpaceDN/>
        <w:spacing w:line="600" w:lineRule="exact"/>
        <w:ind w:firstLine="640" w:firstLineChars="200"/>
        <w:jc w:val="both"/>
        <w:rPr>
          <w:rFonts w:hint="default"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一致，无</w:t>
      </w:r>
      <w:r>
        <w:rPr>
          <w:rFonts w:ascii="Times New Roman" w:hAnsi="Times New Roman" w:eastAsia="仿宋_GB2312" w:cs="Times New Roman"/>
          <w:sz w:val="32"/>
          <w:szCs w:val="32"/>
        </w:rPr>
        <w:t>因公出国（境）费支出预算</w:t>
      </w:r>
    </w:p>
    <w:p w14:paraId="6C55CD0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一致，无</w:t>
      </w:r>
      <w:r>
        <w:rPr>
          <w:rFonts w:ascii="Times New Roman" w:hAnsi="Times New Roman" w:eastAsia="仿宋_GB2312" w:cs="Times New Roman"/>
          <w:sz w:val="32"/>
          <w:szCs w:val="32"/>
        </w:rPr>
        <w:t>公务用车购置费及运行维护费支出</w:t>
      </w:r>
      <w:r>
        <w:rPr>
          <w:rFonts w:hint="eastAsia" w:ascii="Times New Roman" w:hAnsi="Times New Roman" w:eastAsia="仿宋_GB2312" w:cs="Times New Roman"/>
          <w:sz w:val="32"/>
          <w:szCs w:val="32"/>
          <w:lang w:eastAsia="zh-CN"/>
        </w:rPr>
        <w:t>。</w:t>
      </w:r>
    </w:p>
    <w:p w14:paraId="00CB15B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67487E0A">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73.33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厉行节约，贯彻落实中央八项规定精神，严控</w:t>
      </w:r>
      <w:r>
        <w:rPr>
          <w:rFonts w:hint="eastAsia" w:ascii="Times New Roman" w:hAnsi="Times New Roman" w:eastAsia="仿宋_GB2312" w:cs="Times New Roman"/>
          <w:sz w:val="32"/>
          <w:szCs w:val="32"/>
          <w:lang w:eastAsia="zh-CN"/>
        </w:rPr>
        <w:t>“三公”经费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减少接待费支出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个、来宾</w:t>
      </w: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人次，主要是</w:t>
      </w:r>
      <w:r>
        <w:rPr>
          <w:rFonts w:hint="eastAsia" w:ascii="Times New Roman" w:hAnsi="Times New Roman" w:eastAsia="仿宋_GB2312" w:cs="Times New Roman"/>
          <w:color w:val="auto"/>
          <w:sz w:val="32"/>
          <w:szCs w:val="32"/>
          <w:lang w:eastAsia="zh-CN"/>
        </w:rPr>
        <w:t>省政府研究室来怀化考察调研</w:t>
      </w:r>
      <w:r>
        <w:rPr>
          <w:rFonts w:ascii="Times New Roman" w:hAnsi="Times New Roman" w:eastAsia="仿宋_GB2312" w:cs="Times New Roman"/>
          <w:color w:val="auto"/>
          <w:sz w:val="32"/>
          <w:szCs w:val="32"/>
        </w:rPr>
        <w:t>发生的接待支出。</w:t>
      </w:r>
    </w:p>
    <w:p w14:paraId="5677D29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3CDE78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政府性基金预算财政拨款收</w:t>
      </w:r>
      <w:r>
        <w:rPr>
          <w:rFonts w:hint="eastAsia" w:ascii="Times New Roman" w:hAnsi="Times New Roman" w:eastAsia="仿宋_GB2312" w:cs="Times New Roman"/>
          <w:sz w:val="32"/>
          <w:szCs w:val="32"/>
          <w:lang w:val="en-US" w:eastAsia="zh-CN"/>
        </w:rPr>
        <w:t>支</w:t>
      </w:r>
      <w:r>
        <w:rPr>
          <w:rFonts w:hint="eastAsia" w:ascii="Times New Roman" w:hAnsi="Times New Roman" w:eastAsia="仿宋_GB2312" w:cs="Times New Roman"/>
          <w:sz w:val="32"/>
          <w:szCs w:val="32"/>
          <w:lang w:eastAsia="zh-CN"/>
        </w:rPr>
        <w:t>。</w:t>
      </w:r>
    </w:p>
    <w:p w14:paraId="5DD9AEA5">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lang w:val="en-US" w:eastAsia="zh-CN"/>
        </w:rPr>
        <w:t>九、</w:t>
      </w:r>
      <w:r>
        <w:rPr>
          <w:rFonts w:hint="eastAsia" w:ascii="Times New Roman" w:hAnsi="Times New Roman" w:cs="Times New Roman"/>
          <w:bCs/>
          <w:color w:val="auto"/>
          <w:sz w:val="32"/>
          <w:szCs w:val="32"/>
        </w:rPr>
        <w:t>国有资本经营预算</w:t>
      </w:r>
      <w:r>
        <w:rPr>
          <w:rFonts w:ascii="Times New Roman" w:hAnsi="Times New Roman" w:cs="Times New Roman"/>
          <w:bCs/>
          <w:color w:val="auto"/>
          <w:sz w:val="32"/>
          <w:szCs w:val="32"/>
        </w:rPr>
        <w:t>收入支出决算情况</w:t>
      </w:r>
    </w:p>
    <w:p w14:paraId="31F56C4C">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w:t>
      </w:r>
      <w:r>
        <w:rPr>
          <w:rFonts w:hint="eastAsia" w:ascii="Times New Roman" w:hAnsi="Times New Roman" w:eastAsia="仿宋_GB2312" w:cs="Times New Roman"/>
          <w:color w:val="auto"/>
          <w:sz w:val="32"/>
          <w:szCs w:val="32"/>
          <w:lang w:val="en-US" w:eastAsia="zh-CN"/>
        </w:rPr>
        <w:t>本单位无</w:t>
      </w:r>
      <w:r>
        <w:rPr>
          <w:rFonts w:hint="eastAsia" w:ascii="Times New Roman" w:hAnsi="Times New Roman" w:cs="Times New Roman"/>
          <w:bCs/>
          <w:color w:val="auto"/>
          <w:sz w:val="32"/>
          <w:szCs w:val="32"/>
        </w:rPr>
        <w:t>国有资本经营</w:t>
      </w:r>
      <w:r>
        <w:rPr>
          <w:rFonts w:ascii="Times New Roman" w:hAnsi="Times New Roman" w:eastAsia="仿宋_GB2312" w:cs="Times New Roman"/>
          <w:color w:val="auto"/>
          <w:sz w:val="32"/>
          <w:szCs w:val="32"/>
        </w:rPr>
        <w:t>预算财政拨款收</w:t>
      </w:r>
      <w:r>
        <w:rPr>
          <w:rFonts w:hint="eastAsia" w:ascii="Times New Roman" w:hAnsi="Times New Roman" w:eastAsia="仿宋_GB2312" w:cs="Times New Roman"/>
          <w:color w:val="auto"/>
          <w:sz w:val="32"/>
          <w:szCs w:val="32"/>
          <w:lang w:val="en-US" w:eastAsia="zh-CN"/>
        </w:rPr>
        <w:t>支</w:t>
      </w:r>
      <w:r>
        <w:rPr>
          <w:rFonts w:hint="eastAsia" w:ascii="Times New Roman" w:hAnsi="Times New Roman" w:eastAsia="仿宋_GB2312" w:cs="Times New Roman"/>
          <w:color w:val="auto"/>
          <w:sz w:val="32"/>
          <w:szCs w:val="32"/>
          <w:lang w:eastAsia="zh-CN"/>
        </w:rPr>
        <w:t>。</w:t>
      </w:r>
    </w:p>
    <w:p w14:paraId="6804CD3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1F6EB07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35.06</w:t>
      </w:r>
      <w:r>
        <w:rPr>
          <w:rFonts w:ascii="Times New Roman" w:hAnsi="Times New Roman" w:eastAsia="仿宋_GB2312" w:cs="Times New Roman"/>
          <w:sz w:val="32"/>
          <w:szCs w:val="32"/>
        </w:rPr>
        <w:t>万元，比年初预算数</w:t>
      </w:r>
      <w:r>
        <w:rPr>
          <w:rFonts w:hint="eastAsia" w:ascii="Times New Roman" w:hAnsi="Times New Roman" w:eastAsia="仿宋_GB2312" w:cs="Times New Roman"/>
          <w:sz w:val="32"/>
          <w:szCs w:val="32"/>
          <w:lang w:val="en-US" w:eastAsia="zh-CN"/>
        </w:rPr>
        <w:t>54.52万元</w:t>
      </w:r>
      <w:r>
        <w:rPr>
          <w:rFonts w:ascii="Times New Roman" w:hAnsi="Times New Roman" w:eastAsia="仿宋_GB2312" w:cs="Times New Roman"/>
          <w:sz w:val="32"/>
          <w:szCs w:val="32"/>
        </w:rPr>
        <w:t>减少</w:t>
      </w:r>
      <w:r>
        <w:rPr>
          <w:rFonts w:hint="eastAsia" w:ascii="Times New Roman" w:hAnsi="Times New Roman" w:eastAsia="仿宋_GB2312" w:cs="Times New Roman"/>
          <w:sz w:val="32"/>
          <w:szCs w:val="32"/>
          <w:lang w:val="en-US" w:eastAsia="zh-CN"/>
        </w:rPr>
        <w:t>19.46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35.69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落实过紧日子要求压减办公费</w:t>
      </w:r>
      <w:r>
        <w:rPr>
          <w:rFonts w:hint="eastAsia" w:ascii="Times New Roman" w:hAnsi="Times New Roman" w:eastAsia="仿宋_GB2312" w:cs="Times New Roman"/>
          <w:sz w:val="32"/>
          <w:szCs w:val="32"/>
          <w:lang w:eastAsia="zh-CN"/>
        </w:rPr>
        <w:t>、公务接待费、工会经费</w:t>
      </w:r>
      <w:r>
        <w:rPr>
          <w:rFonts w:hint="eastAsia" w:ascii="Times New Roman" w:hAnsi="Times New Roman" w:eastAsia="仿宋_GB2312" w:cs="Times New Roman"/>
          <w:sz w:val="32"/>
          <w:szCs w:val="32"/>
          <w:lang w:val="en-US" w:eastAsia="zh-CN"/>
        </w:rPr>
        <w:t xml:space="preserve">等支出。    </w:t>
      </w:r>
    </w:p>
    <w:p w14:paraId="2387B2F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0D4E6506">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年本部门开支会议费</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万元；开支培训费</w:t>
      </w:r>
      <w:r>
        <w:rPr>
          <w:rFonts w:hint="eastAsia" w:ascii="Times New Roman" w:hAnsi="Times New Roman" w:eastAsia="仿宋_GB2312" w:cs="Times New Roman"/>
          <w:color w:val="auto"/>
          <w:sz w:val="32"/>
          <w:szCs w:val="32"/>
          <w:lang w:val="en-US" w:eastAsia="zh-CN"/>
        </w:rPr>
        <w:t>3.7</w:t>
      </w:r>
      <w:r>
        <w:rPr>
          <w:rFonts w:ascii="Times New Roman" w:hAnsi="Times New Roman" w:eastAsia="仿宋_GB2312" w:cs="Times New Roman"/>
          <w:color w:val="auto"/>
          <w:sz w:val="32"/>
          <w:szCs w:val="32"/>
        </w:rPr>
        <w:t>万元，用于开展</w:t>
      </w:r>
      <w:r>
        <w:rPr>
          <w:rFonts w:hint="eastAsia" w:ascii="Times New Roman" w:hAnsi="Times New Roman" w:eastAsia="仿宋_GB2312" w:cs="Times New Roman"/>
          <w:color w:val="auto"/>
          <w:sz w:val="32"/>
          <w:szCs w:val="32"/>
          <w:lang w:eastAsia="zh-CN"/>
        </w:rPr>
        <w:t>全市政府系统文稿服务人员能力提升培训</w:t>
      </w:r>
      <w:r>
        <w:rPr>
          <w:rFonts w:ascii="Times New Roman" w:hAnsi="Times New Roman" w:eastAsia="仿宋_GB2312" w:cs="Times New Roman"/>
          <w:color w:val="auto"/>
          <w:sz w:val="32"/>
          <w:szCs w:val="32"/>
        </w:rPr>
        <w:t>，人数</w:t>
      </w:r>
      <w:r>
        <w:rPr>
          <w:rFonts w:hint="eastAsia" w:ascii="Times New Roman" w:hAnsi="Times New Roman" w:eastAsia="仿宋_GB2312" w:cs="Times New Roman"/>
          <w:color w:val="auto"/>
          <w:sz w:val="32"/>
          <w:szCs w:val="32"/>
          <w:lang w:val="en-US" w:eastAsia="zh-CN"/>
        </w:rPr>
        <w:t>66</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文稿写作和经济形势分析等知识。</w:t>
      </w:r>
    </w:p>
    <w:p w14:paraId="56DD6F4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会议费</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节庆、晚会、论坛、赛事活动</w:t>
      </w:r>
      <w:r>
        <w:rPr>
          <w:rFonts w:hint="eastAsia" w:ascii="Times New Roman" w:hAnsi="Times New Roman" w:eastAsia="仿宋_GB2312" w:cs="Times New Roman"/>
          <w:sz w:val="32"/>
          <w:szCs w:val="32"/>
          <w:lang w:val="en-US" w:eastAsia="zh-CN"/>
        </w:rPr>
        <w:t>等支出。</w:t>
      </w:r>
    </w:p>
    <w:p w14:paraId="5398D99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12E54C99">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年度政府采购支出总额</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万元，其中：政府采购货物支出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万元、政府采购工程支出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万元、政府采购服务支出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万元。授予中小企业合同金额</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万元，占政府采购支出总额的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%，其中：授予小微企业合同金额</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 xml:space="preserve">   </w:t>
      </w: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0E1D67FC">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28D1586">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0199798">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51.99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51.99</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无</w:t>
      </w:r>
      <w:r>
        <w:rPr>
          <w:rFonts w:ascii="Times New Roman" w:hAnsi="Times New Roman" w:eastAsia="仿宋_GB2312" w:cs="Times New Roman"/>
          <w:kern w:val="0"/>
          <w:sz w:val="32"/>
          <w:szCs w:val="32"/>
        </w:rPr>
        <w:t>政府性基金预算</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国有资本经营预算</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w:t>
      </w:r>
      <w:r>
        <w:rPr>
          <w:rFonts w:hint="eastAsia" w:ascii="Times New Roman" w:hAnsi="Times New Roman" w:eastAsia="仿宋_GB2312" w:cs="Times New Roman"/>
          <w:kern w:val="0"/>
          <w:sz w:val="32"/>
          <w:szCs w:val="32"/>
          <w:lang w:val="en-US" w:eastAsia="zh-CN"/>
        </w:rPr>
        <w:t>本部门</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rPr>
        <w:t>《政府工作报告》起草和文稿服务工作经费；政策研究、决策咨询和课题经费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51.99</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kern w:val="0"/>
          <w:sz w:val="32"/>
          <w:szCs w:val="32"/>
          <w:lang w:val="en-US" w:eastAsia="zh-CN"/>
        </w:rPr>
        <w:t>本部门</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kern w:val="0"/>
          <w:sz w:val="32"/>
          <w:szCs w:val="32"/>
        </w:rPr>
        <w:t>新增重大项目。</w:t>
      </w:r>
    </w:p>
    <w:p w14:paraId="19F62C8E">
      <w:pPr>
        <w:keepNext w:val="0"/>
        <w:keepLines w:val="0"/>
        <w:pageBreakBefore w:val="0"/>
        <w:widowControl/>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 w:hAnsi="仿宋" w:eastAsia="仿宋" w:cs="仿宋"/>
          <w:color w:val="auto"/>
          <w:spacing w:val="0"/>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302.04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315.74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104.54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仿宋" w:hAnsi="仿宋" w:eastAsia="仿宋" w:cs="仿宋"/>
          <w:b w:val="0"/>
          <w:bCs w:val="0"/>
          <w:color w:val="auto"/>
          <w:spacing w:val="0"/>
          <w:sz w:val="32"/>
          <w:szCs w:val="32"/>
          <w:lang w:val="en-US" w:eastAsia="zh-CN"/>
        </w:rPr>
        <w:t>一、强化政治引领，在对党忠诚上彰显新高度。</w:t>
      </w:r>
      <w:r>
        <w:rPr>
          <w:rFonts w:hint="eastAsia" w:ascii="仿宋" w:hAnsi="仿宋" w:eastAsia="仿宋" w:cs="仿宋"/>
          <w:color w:val="auto"/>
          <w:spacing w:val="0"/>
          <w:sz w:val="32"/>
          <w:szCs w:val="32"/>
          <w:lang w:val="en-US" w:eastAsia="zh-CN"/>
        </w:rPr>
        <w:t>坚持把旗帜鲜明讲政治摆在首位，贯穿于研究室工作各领域、全过程。</w:t>
      </w:r>
      <w:r>
        <w:rPr>
          <w:rFonts w:hint="eastAsia" w:ascii="仿宋" w:hAnsi="仿宋" w:eastAsia="仿宋" w:cs="仿宋"/>
          <w:b/>
          <w:bCs/>
          <w:color w:val="auto"/>
          <w:spacing w:val="0"/>
          <w:sz w:val="32"/>
          <w:szCs w:val="32"/>
          <w:lang w:val="en-US" w:eastAsia="zh-CN"/>
        </w:rPr>
        <w:t>一是持续筑牢政治根基。</w:t>
      </w:r>
      <w:r>
        <w:rPr>
          <w:rFonts w:hint="eastAsia" w:ascii="仿宋" w:hAnsi="仿宋" w:eastAsia="仿宋" w:cs="仿宋"/>
          <w:color w:val="auto"/>
          <w:spacing w:val="0"/>
          <w:sz w:val="32"/>
          <w:szCs w:val="32"/>
          <w:lang w:val="en-US" w:eastAsia="zh-CN"/>
        </w:rPr>
        <w:t>深刻领悟“两个确立”的决定性意义，增强“四个意识”、坚定“四个自信”、坚决做到“两个维护”，始终在思想上政治上行动上同以习近平同志为核心的党中央保持高度一致。对党中央决策部署，做到闻令而动、令行禁止，确保执行不偏向、不变通、不走样。不折不扣贯彻落实市委、市政府工作要求，严格执行请示报告制度，做到思想上同心、政治上同向、行动上同步。</w:t>
      </w:r>
      <w:r>
        <w:rPr>
          <w:rFonts w:hint="eastAsia" w:ascii="仿宋" w:hAnsi="仿宋" w:eastAsia="仿宋" w:cs="仿宋"/>
          <w:b/>
          <w:bCs/>
          <w:color w:val="auto"/>
          <w:spacing w:val="0"/>
          <w:sz w:val="32"/>
          <w:szCs w:val="32"/>
          <w:lang w:val="en-US" w:eastAsia="zh-CN"/>
        </w:rPr>
        <w:t>二是不断深化理论武装。</w:t>
      </w:r>
      <w:r>
        <w:rPr>
          <w:rFonts w:hint="eastAsia" w:ascii="仿宋" w:hAnsi="仿宋" w:eastAsia="仿宋" w:cs="仿宋"/>
          <w:color w:val="auto"/>
          <w:spacing w:val="0"/>
          <w:sz w:val="32"/>
          <w:szCs w:val="32"/>
          <w:lang w:val="en-US" w:eastAsia="zh-CN"/>
        </w:rPr>
        <w:t>坚持把学习党的创新理论作为凝心铸魂的根本任务，严格落实“第一议题”、党组理论学习中心组学习等制度</w:t>
      </w:r>
      <w:r>
        <w:rPr>
          <w:rFonts w:hint="eastAsia" w:ascii="仿宋" w:hAnsi="仿宋" w:eastAsia="仿宋" w:cs="仿宋"/>
          <w:color w:val="auto"/>
          <w:spacing w:val="0"/>
          <w:sz w:val="32"/>
          <w:szCs w:val="32"/>
          <w:lang w:eastAsia="zh-CN"/>
        </w:rPr>
        <w:t>，</w:t>
      </w:r>
      <w:r>
        <w:rPr>
          <w:rFonts w:hint="eastAsia" w:ascii="仿宋" w:hAnsi="仿宋" w:eastAsia="仿宋" w:cs="仿宋"/>
          <w:color w:val="auto"/>
          <w:spacing w:val="0"/>
          <w:sz w:val="32"/>
          <w:szCs w:val="32"/>
          <w:lang w:val="en-US" w:eastAsia="zh-CN"/>
        </w:rPr>
        <w:t>大力实施年轻干部理论提升行动，全年召开室党组会议16次、室党组理论学习中心组学习（扩大）会13次，深入学习党的二十届四中全会精神、《习近平谈治国理政》第五卷、习近平总书记关于湖南工作的重要讲话和重要指示批示精神，及时传达学习上级最新文件和会议精神，不断提升党员干部“政治三力”，切实将学习成果转化为服务高质量发展的实际能力。</w:t>
      </w:r>
      <w:r>
        <w:rPr>
          <w:rFonts w:hint="eastAsia" w:ascii="仿宋" w:hAnsi="仿宋" w:eastAsia="仿宋" w:cs="仿宋"/>
          <w:b/>
          <w:bCs/>
          <w:color w:val="auto"/>
          <w:spacing w:val="0"/>
          <w:sz w:val="32"/>
          <w:szCs w:val="32"/>
          <w:lang w:val="en-US" w:eastAsia="zh-CN"/>
        </w:rPr>
        <w:t>三是扎实开展深入贯彻中央八项规定精神学习教育。</w:t>
      </w:r>
      <w:r>
        <w:rPr>
          <w:rFonts w:hint="eastAsia" w:ascii="仿宋" w:hAnsi="仿宋" w:eastAsia="仿宋" w:cs="仿宋"/>
          <w:color w:val="auto"/>
          <w:spacing w:val="0"/>
          <w:sz w:val="32"/>
          <w:szCs w:val="32"/>
          <w:lang w:val="en-US" w:eastAsia="zh-CN"/>
        </w:rPr>
        <w:t>认真学习贯彻习近平总书记关于加强党的作风建设的重要论述和中央八项规定及其实施细则精神，开展党组会专题研究7次、党组理论学习中心组集中研讨5次、读书班1次，形成成果汇编5册。对照相关整治清单和典型案例，深入开展自查自纠，领导班子查摆问题14个、党员干部检视问题21个，全部建立清单，并明确整改措施、责任人和完成时限，确保整改落到实处、取得实效。</w:t>
      </w:r>
      <w:r>
        <w:rPr>
          <w:rFonts w:hint="eastAsia" w:ascii="仿宋" w:hAnsi="仿宋" w:eastAsia="仿宋" w:cs="仿宋"/>
          <w:b/>
          <w:bCs/>
          <w:color w:val="auto"/>
          <w:spacing w:val="0"/>
          <w:sz w:val="32"/>
          <w:szCs w:val="32"/>
          <w:lang w:val="en-US" w:eastAsia="zh-CN"/>
        </w:rPr>
        <w:t>四是全面压实主体责任。</w:t>
      </w:r>
      <w:r>
        <w:rPr>
          <w:rFonts w:hint="eastAsia" w:ascii="仿宋" w:hAnsi="仿宋" w:eastAsia="仿宋" w:cs="仿宋"/>
          <w:color w:val="auto"/>
          <w:spacing w:val="0"/>
          <w:sz w:val="32"/>
          <w:szCs w:val="32"/>
          <w:lang w:val="en-US" w:eastAsia="zh-CN"/>
        </w:rPr>
        <w:t>统筹抓好意识形态、保密、统一战线、法治建设、平安建设、安全生产等工作，定期分析研判相关领域风险隐患，全年专题研究意识形态工作3次，组织开展保密、安全教育与检查各1次，有效确保了相关领域安全稳定，未发生重大问题和突发事件。</w:t>
      </w:r>
    </w:p>
    <w:p w14:paraId="7C461A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pacing w:val="-6"/>
          <w:sz w:val="32"/>
          <w:szCs w:val="32"/>
          <w:lang w:val="en-US" w:eastAsia="zh-CN"/>
        </w:rPr>
      </w:pPr>
      <w:r>
        <w:rPr>
          <w:rFonts w:hint="eastAsia" w:ascii="仿宋" w:hAnsi="仿宋" w:eastAsia="仿宋" w:cs="仿宋"/>
          <w:b w:val="0"/>
          <w:bCs w:val="0"/>
          <w:color w:val="auto"/>
          <w:spacing w:val="0"/>
          <w:sz w:val="32"/>
          <w:szCs w:val="32"/>
          <w:lang w:val="en-US" w:eastAsia="zh-CN"/>
        </w:rPr>
        <w:t>二、聚焦主责主业，在以文辅政上展现新作为。</w:t>
      </w:r>
      <w:r>
        <w:rPr>
          <w:rFonts w:hint="eastAsia" w:ascii="仿宋" w:hAnsi="仿宋" w:eastAsia="仿宋" w:cs="仿宋"/>
          <w:color w:val="auto"/>
          <w:spacing w:val="0"/>
          <w:sz w:val="32"/>
          <w:szCs w:val="32"/>
          <w:lang w:val="en-US" w:eastAsia="zh-CN"/>
        </w:rPr>
        <w:t>面对任务重、要求高、人手紧的实际情况，全室同志以高度的责任感和使命感，恪尽职守、精益求精，高质量完成各项文稿服务任务。</w:t>
      </w:r>
      <w:r>
        <w:rPr>
          <w:rFonts w:hint="eastAsia" w:ascii="仿宋" w:hAnsi="仿宋" w:eastAsia="仿宋" w:cs="仿宋"/>
          <w:b/>
          <w:bCs/>
          <w:color w:val="auto"/>
          <w:spacing w:val="0"/>
          <w:sz w:val="32"/>
          <w:szCs w:val="32"/>
          <w:lang w:val="en-US" w:eastAsia="zh-CN"/>
        </w:rPr>
        <w:t>一是参政设谋精准高效</w:t>
      </w:r>
      <w:r>
        <w:rPr>
          <w:rStyle w:val="11"/>
          <w:rFonts w:hint="eastAsia" w:ascii="仿宋" w:hAnsi="仿宋" w:eastAsia="仿宋" w:cs="仿宋"/>
          <w:b/>
          <w:bCs/>
          <w:i w:val="0"/>
          <w:iCs w:val="0"/>
          <w:caps w:val="0"/>
          <w:color w:val="auto"/>
          <w:spacing w:val="0"/>
          <w:sz w:val="32"/>
          <w:szCs w:val="32"/>
          <w:shd w:val="clear" w:color="auto" w:fill="FFFFFF"/>
        </w:rPr>
        <w:t>。</w:t>
      </w:r>
      <w:r>
        <w:rPr>
          <w:rFonts w:hint="eastAsia" w:ascii="仿宋" w:hAnsi="仿宋" w:eastAsia="仿宋" w:cs="仿宋"/>
          <w:color w:val="auto"/>
          <w:spacing w:val="0"/>
          <w:sz w:val="32"/>
          <w:szCs w:val="32"/>
          <w:lang w:val="en-US" w:eastAsia="zh-CN"/>
        </w:rPr>
        <w:t>紧紧围绕市政府主要领导政务活动需求，提前谋划、精准对接、高效统筹，全年累计为市政府主要领导撰写汇报、讲话等材料140余篇、约60万字，为常务副市长起草文稿220篇、约80万字，认真把关市长新闻稿100余篇，文稿质量获市政府领导充分肯定。同时，积极配合完成《新怀化》编辑组稿任务。</w:t>
      </w:r>
      <w:r>
        <w:rPr>
          <w:rFonts w:hint="eastAsia" w:ascii="仿宋" w:hAnsi="仿宋" w:eastAsia="仿宋" w:cs="仿宋"/>
          <w:b/>
          <w:bCs/>
          <w:color w:val="auto"/>
          <w:spacing w:val="0"/>
          <w:sz w:val="32"/>
          <w:szCs w:val="32"/>
          <w:lang w:val="en-US" w:eastAsia="zh-CN"/>
        </w:rPr>
        <w:t>二是政府工作报告焕新出彩。</w:t>
      </w:r>
      <w:r>
        <w:rPr>
          <w:rFonts w:hint="eastAsia" w:ascii="仿宋" w:hAnsi="仿宋" w:eastAsia="仿宋" w:cs="仿宋"/>
          <w:color w:val="auto"/>
          <w:spacing w:val="0"/>
          <w:sz w:val="32"/>
          <w:szCs w:val="32"/>
          <w:lang w:val="en-US" w:eastAsia="zh-CN"/>
        </w:rPr>
        <w:t>将2026年《政府工作报告》起草作为重大政治任务，集中精锐力量，历时两个月攻坚，征集素材100余份、30余万字，征求意见300余条，修改完善20余稿，最终报告获得市委、市政府领导及社会各界高度肯定，特别是朝晖市长在人大会议后特别表扬：“工作干得好，报告也写得好”。</w:t>
      </w:r>
      <w:r>
        <w:rPr>
          <w:rFonts w:hint="eastAsia" w:ascii="仿宋" w:hAnsi="仿宋" w:eastAsia="仿宋" w:cs="仿宋"/>
          <w:b/>
          <w:bCs/>
          <w:color w:val="auto"/>
          <w:spacing w:val="0"/>
          <w:sz w:val="32"/>
          <w:szCs w:val="32"/>
          <w:lang w:val="en-US" w:eastAsia="zh-CN"/>
        </w:rPr>
        <w:t>三是保障赋能有力有序。</w:t>
      </w:r>
      <w:r>
        <w:rPr>
          <w:rFonts w:hint="eastAsia" w:ascii="仿宋" w:hAnsi="仿宋" w:eastAsia="仿宋" w:cs="仿宋"/>
          <w:b w:val="0"/>
          <w:bCs w:val="0"/>
          <w:color w:val="auto"/>
          <w:spacing w:val="0"/>
          <w:kern w:val="2"/>
          <w:sz w:val="32"/>
          <w:szCs w:val="32"/>
          <w:lang w:val="en-US" w:eastAsia="zh-CN" w:bidi="ar-SA"/>
        </w:rPr>
        <w:t>围绕“七大攻坚”等重点任务，高质量撰写11篇经济形势调度会讲话稿，为领导决策提供有力参考，助推经济持续保持追赶向上的强劲态势。全力服务第五届湖南旅游发展大会筹备工作，撰写争资立项各类材料17篇，选派1名同志加入省专班起草各类材料40余篇，工作获省、市表扬。</w:t>
      </w:r>
      <w:r>
        <w:rPr>
          <w:rFonts w:hint="eastAsia" w:ascii="仿宋" w:hAnsi="仿宋" w:eastAsia="仿宋" w:cs="仿宋"/>
          <w:b/>
          <w:bCs/>
          <w:color w:val="auto"/>
          <w:spacing w:val="0"/>
          <w:sz w:val="32"/>
          <w:szCs w:val="32"/>
          <w:lang w:val="en-US" w:eastAsia="zh-CN"/>
        </w:rPr>
        <w:t>四是宣传推荐精彩纷呈。</w:t>
      </w:r>
      <w:r>
        <w:rPr>
          <w:rFonts w:hint="eastAsia" w:ascii="仿宋" w:hAnsi="仿宋" w:eastAsia="仿宋" w:cs="仿宋"/>
          <w:color w:val="auto"/>
          <w:spacing w:val="0"/>
          <w:sz w:val="32"/>
          <w:szCs w:val="32"/>
          <w:lang w:val="en-US" w:eastAsia="zh-CN"/>
        </w:rPr>
        <w:t>精心撰写市政府主要领导接受人民网、新湖南等主流媒体专访稿件，完成省“十四五”系列主题新闻发布会怀化专场答记者问材料，助力生动讲好怀化故事。牵头</w:t>
      </w:r>
      <w:r>
        <w:rPr>
          <w:rFonts w:hint="eastAsia" w:ascii="仿宋" w:hAnsi="仿宋" w:eastAsia="仿宋" w:cs="仿宋"/>
          <w:b w:val="0"/>
          <w:bCs w:val="0"/>
          <w:color w:val="auto"/>
          <w:spacing w:val="0"/>
          <w:sz w:val="32"/>
          <w:szCs w:val="32"/>
          <w:u w:val="none"/>
          <w:lang w:val="en-US" w:eastAsia="zh-CN"/>
        </w:rPr>
        <w:t>把关5个特色亮点工作材料，被评为2025年度省政府推动高质量发展综合督查的典型经验，有效提升怀化美誉度和影响力。</w:t>
      </w:r>
      <w:r>
        <w:rPr>
          <w:rFonts w:hint="eastAsia" w:ascii="仿宋" w:hAnsi="仿宋" w:eastAsia="仿宋" w:cs="仿宋"/>
          <w:b/>
          <w:bCs/>
          <w:color w:val="auto"/>
          <w:spacing w:val="0"/>
          <w:sz w:val="32"/>
          <w:szCs w:val="32"/>
          <w:lang w:val="en-US" w:eastAsia="zh-CN"/>
        </w:rPr>
        <w:t>五是调查研究走深走实。</w:t>
      </w:r>
      <w:r>
        <w:rPr>
          <w:rFonts w:hint="eastAsia" w:ascii="仿宋" w:hAnsi="仿宋" w:eastAsia="仿宋" w:cs="仿宋"/>
          <w:color w:val="auto"/>
          <w:spacing w:val="0"/>
          <w:sz w:val="32"/>
          <w:szCs w:val="32"/>
          <w:lang w:val="en-US" w:eastAsia="zh-CN"/>
        </w:rPr>
        <w:t>围绕国际陆港建设、生态产品价值实现、“怀乡怀品”品牌打造等市委、市政府中心工作，精选调研课题，深入开展专题调研和联合调研，形成5篇高质量调研报告，其中《关于怀化森林生态产品价值实现的调研报告》获得政府领导高度肯</w:t>
      </w:r>
      <w:r>
        <w:rPr>
          <w:rFonts w:hint="eastAsia" w:ascii="仿宋" w:hAnsi="仿宋" w:eastAsia="仿宋" w:cs="仿宋"/>
          <w:b w:val="0"/>
          <w:bCs w:val="0"/>
          <w:color w:val="auto"/>
          <w:spacing w:val="0"/>
          <w:sz w:val="32"/>
          <w:szCs w:val="32"/>
          <w:u w:val="none"/>
          <w:lang w:val="en-US" w:eastAsia="zh-CN"/>
        </w:rPr>
        <w:t>定，并获评2025年怀化市社科联重点课题。</w:t>
      </w:r>
      <w:r>
        <w:rPr>
          <w:rFonts w:hint="eastAsia" w:ascii="仿宋" w:hAnsi="仿宋" w:eastAsia="仿宋" w:cs="仿宋"/>
          <w:b/>
          <w:bCs/>
          <w:color w:val="auto"/>
          <w:spacing w:val="0"/>
          <w:sz w:val="32"/>
          <w:szCs w:val="32"/>
          <w:lang w:val="en-US" w:eastAsia="zh-CN"/>
        </w:rPr>
        <w:t>六是信息服务优质及时。</w:t>
      </w:r>
      <w:r>
        <w:rPr>
          <w:rFonts w:hint="eastAsia" w:ascii="仿宋" w:hAnsi="仿宋" w:eastAsia="仿宋" w:cs="仿宋"/>
          <w:color w:val="auto"/>
          <w:spacing w:val="-6"/>
          <w:sz w:val="32"/>
          <w:szCs w:val="32"/>
          <w:lang w:val="en-US" w:eastAsia="zh-CN"/>
        </w:rPr>
        <w:t>紧密围绕市政府领导决策需要，高效集成上级政策、外地经验、基层实践等信息，编印市情简介、政策文件汇编等资料约10万字，并坚持每日精选、报送5篇信息。同时，严谨细致完成沅陵“2·25”水上交通安全事故信息报送工作。</w:t>
      </w:r>
    </w:p>
    <w:p w14:paraId="10A1DBC0">
      <w:pPr>
        <w:keepNext w:val="0"/>
        <w:keepLines w:val="0"/>
        <w:pageBreakBefore w:val="0"/>
        <w:widowControl/>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 w:hAnsi="仿宋" w:eastAsia="仿宋" w:cs="仿宋"/>
          <w:color w:val="auto"/>
          <w:spacing w:val="0"/>
          <w:sz w:val="32"/>
          <w:szCs w:val="32"/>
          <w:lang w:val="en-US" w:eastAsia="zh-CN"/>
        </w:rPr>
      </w:pPr>
      <w:r>
        <w:rPr>
          <w:rFonts w:hint="eastAsia" w:ascii="仿宋" w:hAnsi="仿宋" w:eastAsia="仿宋" w:cs="仿宋"/>
          <w:b w:val="0"/>
          <w:bCs w:val="0"/>
          <w:color w:val="auto"/>
          <w:spacing w:val="0"/>
          <w:sz w:val="32"/>
          <w:szCs w:val="32"/>
          <w:lang w:val="en-US" w:eastAsia="zh-CN"/>
        </w:rPr>
        <w:t>三、突出党建赋能，在队伍建设上激发新活力。</w:t>
      </w:r>
      <w:r>
        <w:rPr>
          <w:rFonts w:hint="eastAsia" w:ascii="仿宋" w:hAnsi="仿宋" w:eastAsia="仿宋" w:cs="仿宋"/>
          <w:color w:val="auto"/>
          <w:spacing w:val="0"/>
          <w:sz w:val="32"/>
          <w:szCs w:val="32"/>
          <w:lang w:val="en-US" w:eastAsia="zh-CN"/>
        </w:rPr>
        <w:t>深入贯彻落实新时代党的建设总要求，坚持党建工作与业务工作同谋划、同部署、同推进，推动全面从严治党向纵深发展。</w:t>
      </w:r>
      <w:r>
        <w:rPr>
          <w:rFonts w:hint="eastAsia" w:ascii="仿宋" w:hAnsi="仿宋" w:eastAsia="仿宋" w:cs="仿宋"/>
          <w:b/>
          <w:bCs/>
          <w:color w:val="auto"/>
          <w:spacing w:val="0"/>
          <w:kern w:val="2"/>
          <w:sz w:val="32"/>
          <w:szCs w:val="32"/>
          <w:lang w:val="en-US" w:eastAsia="zh-CN" w:bidi="ar-SA"/>
        </w:rPr>
        <w:t>一是压实管党治党责任。</w:t>
      </w:r>
      <w:r>
        <w:rPr>
          <w:rFonts w:hint="eastAsia" w:ascii="仿宋" w:hAnsi="仿宋" w:eastAsia="仿宋" w:cs="仿宋"/>
          <w:color w:val="auto"/>
          <w:spacing w:val="0"/>
          <w:sz w:val="32"/>
          <w:szCs w:val="32"/>
          <w:lang w:val="en-US" w:eastAsia="zh-CN"/>
        </w:rPr>
        <w:t>严格执行《党委（党组）落实全面从严治党主体责任规定》，室党组切实担负起主体责任，党组书记认真履行第一责任人职责，班子成员严格落实“一岗双责”，定期研究、部署、检查党建工作，对照典型案例查摆问题5项，深入开展以案促改，按规定向市委报告主体责任落实情况，推动党建工作提质增效。</w:t>
      </w:r>
      <w:r>
        <w:rPr>
          <w:rFonts w:hint="eastAsia" w:ascii="仿宋" w:hAnsi="仿宋" w:eastAsia="仿宋" w:cs="仿宋"/>
          <w:b/>
          <w:bCs/>
          <w:color w:val="auto"/>
          <w:spacing w:val="0"/>
          <w:kern w:val="2"/>
          <w:sz w:val="32"/>
          <w:szCs w:val="32"/>
          <w:lang w:val="en-US" w:eastAsia="zh-CN" w:bidi="ar-SA"/>
        </w:rPr>
        <w:t>二是建强支部战斗堡垒。</w:t>
      </w:r>
      <w:r>
        <w:rPr>
          <w:rFonts w:hint="eastAsia" w:ascii="仿宋" w:hAnsi="仿宋" w:eastAsia="仿宋" w:cs="仿宋"/>
          <w:color w:val="auto"/>
          <w:spacing w:val="0"/>
          <w:sz w:val="32"/>
          <w:szCs w:val="32"/>
          <w:lang w:val="en-US" w:eastAsia="zh-CN"/>
        </w:rPr>
        <w:t>制定党建与业务联动责任清单，规范落实“三会一课”、组织生活会、民主评议党员等制度，全年召开民主生活会1次、组织生活会1次，开展各层级谈心谈话35人次，不断加强党员教育管理监督。</w:t>
      </w:r>
      <w:r>
        <w:rPr>
          <w:rFonts w:hint="eastAsia" w:ascii="仿宋" w:hAnsi="仿宋" w:eastAsia="仿宋" w:cs="仿宋"/>
          <w:b/>
          <w:bCs/>
          <w:color w:val="auto"/>
          <w:spacing w:val="0"/>
          <w:kern w:val="2"/>
          <w:sz w:val="32"/>
          <w:szCs w:val="32"/>
          <w:lang w:val="en-US" w:eastAsia="zh-CN" w:bidi="ar-SA"/>
        </w:rPr>
        <w:t>三是锻造过硬干部队伍。</w:t>
      </w:r>
      <w:r>
        <w:rPr>
          <w:rFonts w:hint="eastAsia" w:ascii="仿宋" w:hAnsi="仿宋" w:eastAsia="仿宋" w:cs="仿宋"/>
          <w:color w:val="auto"/>
          <w:spacing w:val="0"/>
          <w:sz w:val="32"/>
          <w:szCs w:val="32"/>
          <w:lang w:val="en-US" w:eastAsia="zh-CN"/>
        </w:rPr>
        <w:t>制定《科级干部选拔任用工作流程》，公平公正选人用人，全年提拔副科长1名，完成职级晋升3名，选派1名干部下县挂职锻炼，干部队伍结构不断优化。落实干部培训教育计划，推荐8人次到市委党校和高校参加中青班、专题研讨班和进修班等培训。举办全市政府系统文稿服务能力提升培训班，政府组成部门、各县市区共66名同志参加，不断提升全市研究室系统队伍专业素养。同时，积极参与制定市政府办新进人员培养计划，累计接收7名同志跟班学习，指定业务骨干“一对一”指导，扎实做好“传帮带”，助力年轻干部成长成才。</w:t>
      </w:r>
      <w:r>
        <w:rPr>
          <w:rFonts w:hint="eastAsia" w:ascii="仿宋" w:hAnsi="仿宋" w:eastAsia="仿宋" w:cs="仿宋"/>
          <w:b/>
          <w:bCs/>
          <w:color w:val="auto"/>
          <w:spacing w:val="0"/>
          <w:kern w:val="2"/>
          <w:sz w:val="32"/>
          <w:szCs w:val="32"/>
          <w:lang w:val="en-US" w:eastAsia="zh-CN" w:bidi="ar-SA"/>
        </w:rPr>
        <w:t>四是</w:t>
      </w:r>
      <w:r>
        <w:rPr>
          <w:rFonts w:hint="eastAsia" w:ascii="仿宋" w:hAnsi="仿宋" w:eastAsia="仿宋" w:cs="仿宋"/>
          <w:b/>
          <w:bCs/>
          <w:color w:val="auto"/>
          <w:spacing w:val="0"/>
          <w:sz w:val="32"/>
          <w:szCs w:val="32"/>
          <w:lang w:val="en-US" w:eastAsia="zh-CN"/>
        </w:rPr>
        <w:t>扎实推进乡村振兴。</w:t>
      </w:r>
      <w:r>
        <w:rPr>
          <w:rFonts w:hint="eastAsia" w:ascii="仿宋" w:hAnsi="仿宋" w:eastAsia="仿宋" w:cs="仿宋"/>
          <w:color w:val="auto"/>
          <w:spacing w:val="0"/>
          <w:sz w:val="32"/>
          <w:szCs w:val="32"/>
          <w:lang w:val="en-US" w:eastAsia="zh-CN"/>
        </w:rPr>
        <w:t>选派1名干部驻村帮扶，安排专项资金4万元支持思蒙镇黄家庄村发展。目前，该村稳定消除返贫致贫风险7户29人，村集体经济收入突破10万元，发展基础更加稳固。</w:t>
      </w:r>
    </w:p>
    <w:p w14:paraId="1D4FCE10">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仿宋" w:hAnsi="仿宋" w:eastAsia="仿宋" w:cs="仿宋"/>
          <w:b w:val="0"/>
          <w:bCs w:val="0"/>
          <w:color w:val="auto"/>
          <w:spacing w:val="0"/>
          <w:sz w:val="32"/>
          <w:szCs w:val="32"/>
          <w:lang w:val="en-US" w:eastAsia="zh-CN"/>
        </w:rPr>
        <w:t>四、遵守纪律规矩，在廉政建设上呈现新气象。</w:t>
      </w:r>
      <w:r>
        <w:rPr>
          <w:rFonts w:hint="eastAsia" w:ascii="仿宋" w:hAnsi="仿宋" w:eastAsia="仿宋" w:cs="仿宋"/>
          <w:color w:val="auto"/>
          <w:spacing w:val="0"/>
          <w:sz w:val="32"/>
          <w:szCs w:val="32"/>
          <w:lang w:val="en-US" w:eastAsia="zh-CN"/>
        </w:rPr>
        <w:t>始终保持“两个永远在路上”的清醒坚定，严格落实全面从严治党主体责任，持之以恒抓好党风廉政建设和反腐败工作，营造风清气正的政治生态。</w:t>
      </w:r>
      <w:r>
        <w:rPr>
          <w:rFonts w:hint="eastAsia" w:ascii="仿宋" w:hAnsi="仿宋" w:eastAsia="仿宋" w:cs="仿宋"/>
          <w:b/>
          <w:bCs/>
          <w:color w:val="auto"/>
          <w:spacing w:val="0"/>
          <w:kern w:val="2"/>
          <w:sz w:val="32"/>
          <w:szCs w:val="32"/>
          <w:lang w:val="en-US" w:eastAsia="zh-CN" w:bidi="ar-SA"/>
        </w:rPr>
        <w:t>一是持续推进以案促改促治，深化作风建设。</w:t>
      </w:r>
      <w:r>
        <w:rPr>
          <w:rFonts w:hint="eastAsia" w:ascii="仿宋" w:hAnsi="仿宋" w:eastAsia="仿宋" w:cs="仿宋"/>
          <w:color w:val="auto"/>
          <w:kern w:val="0"/>
          <w:sz w:val="32"/>
          <w:szCs w:val="32"/>
          <w:lang w:val="en-US" w:eastAsia="zh-CN" w:bidi="ar-SA"/>
        </w:rPr>
        <w:t>严格按照彭国甫、雷绍业、印宇鹰等系列腐败案件“镜鉴”以案促改专项活动部署要求，坚持教育在先、警示在先、预防在先，对照系列腐败案件暴露出的突出问题，扎实开展自查自纠，累计梳理班子问题7个，建立整改台账、实行销号管理，确保全部整改落实到位、见底清零。深刻汲取彭国甫、雷绍业、印宇鹰等案件惨痛教训，把廉洁自律要求贯穿文稿起草、课题调研、决策咨询等核心业务各环节、全过程，</w:t>
      </w:r>
      <w:r>
        <w:rPr>
          <w:rFonts w:hint="eastAsia" w:ascii="仿宋" w:hAnsi="仿宋" w:eastAsia="仿宋" w:cs="仿宋"/>
          <w:color w:val="auto"/>
          <w:spacing w:val="0"/>
          <w:sz w:val="32"/>
          <w:szCs w:val="32"/>
          <w:lang w:val="en-US" w:eastAsia="zh-CN"/>
        </w:rPr>
        <w:t>坚持厉行节约，坚决落实“过紧日子”要求，进一步完善公务接待、办公经费等管理制度，建立“三公”经费使用动态监测机制。</w:t>
      </w:r>
      <w:r>
        <w:rPr>
          <w:rFonts w:hint="eastAsia" w:ascii="仿宋" w:hAnsi="仿宋" w:eastAsia="仿宋" w:cs="仿宋"/>
          <w:color w:val="auto"/>
          <w:kern w:val="0"/>
          <w:sz w:val="32"/>
          <w:szCs w:val="32"/>
          <w:lang w:val="en-US" w:eastAsia="zh-CN" w:bidi="ar-SA"/>
        </w:rPr>
        <w:t>常态化开展警示教育，引导全室干部以案为鉴、以案明纪、以案促廉，时刻绷紧廉洁自律之弦，筑牢拒腐防变思想道德防线，推动形成风清气正的政治生态。</w:t>
      </w:r>
      <w:r>
        <w:rPr>
          <w:rFonts w:hint="eastAsia" w:ascii="仿宋" w:hAnsi="仿宋" w:eastAsia="仿宋" w:cs="仿宋"/>
          <w:b/>
          <w:bCs/>
          <w:color w:val="auto"/>
          <w:spacing w:val="0"/>
          <w:sz w:val="32"/>
          <w:szCs w:val="32"/>
          <w:lang w:val="en-US" w:eastAsia="zh-CN"/>
        </w:rPr>
        <w:t>二是积极培育和弘扬廉洁文化。</w:t>
      </w:r>
      <w:r>
        <w:rPr>
          <w:rFonts w:hint="eastAsia" w:ascii="仿宋" w:hAnsi="仿宋" w:eastAsia="仿宋" w:cs="仿宋"/>
          <w:color w:val="auto"/>
          <w:spacing w:val="0"/>
          <w:sz w:val="32"/>
          <w:szCs w:val="32"/>
          <w:lang w:val="en-US" w:eastAsia="zh-CN"/>
        </w:rPr>
        <w:t>结合工作实际，积极打造“课题调研讲纪律”“文稿服务守底线”等特色的廉洁实践品牌，推动廉洁要求融入日常、抓在经常。创新廉洁教育方式，探索建立“家庭+单位”双向协同监督机制，通过定期召开家风建设座谈会、发放廉洁倡议书、开展廉政家访等形式，引导干部家属当好“廉内助”，共同筑牢“八小时外”的廉洁防线。</w:t>
      </w:r>
      <w:r>
        <w:rPr>
          <w:rFonts w:hint="eastAsia" w:ascii="仿宋" w:hAnsi="仿宋" w:eastAsia="仿宋" w:cs="仿宋"/>
          <w:b/>
          <w:bCs/>
          <w:color w:val="auto"/>
          <w:spacing w:val="0"/>
          <w:sz w:val="32"/>
          <w:szCs w:val="32"/>
          <w:lang w:val="en-US" w:eastAsia="zh-CN"/>
        </w:rPr>
        <w:t>三是自觉主动接受监督。</w:t>
      </w:r>
      <w:r>
        <w:rPr>
          <w:rFonts w:hint="eastAsia" w:ascii="仿宋" w:hAnsi="仿宋" w:eastAsia="仿宋" w:cs="仿宋"/>
          <w:color w:val="auto"/>
          <w:spacing w:val="0"/>
          <w:sz w:val="32"/>
          <w:szCs w:val="32"/>
          <w:lang w:val="en-US" w:eastAsia="zh-CN"/>
        </w:rPr>
        <w:t>聚焦人事、财务、物资管理等关键领域，强化内部管控流程，自觉接受审计、巡察等各方面监督。对发现的问题与薄弱环节，及时建立清单台账，明确责任、限时整改，并健全长效机制，确保权力在阳光下运行</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通过组织对财政局绩效评价政策文件的不断学习，我单位已逐渐树立了绩效目标管理观念，但面对零基预算等新要求下，绩效管理水平还需进一步提升，申报项目预算时需要进一步将绩效目标设置更加详细、合理、可衡量的绩效目标。</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1.以部门职能职责和绩效目标为基础，合理细化设置绩效目标，全面反映部门整体支出效益。对年初绩效目标各项内容填写规范、完整，有利于财政合理配置资源，节约财政资金，缓解供求矛盾，促进资源的有效配置。2.科学合理编制预算，严格执行预算。按照《中华人民共和国预算法》及其实施条例的相关规定，参考上一年的预算执行情况和年度的收支预测科学编制预算，避免年中大幅调整预算。在预算执行中，严格按照预算科目支出，避免预算科目间的预算资金调剂，确需调剂的，按规定程序报经批准。遵循预算管理办法，对于年度无法预计的临时追加的相关工作所需费用严格按规定执行预算调整程序。3.切实落实治党管党措施。进一步落实《党委（党组）落实全面从严治党主体责任规定》，认真抓好意识形态工作、党风廉政建设、基层党组织建设和人才队伍建设，不断提高干部履职尽责能力，建设一支政治坚定、业务精通、作风优良、清正廉洁的干部队伍</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default" w:ascii="Times New Roman Regular" w:hAnsi="Times New Roman Regular" w:eastAsia="仿宋_GB2312" w:cs="Times New Roman Regular"/>
          <w:color w:val="auto"/>
          <w:sz w:val="32"/>
          <w:szCs w:val="32"/>
          <w:highlight w:val="none"/>
          <w:lang w:val="en-US" w:eastAsia="zh-CN"/>
        </w:rPr>
        <w:t>《政府工作报告》起草和文稿服务工作经费；政策研究、决策咨询和课题经费</w:t>
      </w:r>
      <w:r>
        <w:rPr>
          <w:rFonts w:hint="eastAsia" w:ascii="Times New Roman Regular" w:hAnsi="Times New Roman Regular" w:eastAsia="仿宋_GB2312" w:cs="Times New Roman Regular"/>
          <w:color w:val="auto"/>
          <w:sz w:val="32"/>
          <w:szCs w:val="32"/>
          <w:highlight w:val="none"/>
          <w:lang w:val="en-US" w:eastAsia="zh-CN"/>
        </w:rPr>
        <w:t>1个</w:t>
      </w:r>
      <w:r>
        <w:rPr>
          <w:rFonts w:ascii="Times New Roman" w:hAnsi="Times New Roman" w:eastAsia="仿宋_GB2312" w:cs="Times New Roman"/>
          <w:sz w:val="32"/>
          <w:szCs w:val="32"/>
        </w:rPr>
        <w:t>项目</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51.99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86.65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”。发现的主要问题及原因：</w:t>
      </w:r>
      <w:r>
        <w:rPr>
          <w:rFonts w:hint="eastAsia" w:ascii="Times New Roman Regular" w:hAnsi="Times New Roman Regular" w:eastAsia="仿宋_GB2312" w:cs="Times New Roman Regular"/>
          <w:color w:val="auto"/>
          <w:kern w:val="2"/>
          <w:sz w:val="32"/>
          <w:szCs w:val="32"/>
          <w:highlight w:val="none"/>
          <w:lang w:val="en-US" w:eastAsia="zh-CN" w:bidi="ar-SA"/>
        </w:rPr>
        <w:t>存在项目支出明细预算编制不够精准，需进一步细化。</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根据年初预算及项目目标，结合上年支出，制定支出预算。</w:t>
      </w:r>
    </w:p>
    <w:p w14:paraId="0C89DDEA">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w:t>
      </w:r>
      <w:r>
        <w:rPr>
          <w:rFonts w:hint="eastAsia" w:ascii="Times New Roman" w:hAnsi="Times New Roman" w:eastAsia="仿宋_GB2312" w:cs="Times New Roman"/>
          <w:kern w:val="0"/>
          <w:sz w:val="32"/>
          <w:szCs w:val="32"/>
          <w:lang w:val="en-US" w:eastAsia="zh-CN"/>
        </w:rPr>
        <w:t>本部门</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kern w:val="0"/>
          <w:sz w:val="32"/>
          <w:szCs w:val="32"/>
        </w:rPr>
        <w:t>新增重大项目。</w:t>
      </w:r>
    </w:p>
    <w:p w14:paraId="7E411428">
      <w:pPr>
        <w:pStyle w:val="8"/>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20" w:lineRule="exact"/>
        <w:ind w:firstLine="640" w:firstLineChars="200"/>
        <w:textAlignment w:val="auto"/>
        <w:rPr>
          <w:rFonts w:hint="eastAsia" w:ascii="仿宋" w:hAnsi="仿宋" w:eastAsia="仿宋" w:cs="仿宋"/>
          <w:color w:val="494949"/>
          <w:kern w:val="2"/>
          <w:sz w:val="32"/>
          <w:szCs w:val="32"/>
          <w:highlight w:val="none"/>
          <w:shd w:val="clear" w:color="auto" w:fill="FFFFFF"/>
          <w:lang w:val="en-US" w:eastAsia="zh-CN" w:bidi="ar-SA"/>
        </w:rPr>
      </w:pPr>
      <w:r>
        <w:rPr>
          <w:rFonts w:ascii="Times New Roman" w:hAnsi="Times New Roman" w:eastAsia="楷体_GB2312" w:cs="Times New Roman"/>
          <w:b/>
          <w:bCs/>
          <w:color w:val="auto"/>
          <w:kern w:val="2"/>
          <w:sz w:val="32"/>
          <w:szCs w:val="32"/>
        </w:rPr>
        <w:t>（三）评价结果应用情况。</w:t>
      </w:r>
      <w:r>
        <w:rPr>
          <w:rFonts w:ascii="仿宋" w:hAnsi="仿宋" w:eastAsia="仿宋" w:cs="仿宋"/>
          <w:i w:val="0"/>
          <w:iCs w:val="0"/>
          <w:caps w:val="0"/>
          <w:color w:val="333333"/>
          <w:spacing w:val="0"/>
          <w:sz w:val="32"/>
          <w:szCs w:val="32"/>
          <w:shd w:val="clear" w:color="auto" w:fill="FFFFFF"/>
        </w:rPr>
        <w:t>将绩效</w:t>
      </w:r>
      <w:r>
        <w:rPr>
          <w:rFonts w:hint="eastAsia" w:ascii="仿宋" w:hAnsi="仿宋" w:eastAsia="仿宋" w:cs="仿宋"/>
          <w:i w:val="0"/>
          <w:iCs w:val="0"/>
          <w:caps w:val="0"/>
          <w:color w:val="333333"/>
          <w:spacing w:val="0"/>
          <w:sz w:val="32"/>
          <w:szCs w:val="32"/>
          <w:shd w:val="clear" w:color="auto" w:fill="FFFFFF"/>
          <w:lang w:val="en-US" w:eastAsia="zh-CN"/>
        </w:rPr>
        <w:t>评价</w:t>
      </w:r>
      <w:r>
        <w:rPr>
          <w:rFonts w:ascii="仿宋" w:hAnsi="仿宋" w:eastAsia="仿宋" w:cs="仿宋"/>
          <w:i w:val="0"/>
          <w:iCs w:val="0"/>
          <w:caps w:val="0"/>
          <w:color w:val="333333"/>
          <w:spacing w:val="0"/>
          <w:sz w:val="32"/>
          <w:szCs w:val="32"/>
          <w:shd w:val="clear" w:color="auto" w:fill="FFFFFF"/>
        </w:rPr>
        <w:t>结果作为下年度预算配置、预算执行和预算管理的重要参照依据，不断细化绩效评价指标，提高资金使用效益。</w:t>
      </w:r>
    </w:p>
    <w:p w14:paraId="22D51C89">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3DA2FA76">
      <w:pPr>
        <w:pStyle w:val="14"/>
        <w:jc w:val="center"/>
        <w:rPr>
          <w:rFonts w:ascii="Times New Roman" w:hAnsi="Times New Roman" w:cs="Times New Roman"/>
          <w:sz w:val="72"/>
          <w:szCs w:val="72"/>
        </w:rPr>
      </w:pPr>
    </w:p>
    <w:p w14:paraId="2615DD75">
      <w:pPr>
        <w:pStyle w:val="14"/>
        <w:jc w:val="center"/>
        <w:rPr>
          <w:rFonts w:ascii="Times New Roman" w:hAnsi="Times New Roman" w:cs="Times New Roman"/>
          <w:sz w:val="72"/>
          <w:szCs w:val="72"/>
        </w:rPr>
      </w:pPr>
    </w:p>
    <w:p w14:paraId="2D93B4E9">
      <w:pPr>
        <w:pStyle w:val="14"/>
        <w:spacing w:line="360" w:lineRule="auto"/>
        <w:jc w:val="both"/>
        <w:rPr>
          <w:rFonts w:ascii="Times New Roman" w:hAnsi="Times New Roman" w:eastAsia="方正小标宋_GBK" w:cs="Times New Roman"/>
          <w:sz w:val="52"/>
          <w:szCs w:val="52"/>
        </w:rPr>
      </w:pPr>
      <w:bookmarkStart w:id="0" w:name="_GoBack"/>
      <w:bookmarkEnd w:id="0"/>
    </w:p>
    <w:p w14:paraId="645FA7A8">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CF4DA24">
      <w:pPr>
        <w:widowControl/>
        <w:jc w:val="left"/>
        <w:rPr>
          <w:rFonts w:ascii="Times New Roman" w:hAnsi="Times New Roman" w:cs="Times New Roman"/>
          <w:color w:val="000000"/>
          <w:kern w:val="0"/>
          <w:sz w:val="32"/>
          <w:szCs w:val="32"/>
        </w:rPr>
      </w:pPr>
    </w:p>
    <w:p w14:paraId="27AEC289">
      <w:pPr>
        <w:pStyle w:val="8"/>
        <w:widowControl/>
        <w:spacing w:line="510" w:lineRule="atLeast"/>
        <w:ind w:firstLine="960" w:firstLineChars="300"/>
        <w:jc w:val="both"/>
        <w:rPr>
          <w:rFonts w:cs="黑体" w:asciiTheme="minorEastAsia" w:hAnsiTheme="minorEastAsia"/>
          <w:color w:val="000000"/>
          <w:sz w:val="32"/>
          <w:szCs w:val="32"/>
        </w:rPr>
      </w:pPr>
      <w:r>
        <w:rPr>
          <w:rFonts w:hint="eastAsia" w:cs="黑体" w:asciiTheme="minorEastAsia" w:hAnsiTheme="minorEastAsia"/>
          <w:b/>
          <w:bCs/>
          <w:color w:val="000000"/>
          <w:sz w:val="32"/>
          <w:szCs w:val="32"/>
        </w:rPr>
        <w:t>一、机关运行经费：</w:t>
      </w:r>
      <w:r>
        <w:rPr>
          <w:rFonts w:hint="eastAsia" w:cs="黑体" w:asciiTheme="minorEastAsia" w:hAnsiTheme="minorEastAsia"/>
          <w:color w:val="000000"/>
          <w:sz w:val="32"/>
          <w:szCs w:val="32"/>
        </w:rPr>
        <w:t>为保障行政单位（包括参照公务员法管理的事业单位）运行，用</w:t>
      </w:r>
      <w:r>
        <w:rPr>
          <w:rFonts w:hint="eastAsia" w:cs="黑体" w:asciiTheme="minorEastAsia" w:hAnsiTheme="minorEastAsia"/>
          <w:color w:val="000000"/>
          <w:sz w:val="32"/>
          <w:szCs w:val="32"/>
          <w:lang w:eastAsia="zh-CN"/>
        </w:rPr>
        <w:t>一般公共预算财政拨款</w:t>
      </w:r>
      <w:r>
        <w:rPr>
          <w:rFonts w:hint="eastAsia" w:cs="黑体" w:asciiTheme="minorEastAsia" w:hAnsiTheme="minorEastAsia"/>
          <w:color w:val="000000"/>
          <w:sz w:val="32"/>
          <w:szCs w:val="32"/>
        </w:rPr>
        <w:t>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2A0A1CCC">
      <w:pPr>
        <w:pStyle w:val="8"/>
        <w:widowControl/>
        <w:spacing w:line="510" w:lineRule="atLeast"/>
        <w:ind w:firstLine="960" w:firstLineChars="300"/>
        <w:jc w:val="both"/>
        <w:rPr>
          <w:rFonts w:cs="黑体" w:asciiTheme="minorEastAsia" w:hAnsiTheme="minorEastAsia"/>
          <w:color w:val="000000"/>
          <w:sz w:val="32"/>
          <w:szCs w:val="32"/>
        </w:rPr>
      </w:pPr>
      <w:r>
        <w:rPr>
          <w:rFonts w:hint="eastAsia" w:cs="黑体" w:asciiTheme="minorEastAsia" w:hAnsiTheme="minorEastAsia"/>
          <w:b/>
          <w:bCs/>
          <w:color w:val="000000"/>
          <w:sz w:val="32"/>
          <w:szCs w:val="32"/>
        </w:rPr>
        <w:t>二、“三公”经费：</w:t>
      </w:r>
      <w:r>
        <w:rPr>
          <w:rFonts w:hint="eastAsia" w:cs="黑体" w:asciiTheme="minorEastAsia" w:hAnsiTheme="minorEastAsia"/>
          <w:color w:val="000000"/>
          <w:sz w:val="32"/>
          <w:szCs w:val="32"/>
        </w:rPr>
        <w:t>纳入财政预算管理的</w:t>
      </w:r>
      <w:r>
        <w:rPr>
          <w:rFonts w:hint="eastAsia" w:cs="黑体" w:asciiTheme="minorEastAsia" w:hAnsiTheme="minorEastAsia"/>
          <w:color w:val="000000"/>
          <w:sz w:val="32"/>
          <w:szCs w:val="32"/>
          <w:lang w:eastAsia="zh-CN"/>
        </w:rPr>
        <w:t>“三公”经费</w:t>
      </w:r>
      <w:r>
        <w:rPr>
          <w:rFonts w:hint="eastAsia" w:cs="黑体" w:asciiTheme="minorEastAsia" w:hAnsiTheme="minorEastAsia"/>
          <w:color w:val="000000"/>
          <w:sz w:val="32"/>
          <w:szCs w:val="32"/>
        </w:rPr>
        <w:t>，是指用</w:t>
      </w:r>
      <w:r>
        <w:rPr>
          <w:rFonts w:hint="eastAsia" w:cs="黑体" w:asciiTheme="minorEastAsia" w:hAnsiTheme="minorEastAsia"/>
          <w:color w:val="000000"/>
          <w:sz w:val="32"/>
          <w:szCs w:val="32"/>
          <w:lang w:eastAsia="zh-CN"/>
        </w:rPr>
        <w:t>一般公共预算财政拨款</w:t>
      </w:r>
      <w:r>
        <w:rPr>
          <w:rFonts w:hint="eastAsia" w:cs="黑体" w:asciiTheme="minorEastAsia" w:hAnsiTheme="minorEastAsia"/>
          <w:color w:val="000000"/>
          <w:sz w:val="32"/>
          <w:szCs w:val="32"/>
        </w:rPr>
        <w:t>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747684F4">
      <w:pPr>
        <w:pStyle w:val="14"/>
        <w:jc w:val="center"/>
        <w:rPr>
          <w:sz w:val="72"/>
          <w:szCs w:val="72"/>
        </w:rPr>
      </w:pPr>
    </w:p>
    <w:p w14:paraId="47A054E6">
      <w:pPr>
        <w:pStyle w:val="14"/>
        <w:jc w:val="center"/>
        <w:rPr>
          <w:rFonts w:ascii="Times New Roman" w:hAnsi="Times New Roman" w:cs="Times New Roman"/>
          <w:sz w:val="72"/>
          <w:szCs w:val="72"/>
        </w:rPr>
      </w:pPr>
    </w:p>
    <w:p w14:paraId="52415AE7">
      <w:pPr>
        <w:pStyle w:val="14"/>
        <w:jc w:val="center"/>
        <w:rPr>
          <w:rFonts w:ascii="Times New Roman" w:hAnsi="Times New Roman" w:cs="Times New Roman"/>
          <w:sz w:val="72"/>
          <w:szCs w:val="72"/>
        </w:rPr>
      </w:pPr>
    </w:p>
    <w:p w14:paraId="4A46434E">
      <w:pPr>
        <w:pStyle w:val="14"/>
        <w:jc w:val="center"/>
        <w:rPr>
          <w:rFonts w:ascii="Times New Roman" w:hAnsi="Times New Roman" w:cs="Times New Roman"/>
          <w:sz w:val="72"/>
          <w:szCs w:val="72"/>
        </w:rPr>
      </w:pPr>
    </w:p>
    <w:p w14:paraId="00DEDF3A">
      <w:pPr>
        <w:pStyle w:val="14"/>
        <w:jc w:val="center"/>
        <w:rPr>
          <w:rFonts w:ascii="Times New Roman" w:hAnsi="Times New Roman" w:cs="Times New Roman"/>
          <w:sz w:val="72"/>
          <w:szCs w:val="72"/>
        </w:rPr>
      </w:pPr>
    </w:p>
    <w:p w14:paraId="38B4AFA0">
      <w:pPr>
        <w:pStyle w:val="14"/>
        <w:jc w:val="center"/>
        <w:rPr>
          <w:rFonts w:ascii="Times New Roman" w:hAnsi="Times New Roman" w:cs="Times New Roman"/>
          <w:sz w:val="72"/>
          <w:szCs w:val="72"/>
        </w:rPr>
      </w:pPr>
    </w:p>
    <w:p w14:paraId="20F58C74">
      <w:pPr>
        <w:pStyle w:val="14"/>
        <w:jc w:val="center"/>
        <w:rPr>
          <w:rFonts w:ascii="Times New Roman" w:hAnsi="Times New Roman" w:cs="Times New Roman"/>
          <w:sz w:val="72"/>
          <w:szCs w:val="72"/>
        </w:rPr>
      </w:pPr>
    </w:p>
    <w:p w14:paraId="7CBEDAE5">
      <w:pPr>
        <w:pStyle w:val="14"/>
        <w:jc w:val="center"/>
        <w:rPr>
          <w:rFonts w:ascii="Times New Roman" w:hAnsi="Times New Roman" w:cs="Times New Roman"/>
          <w:sz w:val="72"/>
          <w:szCs w:val="72"/>
        </w:rPr>
      </w:pPr>
    </w:p>
    <w:p w14:paraId="645F7386">
      <w:pPr>
        <w:pStyle w:val="14"/>
        <w:jc w:val="both"/>
        <w:rPr>
          <w:rFonts w:ascii="Times New Roman" w:hAnsi="Times New Roman" w:cs="Times New Roman"/>
          <w:sz w:val="72"/>
          <w:szCs w:val="72"/>
        </w:rPr>
      </w:pPr>
    </w:p>
    <w:p w14:paraId="4450111D">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D7F0D84">
      <w:pPr>
        <w:rPr>
          <w:rFonts w:ascii="Times New Roman" w:hAnsi="Times New Roman" w:cs="Times New Roman"/>
          <w:sz w:val="72"/>
          <w:szCs w:val="72"/>
        </w:rPr>
      </w:pPr>
    </w:p>
    <w:p w14:paraId="001EF57E">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单位</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整体支出绩效自评报告。</w:t>
      </w:r>
    </w:p>
    <w:p w14:paraId="6D39DF29">
      <w:pPr>
        <w:pStyle w:val="14"/>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二、2025年度部门决算公开表</w:t>
      </w:r>
    </w:p>
    <w:p w14:paraId="2F855041">
      <w:pPr>
        <w:pStyle w:val="14"/>
        <w:jc w:val="center"/>
        <w:rPr>
          <w:rFonts w:ascii="Times New Roman" w:hAnsi="Times New Roman" w:cs="Times New Roman"/>
          <w:sz w:val="72"/>
          <w:szCs w:val="72"/>
        </w:rPr>
      </w:pPr>
    </w:p>
    <w:p w14:paraId="1875BBE4">
      <w:pPr>
        <w:pStyle w:val="14"/>
        <w:jc w:val="center"/>
        <w:rPr>
          <w:rFonts w:ascii="Times New Roman" w:hAnsi="Times New Roman" w:cs="Times New Roman"/>
          <w:sz w:val="72"/>
          <w:szCs w:val="72"/>
        </w:rPr>
      </w:pPr>
    </w:p>
    <w:p w14:paraId="74DA0512">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D5AF10A-27AD-4764-BBEB-984804A389A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56FE9E52-AC8B-4B62-99C8-86ED88144BCB}"/>
  </w:font>
  <w:font w:name="方正小标宋_GBK">
    <w:altName w:val="微软雅黑"/>
    <w:panose1 w:val="03000509000000000000"/>
    <w:charset w:val="86"/>
    <w:family w:val="script"/>
    <w:pitch w:val="default"/>
    <w:sig w:usb0="00000000" w:usb1="00000000" w:usb2="00000000" w:usb3="00000000" w:csb0="00040000" w:csb1="00000000"/>
    <w:embedRegular r:id="rId3" w:fontKey="{45FE57B7-8C55-4B85-AB27-979F24D3AE57}"/>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4" w:fontKey="{B3557E9E-3E19-4252-B0B8-23C1DD55178F}"/>
  </w:font>
  <w:font w:name="仿宋">
    <w:panose1 w:val="02010609060101010101"/>
    <w:charset w:val="86"/>
    <w:family w:val="auto"/>
    <w:pitch w:val="default"/>
    <w:sig w:usb0="800002BF" w:usb1="38CF7CFA" w:usb2="00000016" w:usb3="00000000" w:csb0="00040001" w:csb1="00000000"/>
    <w:embedRegular r:id="rId5" w:fontKey="{055FEF5E-23CB-46CF-B47E-103F75B3BA7C}"/>
  </w:font>
  <w:font w:name="楷体_GB2312">
    <w:panose1 w:val="02010609030101010101"/>
    <w:charset w:val="86"/>
    <w:family w:val="modern"/>
    <w:pitch w:val="default"/>
    <w:sig w:usb0="00000001" w:usb1="080E0000" w:usb2="00000000" w:usb3="00000000" w:csb0="00040000" w:csb1="00000000"/>
    <w:embedRegular r:id="rId6" w:fontKey="{C4D63CB7-5BCE-470C-BBFA-71D58AABC1B8}"/>
  </w:font>
  <w:font w:name="楷体">
    <w:panose1 w:val="02010609060101010101"/>
    <w:charset w:val="86"/>
    <w:family w:val="modern"/>
    <w:pitch w:val="default"/>
    <w:sig w:usb0="800002BF" w:usb1="38CF7CFA" w:usb2="00000016" w:usb3="00000000" w:csb0="00040001" w:csb1="00000000"/>
    <w:embedRegular r:id="rId7" w:fontKey="{E79E8389-94DF-4314-B66F-925BB7231F87}"/>
  </w:font>
  <w:font w:name="Times New Roman Regular">
    <w:altName w:val="Times New Roman"/>
    <w:panose1 w:val="02020603050405020304"/>
    <w:charset w:val="00"/>
    <w:family w:val="auto"/>
    <w:pitch w:val="default"/>
    <w:sig w:usb0="00000000" w:usb1="00000000" w:usb2="00000009" w:usb3="00000000" w:csb0="400001FF" w:csb1="FFFF0000"/>
    <w:embedRegular r:id="rId8" w:fontKey="{8B8C42AE-3C6B-4CE0-B76F-850FFDC5D8E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F26E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70AD0">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096A5">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1705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F4C9A5">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CF4C9A5">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6080D"/>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8815116"/>
    <w:rsid w:val="19DF6376"/>
    <w:rsid w:val="1D97DEFF"/>
    <w:rsid w:val="1DFF72E5"/>
    <w:rsid w:val="1EFC6F07"/>
    <w:rsid w:val="2A333847"/>
    <w:rsid w:val="2FDF85B8"/>
    <w:rsid w:val="2FFFEE04"/>
    <w:rsid w:val="34DF85B0"/>
    <w:rsid w:val="3B8F36BC"/>
    <w:rsid w:val="491FF225"/>
    <w:rsid w:val="4EAF11E2"/>
    <w:rsid w:val="4FFD214C"/>
    <w:rsid w:val="5777D4F5"/>
    <w:rsid w:val="59DD8326"/>
    <w:rsid w:val="5A205D3C"/>
    <w:rsid w:val="5DEF592A"/>
    <w:rsid w:val="5DF16D2C"/>
    <w:rsid w:val="5F7F5185"/>
    <w:rsid w:val="5FC6BB1E"/>
    <w:rsid w:val="5FF720F1"/>
    <w:rsid w:val="60CD4CDF"/>
    <w:rsid w:val="67FF5C0B"/>
    <w:rsid w:val="6EFC0924"/>
    <w:rsid w:val="6FB74722"/>
    <w:rsid w:val="6FEF8B7E"/>
    <w:rsid w:val="71A6591B"/>
    <w:rsid w:val="733205B0"/>
    <w:rsid w:val="737D59BA"/>
    <w:rsid w:val="75481645"/>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basedOn w:val="10"/>
    <w:qFormat/>
    <w:uiPriority w:val="0"/>
    <w:rPr>
      <w:b/>
    </w:rPr>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4"/>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 w:type="paragraph" w:customStyle="1" w:styleId="20">
    <w:name w:val="NormalIndent"/>
    <w:basedOn w:val="1"/>
    <w:qFormat/>
    <w:uiPriority w:val="0"/>
    <w:pPr>
      <w:widowControl w:val="0"/>
      <w:ind w:firstLine="200" w:firstLineChars="200"/>
      <w:jc w:val="both"/>
      <w:textAlignment w:val="baseline"/>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7978e696-cd78-40e8-9b07-294e2257b9ec</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600EFBCD</paraID>
      <start>11</start>
      <end>17</end>
      <status>modified</status>
      <modifiedWord>省委、省政府</modifiedWord>
      <trackRevisions>false</trackRevisions>
    </reviewItem>
    <reviewItem>
      <errorID>884275b1-f8bb-41e7-9b2d-f62c220a5689</errorID>
      <errorWord>,</errorWord>
      <group>L1_Format</group>
      <groupName>格式问题</groupName>
      <ability>L2_HalfPunc_CN</ability>
      <abilityName>全半角问题</abilityName>
      <candidateList>
        <item>，</item>
      </candidateList>
      <explain>文本全半角错误。</explain>
      <paraID>6244DC74</paraID>
      <start>38</start>
      <end>39</end>
      <status>modified</status>
      <modifiedWord>，</modifiedWord>
      <trackRevisions>false</trackRevisions>
    </reviewItem>
    <reviewItem>
      <errorID>9ab29914-cb4f-4f50-b231-586ad9050cfa</errorID>
      <errorWord>;</errorWord>
      <group>L1_Format</group>
      <groupName>格式问题</groupName>
      <ability>L2_HalfPunc_CN</ability>
      <abilityName>全半角问题</abilityName>
      <candidateList>
        <item>；</item>
      </candidateList>
      <explain>文本全半角错误。</explain>
      <paraID>25FDF0F4</paraID>
      <start>85</start>
      <end>86</end>
      <status>modified</status>
      <modifiedWord>；</modifiedWord>
      <trackRevisions>false</trackRevisions>
    </reviewItem>
    <reviewItem>
      <errorID>43807fae-fa96-435a-b7ef-bf94814fe048</errorID>
      <errorWord>;</errorWord>
      <group>L1_Format</group>
      <groupName>格式问题</groupName>
      <ability>L2_HalfPunc_CN</ability>
      <abilityName>全半角问题</abilityName>
      <candidateList>
        <item>；</item>
      </candidateList>
      <explain>文本全半角错误。</explain>
      <paraID>25FDF0F4</paraID>
      <start>110</start>
      <end>111</end>
      <status>modified</status>
      <modifiedWord>；</modifiedWord>
      <trackRevisions>false</trackRevisions>
    </reviewItem>
    <reviewItem>
      <errorID>b94e2f06-ceab-44c0-9948-85cb6d1992cb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1F6567F2</paraID>
      <start>0</start>
      <end>2</end>
      <status>modified</status>
      <modifiedWord>1.</modifiedWord>
      <trackRevisions>false</trackRevisions>
    </reviewItem>
    <reviewItem>
      <errorID>ffdaedac-611d-4bcd-b187-0fd3220ef6a3</errorID>
      <errorWord>“</errorWord>
      <group>L1_Punc</group>
      <groupName>标点问题</groupName>
      <ability>L2_Punc_CN</ability>
      <abilityName>标点符号问题</abilityName>
      <candidateList>
        <item>”</item>
      </candidateList>
      <explain>注意检查双引号的方向是否正确。</explain>
      <paraID>7005840F</paraID>
      <start>98</start>
      <end>99</end>
      <status>modified</status>
      <modifiedWord>”</modifiedWord>
      <trackRevisions>false</trackRevisions>
    </reviewItem>
    <reviewItem>
      <errorID>4363f639-bb03-4e13-9a10-e51281de98d2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313B39F4</paraID>
      <start>0</start>
      <end>2</end>
      <status>modified</status>
      <modifiedWord>2.</modifiedWord>
      <trackRevisions>false</trackRevisions>
    </reviewItem>
    <reviewItem>
      <errorID>bc814671-6527-4426-865e-3a485da707a2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BA56E1F</paraID>
      <start>0</start>
      <end>2</end>
      <status>modified</status>
      <modifiedWord>3.</modifiedWord>
      <trackRevisions>false</trackRevisions>
    </reviewItem>
    <reviewItem>
      <errorID>d6d7e369-84ea-451e-abd5-8a49a2ad3224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5674468E</paraID>
      <start>0</start>
      <end>2</end>
      <status>modified</status>
      <modifiedWord>4.</modifiedWord>
      <trackRevisions>false</trackRevisions>
    </reviewItem>
    <reviewItem>
      <errorID>8995cd88-95bf-49ae-948e-830e3d286c1b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2C951A34</paraID>
      <start>0</start>
      <end>2</end>
      <status>modified</status>
      <modifiedWord>5.</modifiedWord>
      <trackRevisions>false</trackRevisions>
    </reviewItem>
    <reviewItem>
      <errorID>c2027664-b8d9-4c60-9a0d-b95ec4ee2805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690090C</paraID>
      <start>0</start>
      <end>2</end>
      <status>modified</status>
      <modifiedWord>6.</modifiedWord>
      <trackRevisions>false</trackRevisions>
    </reviewItem>
    <reviewItem>
      <errorID>97b99434-e02a-4d64-b0c8-d8df6856e771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90A5E5C</paraID>
      <start>0</start>
      <end>2</end>
      <status>modified</status>
      <modifiedWord>7.</modifiedWord>
      <trackRevisions>false</trackRevisions>
    </reviewItem>
    <reviewItem>
      <errorID>438c38ff-c900-4c73-a3b4-2f8e84d289f8</errorID>
      <errorWord>,</errorWord>
      <group>L1_Format</group>
      <groupName>格式问题</groupName>
      <ability>L2_HalfPunc_CN</ability>
      <abilityName>全半角问题</abilityName>
      <candidateList>
        <item>，</item>
      </candidateList>
      <explain>文本全半角错误。</explain>
      <paraID>63C37007</paraID>
      <start>25</start>
      <end>26</end>
      <status>modified</status>
      <modifiedWord>，</modifiedWord>
      <trackRevisions>false</trackRevisions>
    </reviewItem>
    <reviewItem>
      <errorID>bbce9dac-3b67-400d-a30d-308a7571202a</errorID>
      <errorWord>截止</errorWord>
      <group>L1_Word</group>
      <groupName>字词问题</groupName>
      <ability>L2_Typo</ability>
      <abilityName>字词错误</abilityName>
      <candidateList>
        <item>截至</item>
      </candidateList>
      <explain>存在发音相同字词的误用。</explain>
      <paraID>  CB15BF</paraID>
      <start>0</start>
      <end>2</end>
      <status>ignored</status>
      <modifiedWord/>
      <trackRevisions>false</trackRevisions>
    </reviewItem>
    <reviewItem>
      <errorID>e96a430e-2c91-476e-8a1f-05d5618884f1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67487E0A</paraID>
      <start>93</start>
      <end>99</end>
      <status>modified</status>
      <modifiedWord>“三公”经费</modifiedWord>
      <trackRevisions>false</trackRevisions>
    </reviewItem>
    <reviewItem>
      <errorID>2522a959-3b67-448c-83c6-31a8a88b722c</errorID>
      <errorWord>做到“两个维护”</errorWord>
      <group>L1_Political</group>
      <groupName>政治性问题</groupName>
      <ability>L2_Unpolitical</ability>
      <abilityName>政治敏感错误</abilityName>
      <candidateList>
        <item>坚决做到“两个维护”</item>
      </candidateList>
      <explain/>
      <paraID>19F62C8E</paraID>
      <start>197</start>
      <end>207</end>
      <status>modified</status>
      <modifiedWord>坚决做到“两个维护”</modifiedWord>
      <trackRevisions>false</trackRevisions>
    </reviewItem>
    <reviewItem>
      <errorID>8ccec605-5b70-4734-9330-abc2b8ef0838</errorID>
      <errorWord>和指示批示精神</errorWord>
      <group>L1_Political</group>
      <groupName>政治性问题</groupName>
      <ability>L2_Unpolitical</ability>
      <abilityName>政治敏感错误</abilityName>
      <candidateList>
        <item>和重要指示批示精神</item>
      </candidateList>
      <explain/>
      <paraID>19F62C8E</paraID>
      <start>484</start>
      <end>493</end>
      <status>modified</status>
      <modifiedWord>和重要指示批示精神</modifiedWord>
      <trackRevisions>false</trackRevisions>
    </reviewItem>
    <reviewItem>
      <errorID>65e056f3-39a4-44b6-9304-6f447d6936f4</errorID>
      <errorWord>彭国甫</errorWord>
      <group>L1_Sensitive</group>
      <groupName>敏感问题</groupName>
      <ability>L2_Disgraced</ability>
      <abilityName>落马官员</abilityName>
      <candidateList/>
      <explain>【落马官员】请注意，&lt;彭国甫&gt;为已落马官员的姓名。</explain>
      <paraID>1D4FCE10</paraID>
      <start>110</start>
      <end>113</end>
      <status>ignored</status>
      <modifiedWord/>
      <trackRevisions>false</trackRevisions>
    </reviewItem>
    <reviewItem>
      <errorID>d988c5cb-de4b-4876-acc0-db3d6bbb5bff</errorID>
      <errorWord>雷绍业</errorWord>
      <group>L1_Sensitive</group>
      <groupName>敏感问题</groupName>
      <ability>L2_Disgraced</ability>
      <abilityName>落马官员</abilityName>
      <candidateList/>
      <explain>【落马官员】请注意，&lt;雷绍业&gt;为已落马官员的姓名。</explain>
      <paraID>1D4FCE10</paraID>
      <start>114</start>
      <end>117</end>
      <status>ignored</status>
      <modifiedWord/>
      <trackRevisions>false</trackRevisions>
    </reviewItem>
    <reviewItem>
      <errorID>6af8118c-7401-4f7a-96e8-9bbd5d9f62f1</errorID>
      <errorWord>印宇鹰</errorWord>
      <group>L1_Sensitive</group>
      <groupName>敏感问题</groupName>
      <ability>L2_Disgraced</ability>
      <abilityName>落马官员</abilityName>
      <candidateList/>
      <explain>【落马官员】请注意，&lt;印宇鹰&gt;为已落马官员的姓名。</explain>
      <paraID>1D4FCE10</paraID>
      <start>118</start>
      <end>121</end>
      <status>ignored</status>
      <modifiedWord/>
      <trackRevisions>false</trackRevisions>
    </reviewItem>
    <reviewItem>
      <errorID>0515a09e-271a-4e29-bf7f-4984ee15b021</errorID>
      <errorWord>彭国甫</errorWord>
      <group>L1_Sensitive</group>
      <groupName>敏感问题</groupName>
      <ability>L2_Disgraced</ability>
      <abilityName>落马官员</abilityName>
      <candidateList/>
      <explain>【落马官员】请注意，&lt;彭国甫&gt;为已落马官员的姓名。</explain>
      <paraID>1D4FCE10</paraID>
      <start>233</start>
      <end>236</end>
      <status>ignored</status>
      <modifiedWord/>
      <trackRevisions>false</trackRevisions>
    </reviewItem>
    <reviewItem>
      <errorID>2a7ea439-f4fc-4182-afad-52e75798d9d7</errorID>
      <errorWord>雷绍业</errorWord>
      <group>L1_Sensitive</group>
      <groupName>敏感问题</groupName>
      <ability>L2_Disgraced</ability>
      <abilityName>落马官员</abilityName>
      <candidateList/>
      <explain>【落马官员】请注意，&lt;雷绍业&gt;为已落马官员的姓名。</explain>
      <paraID>1D4FCE10</paraID>
      <start>237</start>
      <end>240</end>
      <status>ignored</status>
      <modifiedWord/>
      <trackRevisions>false</trackRevisions>
    </reviewItem>
    <reviewItem>
      <errorID>c339ebc3-903f-4cf3-81a8-ab24eb0ccf14</errorID>
      <errorWord>印宇鹰</errorWord>
      <group>L1_Sensitive</group>
      <groupName>敏感问题</groupName>
      <ability>L2_Disgraced</ability>
      <abilityName>落马官员</abilityName>
      <candidateList/>
      <explain>【落马官员】请注意，&lt;印宇鹰&gt;为已落马官员的姓名。</explain>
      <paraID>1D4FCE10</paraID>
      <start>241</start>
      <end>244</end>
      <status>ignored</status>
      <modifiedWord/>
      <trackRevisions>false</trackRevisions>
    </reviewItem>
    <reviewItem>
      <errorID>54ea8361-f105-409d-a050-d9557b2adf88</errorID>
      <errorWord>育</errorWord>
      <group>L1_Word</group>
      <groupName>字词问题</groupName>
      <ability>L2_Typo</ability>
      <abilityName>字词错误</abilityName>
      <candidateList>
        <item>育和</item>
      </candidateList>
      <explain/>
      <paraID>1D4FCE10</paraID>
      <start>419</start>
      <end>421</end>
      <status>modified</status>
      <modifiedWord>育和</modifiedWord>
      <trackRevisions>false</trackRevisions>
    </reviewItem>
    <reviewItem>
      <errorID>3aa5cb06-b579-4325-99fd-9766b056b1bc</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1D4FCE10</paraID>
      <start>919</start>
      <end>929</end>
      <status>modified</status>
      <modifiedWord>中华人民共和国预算法</modifiedWord>
      <trackRevisions>false</trackRevisions>
    </reviewItem>
    <reviewItem>
      <errorID>4f745314-976f-4e7f-a4f5-c410b9b22331</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27AEC289</paraID>
      <start>37</start>
      <end>47</end>
      <status>modified</status>
      <modifiedWord>一般公共预算财政拨款</modifiedWord>
      <trackRevisions>false</trackRevisions>
    </reviewItem>
    <reviewItem>
      <errorID>a745621c-7cff-413b-a7f3-b283bd6433d3</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2A0A1CCC</paraID>
      <start>18</start>
      <end>24</end>
      <status>modified</status>
      <modifiedWord>“三公”经费</modifiedWord>
      <trackRevisions>false</trackRevisions>
    </reviewItem>
    <reviewItem>
      <errorID>ae69cc5b-254c-4eb9-8cae-4a8c8816a576</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2A0A1CCC</paraID>
      <start>28</start>
      <end>38</end>
      <status>modified</status>
      <modifiedWord>一般公共预算财政拨款</modifiedWord>
      <trackRevisions>false</trackRevisions>
    </reviewItem>
    <reviewItem>
      <errorID>645586e9-4aa9-4945-b7cf-701646ac70b9</errorID>
      <errorWord>(</errorWord>
      <group>L1_Format</group>
      <groupName>格式问题</groupName>
      <ability>L2_HalfPunc_CN</ability>
      <abilityName>全半角问题</abilityName>
      <candidateList>
        <item>（</item>
      </candidateList>
      <explain>文本全半角错误。</explain>
      <paraID>  1EF57E</paraID>
      <start>10</start>
      <end>11</end>
      <status>modified</status>
      <modifiedWord>（</modifiedWord>
      <trackRevisions>false</trackRevisions>
    </reviewItem>
    <reviewItem>
      <errorID>18d15dbf-c512-4c17-9f41-74ea0c2c4c87</errorID>
      <errorWord>)</errorWord>
      <group>L1_Format</group>
      <groupName>格式问题</groupName>
      <ability>L2_HalfPunc_CN</ability>
      <abilityName>全半角问题</abilityName>
      <candidateList>
        <item>）</item>
      </candidateList>
      <explain>文本全半角错误。</explain>
      <paraID>  1EF57E</paraID>
      <start>13</start>
      <end>14</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bdb634-d66d-459d-8546-2d1efc52b7a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8167</Words>
  <Characters>8652</Characters>
  <Lines>69</Lines>
  <Paragraphs>19</Paragraphs>
  <TotalTime>24</TotalTime>
  <ScaleCrop>false</ScaleCrop>
  <LinksUpToDate>false</LinksUpToDate>
  <CharactersWithSpaces>8682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澎澎</cp:lastModifiedBy>
  <cp:lastPrinted>2024-08-10T02:20:00Z</cp:lastPrinted>
  <dcterms:modified xsi:type="dcterms:W3CDTF">2026-09-17T01:38:54Z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9CEB4C67A81940838A4A8716D364F205_13</vt:lpwstr>
  </property>
  <property fmtid="{D5CDD505-2E9C-101B-9397-08002B2CF9AE}" pid="4" name="KSOTemplateDocerSaveRecord">
    <vt:lpwstr>eyJoZGlkIjoiYmEyYzUyNjc1ZmIyNDI5NWZhMjhkNjZkZmFlMjlhNjMiLCJ1c2VySWQiOiIzMjQ2MTc4NzIifQ==</vt:lpwstr>
  </property>
</Properties>
</file>