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20C71">
      <w:pPr>
        <w:pStyle w:val="14"/>
        <w:jc w:val="both"/>
        <w:rPr>
          <w:rFonts w:hint="eastAsia" w:ascii="方正仿宋_GB2312" w:hAnsi="方正仿宋_GB2312" w:eastAsia="方正仿宋_GB2312" w:cs="方正仿宋_GB2312"/>
          <w:sz w:val="56"/>
          <w:szCs w:val="56"/>
        </w:rPr>
      </w:pPr>
    </w:p>
    <w:p w14:paraId="638146CA">
      <w:pPr>
        <w:pStyle w:val="14"/>
        <w:jc w:val="center"/>
        <w:rPr>
          <w:rFonts w:hint="eastAsia" w:ascii="方正仿宋_GB2312" w:hAnsi="方正仿宋_GB2312" w:eastAsia="方正仿宋_GB2312" w:cs="方正仿宋_GB2312"/>
          <w:sz w:val="84"/>
          <w:szCs w:val="84"/>
        </w:rPr>
      </w:pPr>
    </w:p>
    <w:p w14:paraId="7A42EBE0">
      <w:pPr>
        <w:pStyle w:val="14"/>
        <w:jc w:val="center"/>
        <w:rPr>
          <w:rFonts w:hint="eastAsia" w:ascii="方正仿宋_GB2312" w:hAnsi="方正仿宋_GB2312" w:eastAsia="方正仿宋_GB2312" w:cs="方正仿宋_GB2312"/>
          <w:sz w:val="84"/>
          <w:szCs w:val="84"/>
        </w:rPr>
      </w:pPr>
    </w:p>
    <w:p w14:paraId="4F415C47">
      <w:pPr>
        <w:pStyle w:val="14"/>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202</w:t>
      </w:r>
      <w:r>
        <w:rPr>
          <w:rFonts w:hint="eastAsia" w:ascii="方正小标宋简体" w:hAnsi="方正小标宋简体" w:eastAsia="方正小标宋简体" w:cs="方正小标宋简体"/>
          <w:sz w:val="84"/>
          <w:szCs w:val="84"/>
          <w:lang w:val="en-US" w:eastAsia="zh-CN"/>
        </w:rPr>
        <w:t>4</w:t>
      </w:r>
      <w:r>
        <w:rPr>
          <w:rFonts w:hint="eastAsia" w:ascii="方正小标宋简体" w:hAnsi="方正小标宋简体" w:eastAsia="方正小标宋简体" w:cs="方正小标宋简体"/>
          <w:sz w:val="84"/>
          <w:szCs w:val="84"/>
        </w:rPr>
        <w:t>年度</w:t>
      </w:r>
    </w:p>
    <w:p w14:paraId="30BC9156">
      <w:pPr>
        <w:pStyle w:val="14"/>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怀化市人民政府办公室</w:t>
      </w:r>
    </w:p>
    <w:p w14:paraId="24331216">
      <w:pPr>
        <w:pStyle w:val="14"/>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部门决算</w:t>
      </w:r>
    </w:p>
    <w:p w14:paraId="4E95ED59">
      <w:pPr>
        <w:pStyle w:val="14"/>
        <w:jc w:val="center"/>
        <w:rPr>
          <w:rFonts w:hint="eastAsia" w:ascii="方正仿宋_GB2312" w:hAnsi="方正仿宋_GB2312" w:eastAsia="方正仿宋_GB2312" w:cs="方正仿宋_GB2312"/>
          <w:sz w:val="56"/>
          <w:szCs w:val="56"/>
        </w:rPr>
      </w:pPr>
    </w:p>
    <w:p w14:paraId="3EE3811C">
      <w:pPr>
        <w:pStyle w:val="14"/>
        <w:jc w:val="center"/>
        <w:rPr>
          <w:rFonts w:hint="eastAsia" w:ascii="方正仿宋_GB2312" w:hAnsi="方正仿宋_GB2312" w:eastAsia="方正仿宋_GB2312" w:cs="方正仿宋_GB2312"/>
          <w:sz w:val="56"/>
          <w:szCs w:val="56"/>
        </w:rPr>
      </w:pPr>
    </w:p>
    <w:p w14:paraId="28C8D378">
      <w:pPr>
        <w:pStyle w:val="14"/>
        <w:jc w:val="center"/>
        <w:rPr>
          <w:rFonts w:hint="eastAsia" w:ascii="方正仿宋_GB2312" w:hAnsi="方正仿宋_GB2312" w:eastAsia="方正仿宋_GB2312" w:cs="方正仿宋_GB2312"/>
          <w:sz w:val="56"/>
          <w:szCs w:val="56"/>
        </w:rPr>
      </w:pPr>
    </w:p>
    <w:p w14:paraId="117FE0C6">
      <w:pPr>
        <w:pStyle w:val="14"/>
        <w:jc w:val="center"/>
        <w:rPr>
          <w:rFonts w:hint="eastAsia" w:ascii="方正仿宋_GB2312" w:hAnsi="方正仿宋_GB2312" w:eastAsia="方正仿宋_GB2312" w:cs="方正仿宋_GB2312"/>
          <w:sz w:val="56"/>
          <w:szCs w:val="56"/>
        </w:rPr>
      </w:pPr>
    </w:p>
    <w:p w14:paraId="1F30BD36">
      <w:pPr>
        <w:pStyle w:val="14"/>
        <w:jc w:val="center"/>
        <w:rPr>
          <w:rFonts w:hint="eastAsia" w:ascii="方正仿宋_GB2312" w:hAnsi="方正仿宋_GB2312" w:eastAsia="方正仿宋_GB2312" w:cs="方正仿宋_GB2312"/>
          <w:sz w:val="32"/>
          <w:szCs w:val="32"/>
        </w:rPr>
      </w:pPr>
    </w:p>
    <w:p w14:paraId="3F66525B">
      <w:pPr>
        <w:pStyle w:val="14"/>
        <w:jc w:val="center"/>
        <w:rPr>
          <w:rFonts w:hint="eastAsia" w:ascii="方正仿宋_GB2312" w:hAnsi="方正仿宋_GB2312" w:eastAsia="方正仿宋_GB2312" w:cs="方正仿宋_GB2312"/>
          <w:sz w:val="32"/>
          <w:szCs w:val="32"/>
        </w:rPr>
      </w:pPr>
    </w:p>
    <w:p w14:paraId="681FABA3">
      <w:pPr>
        <w:pStyle w:val="14"/>
        <w:jc w:val="center"/>
        <w:rPr>
          <w:rFonts w:hint="eastAsia" w:ascii="方正仿宋_GB2312" w:hAnsi="方正仿宋_GB2312" w:eastAsia="方正仿宋_GB2312" w:cs="方正仿宋_GB2312"/>
          <w:sz w:val="32"/>
          <w:szCs w:val="32"/>
        </w:rPr>
      </w:pPr>
    </w:p>
    <w:p w14:paraId="4F61660A">
      <w:pPr>
        <w:pStyle w:val="14"/>
        <w:jc w:val="center"/>
        <w:rPr>
          <w:rFonts w:hint="eastAsia" w:ascii="方正仿宋_GB2312" w:hAnsi="方正仿宋_GB2312" w:eastAsia="方正仿宋_GB2312" w:cs="方正仿宋_GB2312"/>
          <w:sz w:val="32"/>
          <w:szCs w:val="32"/>
        </w:rPr>
      </w:pPr>
    </w:p>
    <w:p w14:paraId="2FA79E98">
      <w:pPr>
        <w:pStyle w:val="14"/>
        <w:jc w:val="center"/>
        <w:rPr>
          <w:rFonts w:hint="eastAsia" w:ascii="方正仿宋_GB2312" w:hAnsi="方正仿宋_GB2312" w:eastAsia="方正仿宋_GB2312" w:cs="方正仿宋_GB2312"/>
          <w:sz w:val="32"/>
          <w:szCs w:val="32"/>
        </w:rPr>
      </w:pPr>
    </w:p>
    <w:p w14:paraId="2F7EE8B5">
      <w:pPr>
        <w:pStyle w:val="14"/>
        <w:spacing w:line="540" w:lineRule="exact"/>
        <w:jc w:val="center"/>
        <w:rPr>
          <w:rFonts w:hint="eastAsia" w:ascii="方正仿宋_GB2312" w:hAnsi="方正仿宋_GB2312" w:eastAsia="方正仿宋_GB2312" w:cs="方正仿宋_GB2312"/>
          <w:sz w:val="56"/>
          <w:szCs w:val="56"/>
        </w:rPr>
      </w:pPr>
    </w:p>
    <w:p w14:paraId="3391EA99">
      <w:pPr>
        <w:pStyle w:val="14"/>
        <w:spacing w:line="500" w:lineRule="exact"/>
        <w:jc w:val="both"/>
        <w:rPr>
          <w:rFonts w:hint="eastAsia" w:ascii="方正仿宋_GB2312" w:hAnsi="方正仿宋_GB2312" w:eastAsia="方正仿宋_GB2312" w:cs="方正仿宋_GB2312"/>
          <w:b/>
          <w:sz w:val="36"/>
          <w:szCs w:val="28"/>
        </w:rPr>
      </w:pPr>
    </w:p>
    <w:p w14:paraId="4A397867">
      <w:pPr>
        <w:pStyle w:val="14"/>
        <w:spacing w:line="500" w:lineRule="exact"/>
        <w:jc w:val="center"/>
        <w:rPr>
          <w:rFonts w:hint="eastAsia" w:ascii="方正黑体_GBK" w:hAnsi="方正黑体_GBK" w:eastAsia="方正黑体_GBK" w:cs="方正黑体_GBK"/>
          <w:b w:val="0"/>
          <w:bCs/>
          <w:sz w:val="36"/>
          <w:szCs w:val="28"/>
        </w:rPr>
      </w:pPr>
      <w:r>
        <w:rPr>
          <w:rFonts w:hint="eastAsia" w:ascii="方正黑体_GBK" w:hAnsi="方正黑体_GBK" w:eastAsia="方正黑体_GBK" w:cs="方正黑体_GBK"/>
          <w:b w:val="0"/>
          <w:bCs/>
          <w:sz w:val="36"/>
          <w:szCs w:val="28"/>
        </w:rPr>
        <w:t>目</w:t>
      </w:r>
      <w:r>
        <w:rPr>
          <w:rFonts w:hint="eastAsia" w:ascii="方正黑体_GBK" w:hAnsi="方正黑体_GBK" w:eastAsia="方正黑体_GBK" w:cs="方正黑体_GBK"/>
          <w:b w:val="0"/>
          <w:bCs/>
          <w:sz w:val="36"/>
          <w:szCs w:val="28"/>
          <w:lang w:val="en-US" w:eastAsia="zh-CN"/>
        </w:rPr>
        <w:t xml:space="preserve"> </w:t>
      </w:r>
      <w:r>
        <w:rPr>
          <w:rFonts w:hint="eastAsia" w:ascii="方正黑体_GBK" w:hAnsi="方正黑体_GBK" w:eastAsia="方正黑体_GBK" w:cs="方正黑体_GBK"/>
          <w:b w:val="0"/>
          <w:bCs/>
          <w:sz w:val="36"/>
          <w:szCs w:val="28"/>
        </w:rPr>
        <w:t>录</w:t>
      </w:r>
    </w:p>
    <w:p w14:paraId="6FDADDD4">
      <w:pPr>
        <w:pStyle w:val="14"/>
        <w:spacing w:line="50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第一部分</w:t>
      </w:r>
      <w:r>
        <w:rPr>
          <w:rFonts w:hint="eastAsia" w:ascii="方正黑体_GBK" w:hAnsi="方正黑体_GBK" w:eastAsia="方正黑体_GBK" w:cs="方正黑体_GBK"/>
          <w:b w:val="0"/>
          <w:bCs/>
          <w:sz w:val="32"/>
          <w:szCs w:val="32"/>
          <w:lang w:val="en-US" w:eastAsia="zh-CN"/>
        </w:rPr>
        <w:t xml:space="preserve"> 单位</w:t>
      </w:r>
      <w:r>
        <w:rPr>
          <w:rFonts w:hint="eastAsia" w:ascii="方正黑体_GBK" w:hAnsi="方正黑体_GBK" w:eastAsia="方正黑体_GBK" w:cs="方正黑体_GBK"/>
          <w:b w:val="0"/>
          <w:bCs/>
          <w:sz w:val="32"/>
          <w:szCs w:val="32"/>
        </w:rPr>
        <w:t>概况</w:t>
      </w:r>
    </w:p>
    <w:p w14:paraId="17EE642F">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一、部门职责</w:t>
      </w:r>
    </w:p>
    <w:p w14:paraId="53961012">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二、机构设置</w:t>
      </w:r>
    </w:p>
    <w:p w14:paraId="23122317">
      <w:pPr>
        <w:pStyle w:val="14"/>
        <w:spacing w:line="50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第二部分</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部门决算表</w:t>
      </w:r>
    </w:p>
    <w:p w14:paraId="00669BFC">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一、收入支出决算总表</w:t>
      </w:r>
    </w:p>
    <w:p w14:paraId="65234FB2">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二、收入决算表</w:t>
      </w:r>
    </w:p>
    <w:p w14:paraId="37B1BDE0">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三、支出决算表</w:t>
      </w:r>
    </w:p>
    <w:p w14:paraId="0CB57DFC">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四、财政拨款收入支出决算总表</w:t>
      </w:r>
    </w:p>
    <w:p w14:paraId="0BD09BC9">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五、一般公共预算财政拨款支出决算表</w:t>
      </w:r>
    </w:p>
    <w:p w14:paraId="1C7F6AB0">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六、一般公共预算财政拨款基本支出决算明细表</w:t>
      </w:r>
    </w:p>
    <w:p w14:paraId="7758BA46">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七、政府性基金预算财政拨款收入支出决算表</w:t>
      </w:r>
    </w:p>
    <w:p w14:paraId="072BDF48">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八、国有资本经营预算财政拨款支出决算表</w:t>
      </w:r>
    </w:p>
    <w:p w14:paraId="1F0E04D5">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九、财政拨款“三公”经费支出决算表</w:t>
      </w:r>
    </w:p>
    <w:p w14:paraId="187928A4">
      <w:pPr>
        <w:pStyle w:val="14"/>
        <w:spacing w:line="50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第三部分</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部门决算情况说明</w:t>
      </w:r>
    </w:p>
    <w:p w14:paraId="27D287CD">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一、收入支出决算总体情况说明</w:t>
      </w:r>
    </w:p>
    <w:p w14:paraId="2957E87C">
      <w:pPr>
        <w:spacing w:line="500" w:lineRule="exact"/>
        <w:ind w:firstLine="800" w:firstLineChars="25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二、收入决算情况说明</w:t>
      </w:r>
    </w:p>
    <w:p w14:paraId="7945877F">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三、支出决算情况说明</w:t>
      </w:r>
    </w:p>
    <w:p w14:paraId="7ADC5398">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四、财政拨款收入支出决算总体情况说明</w:t>
      </w:r>
    </w:p>
    <w:p w14:paraId="0C35E571">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五、一般公共预算财政拨款支出决算情况说明</w:t>
      </w:r>
    </w:p>
    <w:p w14:paraId="6921E5F8">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六、一般公共预算财政拨款基本支出决算情况说明</w:t>
      </w:r>
    </w:p>
    <w:p w14:paraId="255011C2">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七、财政拨款三公经费支出决算情况说明</w:t>
      </w:r>
    </w:p>
    <w:p w14:paraId="4105E9DA">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八、政府性基金预算收入支出决算情况</w:t>
      </w:r>
    </w:p>
    <w:p w14:paraId="7F0B19CB">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九、国有资本经营预算收入支出决算情况</w:t>
      </w:r>
    </w:p>
    <w:p w14:paraId="3A924308">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十</w:t>
      </w:r>
      <w:r>
        <w:rPr>
          <w:rFonts w:hint="eastAsia" w:ascii="方正仿宋_GB2312" w:hAnsi="方正仿宋_GB2312" w:eastAsia="方正仿宋_GB2312" w:cs="方正仿宋_GB2312"/>
          <w:color w:val="000000"/>
          <w:kern w:val="0"/>
          <w:sz w:val="32"/>
          <w:szCs w:val="32"/>
        </w:rPr>
        <w:t>、关于机关运行经费支出说明</w:t>
      </w:r>
    </w:p>
    <w:p w14:paraId="5094B309">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十</w:t>
      </w:r>
      <w:r>
        <w:rPr>
          <w:rFonts w:hint="eastAsia" w:ascii="方正仿宋_GB2312" w:hAnsi="方正仿宋_GB2312" w:eastAsia="方正仿宋_GB2312" w:cs="方正仿宋_GB2312"/>
          <w:color w:val="000000"/>
          <w:kern w:val="0"/>
          <w:sz w:val="32"/>
          <w:szCs w:val="32"/>
          <w:lang w:val="en-US" w:eastAsia="zh-CN"/>
        </w:rPr>
        <w:t>一</w:t>
      </w:r>
      <w:r>
        <w:rPr>
          <w:rFonts w:hint="eastAsia" w:ascii="方正仿宋_GB2312" w:hAnsi="方正仿宋_GB2312" w:eastAsia="方正仿宋_GB2312" w:cs="方正仿宋_GB2312"/>
          <w:color w:val="000000"/>
          <w:kern w:val="0"/>
          <w:sz w:val="32"/>
          <w:szCs w:val="32"/>
        </w:rPr>
        <w:t>、一般性支出情况说明</w:t>
      </w:r>
    </w:p>
    <w:p w14:paraId="77A0F8D9">
      <w:pPr>
        <w:autoSpaceDE w:val="0"/>
        <w:autoSpaceDN w:val="0"/>
        <w:adjustRightInd w:val="0"/>
        <w:spacing w:line="500" w:lineRule="exact"/>
        <w:ind w:firstLine="800" w:firstLineChars="25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十</w:t>
      </w:r>
      <w:r>
        <w:rPr>
          <w:rFonts w:hint="eastAsia" w:ascii="方正仿宋_GB2312" w:hAnsi="方正仿宋_GB2312" w:eastAsia="方正仿宋_GB2312" w:cs="方正仿宋_GB2312"/>
          <w:color w:val="000000"/>
          <w:kern w:val="0"/>
          <w:sz w:val="32"/>
          <w:szCs w:val="32"/>
          <w:lang w:val="en-US" w:eastAsia="zh-CN"/>
        </w:rPr>
        <w:t>二</w:t>
      </w:r>
      <w:r>
        <w:rPr>
          <w:rFonts w:hint="eastAsia" w:ascii="方正仿宋_GB2312" w:hAnsi="方正仿宋_GB2312" w:eastAsia="方正仿宋_GB2312" w:cs="方正仿宋_GB2312"/>
          <w:color w:val="000000"/>
          <w:kern w:val="0"/>
          <w:sz w:val="32"/>
          <w:szCs w:val="32"/>
        </w:rPr>
        <w:t>、关于政府采购支出说明</w:t>
      </w:r>
    </w:p>
    <w:p w14:paraId="7CB4A4B4">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、关于国有资产占用情况说明</w:t>
      </w:r>
    </w:p>
    <w:p w14:paraId="438A503C">
      <w:pPr>
        <w:pStyle w:val="14"/>
        <w:spacing w:line="500" w:lineRule="exact"/>
        <w:ind w:firstLine="800" w:firstLineChars="2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、关于202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w:t>
      </w:r>
      <w:r>
        <w:rPr>
          <w:rFonts w:hint="eastAsia" w:ascii="方正仿宋_GB2312" w:hAnsi="方正仿宋_GB2312" w:eastAsia="方正仿宋_GB2312" w:cs="方正仿宋_GB2312"/>
          <w:sz w:val="32"/>
          <w:szCs w:val="32"/>
          <w:lang w:eastAsia="zh-CN"/>
        </w:rPr>
        <w:t>预算</w:t>
      </w:r>
      <w:r>
        <w:rPr>
          <w:rFonts w:hint="eastAsia" w:ascii="方正仿宋_GB2312" w:hAnsi="方正仿宋_GB2312" w:eastAsia="方正仿宋_GB2312" w:cs="方正仿宋_GB2312"/>
          <w:sz w:val="32"/>
          <w:szCs w:val="32"/>
        </w:rPr>
        <w:t>绩效情况的说明</w:t>
      </w:r>
    </w:p>
    <w:p w14:paraId="31B9B5BD">
      <w:pPr>
        <w:pStyle w:val="14"/>
        <w:spacing w:line="50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第四部分</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名词解释</w:t>
      </w:r>
    </w:p>
    <w:p w14:paraId="05294F7E">
      <w:pPr>
        <w:pStyle w:val="14"/>
        <w:spacing w:line="500" w:lineRule="exact"/>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eastAsia="zh-CN"/>
        </w:rPr>
        <w:t>五</w:t>
      </w:r>
      <w:r>
        <w:rPr>
          <w:rFonts w:hint="eastAsia" w:ascii="方正黑体_GBK" w:hAnsi="方正黑体_GBK" w:eastAsia="方正黑体_GBK" w:cs="方正黑体_GBK"/>
          <w:b w:val="0"/>
          <w:bCs/>
          <w:sz w:val="32"/>
          <w:szCs w:val="32"/>
        </w:rPr>
        <w:t>部分</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lang w:eastAsia="zh-CN"/>
        </w:rPr>
        <w:t>附件</w:t>
      </w:r>
    </w:p>
    <w:p w14:paraId="0FB4E501">
      <w:pPr>
        <w:pStyle w:val="14"/>
        <w:spacing w:line="500" w:lineRule="exact"/>
        <w:rPr>
          <w:rFonts w:hint="eastAsia" w:ascii="方正仿宋_GB2312" w:hAnsi="方正仿宋_GB2312" w:eastAsia="方正仿宋_GB2312" w:cs="方正仿宋_GB2312"/>
          <w:b w:val="0"/>
          <w:bCs/>
          <w:sz w:val="28"/>
          <w:szCs w:val="28"/>
        </w:rPr>
      </w:pPr>
    </w:p>
    <w:p w14:paraId="24A2C91E">
      <w:pPr>
        <w:jc w:val="center"/>
        <w:rPr>
          <w:rFonts w:hint="eastAsia" w:ascii="方正仿宋_GB2312" w:hAnsi="方正仿宋_GB2312" w:eastAsia="方正仿宋_GB2312" w:cs="方正仿宋_GB2312"/>
          <w:sz w:val="72"/>
          <w:szCs w:val="72"/>
        </w:rPr>
      </w:pPr>
    </w:p>
    <w:p w14:paraId="579899BB">
      <w:pPr>
        <w:jc w:val="center"/>
        <w:rPr>
          <w:rFonts w:hint="eastAsia" w:ascii="方正仿宋_GB2312" w:hAnsi="方正仿宋_GB2312" w:eastAsia="方正仿宋_GB2312" w:cs="方正仿宋_GB2312"/>
          <w:sz w:val="72"/>
          <w:szCs w:val="72"/>
        </w:rPr>
      </w:pPr>
    </w:p>
    <w:p w14:paraId="6D2B91DA">
      <w:pPr>
        <w:jc w:val="center"/>
        <w:rPr>
          <w:rFonts w:hint="eastAsia" w:ascii="方正仿宋_GB2312" w:hAnsi="方正仿宋_GB2312" w:eastAsia="方正仿宋_GB2312" w:cs="方正仿宋_GB2312"/>
          <w:sz w:val="72"/>
          <w:szCs w:val="72"/>
        </w:rPr>
      </w:pPr>
    </w:p>
    <w:p w14:paraId="5B09DD1F">
      <w:pPr>
        <w:jc w:val="both"/>
        <w:rPr>
          <w:rFonts w:hint="eastAsia" w:ascii="方正仿宋_GB2312" w:hAnsi="方正仿宋_GB2312" w:eastAsia="方正仿宋_GB2312" w:cs="方正仿宋_GB2312"/>
          <w:sz w:val="72"/>
          <w:szCs w:val="72"/>
          <w:lang w:eastAsia="zh-CN"/>
        </w:rPr>
      </w:pPr>
    </w:p>
    <w:p w14:paraId="20E99349">
      <w:pPr>
        <w:jc w:val="both"/>
        <w:rPr>
          <w:rFonts w:hint="eastAsia" w:ascii="方正仿宋_GB2312" w:hAnsi="方正仿宋_GB2312" w:eastAsia="方正仿宋_GB2312" w:cs="方正仿宋_GB2312"/>
          <w:sz w:val="72"/>
          <w:szCs w:val="72"/>
          <w:lang w:eastAsia="zh-CN"/>
        </w:rPr>
      </w:pPr>
    </w:p>
    <w:p w14:paraId="35BAF526">
      <w:pPr>
        <w:jc w:val="both"/>
        <w:rPr>
          <w:rFonts w:hint="eastAsia" w:ascii="方正仿宋_GB2312" w:hAnsi="方正仿宋_GB2312" w:eastAsia="方正仿宋_GB2312" w:cs="方正仿宋_GB2312"/>
          <w:sz w:val="72"/>
          <w:szCs w:val="72"/>
          <w:lang w:eastAsia="zh-CN"/>
        </w:rPr>
      </w:pPr>
    </w:p>
    <w:p w14:paraId="4B098086">
      <w:pPr>
        <w:jc w:val="both"/>
        <w:rPr>
          <w:rFonts w:hint="eastAsia" w:ascii="方正仿宋_GB2312" w:hAnsi="方正仿宋_GB2312" w:eastAsia="方正仿宋_GB2312" w:cs="方正仿宋_GB2312"/>
          <w:sz w:val="72"/>
          <w:szCs w:val="72"/>
          <w:lang w:eastAsia="zh-CN"/>
        </w:rPr>
      </w:pPr>
    </w:p>
    <w:p w14:paraId="216AEACF">
      <w:pPr>
        <w:jc w:val="both"/>
        <w:rPr>
          <w:rFonts w:hint="eastAsia" w:ascii="方正仿宋_GB2312" w:hAnsi="方正仿宋_GB2312" w:eastAsia="方正仿宋_GB2312" w:cs="方正仿宋_GB2312"/>
          <w:sz w:val="72"/>
          <w:szCs w:val="72"/>
          <w:lang w:eastAsia="zh-CN"/>
        </w:rPr>
      </w:pPr>
    </w:p>
    <w:p w14:paraId="39C515CF">
      <w:pPr>
        <w:jc w:val="both"/>
        <w:rPr>
          <w:rFonts w:hint="eastAsia" w:ascii="方正仿宋_GB2312" w:hAnsi="方正仿宋_GB2312" w:eastAsia="方正仿宋_GB2312" w:cs="方正仿宋_GB2312"/>
          <w:sz w:val="72"/>
          <w:szCs w:val="72"/>
          <w:lang w:eastAsia="zh-CN"/>
        </w:rPr>
      </w:pPr>
    </w:p>
    <w:p w14:paraId="69A35CC9">
      <w:pPr>
        <w:jc w:val="both"/>
        <w:rPr>
          <w:rFonts w:hint="eastAsia" w:ascii="方正仿宋_GB2312" w:hAnsi="方正仿宋_GB2312" w:eastAsia="方正仿宋_GB2312" w:cs="方正仿宋_GB2312"/>
          <w:sz w:val="72"/>
          <w:szCs w:val="72"/>
          <w:lang w:eastAsia="zh-CN"/>
        </w:rPr>
      </w:pPr>
    </w:p>
    <w:p w14:paraId="697AAC0C">
      <w:pPr>
        <w:jc w:val="center"/>
        <w:rPr>
          <w:rFonts w:hint="eastAsia" w:ascii="方正仿宋_GB2312" w:hAnsi="方正仿宋_GB2312" w:eastAsia="方正仿宋_GB2312" w:cs="方正仿宋_GB2312"/>
          <w:sz w:val="72"/>
          <w:szCs w:val="72"/>
        </w:rPr>
      </w:pPr>
    </w:p>
    <w:p w14:paraId="19CD71E2">
      <w:pPr>
        <w:jc w:val="center"/>
        <w:rPr>
          <w:rFonts w:hint="eastAsia" w:ascii="方正仿宋_GB2312" w:hAnsi="方正仿宋_GB2312" w:eastAsia="方正仿宋_GB2312" w:cs="方正仿宋_GB2312"/>
          <w:sz w:val="72"/>
          <w:szCs w:val="72"/>
        </w:rPr>
      </w:pPr>
    </w:p>
    <w:p w14:paraId="12246F3C">
      <w:pPr>
        <w:jc w:val="center"/>
        <w:rPr>
          <w:rFonts w:hint="eastAsia" w:ascii="方正仿宋_GB2312" w:hAnsi="方正仿宋_GB2312" w:eastAsia="方正仿宋_GB2312" w:cs="方正仿宋_GB2312"/>
          <w:sz w:val="72"/>
          <w:szCs w:val="72"/>
        </w:rPr>
      </w:pPr>
    </w:p>
    <w:p w14:paraId="16B338A9">
      <w:pPr>
        <w:rPr>
          <w:rFonts w:hint="eastAsia" w:ascii="方正仿宋_GB2312" w:hAnsi="方正仿宋_GB2312" w:eastAsia="方正仿宋_GB2312" w:cs="方正仿宋_GB2312"/>
          <w:sz w:val="72"/>
          <w:szCs w:val="72"/>
        </w:rPr>
      </w:pPr>
    </w:p>
    <w:p w14:paraId="60C43648">
      <w:pPr>
        <w:pStyle w:val="14"/>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 xml:space="preserve">第一部分 </w:t>
      </w:r>
    </w:p>
    <w:p w14:paraId="4DECF332">
      <w:pPr>
        <w:pStyle w:val="14"/>
        <w:jc w:val="center"/>
        <w:rPr>
          <w:rFonts w:hint="eastAsia" w:ascii="方正小标宋简体" w:hAnsi="方正小标宋简体" w:eastAsia="方正小标宋简体" w:cs="方正小标宋简体"/>
          <w:sz w:val="84"/>
          <w:szCs w:val="84"/>
        </w:rPr>
      </w:pPr>
    </w:p>
    <w:p w14:paraId="440A5D50">
      <w:pPr>
        <w:pStyle w:val="14"/>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怀化市人民政府办公室</w:t>
      </w:r>
      <w:r>
        <w:rPr>
          <w:rFonts w:hint="eastAsia" w:ascii="方正小标宋简体" w:hAnsi="方正小标宋简体" w:eastAsia="方正小标宋简体" w:cs="方正小标宋简体"/>
          <w:sz w:val="84"/>
          <w:szCs w:val="84"/>
        </w:rPr>
        <w:t>概况</w:t>
      </w:r>
    </w:p>
    <w:p w14:paraId="1901205E">
      <w:pPr>
        <w:jc w:val="center"/>
        <w:rPr>
          <w:rFonts w:hint="eastAsia" w:ascii="方正仿宋_GB2312" w:hAnsi="方正仿宋_GB2312" w:eastAsia="方正仿宋_GB2312" w:cs="方正仿宋_GB2312"/>
          <w:sz w:val="72"/>
          <w:szCs w:val="72"/>
        </w:rPr>
      </w:pPr>
    </w:p>
    <w:p w14:paraId="1110D41E">
      <w:pPr>
        <w:jc w:val="center"/>
        <w:rPr>
          <w:rFonts w:hint="eastAsia" w:ascii="方正仿宋_GB2312" w:hAnsi="方正仿宋_GB2312" w:eastAsia="方正仿宋_GB2312" w:cs="方正仿宋_GB2312"/>
          <w:sz w:val="72"/>
          <w:szCs w:val="72"/>
        </w:rPr>
      </w:pPr>
    </w:p>
    <w:p w14:paraId="1BC99C6D">
      <w:pPr>
        <w:jc w:val="center"/>
        <w:rPr>
          <w:rFonts w:hint="eastAsia" w:ascii="方正仿宋_GB2312" w:hAnsi="方正仿宋_GB2312" w:eastAsia="方正仿宋_GB2312" w:cs="方正仿宋_GB2312"/>
          <w:sz w:val="72"/>
          <w:szCs w:val="72"/>
        </w:rPr>
      </w:pPr>
    </w:p>
    <w:p w14:paraId="51C1CB05">
      <w:pPr>
        <w:jc w:val="center"/>
        <w:rPr>
          <w:rFonts w:hint="eastAsia" w:ascii="方正仿宋_GB2312" w:hAnsi="方正仿宋_GB2312" w:eastAsia="方正仿宋_GB2312" w:cs="方正仿宋_GB2312"/>
          <w:sz w:val="72"/>
          <w:szCs w:val="72"/>
        </w:rPr>
      </w:pPr>
    </w:p>
    <w:p w14:paraId="4F3EA409">
      <w:pPr>
        <w:jc w:val="center"/>
        <w:rPr>
          <w:rFonts w:hint="eastAsia" w:ascii="方正仿宋_GB2312" w:hAnsi="方正仿宋_GB2312" w:eastAsia="方正仿宋_GB2312" w:cs="方正仿宋_GB2312"/>
          <w:sz w:val="72"/>
          <w:szCs w:val="72"/>
        </w:rPr>
      </w:pPr>
    </w:p>
    <w:p w14:paraId="289E80B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一、部门职责</w:t>
      </w:r>
    </w:p>
    <w:p w14:paraId="7E3915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怀化市人民政府办公室部门职责</w:t>
      </w:r>
    </w:p>
    <w:p w14:paraId="7DE0885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1、协助市政府领导同志审核或组织起草以市政府、市政府办公室名义发布的公文。</w:t>
      </w:r>
    </w:p>
    <w:p w14:paraId="1528C0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2、研究市政府各部门和各县市区人民政府请示市政府的事项，提出审核意见，报市政府领导同志审批。</w:t>
      </w:r>
    </w:p>
    <w:p w14:paraId="738C3DA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3、负责市政府会议的组织和服务工作，协助实施会议决定事项。</w:t>
      </w:r>
    </w:p>
    <w:p w14:paraId="0C8721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4、根据市政府领导同志的指示或工作需要，对有关问题进行协调，提出处理意见，报市政府领导同志决定。</w:t>
      </w:r>
    </w:p>
    <w:p w14:paraId="5992CC2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5、办理中央、省政府和市政府领导同志的批示，并督促落实。督促检查市政府各部门和各县市区人民政府对市政府决定事项的执行落实情况，及时向市政府报告。</w:t>
      </w:r>
    </w:p>
    <w:p w14:paraId="592E03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6、组织开展人大代表建议、政协提案办理工作。</w:t>
      </w:r>
    </w:p>
    <w:p w14:paraId="21101E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7、协助市政府领导同志做好需由市政府组织处理的突发事件应急处置工作；负责向国务院、省政府和市政府领导同志报告重要信息和情况；负责市政府值班工作。</w:t>
      </w:r>
    </w:p>
    <w:p w14:paraId="5EC53D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8、组织开展市民向市政府所提批评、意见和建议的办理工作。</w:t>
      </w:r>
    </w:p>
    <w:p w14:paraId="5311E8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9、办理市政府和市政府领导同志交办的其他事项。</w:t>
      </w:r>
    </w:p>
    <w:p w14:paraId="2AD9945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二、机构设置及决算单位构成</w:t>
      </w:r>
    </w:p>
    <w:p w14:paraId="17B8BC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一）内设机构设置。怀化市人民政府办公室作为一级部门预算单位内科室为：文电科、行政科、秘书科、综合科、秘书一科、秘书二科、秘书三科、秘书四科、秘书五科、秘书六科、秘书七科、秘书八科、督查室（市政府督查室设督查一科、督查二科）、市优化经济发展环境工作科、市政府总值班室、后勤事务管理科、人事科、金融工作科、机关党委、退休人员管理科；正科级公益一类事业单位1个：怀化市金融事务中心。</w:t>
      </w:r>
    </w:p>
    <w:p w14:paraId="771DAD6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（二）决算单位构成。怀化市人民政府办公室2024年部门决算公开单位构成包括：怀化市人民政府办公室本级。</w:t>
      </w:r>
    </w:p>
    <w:p w14:paraId="7C3DEEDA">
      <w:pPr>
        <w:jc w:val="left"/>
        <w:rPr>
          <w:rFonts w:hint="eastAsia" w:ascii="方正仿宋_GB2312" w:hAnsi="方正仿宋_GB2312" w:eastAsia="方正仿宋_GB2312" w:cs="方正仿宋_GB2312"/>
          <w:sz w:val="28"/>
          <w:szCs w:val="32"/>
        </w:rPr>
      </w:pPr>
    </w:p>
    <w:p w14:paraId="3838FDDF">
      <w:pPr>
        <w:widowControl/>
        <w:spacing w:line="600" w:lineRule="exact"/>
        <w:ind w:firstLine="640" w:firstLineChars="200"/>
        <w:rPr>
          <w:rFonts w:hint="eastAsia" w:ascii="方正仿宋_GB2312" w:hAnsi="方正仿宋_GB2312" w:eastAsia="方正仿宋_GB2312" w:cs="方正仿宋_GB2312"/>
          <w:bCs/>
          <w:kern w:val="0"/>
          <w:sz w:val="32"/>
          <w:szCs w:val="32"/>
        </w:rPr>
      </w:pPr>
    </w:p>
    <w:p w14:paraId="5B6B5426">
      <w:pPr>
        <w:jc w:val="left"/>
        <w:rPr>
          <w:rFonts w:hint="eastAsia" w:ascii="方正仿宋_GB2312" w:hAnsi="方正仿宋_GB2312" w:eastAsia="方正仿宋_GB2312" w:cs="方正仿宋_GB2312"/>
          <w:sz w:val="28"/>
          <w:szCs w:val="32"/>
        </w:rPr>
      </w:pPr>
    </w:p>
    <w:p w14:paraId="43360CEF">
      <w:pPr>
        <w:jc w:val="center"/>
        <w:rPr>
          <w:rFonts w:hint="eastAsia" w:ascii="方正仿宋_GB2312" w:hAnsi="方正仿宋_GB2312" w:eastAsia="方正仿宋_GB2312" w:cs="方正仿宋_GB2312"/>
          <w:sz w:val="28"/>
          <w:szCs w:val="28"/>
        </w:rPr>
      </w:pPr>
    </w:p>
    <w:p w14:paraId="0A37E06B">
      <w:pPr>
        <w:jc w:val="center"/>
        <w:rPr>
          <w:rFonts w:hint="eastAsia" w:ascii="方正仿宋_GB2312" w:hAnsi="方正仿宋_GB2312" w:eastAsia="方正仿宋_GB2312" w:cs="方正仿宋_GB2312"/>
          <w:sz w:val="28"/>
          <w:szCs w:val="28"/>
        </w:rPr>
      </w:pPr>
    </w:p>
    <w:p w14:paraId="33E9CF72">
      <w:pPr>
        <w:jc w:val="center"/>
        <w:rPr>
          <w:rFonts w:hint="eastAsia" w:ascii="方正仿宋_GB2312" w:hAnsi="方正仿宋_GB2312" w:eastAsia="方正仿宋_GB2312" w:cs="方正仿宋_GB2312"/>
          <w:sz w:val="28"/>
          <w:szCs w:val="28"/>
        </w:rPr>
      </w:pPr>
    </w:p>
    <w:p w14:paraId="60D33F82">
      <w:pPr>
        <w:jc w:val="center"/>
        <w:rPr>
          <w:rFonts w:hint="eastAsia" w:ascii="方正仿宋_GB2312" w:hAnsi="方正仿宋_GB2312" w:eastAsia="方正仿宋_GB2312" w:cs="方正仿宋_GB2312"/>
          <w:sz w:val="28"/>
          <w:szCs w:val="28"/>
        </w:rPr>
      </w:pPr>
    </w:p>
    <w:p w14:paraId="0227F481">
      <w:pPr>
        <w:jc w:val="center"/>
        <w:rPr>
          <w:rFonts w:hint="eastAsia" w:ascii="方正仿宋_GB2312" w:hAnsi="方正仿宋_GB2312" w:eastAsia="方正仿宋_GB2312" w:cs="方正仿宋_GB2312"/>
          <w:sz w:val="28"/>
          <w:szCs w:val="28"/>
        </w:rPr>
      </w:pPr>
    </w:p>
    <w:p w14:paraId="74659AD7">
      <w:pPr>
        <w:jc w:val="center"/>
        <w:rPr>
          <w:rFonts w:hint="eastAsia" w:ascii="方正仿宋_GB2312" w:hAnsi="方正仿宋_GB2312" w:eastAsia="方正仿宋_GB2312" w:cs="方正仿宋_GB2312"/>
          <w:sz w:val="28"/>
          <w:szCs w:val="28"/>
        </w:rPr>
      </w:pPr>
    </w:p>
    <w:p w14:paraId="69E84EBE">
      <w:pPr>
        <w:jc w:val="center"/>
        <w:rPr>
          <w:rFonts w:hint="eastAsia" w:ascii="方正仿宋_GB2312" w:hAnsi="方正仿宋_GB2312" w:eastAsia="方正仿宋_GB2312" w:cs="方正仿宋_GB2312"/>
          <w:sz w:val="28"/>
          <w:szCs w:val="28"/>
        </w:rPr>
      </w:pPr>
    </w:p>
    <w:p w14:paraId="08504F05">
      <w:pPr>
        <w:jc w:val="center"/>
        <w:rPr>
          <w:rFonts w:hint="eastAsia" w:ascii="方正仿宋_GB2312" w:hAnsi="方正仿宋_GB2312" w:eastAsia="方正仿宋_GB2312" w:cs="方正仿宋_GB2312"/>
          <w:sz w:val="28"/>
          <w:szCs w:val="28"/>
        </w:rPr>
      </w:pPr>
    </w:p>
    <w:p w14:paraId="7EAC577D">
      <w:pPr>
        <w:jc w:val="center"/>
        <w:rPr>
          <w:rFonts w:hint="eastAsia" w:ascii="方正仿宋_GB2312" w:hAnsi="方正仿宋_GB2312" w:eastAsia="方正仿宋_GB2312" w:cs="方正仿宋_GB2312"/>
          <w:sz w:val="28"/>
          <w:szCs w:val="28"/>
        </w:rPr>
      </w:pPr>
    </w:p>
    <w:p w14:paraId="0794B207">
      <w:pPr>
        <w:jc w:val="center"/>
        <w:rPr>
          <w:rFonts w:hint="eastAsia" w:ascii="方正仿宋_GB2312" w:hAnsi="方正仿宋_GB2312" w:eastAsia="方正仿宋_GB2312" w:cs="方正仿宋_GB2312"/>
          <w:sz w:val="28"/>
          <w:szCs w:val="28"/>
        </w:rPr>
      </w:pPr>
    </w:p>
    <w:p w14:paraId="14A4FE1F">
      <w:pPr>
        <w:jc w:val="center"/>
        <w:rPr>
          <w:rFonts w:hint="eastAsia" w:ascii="方正仿宋_GB2312" w:hAnsi="方正仿宋_GB2312" w:eastAsia="方正仿宋_GB2312" w:cs="方正仿宋_GB2312"/>
          <w:sz w:val="28"/>
          <w:szCs w:val="28"/>
        </w:rPr>
      </w:pPr>
    </w:p>
    <w:p w14:paraId="445FDE6C">
      <w:pPr>
        <w:jc w:val="center"/>
        <w:rPr>
          <w:rFonts w:hint="eastAsia" w:ascii="方正仿宋_GB2312" w:hAnsi="方正仿宋_GB2312" w:eastAsia="方正仿宋_GB2312" w:cs="方正仿宋_GB2312"/>
          <w:sz w:val="28"/>
          <w:szCs w:val="28"/>
        </w:rPr>
      </w:pPr>
    </w:p>
    <w:p w14:paraId="7C1FCF22">
      <w:pPr>
        <w:jc w:val="center"/>
        <w:rPr>
          <w:rFonts w:hint="eastAsia" w:ascii="方正仿宋_GB2312" w:hAnsi="方正仿宋_GB2312" w:eastAsia="方正仿宋_GB2312" w:cs="方正仿宋_GB2312"/>
          <w:sz w:val="72"/>
          <w:szCs w:val="72"/>
        </w:rPr>
      </w:pPr>
    </w:p>
    <w:p w14:paraId="35CA6BCF">
      <w:pPr>
        <w:jc w:val="center"/>
        <w:rPr>
          <w:rFonts w:hint="eastAsia" w:ascii="方正仿宋_GB2312" w:hAnsi="方正仿宋_GB2312" w:eastAsia="方正仿宋_GB2312" w:cs="方正仿宋_GB2312"/>
          <w:sz w:val="72"/>
          <w:szCs w:val="72"/>
        </w:rPr>
      </w:pPr>
    </w:p>
    <w:p w14:paraId="27C8FFF2">
      <w:pPr>
        <w:jc w:val="center"/>
        <w:rPr>
          <w:rFonts w:hint="eastAsia" w:ascii="方正仿宋_GB2312" w:hAnsi="方正仿宋_GB2312" w:eastAsia="方正仿宋_GB2312" w:cs="方正仿宋_GB2312"/>
          <w:sz w:val="72"/>
          <w:szCs w:val="72"/>
        </w:rPr>
      </w:pPr>
    </w:p>
    <w:p w14:paraId="40C06F25">
      <w:pPr>
        <w:jc w:val="center"/>
        <w:rPr>
          <w:rFonts w:hint="eastAsia" w:ascii="方正仿宋_GB2312" w:hAnsi="方正仿宋_GB2312" w:eastAsia="方正仿宋_GB2312" w:cs="方正仿宋_GB2312"/>
          <w:sz w:val="72"/>
          <w:szCs w:val="72"/>
        </w:rPr>
      </w:pPr>
    </w:p>
    <w:p w14:paraId="6CD7E001">
      <w:pPr>
        <w:pStyle w:val="14"/>
        <w:jc w:val="center"/>
        <w:rPr>
          <w:rFonts w:hint="eastAsia" w:ascii="方正仿宋_GB2312" w:hAnsi="方正仿宋_GB2312" w:eastAsia="方正仿宋_GB2312" w:cs="方正仿宋_GB2312"/>
          <w:sz w:val="84"/>
          <w:szCs w:val="84"/>
        </w:rPr>
      </w:pPr>
    </w:p>
    <w:p w14:paraId="221075FE">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第二部分</w:t>
      </w:r>
    </w:p>
    <w:p w14:paraId="08D50D3E">
      <w:pPr>
        <w:pStyle w:val="14"/>
        <w:jc w:val="center"/>
        <w:rPr>
          <w:rFonts w:hint="eastAsia" w:ascii="方正公文小标宋" w:hAnsi="方正公文小标宋" w:eastAsia="方正公文小标宋" w:cs="方正公文小标宋"/>
          <w:sz w:val="84"/>
          <w:szCs w:val="84"/>
        </w:rPr>
      </w:pPr>
    </w:p>
    <w:p w14:paraId="5B60F281">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部门决算表</w:t>
      </w:r>
    </w:p>
    <w:p w14:paraId="5BC52E0F">
      <w:pPr>
        <w:jc w:val="center"/>
        <w:rPr>
          <w:rFonts w:hint="eastAsia" w:ascii="方正仿宋_GB2312" w:hAnsi="方正仿宋_GB2312" w:eastAsia="方正仿宋_GB2312" w:cs="方正仿宋_GB2312"/>
          <w:sz w:val="72"/>
          <w:szCs w:val="72"/>
        </w:rPr>
      </w:pPr>
    </w:p>
    <w:p w14:paraId="4ED463D3">
      <w:pPr>
        <w:jc w:val="center"/>
        <w:rPr>
          <w:rFonts w:hint="eastAsia" w:ascii="方正仿宋_GB2312" w:hAnsi="方正仿宋_GB2312" w:eastAsia="方正仿宋_GB2312" w:cs="方正仿宋_GB2312"/>
          <w:sz w:val="72"/>
          <w:szCs w:val="72"/>
        </w:rPr>
      </w:pPr>
    </w:p>
    <w:p w14:paraId="77F759DF">
      <w:pPr>
        <w:jc w:val="center"/>
        <w:rPr>
          <w:rFonts w:hint="eastAsia" w:ascii="方正仿宋_GB2312" w:hAnsi="方正仿宋_GB2312" w:eastAsia="方正仿宋_GB2312" w:cs="方正仿宋_GB2312"/>
          <w:sz w:val="72"/>
          <w:szCs w:val="72"/>
        </w:rPr>
      </w:pPr>
    </w:p>
    <w:p w14:paraId="2AE044FD">
      <w:pPr>
        <w:jc w:val="center"/>
        <w:rPr>
          <w:rFonts w:hint="eastAsia" w:ascii="方正仿宋_GB2312" w:hAnsi="方正仿宋_GB2312" w:eastAsia="方正仿宋_GB2312" w:cs="方正仿宋_GB2312"/>
          <w:sz w:val="72"/>
          <w:szCs w:val="72"/>
        </w:rPr>
        <w:sectPr>
          <w:footerReference r:id="rId3" w:type="default"/>
          <w:pgSz w:w="11906" w:h="16838"/>
          <w:pgMar w:top="720" w:right="720" w:bottom="720" w:left="720" w:header="851" w:footer="992" w:gutter="0"/>
          <w:cols w:space="0" w:num="1"/>
          <w:rtlGutter w:val="0"/>
          <w:docGrid w:type="lines" w:linePitch="312" w:charSpace="0"/>
        </w:sectPr>
      </w:pPr>
      <w:r>
        <w:rPr>
          <w:rFonts w:hint="eastAsia" w:ascii="方正仿宋_GB2312" w:hAnsi="方正仿宋_GB2312" w:eastAsia="方正仿宋_GB2312" w:cs="方正仿宋_GB2312"/>
          <w:sz w:val="44"/>
          <w:szCs w:val="44"/>
          <w:lang w:val="en-US" w:eastAsia="zh-CN"/>
        </w:rPr>
        <w:t>（见附件一）</w:t>
      </w:r>
    </w:p>
    <w:p w14:paraId="6736BEF5">
      <w:pPr>
        <w:pStyle w:val="14"/>
        <w:jc w:val="both"/>
        <w:rPr>
          <w:rFonts w:hint="eastAsia" w:ascii="方正仿宋_GB2312" w:hAnsi="方正仿宋_GB2312" w:eastAsia="方正仿宋_GB2312" w:cs="方正仿宋_GB2312"/>
          <w:sz w:val="72"/>
          <w:szCs w:val="72"/>
        </w:rPr>
      </w:pPr>
    </w:p>
    <w:p w14:paraId="0C1E2E90">
      <w:pPr>
        <w:pStyle w:val="14"/>
        <w:jc w:val="both"/>
        <w:rPr>
          <w:rFonts w:hint="eastAsia" w:ascii="方正公文小标宋" w:hAnsi="方正公文小标宋" w:eastAsia="方正公文小标宋" w:cs="方正公文小标宋"/>
          <w:sz w:val="84"/>
          <w:szCs w:val="84"/>
        </w:rPr>
      </w:pPr>
    </w:p>
    <w:p w14:paraId="57D60FD6">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第三部分</w:t>
      </w:r>
    </w:p>
    <w:p w14:paraId="1D13FFEE">
      <w:pPr>
        <w:pStyle w:val="14"/>
        <w:jc w:val="center"/>
        <w:rPr>
          <w:rFonts w:hint="eastAsia" w:ascii="方正公文小标宋" w:hAnsi="方正公文小标宋" w:eastAsia="方正公文小标宋" w:cs="方正公文小标宋"/>
          <w:sz w:val="84"/>
          <w:szCs w:val="84"/>
        </w:rPr>
      </w:pPr>
    </w:p>
    <w:p w14:paraId="42DA44D6">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202</w:t>
      </w:r>
      <w:r>
        <w:rPr>
          <w:rFonts w:hint="eastAsia" w:ascii="方正公文小标宋" w:hAnsi="方正公文小标宋" w:eastAsia="方正公文小标宋" w:cs="方正公文小标宋"/>
          <w:sz w:val="84"/>
          <w:szCs w:val="84"/>
          <w:lang w:val="en-US" w:eastAsia="zh-CN"/>
        </w:rPr>
        <w:t>4</w:t>
      </w:r>
      <w:r>
        <w:rPr>
          <w:rFonts w:hint="eastAsia" w:ascii="方正公文小标宋" w:hAnsi="方正公文小标宋" w:eastAsia="方正公文小标宋" w:cs="方正公文小标宋"/>
          <w:sz w:val="84"/>
          <w:szCs w:val="84"/>
        </w:rPr>
        <w:t>年度部门决算</w:t>
      </w:r>
    </w:p>
    <w:p w14:paraId="25CDF552">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情况说明</w:t>
      </w:r>
    </w:p>
    <w:p w14:paraId="7CD41D11">
      <w:pPr>
        <w:widowControl/>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70"/>
          <w:szCs w:val="70"/>
        </w:rPr>
        <w:br w:type="page"/>
      </w:r>
    </w:p>
    <w:p w14:paraId="25EDF2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一、收入支出决算总体情况说明</w:t>
      </w:r>
    </w:p>
    <w:p w14:paraId="4CA6A5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2024年度收、支总计3801.19万元。与上年相比，减少738.36万元，减少16.26%，主要是因为机构改革，市本级及县市区市长热线专项转至社会工作部。</w:t>
      </w:r>
    </w:p>
    <w:p w14:paraId="0891D5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二、收入决算情况说明</w:t>
      </w:r>
    </w:p>
    <w:p w14:paraId="6C1E8E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收入合计3801.19万元，其中：财政拨款收入3675.99万元，占96.71%；政府性基金预算财政拨款收入125.2万元，占3.29%；国有资本经验预算财政拨款收入0万元，占0%；上级补助收入0万元，占0%；事业收入0万元，占0%；经营收入0万元，占0%；附属单位上缴收0万元，占0%；其他收入0万元，占0%。</w:t>
      </w:r>
    </w:p>
    <w:p w14:paraId="25EA01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三、支出决算情况说明</w:t>
      </w:r>
    </w:p>
    <w:p w14:paraId="1E7A5A9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2024年度支出合计3801.19万元，其中：基本支出1933.63万元，占50.87%；项目支出1867.57万元，占49.13%；上缴上级支出0万元，占0%；经营支出0万元，占0%；对附属单位补助支出0万元，占0%。</w:t>
      </w:r>
    </w:p>
    <w:p w14:paraId="607AFA7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四、财政拨款收入支出决算总体情况说明</w:t>
      </w:r>
    </w:p>
    <w:p w14:paraId="40A755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2024年度财政拨款收、支总计3801.19万元，与上年相比，减少738.36万元,减少16.26%，主要是因为机构改革，市本级及县市区市长热线专项转至社会工作部。</w:t>
      </w:r>
    </w:p>
    <w:p w14:paraId="159CEA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五、一般公共预算财政拨款支出决算情况说明</w:t>
      </w:r>
    </w:p>
    <w:p w14:paraId="0929345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（一）一般公共预算财政拨款支出决算总体情况</w:t>
      </w:r>
    </w:p>
    <w:p w14:paraId="3A42FF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2024年度财政拨款支出3801.19万元，占本年支出合计的100%，与上年相比，财政拨款支出减少738.36万元，减少16.26%，主要是因为机构改革，市本级及县市区市长热线专项转至社会工作部。</w:t>
      </w:r>
    </w:p>
    <w:p w14:paraId="3E316C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（二）一般公共预算财政拨款支出决算结构情况</w:t>
      </w:r>
    </w:p>
    <w:p w14:paraId="386C55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财政拨款支出3801.19万元，主要用于以下方面：一般公共服务（类）支出3100.78万元，占81.57%；科学技术（类）支出19万元，占0.5%；社会保障与就业（类）支出269.73万元，占7.09%；卫生健康（类）支出61.47万元，占1.62%；城乡社区（类）支出125.2万元，占3.3%；农林水（类）支出10万元，占0.26%,；金融（类）支出63.74万元，占1.68%；住房保障（类）支出131.27万元，占3.45%；粮油物资储备（类）支出20万元，占0.53%；</w:t>
      </w:r>
    </w:p>
    <w:p w14:paraId="0554BC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（三）一般公共预算财政拨款支出决算具体情况</w:t>
      </w:r>
    </w:p>
    <w:p w14:paraId="690025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2024年度财政拨款支出年初预算数为3055.44万元，支出决算数为3801.19万元，完成年初预算的124.41%，其中：</w:t>
      </w:r>
    </w:p>
    <w:p w14:paraId="754788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1、一般公共服务（类）政府办公厅（室）及相关机构事务（款）行政运行（项）。</w:t>
      </w:r>
    </w:p>
    <w:p w14:paraId="1EEC1D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年初预算为2539万元，支出决算为1471.15万元，完成年初预算的57.94%，决算数小于年初预算数的主要原因是：部分项目支出经批准由行政运行项调整至一般公共管理事务项。</w:t>
      </w:r>
    </w:p>
    <w:p w14:paraId="6801007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一般公共服务（类）政府办公厅（室）及相关机构事务（款）一般行政管理事务（项）。</w:t>
      </w:r>
    </w:p>
    <w:p w14:paraId="3C9829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年初预算为50万元，支出决算为864.11万元，完成年初预算的1728.22%，决算数大于年初预算数的主要原因是：部分项目支出经批准由行政运行项调整至一般公共管理事务项。</w:t>
      </w:r>
    </w:p>
    <w:p w14:paraId="7B7BF3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3、一般公共服务（类）政府办公厅（室）及相关机构事务（款）机关服务（项）。</w:t>
      </w:r>
    </w:p>
    <w:p w14:paraId="5C7958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年初预算为0万元，支出决算为108.8万元，决算数大于年初预算数的主要原因是：年中追加市民服务中心C3电视电话会议室维修改造资金。</w:t>
      </w:r>
    </w:p>
    <w:p w14:paraId="724E0A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4、一般公共服务（类）政府办公厅（室）及相关机构事务（款）其他政府办公厅（室）及相关机构事务支出（项）。</w:t>
      </w:r>
    </w:p>
    <w:p w14:paraId="2C5F9C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年初预算为0万元，支出决算为446.75万元，决算数大于年初预算数的主要原因是：增加县市区12345政务热线经费、鹤翔学校改扩建及金丰纺织公司搬迁经费等。</w:t>
      </w:r>
    </w:p>
    <w:p w14:paraId="692E86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5、一般公共服务（类）财政事务（款）一般行政管理事务（项）。</w:t>
      </w:r>
    </w:p>
    <w:p w14:paraId="2B18F2C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年初预算为0万元，支出决算为75万元，决算数大于年初预算数的主要原因是：年中追加市政府常务会议室及部分办公室维修经费。</w:t>
      </w:r>
    </w:p>
    <w:p w14:paraId="373D0F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6、一般公共服务（类）商贸事务（款）其他商贸事务支出（项）。</w:t>
      </w:r>
    </w:p>
    <w:p w14:paraId="242BC5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年初预算为0万元，支出决算为30万元，决算数大于年初预算数的主要原因是：年中追加市政府办招商引资专项工作经费。</w:t>
      </w:r>
    </w:p>
    <w:p w14:paraId="16BBDEB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7、一般公共服务（类）其他一般公共服务支出（款）其他一般公共服务支出（项）。</w:t>
      </w:r>
    </w:p>
    <w:p w14:paraId="2525576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年初预算为0万元，支出决算为104.99万元，决算数大于年初预算数的主要原因是：年中追加电子政务内网密码换装工作经费、老干部经费、市政府主要领导因公出国（境）费用等。</w:t>
      </w:r>
    </w:p>
    <w:p w14:paraId="18969B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8、其他科学技术（类）其他科学技术支出（款）其他科学技术支出（项）。</w:t>
      </w:r>
    </w:p>
    <w:p w14:paraId="0669A2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年初预算为0万元，支出决算为19万元，决算数大于年初预算数的主要原因是：增加政务效能平台等级测评资金。</w:t>
      </w:r>
    </w:p>
    <w:p w14:paraId="67D621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9、社会保障和就业（类）行政事业单位养老支出（款）行政单位离退休（项）。</w:t>
      </w:r>
    </w:p>
    <w:p w14:paraId="5760A1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年初预算为100.87万元，支出决算为100.87万元，决算数与预算数持平。</w:t>
      </w:r>
    </w:p>
    <w:p w14:paraId="4B47B14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10、社会保障和就业（类）行政事业单位养老支出（款）机关事业单位基本养老保险缴费支出（项）。</w:t>
      </w:r>
    </w:p>
    <w:p w14:paraId="167B1A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年初预算为162.93万元，支出决算为154.1万元，完成年初预算的94.58%，决算数小于年初预算数的主要原因是：人员变动造成养老保险缴费减少。</w:t>
      </w:r>
    </w:p>
    <w:p w14:paraId="60F133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11、社会保障和就业（类）行政事业单位养老支出（款）其他行政事业单位养老支出（项）。</w:t>
      </w:r>
    </w:p>
    <w:p w14:paraId="06762F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年初预算为0万元，支出决算为14.77万元，决算数大于年初预算数的主要原因是：离退休人员春节一次性生活补助。</w:t>
      </w:r>
    </w:p>
    <w:p w14:paraId="7999475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12、卫生健康（类）行政事业单位医疗（款）行政单位医疗（项）。</w:t>
      </w:r>
    </w:p>
    <w:p w14:paraId="7647027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年初预算为68.81万元，支出决算为61.47万元，完成年初预算的89.33%，决算数小于年初预算数的主要原因是：人员变动造成医疗保险缴费减少。</w:t>
      </w:r>
    </w:p>
    <w:p w14:paraId="39C0AC5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13、卫生健康（类）行政事业单位医疗（款）行政单位医疗（项）。</w:t>
      </w:r>
    </w:p>
    <w:p w14:paraId="0346F1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年初预算为68.81万元，支出决算为61.47万元，完成年初预算的89.33%，决算数小于年初预算数的主要原因是：人员变动造成医疗保险缴费减少。</w:t>
      </w:r>
    </w:p>
    <w:p w14:paraId="5759EB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14、金融支出（类）金融发展支出（款）其他普惠金融发展支出（项）。</w:t>
      </w:r>
    </w:p>
    <w:p w14:paraId="626044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年初预算为0万元，支出决算为10万元，决算数大于年初预算数的主要原因是：增加金融发展项目补助资金。</w:t>
      </w:r>
    </w:p>
    <w:p w14:paraId="595B5A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15、金融支出（类）金融发展支出（款）其他金融发展支出（项）。</w:t>
      </w:r>
    </w:p>
    <w:p w14:paraId="0560F8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年初预算为0万元，支出决算为60万元，决算数大于年初预算数的主要原因是：增加金融发展项目补助资金。</w:t>
      </w:r>
    </w:p>
    <w:p w14:paraId="3886DB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16、金融支出（类）金融发展支出（款）其他金融支出（项）。</w:t>
      </w:r>
    </w:p>
    <w:p w14:paraId="30E976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年初预算为0万元，支出决算为3.74万元，决算数大于年初预算数的主要原因是：年中追加“怀化市综合金融服务平台”升级和对接国家平台省级节点经费。</w:t>
      </w:r>
    </w:p>
    <w:p w14:paraId="062467F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17、住房保障支出（类）住房改革支出（款）住房公积金（项）。</w:t>
      </w:r>
    </w:p>
    <w:p w14:paraId="7FCBC5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年初预算为133.84万元，支出决算为131.27万元，完成年初预算的98.08%，决算数小于年初预算数的主要原因是：人员变动造成住房公积金缴费减少。</w:t>
      </w:r>
    </w:p>
    <w:p w14:paraId="09AB99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18、粮油物资储备支出（类）粮油物资事务（款）其他粮油物资事务支出（项）。</w:t>
      </w:r>
    </w:p>
    <w:p w14:paraId="088A14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年初预算为0万元，支出决算为20万元，决算数大于预算数的原因是：增加省政府真抓实干督查激励工作经费。</w:t>
      </w:r>
    </w:p>
    <w:p w14:paraId="2277CB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六、一般公共预算财政拨款基本支出决算情况说明</w:t>
      </w:r>
    </w:p>
    <w:p w14:paraId="18BE88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2024年度财政拨款基本支出1933.63万元，其中：</w:t>
      </w:r>
    </w:p>
    <w:p w14:paraId="05453CE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人员经费</w:t>
      </w:r>
      <w:r>
        <w:rPr>
          <w:rFonts w:hint="eastAsia" w:ascii="Times New Roman" w:hAnsi="Times New Roman" w:eastAsia="方正仿宋_GB2312" w:cs="Times New Roman"/>
          <w:color w:val="auto"/>
          <w:kern w:val="2"/>
          <w:sz w:val="32"/>
          <w:szCs w:val="32"/>
          <w:lang w:val="en-US" w:eastAsia="zh-CN" w:bidi="ar-SA"/>
        </w:rPr>
        <w:t>1586.96万元，占基本支出的82.07%,主要包括基本工资、津贴补贴、奖金、机关事业单位基本养老保险缴费、职工基本医疗保险缴费等。</w:t>
      </w:r>
    </w:p>
    <w:p w14:paraId="091B75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方正仿宋_GB2312" w:hAnsi="方正仿宋_GB2312" w:eastAsia="方正仿宋_GB2312" w:cs="方正仿宋_GB2312"/>
          <w:b/>
          <w:bCs/>
          <w:sz w:val="32"/>
          <w:szCs w:val="32"/>
        </w:rPr>
        <w:t>公用经费</w:t>
      </w:r>
      <w:r>
        <w:rPr>
          <w:rFonts w:hint="eastAsia" w:ascii="Times New Roman" w:hAnsi="Times New Roman" w:eastAsia="方正仿宋_GB2312" w:cs="Times New Roman"/>
          <w:color w:val="auto"/>
          <w:kern w:val="2"/>
          <w:sz w:val="32"/>
          <w:szCs w:val="32"/>
          <w:lang w:val="en-US" w:eastAsia="zh-CN" w:bidi="ar-SA"/>
        </w:rPr>
        <w:t>346.67万元，占基本支出的17.93%，主要包括办公费、印刷费、邮电费、差旅费、维修费、公务用车运行</w:t>
      </w:r>
      <w:r>
        <w:rPr>
          <w:rFonts w:hint="eastAsia" w:ascii="Times New Roman" w:hAnsi="Times New Roman" w:eastAsia="方正仿宋_GB2312" w:cs="Times New Roman"/>
          <w:color w:val="auto"/>
          <w:kern w:val="2"/>
          <w:sz w:val="32"/>
          <w:szCs w:val="32"/>
          <w:lang w:val="en-US" w:eastAsia="zh-CN" w:bidi="ar-SA"/>
        </w:rPr>
        <w:t>维护费等。</w:t>
      </w:r>
    </w:p>
    <w:p w14:paraId="7EB82DE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七、财政拨款三公经费支出决算情况说明</w:t>
      </w:r>
    </w:p>
    <w:p w14:paraId="0D6DC3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（一）“三公”经费财政拨款支出决算总体情况说明</w:t>
      </w:r>
    </w:p>
    <w:p w14:paraId="396B57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三公”经费财政拨款支出预算为129.4万元，支出决算为127.46万元，完成预算的98.5%，决算数小于预算数的主要原因是严格控制“三公”经费使用，与上年相比增加22.47万元，增加21.4%，增加的主要原因是本年经批准增加因公出国经费，车辆老化本年度集中进行大修。其中：</w:t>
      </w:r>
    </w:p>
    <w:p w14:paraId="456FF7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因公出国（境）费支出预算为10.4万元，支出决算为8.51万元，决算数小于预算数的主要原因是，严格控制因公出国经费使用。</w:t>
      </w:r>
    </w:p>
    <w:p w14:paraId="56F6A4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公务接待费支出预算为4.3万元，支出决算为4.28万元，完成预算的99.53%，决算数小于预算数的主要原因是，严格控制“三公”经费的使用，与上年相比下降2.7万元，减少38.57%，减少的的主要原因是严格控制“三公”经费的使用，控制接待数量。</w:t>
      </w:r>
    </w:p>
    <w:p w14:paraId="6FF58A8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公务用车购置费支出预算为0万元，支出决算为0万元。</w:t>
      </w:r>
    </w:p>
    <w:p w14:paraId="0AF16A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公务用车运行维护费支出预算为114.7万元，支出决算为114.67万元，完成预算的99.97%，决算数小于算数的主要原因是严格控制“三公”经费的使用，与上年相比增加16.68万元，增长17.02%,增长的主要原因是车辆老旧，各项维修费用增加，调研增加，车辆用油增加。</w:t>
      </w:r>
    </w:p>
    <w:p w14:paraId="2D8E08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（二）“三公”经费财政拨款支出决算具体情况说明</w:t>
      </w:r>
    </w:p>
    <w:p w14:paraId="1CAE36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2024年度“三公”经费财政拨款支出决算中，公务接待费支出决算4.28万元，占3.36%,因公出国（境）费支出决算8.51万元，占6.68%,公务用车购置费及运行维护费支出决算114.67万元，占89.96%。其中：</w:t>
      </w:r>
    </w:p>
    <w:p w14:paraId="4085D7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1、因公出国（境）费支出决算为8.51万元，全年安排因</w:t>
      </w:r>
      <w:r>
        <w:rPr>
          <w:rFonts w:hint="eastAsia" w:ascii="Times New Roman" w:hAnsi="Times New Roman" w:eastAsia="方正仿宋_GB2312" w:cs="Times New Roman"/>
          <w:color w:val="auto"/>
          <w:kern w:val="2"/>
          <w:sz w:val="32"/>
          <w:szCs w:val="32"/>
          <w:lang w:val="en-US" w:eastAsia="zh-CN" w:bidi="ar-SA"/>
        </w:rPr>
        <w:t>公出国（境）团组2个，累计2人次,开支内容包括：</w:t>
      </w:r>
    </w:p>
    <w:p w14:paraId="509136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2、公务接待费支出决算为4.28万元，全年共接待来访团组45个、来宾323人次，主要是各级各部门请示汇报、考察调研等发生的接待支出。</w:t>
      </w:r>
    </w:p>
    <w:p w14:paraId="36E17C3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3、公务用车购置费及运行维护费支出决算为114.67万元，其中：公务用车购置费0万元。公务用车运行维护费114.67万元，主要是公务用车维修费、过路过桥费和公车保险支出，截止2024年12月31日，我单位开支财政拨款的公务用车保有量为15辆。</w:t>
      </w:r>
    </w:p>
    <w:p w14:paraId="7FCB96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八、政府性基金预算收入支出决算情况</w:t>
      </w:r>
    </w:p>
    <w:p w14:paraId="52E83E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 xml:space="preserve"> 2024年度政府性基金预算财政拨款收入125.2万元；年初结转和结余0万元；支出125.2万元，其中基本支出0万元，项目支出125.2万元；年末结转和结余0万元。具体情况如下：</w:t>
      </w:r>
    </w:p>
    <w:p w14:paraId="6D1704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1、城乡社区支出（类）国有土地使用权出让收入安排的支出（款）国有土地使用权出让收入安排的支出（项）。</w:t>
      </w:r>
    </w:p>
    <w:p w14:paraId="40BB54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年初预算为0万元，支出决算为125.2万元，决算数大于年初预算数的主要原因是：西南宾馆改制支出未纳入年初预算。</w:t>
      </w:r>
    </w:p>
    <w:p w14:paraId="1C5D38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九、国有资本经营预算收入支出决算情况</w:t>
      </w:r>
    </w:p>
    <w:p w14:paraId="17EFD0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2024年度本单位无国有资本经营收入，无国有资本经营支出。</w:t>
      </w:r>
    </w:p>
    <w:p w14:paraId="242FF9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仿宋_GB2312" w:hAnsi="方正仿宋_GB2312" w:eastAsia="方正仿宋_GB2312" w:cs="方正仿宋_GB2312"/>
          <w:b w:val="0"/>
          <w:bCs/>
          <w:color w:val="auto"/>
          <w:sz w:val="32"/>
          <w:szCs w:val="32"/>
        </w:rPr>
      </w:pPr>
      <w:r>
        <w:rPr>
          <w:rFonts w:hint="eastAsia" w:ascii="方正仿宋_GB2312" w:hAnsi="方正仿宋_GB2312" w:eastAsia="方正仿宋_GB2312" w:cs="方正仿宋_GB2312"/>
          <w:b w:val="0"/>
          <w:bCs/>
          <w:color w:val="auto"/>
          <w:sz w:val="32"/>
          <w:szCs w:val="32"/>
          <w:lang w:val="en-US" w:eastAsia="zh-CN"/>
        </w:rPr>
        <w:t>十</w:t>
      </w:r>
      <w:r>
        <w:rPr>
          <w:rFonts w:hint="eastAsia" w:ascii="方正仿宋_GB2312" w:hAnsi="方正仿宋_GB2312" w:eastAsia="方正仿宋_GB2312" w:cs="方正仿宋_GB2312"/>
          <w:b w:val="0"/>
          <w:bCs/>
          <w:color w:val="auto"/>
          <w:sz w:val="32"/>
          <w:szCs w:val="32"/>
        </w:rPr>
        <w:t>、关于机关运行经费支出说明</w:t>
      </w:r>
    </w:p>
    <w:p w14:paraId="016E43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本部门2024年度机关运行经费支出346.66万元，比上年决算数增加34.85万元，增长11.17%。主要原因是：本年度调研等行程增加差旅费及车辆运行维护费。</w:t>
      </w:r>
    </w:p>
    <w:p w14:paraId="1F820E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十一、一般性支出情况说明</w:t>
      </w:r>
    </w:p>
    <w:p w14:paraId="2ADF73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2024年本部门开支会议费13.74万元。主要是市政府常务会议及优化营商环境、金融工作、</w:t>
      </w:r>
      <w:bookmarkStart w:id="0" w:name="_GoBack"/>
      <w:bookmarkEnd w:id="0"/>
      <w:r>
        <w:rPr>
          <w:rFonts w:hint="eastAsia" w:ascii="Times New Roman" w:hAnsi="Times New Roman" w:eastAsia="方正仿宋_GB2312" w:cs="Times New Roman"/>
          <w:color w:val="auto"/>
          <w:kern w:val="2"/>
          <w:sz w:val="32"/>
          <w:szCs w:val="32"/>
          <w:lang w:val="en-US" w:eastAsia="zh-CN" w:bidi="ar-SA"/>
        </w:rPr>
        <w:t>全市推动大规模设备更新和消费品以旧换新等市政府工作会议。</w:t>
      </w:r>
    </w:p>
    <w:p w14:paraId="39E433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2312" w:cs="Times New Roman"/>
          <w:color w:val="auto"/>
          <w:kern w:val="2"/>
          <w:sz w:val="32"/>
          <w:szCs w:val="32"/>
          <w:lang w:val="en-US" w:eastAsia="zh-CN" w:bidi="ar-SA"/>
        </w:rPr>
        <w:t>十二、关于政府采购支出说明</w:t>
      </w:r>
    </w:p>
    <w:p w14:paraId="691D48B2">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本部门2024年度政府采购支出总额94.26万元，其中：政</w:t>
      </w:r>
      <w:r>
        <w:rPr>
          <w:rFonts w:hint="eastAsia" w:ascii="Times New Roman" w:hAnsi="Times New Roman" w:eastAsia="方正仿宋_GB2312" w:cs="Times New Roman"/>
          <w:sz w:val="32"/>
          <w:szCs w:val="32"/>
          <w:lang w:val="en-US" w:eastAsia="zh-CN"/>
        </w:rPr>
        <w:t>府采购货物支出94.26万元、政府采购工程支出0万元、政府采购服务支出0万元。授予中小企业合同金额94.26万元，占政府采购支出总额的100%，其中：授予小微企业合同金额0万元，占授予中小企业合同金额的0%。货物采购授予中小企业合同金额占货物支出金额的100%，工程采购授予中小企业合同金额占工程支出金额的0%，服务采购授予中小企业合同金额占服务支出金额的0%。</w:t>
      </w:r>
    </w:p>
    <w:p w14:paraId="58EA597B">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十三、关于国有资产占用情况说明</w:t>
      </w:r>
    </w:p>
    <w:p w14:paraId="6EC286C8">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截至2024年12月31日，部门（单位）共有车辆15辆，其中，副部（省）级及以上领导用车0辆、主要负责人用车1辆、机要通信用车2辆、应急保障用车8辆、执法执勤用车0辆、特种专业技术用车0辆、离退休干部服务用车0辆、其他用车4辆，其他用车主要是公务用车；单位价值100万元以上设备（不含车辆）2台（套）。</w:t>
      </w:r>
    </w:p>
    <w:p w14:paraId="64E0BA3E">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十四、关于2024年度预算绩效情况的说明</w:t>
      </w:r>
    </w:p>
    <w:p w14:paraId="2F29B25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（一）绩效管理工作开展情况</w:t>
      </w:r>
    </w:p>
    <w:p w14:paraId="7BDB7AD6">
      <w:pPr>
        <w:widowControl/>
        <w:spacing w:line="640" w:lineRule="exact"/>
        <w:ind w:firstLine="640" w:firstLineChars="2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sz w:val="32"/>
          <w:szCs w:val="32"/>
          <w:lang w:val="en-US" w:eastAsia="zh-CN"/>
        </w:rPr>
        <w:t>为规范专项资金管理，保证资金安全，高效运行，发挥资金使用效率，我办严格按照财政相关要求及专项资金管理办法执行</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sz w:val="32"/>
          <w:szCs w:val="32"/>
          <w:lang w:val="en-US" w:eastAsia="zh-CN"/>
        </w:rPr>
        <w:t>根据“总量控制、计划管理”的要求从严控制行政经费，压缩公用经费开支，严格按照预算科目的规定专款专用，保障单位整体支出趋于规范化、制度化。</w:t>
      </w:r>
    </w:p>
    <w:p w14:paraId="72A192C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部门</w:t>
      </w:r>
      <w:r>
        <w:rPr>
          <w:rFonts w:hint="eastAsia" w:ascii="方正仿宋_GB2312" w:hAnsi="方正仿宋_GB2312" w:eastAsia="方正仿宋_GB2312" w:cs="方正仿宋_GB2312"/>
          <w:b/>
          <w:bCs/>
          <w:sz w:val="32"/>
          <w:szCs w:val="32"/>
          <w:lang w:eastAsia="zh-CN"/>
        </w:rPr>
        <w:t>（单位）</w:t>
      </w:r>
      <w:r>
        <w:rPr>
          <w:rFonts w:hint="eastAsia" w:ascii="方正仿宋_GB2312" w:hAnsi="方正仿宋_GB2312" w:eastAsia="方正仿宋_GB2312" w:cs="方正仿宋_GB2312"/>
          <w:b/>
          <w:bCs/>
          <w:sz w:val="32"/>
          <w:szCs w:val="32"/>
        </w:rPr>
        <w:t>整体支出绩效情况</w:t>
      </w:r>
    </w:p>
    <w:p w14:paraId="717F2BB6">
      <w:pPr>
        <w:widowControl/>
        <w:spacing w:line="640" w:lineRule="exact"/>
        <w:ind w:firstLine="640" w:firstLineChars="200"/>
        <w:rPr>
          <w:rFonts w:hint="default" w:ascii="仿宋" w:hAnsi="仿宋" w:eastAsia="仿宋" w:cs="仿宋"/>
          <w:sz w:val="32"/>
          <w:szCs w:val="32"/>
          <w:lang w:val="en-US" w:eastAsia="zh-CN"/>
        </w:rPr>
      </w:pPr>
      <w:r>
        <w:rPr>
          <w:rFonts w:hint="eastAsia" w:ascii="Times New Roman" w:hAnsi="Times New Roman" w:eastAsia="方正仿宋_GB2312" w:cs="Times New Roman"/>
          <w:sz w:val="32"/>
          <w:szCs w:val="32"/>
          <w:lang w:val="en-US" w:eastAsia="zh-CN"/>
        </w:rPr>
        <w:t>2024</w:t>
      </w:r>
      <w:r>
        <w:rPr>
          <w:rFonts w:hint="eastAsia" w:ascii="方正仿宋_GB2312" w:hAnsi="方正仿宋_GB2312" w:eastAsia="方正仿宋_GB2312" w:cs="方正仿宋_GB2312"/>
          <w:sz w:val="32"/>
          <w:szCs w:val="32"/>
          <w:lang w:val="en-US" w:eastAsia="zh-CN"/>
        </w:rPr>
        <w:t>年，市政府办党组坚持以习近平新时代中国特色社会主义思想为指导，全面贯彻党的二十大精神，学习领会全省秘书长和办公室主任会议主要精神，紧紧围绕市委、市政府决策部署，恪尽职守，扎实工作，较好地完成了各项工作任务。根据部门整体支出绩效评价指标，部门整体支出绩效得分98.7分，具体情况如下：</w:t>
      </w:r>
    </w:p>
    <w:p w14:paraId="6100E69C">
      <w:pPr>
        <w:keepNext w:val="0"/>
        <w:keepLines w:val="0"/>
        <w:widowControl/>
        <w:suppressLineNumbers w:val="0"/>
        <w:ind w:firstLine="620" w:firstLineChars="200"/>
        <w:jc w:val="left"/>
      </w:pPr>
      <w:r>
        <w:rPr>
          <w:rFonts w:ascii="楷体" w:hAnsi="楷体" w:eastAsia="楷体" w:cs="楷体"/>
          <w:b/>
          <w:bCs/>
          <w:color w:val="000000"/>
          <w:kern w:val="0"/>
          <w:sz w:val="31"/>
          <w:szCs w:val="31"/>
          <w:lang w:val="en-US" w:eastAsia="zh-CN" w:bidi="ar"/>
        </w:rPr>
        <w:t>（一）</w:t>
      </w:r>
      <w:r>
        <w:rPr>
          <w:rFonts w:hint="default" w:ascii="Times New Roman" w:hAnsi="Times New Roman" w:eastAsia="楷体" w:cs="Times New Roman"/>
          <w:b/>
          <w:bCs/>
          <w:color w:val="000000"/>
          <w:kern w:val="0"/>
          <w:sz w:val="31"/>
          <w:szCs w:val="31"/>
          <w:lang w:val="en-US" w:eastAsia="zh-CN" w:bidi="ar"/>
        </w:rPr>
        <w:t xml:space="preserve">预算执行率（分值 </w:t>
      </w:r>
      <w:r>
        <w:rPr>
          <w:rFonts w:hint="default" w:ascii="Times New Roman" w:hAnsi="Times New Roman" w:eastAsia="宋体" w:cs="Times New Roman"/>
          <w:b/>
          <w:bCs/>
          <w:color w:val="000000"/>
          <w:kern w:val="0"/>
          <w:sz w:val="31"/>
          <w:szCs w:val="31"/>
          <w:lang w:val="en-US" w:eastAsia="zh-CN" w:bidi="ar"/>
        </w:rPr>
        <w:t xml:space="preserve">10 </w:t>
      </w:r>
      <w:r>
        <w:rPr>
          <w:rFonts w:hint="default" w:ascii="Times New Roman" w:hAnsi="Times New Roman" w:eastAsia="楷体" w:cs="Times New Roman"/>
          <w:b/>
          <w:bCs/>
          <w:color w:val="000000"/>
          <w:kern w:val="0"/>
          <w:sz w:val="31"/>
          <w:szCs w:val="31"/>
          <w:lang w:val="en-US" w:eastAsia="zh-CN" w:bidi="ar"/>
        </w:rPr>
        <w:t xml:space="preserve">分，得9.7分，扣0.3分） </w:t>
      </w:r>
    </w:p>
    <w:p w14:paraId="16CEB01B">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全年一般公共预算收</w:t>
      </w:r>
      <w:r>
        <w:rPr>
          <w:rFonts w:hint="eastAsia" w:ascii="Times New Roman" w:hAnsi="Times New Roman" w:eastAsia="方正仿宋_GB2312" w:cs="Times New Roman"/>
          <w:sz w:val="32"/>
          <w:szCs w:val="32"/>
          <w:lang w:val="en-US" w:eastAsia="zh-CN"/>
        </w:rPr>
        <w:t>入3915.98万</w:t>
      </w:r>
      <w:r>
        <w:rPr>
          <w:rFonts w:hint="eastAsia" w:ascii="方正仿宋_GB2312" w:hAnsi="方正仿宋_GB2312" w:eastAsia="方正仿宋_GB2312" w:cs="方正仿宋_GB2312"/>
          <w:sz w:val="32"/>
          <w:szCs w:val="32"/>
          <w:lang w:val="en-US" w:eastAsia="zh-CN"/>
        </w:rPr>
        <w:t>元，全年执行数</w:t>
      </w:r>
      <w:r>
        <w:rPr>
          <w:rFonts w:hint="eastAsia" w:ascii="Times New Roman" w:hAnsi="Times New Roman" w:eastAsia="方正仿宋_GB2312" w:cs="Times New Roman"/>
          <w:sz w:val="32"/>
          <w:szCs w:val="32"/>
          <w:lang w:val="en-US" w:eastAsia="zh-CN"/>
        </w:rPr>
        <w:t>3801.19</w:t>
      </w:r>
      <w:r>
        <w:rPr>
          <w:rFonts w:hint="eastAsia" w:ascii="方正仿宋_GB2312" w:hAnsi="方正仿宋_GB2312" w:eastAsia="方正仿宋_GB2312" w:cs="方正仿宋_GB2312"/>
          <w:sz w:val="32"/>
          <w:szCs w:val="32"/>
          <w:lang w:val="en-US" w:eastAsia="zh-CN"/>
        </w:rPr>
        <w:t>万元，预算执行率</w:t>
      </w:r>
      <w:r>
        <w:rPr>
          <w:rFonts w:hint="eastAsia" w:ascii="Times New Roman" w:hAnsi="Times New Roman" w:eastAsia="方正仿宋_GB2312" w:cs="Times New Roman"/>
          <w:sz w:val="32"/>
          <w:szCs w:val="32"/>
          <w:lang w:val="en-US" w:eastAsia="zh-CN"/>
        </w:rPr>
        <w:t>97.06</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w:t>
      </w:r>
    </w:p>
    <w:p w14:paraId="78A09423">
      <w:pPr>
        <w:keepNext w:val="0"/>
        <w:keepLines w:val="0"/>
        <w:widowControl/>
        <w:numPr>
          <w:ilvl w:val="0"/>
          <w:numId w:val="1"/>
        </w:numPr>
        <w:suppressLineNumbers w:val="0"/>
        <w:ind w:firstLine="620" w:firstLineChars="200"/>
        <w:jc w:val="left"/>
        <w:rPr>
          <w:rFonts w:hint="default" w:ascii="Times New Roman" w:hAnsi="Times New Roman" w:eastAsia="楷体" w:cs="Times New Roman"/>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成本指标（分</w:t>
      </w:r>
      <w:r>
        <w:rPr>
          <w:rFonts w:hint="default" w:ascii="Times New Roman" w:hAnsi="Times New Roman" w:eastAsia="楷体" w:cs="Times New Roman"/>
          <w:b/>
          <w:bCs/>
          <w:color w:val="000000"/>
          <w:kern w:val="0"/>
          <w:sz w:val="31"/>
          <w:szCs w:val="31"/>
          <w:lang w:val="en-US" w:eastAsia="zh-CN" w:bidi="ar"/>
        </w:rPr>
        <w:t>值20分，得20分，未扣分）</w:t>
      </w:r>
    </w:p>
    <w:p w14:paraId="277EE351">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1、经济成本指标（分值</w:t>
      </w:r>
      <w:r>
        <w:rPr>
          <w:rFonts w:hint="eastAsia" w:ascii="Times New Roman" w:hAnsi="Times New Roman" w:eastAsia="方正仿宋_GB2312" w:cs="Times New Roman"/>
          <w:sz w:val="32"/>
          <w:szCs w:val="32"/>
          <w:lang w:val="en-US" w:eastAsia="zh-CN"/>
        </w:rPr>
        <w:t>10</w:t>
      </w:r>
      <w:r>
        <w:rPr>
          <w:rFonts w:hint="eastAsia" w:ascii="方正仿宋_GB2312" w:hAnsi="方正仿宋_GB2312" w:eastAsia="方正仿宋_GB2312" w:cs="方正仿宋_GB2312"/>
          <w:sz w:val="32"/>
          <w:szCs w:val="32"/>
          <w:lang w:val="en-US" w:eastAsia="zh-CN"/>
        </w:rPr>
        <w:t>分，得</w:t>
      </w:r>
      <w:r>
        <w:rPr>
          <w:rFonts w:hint="eastAsia" w:ascii="Times New Roman" w:hAnsi="Times New Roman" w:eastAsia="方正仿宋_GB2312" w:cs="Times New Roman"/>
          <w:sz w:val="32"/>
          <w:szCs w:val="32"/>
          <w:lang w:val="en-US" w:eastAsia="zh-CN"/>
        </w:rPr>
        <w:t>10</w:t>
      </w:r>
      <w:r>
        <w:rPr>
          <w:rFonts w:hint="eastAsia" w:ascii="方正仿宋_GB2312" w:hAnsi="方正仿宋_GB2312" w:eastAsia="方正仿宋_GB2312" w:cs="方正仿宋_GB2312"/>
          <w:sz w:val="32"/>
          <w:szCs w:val="32"/>
          <w:lang w:val="en-US" w:eastAsia="zh-CN"/>
        </w:rPr>
        <w:t>分，未扣分）</w:t>
      </w:r>
    </w:p>
    <w:p w14:paraId="2EEF01FD">
      <w:pPr>
        <w:widowControl/>
        <w:spacing w:line="64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预算成本完成率，年度指标值≤</w:t>
      </w:r>
      <w:r>
        <w:rPr>
          <w:rFonts w:hint="default" w:ascii="Times New Roman" w:hAnsi="Times New Roman" w:eastAsia="方正仿宋_GB2312" w:cs="Times New Roman"/>
          <w:sz w:val="32"/>
          <w:szCs w:val="32"/>
          <w:lang w:val="en-US" w:eastAsia="zh-CN"/>
        </w:rPr>
        <w:t>100%</w:t>
      </w:r>
      <w:r>
        <w:rPr>
          <w:rFonts w:hint="eastAsia" w:ascii="Times New Roman" w:hAnsi="Times New Roman" w:eastAsia="方正仿宋_GB2312" w:cs="Times New Roman"/>
          <w:sz w:val="32"/>
          <w:szCs w:val="32"/>
          <w:lang w:val="en-US" w:eastAsia="zh-CN"/>
        </w:rPr>
        <w:t>，实际完成值100%</w:t>
      </w:r>
      <w:r>
        <w:rPr>
          <w:rFonts w:hint="eastAsia" w:ascii="方正仿宋_GB2312" w:hAnsi="方正仿宋_GB2312" w:eastAsia="方正仿宋_GB2312" w:cs="方正仿宋_GB2312"/>
          <w:sz w:val="32"/>
          <w:szCs w:val="32"/>
          <w:lang w:val="en-US" w:eastAsia="zh-CN"/>
        </w:rPr>
        <w:t>。</w:t>
      </w:r>
    </w:p>
    <w:p w14:paraId="4648B264">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2、社会成本指标（分值</w:t>
      </w:r>
      <w:r>
        <w:rPr>
          <w:rFonts w:hint="eastAsia" w:ascii="Times New Roman" w:hAnsi="Times New Roman" w:eastAsia="方正仿宋_GB2312" w:cs="Times New Roman"/>
          <w:sz w:val="32"/>
          <w:szCs w:val="32"/>
          <w:lang w:val="en-US" w:eastAsia="zh-CN"/>
        </w:rPr>
        <w:t>5分，得5分，未扣</w:t>
      </w:r>
      <w:r>
        <w:rPr>
          <w:rFonts w:hint="eastAsia" w:ascii="方正仿宋_GB2312" w:hAnsi="方正仿宋_GB2312" w:eastAsia="方正仿宋_GB2312" w:cs="方正仿宋_GB2312"/>
          <w:sz w:val="32"/>
          <w:szCs w:val="32"/>
          <w:lang w:val="en-US" w:eastAsia="zh-CN"/>
        </w:rPr>
        <w:t>分）</w:t>
      </w:r>
    </w:p>
    <w:p w14:paraId="3D8971DE">
      <w:pPr>
        <w:widowControl/>
        <w:spacing w:line="64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社会成本节约率，年度指</w:t>
      </w:r>
      <w:r>
        <w:rPr>
          <w:rFonts w:hint="eastAsia" w:ascii="Times New Roman" w:hAnsi="Times New Roman" w:eastAsia="方正仿宋_GB2312" w:cs="Times New Roman"/>
          <w:sz w:val="32"/>
          <w:szCs w:val="32"/>
          <w:lang w:val="en-US" w:eastAsia="zh-CN"/>
        </w:rPr>
        <w:t>标值≥0，实际完成值0。</w:t>
      </w:r>
    </w:p>
    <w:p w14:paraId="0C1ED473">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3、生态成本指标（分</w:t>
      </w:r>
      <w:r>
        <w:rPr>
          <w:rFonts w:hint="eastAsia" w:ascii="Times New Roman" w:hAnsi="Times New Roman" w:eastAsia="方正仿宋_GB2312" w:cs="Times New Roman"/>
          <w:sz w:val="32"/>
          <w:szCs w:val="32"/>
          <w:lang w:val="en-US" w:eastAsia="zh-CN"/>
        </w:rPr>
        <w:t>值5分，得5分，未扣分</w:t>
      </w:r>
      <w:r>
        <w:rPr>
          <w:rFonts w:hint="eastAsia" w:ascii="方正仿宋_GB2312" w:hAnsi="方正仿宋_GB2312" w:eastAsia="方正仿宋_GB2312" w:cs="方正仿宋_GB2312"/>
          <w:sz w:val="32"/>
          <w:szCs w:val="32"/>
          <w:lang w:val="en-US" w:eastAsia="zh-CN"/>
        </w:rPr>
        <w:t>）</w:t>
      </w:r>
    </w:p>
    <w:p w14:paraId="5E6FCF25">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生态环境成本节约率，年度指标</w:t>
      </w:r>
      <w:r>
        <w:rPr>
          <w:rFonts w:hint="eastAsia" w:ascii="Times New Roman" w:hAnsi="Times New Roman" w:eastAsia="方正仿宋_GB2312" w:cs="Times New Roman"/>
          <w:sz w:val="32"/>
          <w:szCs w:val="32"/>
          <w:lang w:val="en-US" w:eastAsia="zh-CN"/>
        </w:rPr>
        <w:t>值≥0，实际完成值0。</w:t>
      </w:r>
    </w:p>
    <w:p w14:paraId="343A0DBB">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 w:cs="Times New Roman"/>
          <w:b/>
          <w:bCs/>
          <w:color w:val="000000"/>
          <w:kern w:val="0"/>
          <w:sz w:val="31"/>
          <w:szCs w:val="31"/>
          <w:lang w:val="en-US" w:eastAsia="zh-CN" w:bidi="ar"/>
        </w:rPr>
        <w:t xml:space="preserve">（三）产出指标（分值 </w:t>
      </w:r>
      <w:r>
        <w:rPr>
          <w:rFonts w:hint="default" w:ascii="Times New Roman" w:hAnsi="Times New Roman" w:eastAsia="宋体" w:cs="Times New Roman"/>
          <w:b/>
          <w:bCs/>
          <w:color w:val="000000"/>
          <w:kern w:val="0"/>
          <w:sz w:val="31"/>
          <w:szCs w:val="31"/>
          <w:lang w:val="en-US" w:eastAsia="zh-CN" w:bidi="ar"/>
        </w:rPr>
        <w:t xml:space="preserve">30 </w:t>
      </w:r>
      <w:r>
        <w:rPr>
          <w:rFonts w:hint="default" w:ascii="Times New Roman" w:hAnsi="Times New Roman" w:eastAsia="楷体" w:cs="Times New Roman"/>
          <w:b/>
          <w:bCs/>
          <w:color w:val="000000"/>
          <w:kern w:val="0"/>
          <w:sz w:val="31"/>
          <w:szCs w:val="31"/>
          <w:lang w:val="en-US" w:eastAsia="zh-CN" w:bidi="ar"/>
        </w:rPr>
        <w:t>分，得 30</w:t>
      </w:r>
      <w:r>
        <w:rPr>
          <w:rFonts w:hint="default" w:ascii="Times New Roman" w:hAnsi="Times New Roman" w:eastAsia="宋体" w:cs="Times New Roman"/>
          <w:b/>
          <w:bCs/>
          <w:color w:val="000000"/>
          <w:kern w:val="0"/>
          <w:sz w:val="31"/>
          <w:szCs w:val="31"/>
          <w:lang w:val="en-US" w:eastAsia="zh-CN" w:bidi="ar"/>
        </w:rPr>
        <w:t xml:space="preserve"> </w:t>
      </w:r>
      <w:r>
        <w:rPr>
          <w:rFonts w:hint="default" w:ascii="Times New Roman" w:hAnsi="Times New Roman" w:eastAsia="楷体" w:cs="Times New Roman"/>
          <w:b/>
          <w:bCs/>
          <w:color w:val="000000"/>
          <w:kern w:val="0"/>
          <w:sz w:val="31"/>
          <w:szCs w:val="31"/>
          <w:lang w:val="en-US" w:eastAsia="zh-CN" w:bidi="ar"/>
        </w:rPr>
        <w:t>分，未扣分）</w:t>
      </w:r>
    </w:p>
    <w:p w14:paraId="40DB64B4">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default"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eastAsia="zh-CN"/>
        </w:rPr>
        <w:t>、数量指标（</w:t>
      </w:r>
      <w:r>
        <w:rPr>
          <w:rFonts w:hint="eastAsia" w:ascii="Times New Roman" w:hAnsi="Times New Roman" w:eastAsia="方正仿宋_GB2312" w:cs="Times New Roman"/>
          <w:sz w:val="32"/>
          <w:szCs w:val="32"/>
          <w:lang w:val="en-US" w:eastAsia="zh-CN"/>
        </w:rPr>
        <w:t>分值10分，得10分，未扣分）</w:t>
      </w:r>
    </w:p>
    <w:p w14:paraId="3FE2BABB">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提供有价值的参阅资料，年度指标值≥100篇，实际完成值201篇；高效处理各类来文，年度指标值≥4000件，实际完成值4900余件。</w:t>
      </w:r>
    </w:p>
    <w:p w14:paraId="5540BCF9">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w:t>
      </w:r>
      <w:r>
        <w:rPr>
          <w:rFonts w:hint="eastAsia" w:ascii="Times New Roman" w:hAnsi="Times New Roman" w:eastAsia="方正仿宋_GB2312" w:cs="Times New Roman"/>
          <w:sz w:val="32"/>
          <w:szCs w:val="32"/>
          <w:lang w:val="en-US" w:eastAsia="zh-CN"/>
        </w:rPr>
        <w:t>、质量指标（分值10分，得10分，未扣分）</w:t>
      </w:r>
    </w:p>
    <w:p w14:paraId="439E00FE">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全年履职完成率，年度指标值=</w:t>
      </w:r>
      <w:r>
        <w:rPr>
          <w:rFonts w:hint="default" w:ascii="Times New Roman" w:hAnsi="Times New Roman" w:eastAsia="方正仿宋_GB2312" w:cs="Times New Roman"/>
          <w:sz w:val="32"/>
          <w:szCs w:val="32"/>
          <w:lang w:val="en-US" w:eastAsia="zh-CN"/>
        </w:rPr>
        <w:t>100%</w:t>
      </w:r>
      <w:r>
        <w:rPr>
          <w:rFonts w:hint="eastAsia" w:ascii="Times New Roman" w:hAnsi="Times New Roman" w:eastAsia="方正仿宋_GB2312" w:cs="Times New Roman"/>
          <w:sz w:val="32"/>
          <w:szCs w:val="32"/>
          <w:lang w:val="en-US" w:eastAsia="zh-CN"/>
        </w:rPr>
        <w:t>，实际完成值100%。全年积极服务经济建设，扎实开展金融服务和风险防范化解工作，持续优化经济发展环境，深入推进“放管服”和“一件事一次办”改革。切实保障和改善民生，持续有效开展乡村振兴。</w:t>
      </w:r>
    </w:p>
    <w:p w14:paraId="705DEFC5">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3、时效指标（分值</w:t>
      </w:r>
      <w:r>
        <w:rPr>
          <w:rFonts w:hint="default" w:ascii="Times New Roman" w:hAnsi="Times New Roman" w:eastAsia="方正仿宋_GB2312" w:cs="Times New Roman"/>
          <w:sz w:val="32"/>
          <w:szCs w:val="32"/>
          <w:lang w:val="en-US" w:eastAsia="zh-CN"/>
        </w:rPr>
        <w:t>10</w:t>
      </w:r>
      <w:r>
        <w:rPr>
          <w:rFonts w:hint="eastAsia" w:ascii="Times New Roman" w:hAnsi="Times New Roman" w:eastAsia="方正仿宋_GB2312" w:cs="Times New Roman"/>
          <w:sz w:val="32"/>
          <w:szCs w:val="32"/>
          <w:lang w:val="en-US" w:eastAsia="zh-CN"/>
        </w:rPr>
        <w:t>分，得</w:t>
      </w:r>
      <w:r>
        <w:rPr>
          <w:rFonts w:hint="default" w:ascii="Times New Roman" w:hAnsi="Times New Roman" w:eastAsia="方正仿宋_GB2312" w:cs="Times New Roman"/>
          <w:sz w:val="32"/>
          <w:szCs w:val="32"/>
          <w:lang w:val="en-US" w:eastAsia="zh-CN"/>
        </w:rPr>
        <w:t>10</w:t>
      </w:r>
      <w:r>
        <w:rPr>
          <w:rFonts w:hint="eastAsia" w:ascii="Times New Roman" w:hAnsi="Times New Roman" w:eastAsia="方正仿宋_GB2312" w:cs="Times New Roman"/>
          <w:sz w:val="32"/>
          <w:szCs w:val="32"/>
          <w:lang w:val="en-US" w:eastAsia="zh-CN"/>
        </w:rPr>
        <w:t>分，未扣分）</w:t>
      </w:r>
    </w:p>
    <w:p w14:paraId="01707CB7">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全年履职目标完成及时率，年度指标2024年12月31日前完成，实际2024年12月31日前完成</w:t>
      </w:r>
    </w:p>
    <w:p w14:paraId="272628D6">
      <w:pPr>
        <w:keepNext w:val="0"/>
        <w:keepLines w:val="0"/>
        <w:widowControl/>
        <w:suppressLineNumbers w:val="0"/>
        <w:ind w:firstLine="620" w:firstLineChars="200"/>
        <w:jc w:val="left"/>
        <w:rPr>
          <w:rFonts w:hint="default" w:ascii="Times New Roman" w:hAnsi="Times New Roman" w:eastAsia="楷体" w:cs="Times New Roman"/>
          <w:b/>
          <w:bCs/>
          <w:color w:val="000000"/>
          <w:kern w:val="0"/>
          <w:sz w:val="31"/>
          <w:szCs w:val="31"/>
          <w:lang w:val="en-US" w:eastAsia="zh-CN" w:bidi="ar"/>
        </w:rPr>
      </w:pPr>
      <w:r>
        <w:rPr>
          <w:rFonts w:hint="default" w:ascii="Times New Roman" w:hAnsi="Times New Roman" w:eastAsia="楷体" w:cs="Times New Roman"/>
          <w:b/>
          <w:bCs/>
          <w:color w:val="000000"/>
          <w:kern w:val="0"/>
          <w:sz w:val="31"/>
          <w:szCs w:val="31"/>
          <w:lang w:val="en-US" w:eastAsia="zh-CN" w:bidi="ar"/>
        </w:rPr>
        <w:t>（四）效益指标（分值30分，得30分，未扣分）</w:t>
      </w:r>
    </w:p>
    <w:p w14:paraId="7CB90D5E">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1、经济效益指标（分值10分，得10分，未扣分）</w:t>
      </w:r>
    </w:p>
    <w:p w14:paraId="47BD196F">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全力落实</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八大行动</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任务，指导督促县市区和市直部门补齐短板指标。截至</w:t>
      </w:r>
      <w:r>
        <w:rPr>
          <w:rFonts w:hint="default" w:ascii="Times New Roman" w:hAnsi="Times New Roman" w:eastAsia="方正仿宋_GB2312" w:cs="Times New Roman"/>
          <w:sz w:val="32"/>
          <w:szCs w:val="32"/>
          <w:lang w:val="en-US" w:eastAsia="zh-CN"/>
        </w:rPr>
        <w:t>11</w:t>
      </w:r>
      <w:r>
        <w:rPr>
          <w:rFonts w:hint="eastAsia" w:ascii="Times New Roman" w:hAnsi="Times New Roman" w:eastAsia="方正仿宋_GB2312" w:cs="Times New Roman"/>
          <w:sz w:val="32"/>
          <w:szCs w:val="32"/>
          <w:lang w:val="en-US" w:eastAsia="zh-CN"/>
        </w:rPr>
        <w:t>月末，规模工业增加值增长</w:t>
      </w:r>
      <w:r>
        <w:rPr>
          <w:rFonts w:hint="default" w:ascii="Times New Roman" w:hAnsi="Times New Roman" w:eastAsia="方正仿宋_GB2312" w:cs="Times New Roman"/>
          <w:sz w:val="32"/>
          <w:szCs w:val="32"/>
          <w:lang w:val="en-US" w:eastAsia="zh-CN"/>
        </w:rPr>
        <w:t>9.7%</w:t>
      </w:r>
      <w:r>
        <w:rPr>
          <w:rFonts w:hint="eastAsia" w:ascii="Times New Roman" w:hAnsi="Times New Roman" w:eastAsia="方正仿宋_GB2312" w:cs="Times New Roman"/>
          <w:sz w:val="32"/>
          <w:szCs w:val="32"/>
          <w:lang w:val="en-US" w:eastAsia="zh-CN"/>
        </w:rPr>
        <w:t xml:space="preserve">，排全省第 </w:t>
      </w:r>
      <w:r>
        <w:rPr>
          <w:rFonts w:hint="default" w:ascii="Times New Roman" w:hAnsi="Times New Roman" w:eastAsia="方正仿宋_GB2312" w:cs="Times New Roman"/>
          <w:sz w:val="32"/>
          <w:szCs w:val="32"/>
          <w:lang w:val="en-US" w:eastAsia="zh-CN"/>
        </w:rPr>
        <w:t xml:space="preserve">2 </w:t>
      </w:r>
      <w:r>
        <w:rPr>
          <w:rFonts w:hint="eastAsia" w:ascii="Times New Roman" w:hAnsi="Times New Roman" w:eastAsia="方正仿宋_GB2312" w:cs="Times New Roman"/>
          <w:sz w:val="32"/>
          <w:szCs w:val="32"/>
          <w:lang w:val="en-US" w:eastAsia="zh-CN"/>
        </w:rPr>
        <w:t>位；固定资产投资完成额同比增长</w:t>
      </w:r>
      <w:r>
        <w:rPr>
          <w:rFonts w:hint="default" w:ascii="Times New Roman" w:hAnsi="Times New Roman" w:eastAsia="方正仿宋_GB2312" w:cs="Times New Roman"/>
          <w:sz w:val="32"/>
          <w:szCs w:val="32"/>
          <w:lang w:val="en-US" w:eastAsia="zh-CN"/>
        </w:rPr>
        <w:t>10.1%</w:t>
      </w:r>
      <w:r>
        <w:rPr>
          <w:rFonts w:hint="eastAsia" w:ascii="Times New Roman" w:hAnsi="Times New Roman" w:eastAsia="方正仿宋_GB2312" w:cs="Times New Roman"/>
          <w:sz w:val="32"/>
          <w:szCs w:val="32"/>
          <w:lang w:val="en-US" w:eastAsia="zh-CN"/>
        </w:rPr>
        <w:t xml:space="preserve">，排全省第 </w:t>
      </w:r>
      <w:r>
        <w:rPr>
          <w:rFonts w:hint="default" w:ascii="Times New Roman" w:hAnsi="Times New Roman" w:eastAsia="方正仿宋_GB2312" w:cs="Times New Roman"/>
          <w:sz w:val="32"/>
          <w:szCs w:val="32"/>
          <w:lang w:val="en-US" w:eastAsia="zh-CN"/>
        </w:rPr>
        <w:t xml:space="preserve">1 </w:t>
      </w:r>
      <w:r>
        <w:rPr>
          <w:rFonts w:hint="eastAsia" w:ascii="Times New Roman" w:hAnsi="Times New Roman" w:eastAsia="方正仿宋_GB2312" w:cs="Times New Roman"/>
          <w:sz w:val="32"/>
          <w:szCs w:val="32"/>
          <w:lang w:val="en-US" w:eastAsia="zh-CN"/>
        </w:rPr>
        <w:t>位。全力推进国际陆港建设。打好怀化国际陆港建设</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两年成型</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 xml:space="preserve">攻坚战，各项目标任务推进有力。截至 </w:t>
      </w:r>
      <w:r>
        <w:rPr>
          <w:rFonts w:hint="default" w:ascii="Times New Roman" w:hAnsi="Times New Roman" w:eastAsia="方正仿宋_GB2312" w:cs="Times New Roman"/>
          <w:sz w:val="32"/>
          <w:szCs w:val="32"/>
          <w:lang w:val="en-US" w:eastAsia="zh-CN"/>
        </w:rPr>
        <w:t xml:space="preserve">12 </w:t>
      </w:r>
      <w:r>
        <w:rPr>
          <w:rFonts w:hint="eastAsia" w:ascii="Times New Roman" w:hAnsi="Times New Roman" w:eastAsia="方正仿宋_GB2312" w:cs="Times New Roman"/>
          <w:sz w:val="32"/>
          <w:szCs w:val="32"/>
          <w:lang w:val="en-US" w:eastAsia="zh-CN"/>
        </w:rPr>
        <w:t xml:space="preserve">月末，今年累计开行班列 </w:t>
      </w:r>
      <w:r>
        <w:rPr>
          <w:rFonts w:hint="default" w:ascii="Times New Roman" w:hAnsi="Times New Roman" w:eastAsia="方正仿宋_GB2312" w:cs="Times New Roman"/>
          <w:sz w:val="32"/>
          <w:szCs w:val="32"/>
          <w:lang w:val="en-US" w:eastAsia="zh-CN"/>
        </w:rPr>
        <w:t xml:space="preserve">1007 </w:t>
      </w:r>
      <w:r>
        <w:rPr>
          <w:rFonts w:hint="eastAsia" w:ascii="Times New Roman" w:hAnsi="Times New Roman" w:eastAsia="方正仿宋_GB2312" w:cs="Times New Roman"/>
          <w:sz w:val="32"/>
          <w:szCs w:val="32"/>
          <w:lang w:val="en-US" w:eastAsia="zh-CN"/>
        </w:rPr>
        <w:t xml:space="preserve">列、增长 </w:t>
      </w:r>
      <w:r>
        <w:rPr>
          <w:rFonts w:hint="default" w:ascii="Times New Roman" w:hAnsi="Times New Roman" w:eastAsia="方正仿宋_GB2312" w:cs="Times New Roman"/>
          <w:sz w:val="32"/>
          <w:szCs w:val="32"/>
          <w:lang w:val="en-US" w:eastAsia="zh-CN"/>
        </w:rPr>
        <w:t>125.92%</w:t>
      </w:r>
      <w:r>
        <w:rPr>
          <w:rFonts w:hint="eastAsia" w:ascii="Times New Roman" w:hAnsi="Times New Roman" w:eastAsia="方正仿宋_GB2312" w:cs="Times New Roman"/>
          <w:sz w:val="32"/>
          <w:szCs w:val="32"/>
          <w:lang w:val="en-US" w:eastAsia="zh-CN"/>
        </w:rPr>
        <w:t xml:space="preserve">，货重约 </w:t>
      </w:r>
      <w:r>
        <w:rPr>
          <w:rFonts w:hint="default" w:ascii="Times New Roman" w:hAnsi="Times New Roman" w:eastAsia="方正仿宋_GB2312" w:cs="Times New Roman"/>
          <w:sz w:val="32"/>
          <w:szCs w:val="32"/>
          <w:lang w:val="en-US" w:eastAsia="zh-CN"/>
        </w:rPr>
        <w:t xml:space="preserve">100.91 </w:t>
      </w:r>
      <w:r>
        <w:rPr>
          <w:rFonts w:hint="eastAsia" w:ascii="Times New Roman" w:hAnsi="Times New Roman" w:eastAsia="方正仿宋_GB2312" w:cs="Times New Roman"/>
          <w:sz w:val="32"/>
          <w:szCs w:val="32"/>
          <w:lang w:val="en-US" w:eastAsia="zh-CN"/>
        </w:rPr>
        <w:t xml:space="preserve">万吨、增长 </w:t>
      </w:r>
      <w:r>
        <w:rPr>
          <w:rFonts w:hint="default" w:ascii="Times New Roman" w:hAnsi="Times New Roman" w:eastAsia="方正仿宋_GB2312" w:cs="Times New Roman"/>
          <w:sz w:val="32"/>
          <w:szCs w:val="32"/>
          <w:lang w:val="en-US" w:eastAsia="zh-CN"/>
        </w:rPr>
        <w:t>76.2%</w:t>
      </w:r>
      <w:r>
        <w:rPr>
          <w:rFonts w:hint="eastAsia" w:ascii="Times New Roman" w:hAnsi="Times New Roman" w:eastAsia="方正仿宋_GB2312" w:cs="Times New Roman"/>
          <w:sz w:val="32"/>
          <w:szCs w:val="32"/>
          <w:lang w:val="en-US" w:eastAsia="zh-CN"/>
        </w:rPr>
        <w:t xml:space="preserve">，货值约 </w:t>
      </w:r>
      <w:r>
        <w:rPr>
          <w:rFonts w:hint="default" w:ascii="Times New Roman" w:hAnsi="Times New Roman" w:eastAsia="方正仿宋_GB2312" w:cs="Times New Roman"/>
          <w:sz w:val="32"/>
          <w:szCs w:val="32"/>
          <w:lang w:val="en-US" w:eastAsia="zh-CN"/>
        </w:rPr>
        <w:t xml:space="preserve">58.59 </w:t>
      </w:r>
      <w:r>
        <w:rPr>
          <w:rFonts w:hint="eastAsia" w:ascii="Times New Roman" w:hAnsi="Times New Roman" w:eastAsia="方正仿宋_GB2312" w:cs="Times New Roman"/>
          <w:sz w:val="32"/>
          <w:szCs w:val="32"/>
          <w:lang w:val="en-US" w:eastAsia="zh-CN"/>
        </w:rPr>
        <w:t xml:space="preserve">亿元、增长 </w:t>
      </w:r>
      <w:r>
        <w:rPr>
          <w:rFonts w:hint="default" w:ascii="Times New Roman" w:hAnsi="Times New Roman" w:eastAsia="方正仿宋_GB2312" w:cs="Times New Roman"/>
          <w:sz w:val="32"/>
          <w:szCs w:val="32"/>
          <w:lang w:val="en-US" w:eastAsia="zh-CN"/>
        </w:rPr>
        <w:t>177.1%</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三省协作</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 xml:space="preserve">深入推进，新增湖北武汉、荆门、荆州和江西上饶等货源城市，累计发运东盟 </w:t>
      </w:r>
      <w:r>
        <w:rPr>
          <w:rFonts w:hint="default" w:ascii="Times New Roman" w:hAnsi="Times New Roman" w:eastAsia="方正仿宋_GB2312" w:cs="Times New Roman"/>
          <w:sz w:val="32"/>
          <w:szCs w:val="32"/>
          <w:lang w:val="en-US" w:eastAsia="zh-CN"/>
        </w:rPr>
        <w:t xml:space="preserve">1274 </w:t>
      </w:r>
      <w:r>
        <w:rPr>
          <w:rFonts w:hint="eastAsia" w:ascii="Times New Roman" w:hAnsi="Times New Roman" w:eastAsia="方正仿宋_GB2312" w:cs="Times New Roman"/>
          <w:sz w:val="32"/>
          <w:szCs w:val="32"/>
          <w:lang w:val="en-US" w:eastAsia="zh-CN"/>
        </w:rPr>
        <w:t xml:space="preserve">个标箱、增长 </w:t>
      </w:r>
      <w:r>
        <w:rPr>
          <w:rFonts w:hint="default" w:ascii="Times New Roman" w:hAnsi="Times New Roman" w:eastAsia="方正仿宋_GB2312" w:cs="Times New Roman"/>
          <w:sz w:val="32"/>
          <w:szCs w:val="32"/>
          <w:lang w:val="en-US" w:eastAsia="zh-CN"/>
        </w:rPr>
        <w:t>283%</w:t>
      </w:r>
      <w:r>
        <w:rPr>
          <w:rFonts w:hint="eastAsia" w:ascii="Times New Roman" w:hAnsi="Times New Roman" w:eastAsia="方正仿宋_GB2312" w:cs="Times New Roman"/>
          <w:sz w:val="32"/>
          <w:szCs w:val="32"/>
          <w:lang w:val="en-US" w:eastAsia="zh-CN"/>
        </w:rPr>
        <w:t>。</w:t>
      </w:r>
    </w:p>
    <w:p w14:paraId="6C5659B2">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社会效益指标（分值10分，得10分，未扣分）</w:t>
      </w:r>
    </w:p>
    <w:p w14:paraId="498018CB">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稳步开展“三献”“三救”工作，积极组织各县市区红十字会参与“5·8 人道公益日”互联网筹资活动，获得捐款及配捐合计 32.59 万元，连续 12 年荣获全国无偿献血先进市称号。积极为 97 户困难家庭申报湖南省红十字会人道救助金，为24名白血病患儿申请到小天使基金 78 余万元。我办承办的市六届人大三次会议以来的人大代表建议 244 件、市政协六届三次会议以来的委员提案 439件，答复率、沟通率均为 100%。</w:t>
      </w:r>
    </w:p>
    <w:p w14:paraId="639FD30D">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3、生态效益指标（分值10分，得9分，扣1分）</w:t>
      </w:r>
    </w:p>
    <w:p w14:paraId="0A06DD44">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进一步规范财务管理，坚决杜绝违反财经纪律行为，强化过“紧日子”的思想，确保完成公用经费节支任务。严格执行中央八项规定及其实施细则精神要求，规范办公用房、公务用车、公务接待，严谨细致做好驻外机构行政后勤服务。实现公务接待、工作用餐管理规范化、信息化、公开化。</w:t>
      </w:r>
    </w:p>
    <w:p w14:paraId="2E23B652">
      <w:pPr>
        <w:keepNext w:val="0"/>
        <w:keepLines w:val="0"/>
        <w:widowControl/>
        <w:suppressLineNumbers w:val="0"/>
        <w:ind w:firstLine="620" w:firstLineChars="200"/>
        <w:jc w:val="left"/>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五</w:t>
      </w:r>
      <w:r>
        <w:rPr>
          <w:rFonts w:ascii="楷体" w:hAnsi="楷体" w:eastAsia="楷体" w:cs="楷体"/>
          <w:b/>
          <w:bCs/>
          <w:color w:val="000000"/>
          <w:kern w:val="0"/>
          <w:sz w:val="31"/>
          <w:szCs w:val="31"/>
          <w:lang w:val="en-US" w:eastAsia="zh-CN" w:bidi="ar"/>
        </w:rPr>
        <w:t>）满意度指标（分值10分，得10分，未扣分）</w:t>
      </w:r>
    </w:p>
    <w:p w14:paraId="7EB12474">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持续擦亮“身在怀化、办事简化”营商金名片，持久助企纾困办实事和改革典型经验两项考核指标分列全省第2位、第3位，营商环境企业满意度99.46%。</w:t>
      </w:r>
    </w:p>
    <w:p w14:paraId="65C7CC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（三）存在的问题及原因分析</w:t>
      </w:r>
    </w:p>
    <w:p w14:paraId="7A58C96B">
      <w:pPr>
        <w:widowControl/>
        <w:spacing w:line="640" w:lineRule="exact"/>
        <w:ind w:firstLine="640" w:firstLineChars="200"/>
        <w:rPr>
          <w:rFonts w:hint="eastAsia" w:ascii="方正仿宋_GB2312" w:hAnsi="方正仿宋_GB2312" w:eastAsia="方正仿宋_GB2312" w:cs="方正仿宋_GB2312"/>
          <w:sz w:val="72"/>
          <w:szCs w:val="72"/>
        </w:rPr>
      </w:pPr>
      <w:r>
        <w:rPr>
          <w:rFonts w:hint="default" w:ascii="方正仿宋_GB2312" w:hAnsi="方正仿宋_GB2312" w:eastAsia="方正仿宋_GB2312" w:cs="方正仿宋_GB2312"/>
          <w:sz w:val="32"/>
          <w:szCs w:val="32"/>
          <w:lang w:val="en-US" w:eastAsia="zh-CN"/>
        </w:rPr>
        <w:t>当前</w:t>
      </w:r>
      <w:r>
        <w:rPr>
          <w:rFonts w:hint="eastAsia" w:ascii="方正仿宋_GB2312" w:hAnsi="方正仿宋_GB2312" w:eastAsia="方正仿宋_GB2312" w:cs="方正仿宋_GB2312"/>
          <w:sz w:val="32"/>
          <w:szCs w:val="32"/>
          <w:lang w:val="en-US" w:eastAsia="zh-CN"/>
        </w:rPr>
        <w:t>预算绩效管理</w:t>
      </w:r>
      <w:r>
        <w:rPr>
          <w:rFonts w:hint="default" w:ascii="方正仿宋_GB2312" w:hAnsi="方正仿宋_GB2312" w:eastAsia="方正仿宋_GB2312" w:cs="方正仿宋_GB2312"/>
          <w:sz w:val="32"/>
          <w:szCs w:val="32"/>
          <w:lang w:val="en-US" w:eastAsia="zh-CN"/>
        </w:rPr>
        <w:t>突出矛盾集中体现为预算绩效目标与资金使用效益的关联性不足，难以构建起 “目标设定—效益评估—动态纠偏” 的闭环管理机制。具体表现为：一方面，预算执行过程中缺乏对绩效目标与资金流向的实时联动监控和动态调整机制，致使低效支出问题无法及时发现和纠正；另一方面，绩效指标体系的科学性与完整性亟待提升，现有指标多以合规性指标为主，能够精准量化产出效果和社会效益的效益类指标占比偏低，难以全面、准确地衡量预算资金的实际效益</w:t>
      </w:r>
      <w:r>
        <w:rPr>
          <w:rFonts w:hint="eastAsia" w:ascii="方正仿宋_GB2312" w:hAnsi="方正仿宋_GB2312" w:eastAsia="方正仿宋_GB2312" w:cs="方正仿宋_GB2312"/>
          <w:sz w:val="32"/>
          <w:szCs w:val="32"/>
          <w:lang w:val="en-US" w:eastAsia="zh-CN"/>
        </w:rPr>
        <w:t>。</w:t>
      </w:r>
    </w:p>
    <w:p w14:paraId="4DA63990">
      <w:pPr>
        <w:pStyle w:val="14"/>
        <w:jc w:val="center"/>
        <w:rPr>
          <w:rFonts w:hint="eastAsia" w:ascii="方正仿宋_GB2312" w:hAnsi="方正仿宋_GB2312" w:eastAsia="方正仿宋_GB2312" w:cs="方正仿宋_GB2312"/>
          <w:sz w:val="72"/>
          <w:szCs w:val="72"/>
        </w:rPr>
      </w:pPr>
    </w:p>
    <w:p w14:paraId="105E7F24">
      <w:pPr>
        <w:pStyle w:val="14"/>
        <w:jc w:val="center"/>
        <w:rPr>
          <w:rFonts w:hint="eastAsia" w:ascii="方正仿宋_GB2312" w:hAnsi="方正仿宋_GB2312" w:eastAsia="方正仿宋_GB2312" w:cs="方正仿宋_GB2312"/>
          <w:sz w:val="72"/>
          <w:szCs w:val="72"/>
        </w:rPr>
      </w:pPr>
    </w:p>
    <w:p w14:paraId="60DC6AE0">
      <w:pPr>
        <w:pStyle w:val="14"/>
        <w:jc w:val="both"/>
        <w:rPr>
          <w:rFonts w:hint="eastAsia" w:ascii="方正仿宋_GB2312" w:hAnsi="方正仿宋_GB2312" w:eastAsia="方正仿宋_GB2312" w:cs="方正仿宋_GB2312"/>
          <w:sz w:val="72"/>
          <w:szCs w:val="72"/>
        </w:rPr>
      </w:pPr>
    </w:p>
    <w:p w14:paraId="42BDAA97">
      <w:pPr>
        <w:pStyle w:val="14"/>
        <w:jc w:val="center"/>
        <w:rPr>
          <w:rFonts w:hint="eastAsia" w:ascii="方正仿宋_GB2312" w:hAnsi="方正仿宋_GB2312" w:eastAsia="方正仿宋_GB2312" w:cs="方正仿宋_GB2312"/>
          <w:sz w:val="72"/>
          <w:szCs w:val="72"/>
        </w:rPr>
      </w:pPr>
    </w:p>
    <w:p w14:paraId="24209275">
      <w:pPr>
        <w:pStyle w:val="14"/>
        <w:jc w:val="center"/>
        <w:rPr>
          <w:rFonts w:hint="eastAsia" w:ascii="方正仿宋_GB2312" w:hAnsi="方正仿宋_GB2312" w:eastAsia="方正仿宋_GB2312" w:cs="方正仿宋_GB2312"/>
          <w:sz w:val="72"/>
          <w:szCs w:val="72"/>
        </w:rPr>
      </w:pPr>
    </w:p>
    <w:p w14:paraId="4F1EC3A1">
      <w:pPr>
        <w:pStyle w:val="14"/>
        <w:jc w:val="both"/>
        <w:rPr>
          <w:rFonts w:hint="eastAsia" w:ascii="方正仿宋_GB2312" w:hAnsi="方正仿宋_GB2312" w:eastAsia="方正仿宋_GB2312" w:cs="方正仿宋_GB2312"/>
          <w:sz w:val="72"/>
          <w:szCs w:val="72"/>
        </w:rPr>
      </w:pPr>
    </w:p>
    <w:p w14:paraId="282A330A">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第四部分</w:t>
      </w:r>
    </w:p>
    <w:p w14:paraId="2E00DE63">
      <w:pPr>
        <w:pStyle w:val="14"/>
        <w:jc w:val="center"/>
        <w:rPr>
          <w:rFonts w:hint="eastAsia" w:ascii="方正公文小标宋" w:hAnsi="方正公文小标宋" w:eastAsia="方正公文小标宋" w:cs="方正公文小标宋"/>
          <w:sz w:val="84"/>
          <w:szCs w:val="84"/>
        </w:rPr>
      </w:pPr>
    </w:p>
    <w:p w14:paraId="73730FC8">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名词解释</w:t>
      </w:r>
    </w:p>
    <w:p w14:paraId="48290632">
      <w:pPr>
        <w:widowControl/>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70"/>
          <w:szCs w:val="70"/>
        </w:rPr>
        <w:br w:type="page"/>
      </w:r>
    </w:p>
    <w:p w14:paraId="727BFDE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一、</w:t>
      </w:r>
      <w:r>
        <w:rPr>
          <w:rFonts w:hint="eastAsia" w:ascii="方正仿宋_GB2312" w:hAnsi="方正仿宋_GB2312" w:eastAsia="方正仿宋_GB2312" w:cs="方正仿宋_GB2312"/>
          <w:bCs/>
          <w:kern w:val="0"/>
          <w:sz w:val="32"/>
          <w:szCs w:val="32"/>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00B21673">
      <w:pPr>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二、</w:t>
      </w:r>
      <w:r>
        <w:rPr>
          <w:rFonts w:hint="eastAsia" w:ascii="方正仿宋_GB2312" w:hAnsi="方正仿宋_GB2312" w:eastAsia="方正仿宋_GB2312" w:cs="方正仿宋_GB2312"/>
          <w:bCs/>
          <w:kern w:val="0"/>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2B30889">
      <w:pPr>
        <w:pStyle w:val="14"/>
        <w:jc w:val="center"/>
        <w:rPr>
          <w:rFonts w:hint="eastAsia" w:ascii="方正仿宋_GB2312" w:hAnsi="方正仿宋_GB2312" w:eastAsia="方正仿宋_GB2312" w:cs="方正仿宋_GB2312"/>
          <w:sz w:val="72"/>
          <w:szCs w:val="72"/>
        </w:rPr>
      </w:pPr>
    </w:p>
    <w:p w14:paraId="3A5F71BE">
      <w:pPr>
        <w:pStyle w:val="14"/>
        <w:jc w:val="center"/>
        <w:rPr>
          <w:rFonts w:hint="eastAsia" w:ascii="方正仿宋_GB2312" w:hAnsi="方正仿宋_GB2312" w:eastAsia="方正仿宋_GB2312" w:cs="方正仿宋_GB2312"/>
          <w:sz w:val="72"/>
          <w:szCs w:val="72"/>
        </w:rPr>
      </w:pPr>
    </w:p>
    <w:p w14:paraId="2B80BB73">
      <w:pPr>
        <w:pStyle w:val="14"/>
        <w:jc w:val="center"/>
        <w:rPr>
          <w:rFonts w:hint="eastAsia" w:ascii="方正仿宋_GB2312" w:hAnsi="方正仿宋_GB2312" w:eastAsia="方正仿宋_GB2312" w:cs="方正仿宋_GB2312"/>
          <w:sz w:val="72"/>
          <w:szCs w:val="72"/>
        </w:rPr>
      </w:pPr>
    </w:p>
    <w:p w14:paraId="2C23E89E">
      <w:pPr>
        <w:pStyle w:val="14"/>
        <w:jc w:val="center"/>
        <w:rPr>
          <w:rFonts w:hint="eastAsia" w:ascii="方正仿宋_GB2312" w:hAnsi="方正仿宋_GB2312" w:eastAsia="方正仿宋_GB2312" w:cs="方正仿宋_GB2312"/>
          <w:sz w:val="72"/>
          <w:szCs w:val="72"/>
        </w:rPr>
      </w:pPr>
    </w:p>
    <w:p w14:paraId="291043E7">
      <w:pPr>
        <w:pStyle w:val="14"/>
        <w:jc w:val="both"/>
        <w:rPr>
          <w:rFonts w:hint="eastAsia" w:ascii="方正仿宋_GB2312" w:hAnsi="方正仿宋_GB2312" w:eastAsia="方正仿宋_GB2312" w:cs="方正仿宋_GB2312"/>
          <w:sz w:val="72"/>
          <w:szCs w:val="72"/>
        </w:rPr>
      </w:pPr>
    </w:p>
    <w:p w14:paraId="59E4215C">
      <w:pPr>
        <w:rPr>
          <w:rFonts w:hint="eastAsia" w:ascii="方正仿宋_GB2312" w:hAnsi="方正仿宋_GB2312" w:eastAsia="方正仿宋_GB2312" w:cs="方正仿宋_GB2312"/>
          <w:sz w:val="72"/>
          <w:szCs w:val="72"/>
        </w:rPr>
      </w:pPr>
    </w:p>
    <w:p w14:paraId="16EDFF79">
      <w:pPr>
        <w:pStyle w:val="14"/>
        <w:jc w:val="center"/>
        <w:rPr>
          <w:rFonts w:hint="eastAsia" w:ascii="方正公文小标宋" w:hAnsi="方正公文小标宋" w:eastAsia="方正公文小标宋" w:cs="方正公文小标宋"/>
          <w:sz w:val="84"/>
          <w:szCs w:val="84"/>
        </w:rPr>
      </w:pPr>
      <w:r>
        <w:rPr>
          <w:rFonts w:hint="eastAsia" w:ascii="方正公文小标宋" w:hAnsi="方正公文小标宋" w:eastAsia="方正公文小标宋" w:cs="方正公文小标宋"/>
          <w:sz w:val="84"/>
          <w:szCs w:val="84"/>
        </w:rPr>
        <w:t>第</w:t>
      </w:r>
      <w:r>
        <w:rPr>
          <w:rFonts w:hint="eastAsia" w:ascii="方正公文小标宋" w:hAnsi="方正公文小标宋" w:eastAsia="方正公文小标宋" w:cs="方正公文小标宋"/>
          <w:sz w:val="84"/>
          <w:szCs w:val="84"/>
          <w:lang w:eastAsia="zh-CN"/>
        </w:rPr>
        <w:t>五</w:t>
      </w:r>
      <w:r>
        <w:rPr>
          <w:rFonts w:hint="eastAsia" w:ascii="方正公文小标宋" w:hAnsi="方正公文小标宋" w:eastAsia="方正公文小标宋" w:cs="方正公文小标宋"/>
          <w:sz w:val="84"/>
          <w:szCs w:val="84"/>
        </w:rPr>
        <w:t>部分</w:t>
      </w:r>
    </w:p>
    <w:p w14:paraId="51569FAC">
      <w:pPr>
        <w:pStyle w:val="14"/>
        <w:jc w:val="center"/>
        <w:rPr>
          <w:rFonts w:hint="eastAsia" w:ascii="方正公文小标宋" w:hAnsi="方正公文小标宋" w:eastAsia="方正公文小标宋" w:cs="方正公文小标宋"/>
          <w:sz w:val="84"/>
          <w:szCs w:val="84"/>
        </w:rPr>
      </w:pPr>
    </w:p>
    <w:p w14:paraId="47BC1E81">
      <w:pPr>
        <w:pStyle w:val="14"/>
        <w:jc w:val="center"/>
        <w:rPr>
          <w:rFonts w:hint="eastAsia" w:ascii="方正公文小标宋" w:hAnsi="方正公文小标宋" w:eastAsia="方正公文小标宋" w:cs="方正公文小标宋"/>
          <w:sz w:val="84"/>
          <w:szCs w:val="84"/>
          <w:lang w:eastAsia="zh-CN"/>
        </w:rPr>
      </w:pPr>
      <w:r>
        <w:rPr>
          <w:rFonts w:hint="eastAsia" w:ascii="方正公文小标宋" w:hAnsi="方正公文小标宋" w:eastAsia="方正公文小标宋" w:cs="方正公文小标宋"/>
          <w:sz w:val="84"/>
          <w:szCs w:val="84"/>
          <w:lang w:eastAsia="zh-CN"/>
        </w:rPr>
        <w:t>附</w:t>
      </w:r>
      <w:r>
        <w:rPr>
          <w:rFonts w:hint="eastAsia" w:ascii="方正公文小标宋" w:hAnsi="方正公文小标宋" w:eastAsia="方正公文小标宋" w:cs="方正公文小标宋"/>
          <w:sz w:val="84"/>
          <w:szCs w:val="84"/>
          <w:lang w:val="en-US" w:eastAsia="zh-CN"/>
        </w:rPr>
        <w:t xml:space="preserve"> </w:t>
      </w:r>
      <w:r>
        <w:rPr>
          <w:rFonts w:hint="eastAsia" w:ascii="方正公文小标宋" w:hAnsi="方正公文小标宋" w:eastAsia="方正公文小标宋" w:cs="方正公文小标宋"/>
          <w:sz w:val="84"/>
          <w:szCs w:val="84"/>
          <w:lang w:eastAsia="zh-CN"/>
        </w:rPr>
        <w:t>件</w:t>
      </w:r>
    </w:p>
    <w:p w14:paraId="144896F4">
      <w:pPr>
        <w:pStyle w:val="14"/>
        <w:jc w:val="center"/>
        <w:rPr>
          <w:rFonts w:hint="eastAsia" w:ascii="方正仿宋_GB2312" w:hAnsi="方正仿宋_GB2312" w:eastAsia="方正仿宋_GB2312" w:cs="方正仿宋_GB2312"/>
          <w:sz w:val="70"/>
          <w:szCs w:val="70"/>
          <w:lang w:eastAsia="zh-CN"/>
        </w:rPr>
      </w:pPr>
    </w:p>
    <w:p w14:paraId="6226B657">
      <w:pPr>
        <w:pStyle w:val="14"/>
        <w:jc w:val="both"/>
        <w:rPr>
          <w:rFonts w:hint="eastAsia" w:ascii="方正仿宋_GB2312" w:hAnsi="方正仿宋_GB2312" w:eastAsia="方正仿宋_GB2312" w:cs="方正仿宋_GB2312"/>
          <w:sz w:val="70"/>
          <w:szCs w:val="70"/>
          <w:lang w:eastAsia="zh-CN"/>
        </w:rPr>
      </w:pPr>
    </w:p>
    <w:p w14:paraId="24F79BF7">
      <w:pPr>
        <w:pStyle w:val="14"/>
        <w:jc w:val="center"/>
        <w:rPr>
          <w:rFonts w:hint="eastAsia" w:ascii="方正仿宋_GB2312" w:hAnsi="方正仿宋_GB2312" w:eastAsia="方正仿宋_GB2312" w:cs="方正仿宋_GB2312"/>
          <w:sz w:val="70"/>
          <w:szCs w:val="70"/>
          <w:lang w:eastAsia="zh-CN"/>
        </w:rPr>
      </w:pPr>
    </w:p>
    <w:p w14:paraId="6A1E9EF6">
      <w:pPr>
        <w:pStyle w:val="14"/>
        <w:ind w:firstLine="640" w:firstLineChars="200"/>
        <w:jc w:val="left"/>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附件一：</w:t>
      </w:r>
      <w:r>
        <w:rPr>
          <w:rFonts w:hint="eastAsia" w:ascii="方正仿宋_GB2312" w:hAnsi="方正仿宋_GB2312" w:eastAsia="方正仿宋_GB2312" w:cs="方正仿宋_GB2312"/>
          <w:sz w:val="32"/>
          <w:szCs w:val="32"/>
          <w:lang w:val="en-US" w:eastAsia="zh-CN"/>
        </w:rPr>
        <w:t>2024年度怀化市人民政府办公室</w:t>
      </w:r>
      <w:r>
        <w:rPr>
          <w:rFonts w:hint="eastAsia" w:ascii="方正仿宋_GB2312" w:hAnsi="方正仿宋_GB2312" w:eastAsia="方正仿宋_GB2312" w:cs="方正仿宋_GB2312"/>
          <w:sz w:val="32"/>
          <w:szCs w:val="32"/>
          <w:lang w:val="en-US" w:eastAsia="zh-CN"/>
        </w:rPr>
        <w:t>决算公开表</w:t>
      </w:r>
    </w:p>
    <w:p w14:paraId="52C50395">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附件二</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sz w:val="32"/>
          <w:szCs w:val="32"/>
          <w:lang w:val="en-US" w:eastAsia="zh-CN"/>
        </w:rPr>
        <w:t>2024年度怀化市人民政府办公室整体支出绩效自评报告。</w:t>
      </w:r>
    </w:p>
    <w:p w14:paraId="3805B71F">
      <w:pPr>
        <w:jc w:val="left"/>
        <w:rPr>
          <w:rFonts w:hint="eastAsia" w:ascii="方正仿宋_GB2312" w:hAnsi="方正仿宋_GB2312" w:eastAsia="方正仿宋_GB2312" w:cs="方正仿宋_GB2312"/>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A385459-8DCD-402B-AE70-F737723964AA}"/>
  </w:font>
  <w:font w:name="方正小标宋简体">
    <w:panose1 w:val="02000000000000000000"/>
    <w:charset w:val="86"/>
    <w:family w:val="auto"/>
    <w:pitch w:val="default"/>
    <w:sig w:usb0="00000001" w:usb1="08000000" w:usb2="00000000" w:usb3="00000000" w:csb0="00040000" w:csb1="00000000"/>
    <w:embedRegular r:id="rId2" w:fontKey="{11F89B6F-7675-4DCA-9AC6-227DE735B240}"/>
  </w:font>
  <w:font w:name="方正黑体_GBK">
    <w:panose1 w:val="02010600010101010101"/>
    <w:charset w:val="86"/>
    <w:family w:val="auto"/>
    <w:pitch w:val="default"/>
    <w:sig w:usb0="00000001" w:usb1="080E0000" w:usb2="00000000" w:usb3="00000000" w:csb0="00040000" w:csb1="00000000"/>
    <w:embedRegular r:id="rId3" w:fontKey="{B0907079-EE9D-462F-B2F8-219182EC7E3E}"/>
  </w:font>
  <w:font w:name="方正公文小标宋">
    <w:panose1 w:val="02000500000000000000"/>
    <w:charset w:val="86"/>
    <w:family w:val="auto"/>
    <w:pitch w:val="default"/>
    <w:sig w:usb0="A00002BF" w:usb1="38CF7CFA" w:usb2="00000016" w:usb3="00000000" w:csb0="00040001" w:csb1="00000000"/>
    <w:embedRegular r:id="rId4" w:fontKey="{556E1199-0CA4-48A8-97E0-7A12389947E4}"/>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B45C65CE-F26A-4D3B-B538-C3602BFCAAF2}"/>
  </w:font>
  <w:font w:name="楷体">
    <w:panose1 w:val="02010609060101010101"/>
    <w:charset w:val="86"/>
    <w:family w:val="auto"/>
    <w:pitch w:val="default"/>
    <w:sig w:usb0="800002BF" w:usb1="38CF7CFA" w:usb2="00000016" w:usb3="00000000" w:csb0="00040001" w:csb1="00000000"/>
    <w:embedRegular r:id="rId6" w:fontKey="{249BF46C-4926-4A7A-BB6F-765B3DDB2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76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78F0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B78F0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7BA7D"/>
    <w:multiLevelType w:val="singleLevel"/>
    <w:tmpl w:val="24E7BA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ZTllODI2ZGEyMzE1NTM2Nzc3YzNkNGM1ZjIwYm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7BA37BD"/>
    <w:rsid w:val="1D2064DC"/>
    <w:rsid w:val="1D97DEFF"/>
    <w:rsid w:val="1DFF72E5"/>
    <w:rsid w:val="1EFC6F07"/>
    <w:rsid w:val="23CD510E"/>
    <w:rsid w:val="24522084"/>
    <w:rsid w:val="24AB32DF"/>
    <w:rsid w:val="26CA2142"/>
    <w:rsid w:val="277A6E01"/>
    <w:rsid w:val="2AD520B9"/>
    <w:rsid w:val="2D75287C"/>
    <w:rsid w:val="2FDF85B8"/>
    <w:rsid w:val="2FFFEE04"/>
    <w:rsid w:val="34DF85B0"/>
    <w:rsid w:val="3B8F36BC"/>
    <w:rsid w:val="3BA66456"/>
    <w:rsid w:val="44114EBC"/>
    <w:rsid w:val="491FF225"/>
    <w:rsid w:val="4FFD214C"/>
    <w:rsid w:val="55144405"/>
    <w:rsid w:val="5777D4F5"/>
    <w:rsid w:val="59DD8326"/>
    <w:rsid w:val="5B47755D"/>
    <w:rsid w:val="5BCF400D"/>
    <w:rsid w:val="5D4E60FF"/>
    <w:rsid w:val="5DEF592A"/>
    <w:rsid w:val="5E875C48"/>
    <w:rsid w:val="5FC6BB1E"/>
    <w:rsid w:val="5FF720F1"/>
    <w:rsid w:val="637F6664"/>
    <w:rsid w:val="66DC6112"/>
    <w:rsid w:val="67FF5C0B"/>
    <w:rsid w:val="689F6284"/>
    <w:rsid w:val="6EFC0924"/>
    <w:rsid w:val="6FB74722"/>
    <w:rsid w:val="6FEF8B7E"/>
    <w:rsid w:val="71A6591B"/>
    <w:rsid w:val="71EF5B86"/>
    <w:rsid w:val="737D59BA"/>
    <w:rsid w:val="77C37683"/>
    <w:rsid w:val="79FF515B"/>
    <w:rsid w:val="7E9E1962"/>
    <w:rsid w:val="7E9F11B4"/>
    <w:rsid w:val="7EEC5C98"/>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w:basedOn w:val="1"/>
    <w:qFormat/>
    <w:uiPriority w:val="0"/>
    <w:pPr>
      <w:spacing w:before="190" w:beforeLines="0"/>
      <w:ind w:left="120"/>
    </w:pPr>
    <w:rPr>
      <w:rFonts w:ascii="宋体" w:hAnsi="宋体" w:eastAsia="宋体" w:cs="宋体"/>
      <w:sz w:val="32"/>
      <w:szCs w:val="32"/>
      <w:lang w:val="en-US" w:eastAsia="zh-C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6563</Words>
  <Characters>7245</Characters>
  <Lines>63</Lines>
  <Paragraphs>18</Paragraphs>
  <TotalTime>14</TotalTime>
  <ScaleCrop>false</ScaleCrop>
  <LinksUpToDate>false</LinksUpToDate>
  <CharactersWithSpaces>7266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   甲子园</cp:lastModifiedBy>
  <cp:lastPrinted>2024-09-29T00:44:00Z</cp:lastPrinted>
  <dcterms:modified xsi:type="dcterms:W3CDTF">2025-09-19T09:05:03Z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96CD3852FE6C477982B1EFF85E2175F3_12</vt:lpwstr>
  </property>
  <property fmtid="{D5CDD505-2E9C-101B-9397-08002B2CF9AE}" pid="4" name="KSOTemplateDocerSaveRecord">
    <vt:lpwstr>eyJoZGlkIjoiZmZmZTllODI2ZGEyMzE1NTM2Nzc3YzNkNGM1ZjIwYmUiLCJ1c2VySWQiOiIyNjY4MDcwODYifQ==</vt:lpwstr>
  </property>
</Properties>
</file>