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2E4EB">
      <w:pPr>
        <w:pStyle w:val="13"/>
        <w:jc w:val="both"/>
        <w:rPr>
          <w:rFonts w:hAnsi="黑体"/>
          <w:sz w:val="36"/>
          <w:szCs w:val="36"/>
        </w:rPr>
      </w:pPr>
      <w:r>
        <w:rPr>
          <w:rFonts w:hint="eastAsia" w:hAnsi="黑体"/>
          <w:sz w:val="36"/>
          <w:szCs w:val="36"/>
        </w:rPr>
        <w:t>附件1</w:t>
      </w:r>
    </w:p>
    <w:p w14:paraId="017A57FF">
      <w:pPr>
        <w:pStyle w:val="13"/>
        <w:jc w:val="center"/>
        <w:rPr>
          <w:rFonts w:ascii="Times New Roman" w:hAnsi="Times New Roman" w:cs="Times New Roman"/>
          <w:sz w:val="56"/>
          <w:szCs w:val="56"/>
        </w:rPr>
      </w:pPr>
    </w:p>
    <w:p w14:paraId="26F5175F">
      <w:pPr>
        <w:pStyle w:val="13"/>
        <w:jc w:val="center"/>
        <w:rPr>
          <w:rFonts w:ascii="Times New Roman" w:hAnsi="Times New Roman" w:cs="Times New Roman"/>
          <w:sz w:val="84"/>
          <w:szCs w:val="84"/>
        </w:rPr>
      </w:pPr>
    </w:p>
    <w:p w14:paraId="1A300C39">
      <w:pPr>
        <w:pStyle w:val="13"/>
        <w:jc w:val="center"/>
        <w:rPr>
          <w:rFonts w:ascii="Times New Roman" w:hAnsi="Times New Roman" w:cs="Times New Roman"/>
          <w:sz w:val="84"/>
          <w:szCs w:val="84"/>
        </w:rPr>
      </w:pPr>
    </w:p>
    <w:p w14:paraId="1FDD25EC">
      <w:pPr>
        <w:pStyle w:val="13"/>
        <w:jc w:val="center"/>
        <w:rPr>
          <w:rFonts w:hint="eastAsia" w:ascii="方正小标宋简体" w:hAnsi="方正小标宋简体" w:eastAsia="方正小标宋简体" w:cs="方正小标宋简体"/>
          <w:b w:val="0"/>
          <w:bCs w:val="0"/>
          <w:sz w:val="72"/>
          <w:szCs w:val="72"/>
        </w:rPr>
      </w:pPr>
      <w:r>
        <w:rPr>
          <w:rFonts w:hint="eastAsia" w:ascii="方正小标宋简体" w:hAnsi="方正小标宋简体" w:eastAsia="方正小标宋简体" w:cs="方正小标宋简体"/>
          <w:b w:val="0"/>
          <w:bCs w:val="0"/>
          <w:sz w:val="72"/>
          <w:szCs w:val="72"/>
        </w:rPr>
        <w:t>202</w:t>
      </w:r>
      <w:r>
        <w:rPr>
          <w:rFonts w:hint="eastAsia" w:ascii="方正小标宋简体" w:hAnsi="方正小标宋简体" w:eastAsia="方正小标宋简体" w:cs="方正小标宋简体"/>
          <w:b w:val="0"/>
          <w:bCs w:val="0"/>
          <w:sz w:val="72"/>
          <w:szCs w:val="72"/>
          <w:lang w:val="en-US" w:eastAsia="zh-CN"/>
        </w:rPr>
        <w:t>5</w:t>
      </w:r>
      <w:r>
        <w:rPr>
          <w:rFonts w:hint="eastAsia" w:ascii="方正小标宋简体" w:hAnsi="方正小标宋简体" w:eastAsia="方正小标宋简体" w:cs="方正小标宋简体"/>
          <w:b w:val="0"/>
          <w:bCs w:val="0"/>
          <w:sz w:val="72"/>
          <w:szCs w:val="72"/>
        </w:rPr>
        <w:t>年度</w:t>
      </w:r>
    </w:p>
    <w:p w14:paraId="2EFB1C4A">
      <w:pPr>
        <w:pStyle w:val="13"/>
        <w:jc w:val="center"/>
        <w:rPr>
          <w:rFonts w:hint="eastAsia" w:ascii="方正小标宋简体" w:hAnsi="方正小标宋简体" w:eastAsia="方正小标宋简体" w:cs="方正小标宋简体"/>
          <w:b w:val="0"/>
          <w:bCs w:val="0"/>
          <w:sz w:val="72"/>
          <w:szCs w:val="72"/>
          <w:lang w:val="en-US" w:eastAsia="zh-CN"/>
        </w:rPr>
      </w:pPr>
      <w:r>
        <w:rPr>
          <w:rFonts w:hint="eastAsia" w:ascii="方正小标宋简体" w:hAnsi="方正小标宋简体" w:eastAsia="方正小标宋简体" w:cs="方正小标宋简体"/>
          <w:b w:val="0"/>
          <w:bCs w:val="0"/>
          <w:sz w:val="72"/>
          <w:szCs w:val="72"/>
          <w:lang w:val="en-US" w:eastAsia="zh-CN"/>
        </w:rPr>
        <w:t>怀化市工商业联合会</w:t>
      </w:r>
    </w:p>
    <w:p w14:paraId="19936A86">
      <w:pPr>
        <w:pStyle w:val="13"/>
        <w:jc w:val="center"/>
        <w:rPr>
          <w:rFonts w:hint="eastAsia" w:ascii="黑体" w:hAnsi="黑体" w:eastAsia="黑体" w:cs="黑体"/>
          <w:b w:val="0"/>
          <w:bCs w:val="0"/>
          <w:sz w:val="72"/>
          <w:szCs w:val="72"/>
        </w:rPr>
      </w:pPr>
      <w:r>
        <w:rPr>
          <w:rFonts w:hint="eastAsia" w:ascii="方正小标宋简体" w:hAnsi="方正小标宋简体" w:eastAsia="方正小标宋简体" w:cs="方正小标宋简体"/>
          <w:b w:val="0"/>
          <w:bCs w:val="0"/>
          <w:sz w:val="72"/>
          <w:szCs w:val="72"/>
        </w:rPr>
        <w:t>部门决算</w:t>
      </w:r>
    </w:p>
    <w:p w14:paraId="24B1D337">
      <w:pPr>
        <w:pStyle w:val="13"/>
        <w:jc w:val="center"/>
        <w:rPr>
          <w:rFonts w:ascii="Times New Roman" w:hAnsi="Times New Roman" w:eastAsia="方正小标宋_GBK" w:cs="Times New Roman"/>
          <w:sz w:val="56"/>
          <w:szCs w:val="56"/>
        </w:rPr>
      </w:pPr>
    </w:p>
    <w:p w14:paraId="312D6CB2">
      <w:pPr>
        <w:pStyle w:val="13"/>
        <w:jc w:val="center"/>
        <w:rPr>
          <w:rFonts w:ascii="Times New Roman" w:hAnsi="Times New Roman" w:cs="Times New Roman"/>
          <w:sz w:val="56"/>
          <w:szCs w:val="56"/>
        </w:rPr>
      </w:pPr>
    </w:p>
    <w:p w14:paraId="5BE4740E">
      <w:pPr>
        <w:pStyle w:val="13"/>
        <w:jc w:val="center"/>
        <w:rPr>
          <w:rFonts w:ascii="Times New Roman" w:hAnsi="Times New Roman" w:cs="Times New Roman"/>
          <w:sz w:val="56"/>
          <w:szCs w:val="56"/>
        </w:rPr>
      </w:pPr>
    </w:p>
    <w:p w14:paraId="7ED9534A">
      <w:pPr>
        <w:pStyle w:val="13"/>
        <w:jc w:val="center"/>
        <w:rPr>
          <w:rFonts w:ascii="Times New Roman" w:hAnsi="Times New Roman" w:cs="Times New Roman"/>
          <w:sz w:val="56"/>
          <w:szCs w:val="56"/>
        </w:rPr>
      </w:pPr>
    </w:p>
    <w:p w14:paraId="4368E0CC">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5C9978F">
      <w:pPr>
        <w:pStyle w:val="13"/>
        <w:spacing w:line="600" w:lineRule="exact"/>
        <w:jc w:val="both"/>
        <w:rPr>
          <w:rFonts w:ascii="Times New Roman" w:hAnsi="Times New Roman" w:cs="Times New Roman"/>
          <w:b/>
          <w:sz w:val="36"/>
          <w:szCs w:val="28"/>
        </w:rPr>
      </w:pPr>
    </w:p>
    <w:p w14:paraId="2C1A6338">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0565B8A">
      <w:pPr>
        <w:pStyle w:val="13"/>
        <w:spacing w:line="600" w:lineRule="exact"/>
        <w:jc w:val="center"/>
        <w:rPr>
          <w:rFonts w:ascii="Times New Roman" w:hAnsi="Times New Roman" w:cs="Times New Roman"/>
          <w:b/>
          <w:sz w:val="36"/>
          <w:szCs w:val="28"/>
        </w:rPr>
      </w:pPr>
    </w:p>
    <w:p w14:paraId="47D854D6">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怀化市工商业联合会</w:t>
      </w:r>
      <w:r>
        <w:rPr>
          <w:rFonts w:ascii="Times New Roman" w:hAnsi="Times New Roman" w:cs="Times New Roman"/>
          <w:bCs/>
          <w:sz w:val="32"/>
          <w:szCs w:val="32"/>
        </w:rPr>
        <w:t>概况</w:t>
      </w:r>
    </w:p>
    <w:p w14:paraId="2B1823D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659FA6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9898F4E">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CB02D0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C1263D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54B35D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BAA41C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9A80BE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B37F66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0FF69C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AFCD69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24404F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DDCF830">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9C469C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4EA0E0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8CBC7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ECBD8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576CDE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C52220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FD3520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19482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BE484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B04D7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2039AC7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7881515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7AF49D4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0FA0EF7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4B22AA5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14:paraId="6F29531A">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BC58410">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90C0395">
      <w:pPr>
        <w:pStyle w:val="13"/>
        <w:spacing w:line="600" w:lineRule="exact"/>
        <w:rPr>
          <w:rFonts w:ascii="Times New Roman" w:hAnsi="Times New Roman" w:cs="Times New Roman"/>
          <w:bCs/>
          <w:sz w:val="28"/>
          <w:szCs w:val="28"/>
        </w:rPr>
      </w:pPr>
    </w:p>
    <w:p w14:paraId="39CE61A4">
      <w:pPr>
        <w:jc w:val="center"/>
        <w:rPr>
          <w:rFonts w:ascii="Times New Roman" w:hAnsi="Times New Roman" w:cs="Times New Roman"/>
          <w:sz w:val="72"/>
          <w:szCs w:val="72"/>
        </w:rPr>
      </w:pPr>
    </w:p>
    <w:p w14:paraId="5EAF9348">
      <w:pPr>
        <w:jc w:val="center"/>
        <w:rPr>
          <w:rFonts w:ascii="Times New Roman" w:hAnsi="Times New Roman" w:cs="Times New Roman"/>
          <w:sz w:val="72"/>
          <w:szCs w:val="72"/>
        </w:rPr>
      </w:pPr>
    </w:p>
    <w:p w14:paraId="6B907F45">
      <w:pPr>
        <w:jc w:val="center"/>
        <w:rPr>
          <w:rFonts w:ascii="Times New Roman" w:hAnsi="Times New Roman" w:cs="Times New Roman"/>
          <w:sz w:val="72"/>
          <w:szCs w:val="72"/>
        </w:rPr>
      </w:pPr>
    </w:p>
    <w:p w14:paraId="173EDB44">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CEA7562">
      <w:pPr>
        <w:rPr>
          <w:rFonts w:ascii="Times New Roman" w:hAnsi="Times New Roman" w:eastAsia="方正小标宋_GBK" w:cs="Times New Roman"/>
          <w:sz w:val="72"/>
          <w:szCs w:val="72"/>
        </w:rPr>
      </w:pPr>
    </w:p>
    <w:p w14:paraId="14F85118">
      <w:pPr>
        <w:pStyle w:val="13"/>
        <w:spacing w:line="360" w:lineRule="auto"/>
        <w:jc w:val="center"/>
        <w:rPr>
          <w:rFonts w:ascii="Times New Roman" w:hAnsi="Times New Roman" w:eastAsia="方正小标宋_GBK" w:cs="Times New Roman"/>
          <w:sz w:val="52"/>
          <w:szCs w:val="52"/>
        </w:rPr>
      </w:pPr>
    </w:p>
    <w:p w14:paraId="75B6E25B">
      <w:pPr>
        <w:pStyle w:val="13"/>
        <w:spacing w:line="360" w:lineRule="auto"/>
        <w:jc w:val="center"/>
        <w:rPr>
          <w:rFonts w:ascii="Times New Roman" w:hAnsi="Times New Roman" w:eastAsia="方正小标宋_GBK" w:cs="Times New Roman"/>
          <w:sz w:val="52"/>
          <w:szCs w:val="52"/>
        </w:rPr>
      </w:pPr>
    </w:p>
    <w:p w14:paraId="1214F461">
      <w:pPr>
        <w:pStyle w:val="13"/>
        <w:spacing w:line="360" w:lineRule="auto"/>
        <w:jc w:val="center"/>
        <w:rPr>
          <w:rFonts w:ascii="Times New Roman" w:hAnsi="Times New Roman" w:eastAsia="方正小标宋_GBK" w:cs="Times New Roman"/>
          <w:sz w:val="52"/>
          <w:szCs w:val="52"/>
        </w:rPr>
      </w:pPr>
    </w:p>
    <w:p w14:paraId="4F27D9DB">
      <w:pPr>
        <w:pStyle w:val="13"/>
        <w:spacing w:line="360" w:lineRule="auto"/>
        <w:jc w:val="center"/>
        <w:rPr>
          <w:rFonts w:ascii="Times New Roman" w:hAnsi="Times New Roman" w:eastAsia="方正小标宋_GBK" w:cs="Times New Roman"/>
          <w:sz w:val="52"/>
          <w:szCs w:val="52"/>
        </w:rPr>
      </w:pPr>
    </w:p>
    <w:p w14:paraId="0A208A77">
      <w:pPr>
        <w:pStyle w:val="13"/>
        <w:spacing w:line="360" w:lineRule="auto"/>
        <w:jc w:val="center"/>
        <w:rPr>
          <w:rFonts w:ascii="Times New Roman" w:hAnsi="Times New Roman" w:eastAsia="方正小标宋_GBK" w:cs="Times New Roman"/>
          <w:sz w:val="52"/>
          <w:szCs w:val="52"/>
        </w:rPr>
      </w:pPr>
    </w:p>
    <w:p w14:paraId="35720032">
      <w:pPr>
        <w:pStyle w:val="13"/>
        <w:spacing w:line="360" w:lineRule="auto"/>
        <w:jc w:val="center"/>
        <w:rPr>
          <w:rFonts w:ascii="Times New Roman" w:hAnsi="Times New Roman" w:eastAsia="方正小标宋_GBK" w:cs="Times New Roman"/>
          <w:sz w:val="52"/>
          <w:szCs w:val="52"/>
        </w:rPr>
      </w:pPr>
    </w:p>
    <w:p w14:paraId="24A0F11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67C8B2C">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怀化市工商业联合会</w:t>
      </w:r>
      <w:r>
        <w:rPr>
          <w:rFonts w:ascii="Times New Roman" w:hAnsi="Times New Roman" w:eastAsia="方正小标宋_GBK" w:cs="Times New Roman"/>
          <w:sz w:val="52"/>
          <w:szCs w:val="52"/>
        </w:rPr>
        <w:t>概况</w:t>
      </w:r>
    </w:p>
    <w:p w14:paraId="1B3F557C">
      <w:pPr>
        <w:pStyle w:val="3"/>
        <w:ind w:left="0" w:leftChars="0" w:firstLine="0" w:firstLineChars="0"/>
        <w:rPr>
          <w:rFonts w:ascii="Times New Roman" w:hAnsi="Times New Roman" w:cs="Times New Roman"/>
        </w:rPr>
      </w:pPr>
    </w:p>
    <w:p w14:paraId="4E9B8AC5">
      <w:pPr>
        <w:rPr>
          <w:rFonts w:ascii="Times New Roman" w:hAnsi="Times New Roman" w:cs="Times New Roman"/>
        </w:rPr>
      </w:pPr>
    </w:p>
    <w:p w14:paraId="1B92CF22">
      <w:pPr>
        <w:pStyle w:val="7"/>
        <w:rPr>
          <w:rFonts w:ascii="Times New Roman" w:hAnsi="Times New Roman" w:cs="Times New Roman"/>
        </w:rPr>
      </w:pPr>
    </w:p>
    <w:p w14:paraId="429C2E64">
      <w:pPr>
        <w:pStyle w:val="3"/>
        <w:rPr>
          <w:rFonts w:ascii="Times New Roman" w:hAnsi="Times New Roman" w:cs="Times New Roman"/>
        </w:rPr>
      </w:pPr>
    </w:p>
    <w:p w14:paraId="55A3BB5C">
      <w:pPr>
        <w:rPr>
          <w:rFonts w:ascii="Times New Roman" w:hAnsi="Times New Roman" w:cs="Times New Roman"/>
        </w:rPr>
      </w:pPr>
    </w:p>
    <w:p w14:paraId="47155BAA">
      <w:pPr>
        <w:pStyle w:val="7"/>
        <w:rPr>
          <w:rFonts w:ascii="Times New Roman" w:hAnsi="Times New Roman" w:cs="Times New Roman"/>
        </w:rPr>
      </w:pPr>
    </w:p>
    <w:p w14:paraId="76F78CE7">
      <w:pPr>
        <w:pStyle w:val="3"/>
        <w:rPr>
          <w:rFonts w:ascii="Times New Roman" w:hAnsi="Times New Roman" w:cs="Times New Roman"/>
        </w:rPr>
      </w:pPr>
    </w:p>
    <w:p w14:paraId="24B97E2B">
      <w:pPr>
        <w:rPr>
          <w:rFonts w:ascii="Times New Roman" w:hAnsi="Times New Roman" w:cs="Times New Roman"/>
        </w:rPr>
      </w:pPr>
    </w:p>
    <w:p w14:paraId="6B9CB01F">
      <w:pPr>
        <w:pStyle w:val="7"/>
        <w:rPr>
          <w:rFonts w:ascii="Times New Roman" w:hAnsi="Times New Roman" w:cs="Times New Roman"/>
        </w:rPr>
      </w:pPr>
    </w:p>
    <w:p w14:paraId="55896C2D">
      <w:pPr>
        <w:pStyle w:val="3"/>
        <w:rPr>
          <w:rFonts w:ascii="Times New Roman" w:hAnsi="Times New Roman" w:cs="Times New Roman"/>
        </w:rPr>
      </w:pPr>
    </w:p>
    <w:p w14:paraId="4988BCFA">
      <w:pPr>
        <w:rPr>
          <w:rFonts w:ascii="Times New Roman" w:hAnsi="Times New Roman" w:cs="Times New Roman"/>
        </w:rPr>
      </w:pPr>
    </w:p>
    <w:p w14:paraId="3F4F4BD9">
      <w:pPr>
        <w:pStyle w:val="7"/>
        <w:rPr>
          <w:rFonts w:ascii="Times New Roman" w:hAnsi="Times New Roman" w:cs="Times New Roman"/>
        </w:rPr>
      </w:pPr>
    </w:p>
    <w:p w14:paraId="77D007C9">
      <w:pPr>
        <w:pStyle w:val="3"/>
        <w:rPr>
          <w:rFonts w:ascii="Times New Roman" w:hAnsi="Times New Roman" w:cs="Times New Roman"/>
        </w:rPr>
      </w:pPr>
    </w:p>
    <w:p w14:paraId="1AD03C12">
      <w:pPr>
        <w:rPr>
          <w:rFonts w:ascii="Times New Roman" w:hAnsi="Times New Roman" w:cs="Times New Roman"/>
        </w:rPr>
      </w:pPr>
    </w:p>
    <w:p w14:paraId="6653C824">
      <w:pPr>
        <w:pStyle w:val="7"/>
        <w:rPr>
          <w:rFonts w:ascii="Times New Roman" w:hAnsi="Times New Roman" w:cs="Times New Roman"/>
        </w:rPr>
      </w:pPr>
    </w:p>
    <w:p w14:paraId="35378352">
      <w:pPr>
        <w:pStyle w:val="3"/>
        <w:rPr>
          <w:rFonts w:ascii="Times New Roman" w:hAnsi="Times New Roman" w:cs="Times New Roman"/>
        </w:rPr>
      </w:pPr>
    </w:p>
    <w:p w14:paraId="11D7DCE7">
      <w:pPr>
        <w:rPr>
          <w:rFonts w:ascii="Times New Roman" w:hAnsi="Times New Roman" w:cs="Times New Roman"/>
        </w:rPr>
      </w:pPr>
    </w:p>
    <w:p w14:paraId="531F3AA3">
      <w:pPr>
        <w:pStyle w:val="7"/>
        <w:rPr>
          <w:rFonts w:ascii="Times New Roman" w:hAnsi="Times New Roman" w:cs="Times New Roman"/>
        </w:rPr>
      </w:pPr>
    </w:p>
    <w:p w14:paraId="5C9F7FEA">
      <w:pPr>
        <w:pStyle w:val="3"/>
        <w:rPr>
          <w:rFonts w:ascii="Times New Roman" w:hAnsi="Times New Roman" w:cs="Times New Roman"/>
        </w:rPr>
      </w:pPr>
    </w:p>
    <w:p w14:paraId="541E3EEE">
      <w:pPr>
        <w:rPr>
          <w:rFonts w:ascii="Times New Roman" w:hAnsi="Times New Roman" w:cs="Times New Roman"/>
        </w:rPr>
      </w:pPr>
    </w:p>
    <w:p w14:paraId="14D39F2E">
      <w:pPr>
        <w:pStyle w:val="7"/>
        <w:rPr>
          <w:rFonts w:hint="eastAsia" w:ascii="Times New Roman" w:hAnsi="Times New Roman" w:cs="Times New Roman"/>
          <w:lang w:eastAsia="zh-CN"/>
        </w:rPr>
      </w:pPr>
      <w:r>
        <w:rPr>
          <w:rFonts w:hint="eastAsia" w:ascii="Times New Roman" w:hAnsi="Times New Roman" w:cs="Times New Roman"/>
          <w:lang w:eastAsia="zh-CN"/>
        </w:rPr>
        <w:t>、</w:t>
      </w:r>
    </w:p>
    <w:p w14:paraId="22E3B1E8">
      <w:pPr>
        <w:pStyle w:val="3"/>
        <w:rPr>
          <w:rFonts w:hint="eastAsia" w:ascii="Times New Roman" w:hAnsi="Times New Roman" w:cs="Times New Roman"/>
          <w:lang w:eastAsia="zh-CN"/>
        </w:rPr>
      </w:pPr>
    </w:p>
    <w:p w14:paraId="18A00D8F">
      <w:pPr>
        <w:rPr>
          <w:rFonts w:hint="eastAsia" w:ascii="Times New Roman" w:hAnsi="Times New Roman" w:cs="Times New Roman"/>
          <w:lang w:eastAsia="zh-CN"/>
        </w:rPr>
      </w:pPr>
    </w:p>
    <w:p w14:paraId="376F7A08">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D229A9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 w:afterAutospacing="0" w:line="255"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工商联是中国共产党领导的以非公有制企业和非公有制经济人士为主体，是党和政府联系非公有制经济人士的桥梁纽带，是政府管理非公有制经济的助手。</w:t>
      </w:r>
    </w:p>
    <w:p w14:paraId="2867B68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 w:afterAutospacing="0" w:line="255"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（一）加强和改进非公有制经济人士思想政治工作。开展理想信念教育。</w:t>
      </w:r>
    </w:p>
    <w:p w14:paraId="54B8DF8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 w:afterAutospacing="0" w:line="255"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（二）参与政治协商，发挥民主监督作用积极参政议政。</w:t>
      </w:r>
    </w:p>
    <w:p w14:paraId="768D992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 w:afterAutospacing="0" w:line="255"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（三）协助政府管理和服务非公有制经济。</w:t>
      </w:r>
    </w:p>
    <w:p w14:paraId="0E2EF8A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 w:afterAutospacing="0" w:line="255"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（四）促进行业协会商会改革发展。</w:t>
      </w:r>
    </w:p>
    <w:p w14:paraId="660915D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 w:afterAutospacing="0" w:line="255" w:lineRule="atLeast"/>
        <w:ind w:left="0" w:right="0" w:firstLine="42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（五）参与协调劳动关系，协调社会治理，促进社会和谐稳定。</w:t>
      </w:r>
    </w:p>
    <w:p w14:paraId="785A1E2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 w:afterAutospacing="0" w:line="255" w:lineRule="atLeast"/>
        <w:ind w:left="0" w:right="0" w:firstLine="420"/>
        <w:jc w:val="both"/>
        <w:rPr>
          <w:rFonts w:hint="eastAsia" w:ascii="Times New Roman" w:hAnsi="Times New Roman" w:eastAsia="仿宋_GB2312" w:cs="仿宋_GB2312"/>
          <w:sz w:val="32"/>
          <w:szCs w:val="32"/>
        </w:rPr>
      </w:pPr>
      <w:r>
        <w:rPr>
          <w:rFonts w:hint="eastAsia" w:ascii="Times New Roman" w:hAnsi="Times New Roman" w:eastAsia="仿宋_GB2312" w:cs="仿宋_GB2312"/>
          <w:bCs/>
          <w:kern w:val="0"/>
          <w:sz w:val="32"/>
          <w:szCs w:val="32"/>
          <w:lang w:val="en-US" w:eastAsia="zh-CN" w:bidi="ar-SA"/>
        </w:rPr>
        <w:t>（六）引导非公有制企业和非公有制经济人士依法诚信经营，了解反映非公有制经济人士诉求，帮助其依法维护合法权益，推动各种所有制经济依法平等使用生产要素、公开公平公正参与市场竞争、同等受到法律保护，促进权利平等、机会平等、规则平等。参与经济纠纷的调解、仲裁。</w:t>
      </w:r>
    </w:p>
    <w:p w14:paraId="0F5B554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5D26942">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rPr>
        <w:t>怀化市工商业联合会</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val="en-US" w:eastAsia="zh-CN"/>
        </w:rPr>
        <w:t>办公室、会员部、经济联络部、民企服务中心4个内设机构。</w:t>
      </w:r>
    </w:p>
    <w:p w14:paraId="49B36570">
      <w:pPr>
        <w:widowControl/>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val="en-US" w:eastAsia="zh-CN"/>
        </w:rPr>
        <w:t>怀化市工商业联合</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怀化市工商业联合</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36E7617B">
      <w:pPr>
        <w:jc w:val="both"/>
        <w:rPr>
          <w:rFonts w:ascii="Times New Roman" w:hAnsi="Times New Roman" w:eastAsia="黑体" w:cs="Times New Roman"/>
          <w:sz w:val="28"/>
          <w:szCs w:val="28"/>
        </w:rPr>
      </w:pPr>
    </w:p>
    <w:p w14:paraId="7D6C81C6">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39DA660">
      <w:pPr>
        <w:pStyle w:val="13"/>
        <w:jc w:val="center"/>
        <w:rPr>
          <w:rFonts w:ascii="Times New Roman" w:hAnsi="Times New Roman" w:eastAsia="方正小标宋_GBK" w:cs="Times New Roman"/>
          <w:sz w:val="52"/>
          <w:szCs w:val="52"/>
        </w:rPr>
      </w:pPr>
    </w:p>
    <w:p w14:paraId="66E98514">
      <w:pPr>
        <w:pStyle w:val="13"/>
        <w:jc w:val="center"/>
        <w:rPr>
          <w:rFonts w:ascii="Times New Roman" w:hAnsi="Times New Roman" w:eastAsia="方正小标宋_GBK" w:cs="Times New Roman"/>
          <w:sz w:val="52"/>
          <w:szCs w:val="52"/>
        </w:rPr>
      </w:pPr>
    </w:p>
    <w:p w14:paraId="2B69FE3A">
      <w:pPr>
        <w:pStyle w:val="13"/>
        <w:jc w:val="center"/>
        <w:rPr>
          <w:rFonts w:ascii="Times New Roman" w:hAnsi="Times New Roman" w:eastAsia="方正小标宋_GBK" w:cs="Times New Roman"/>
          <w:sz w:val="52"/>
          <w:szCs w:val="52"/>
        </w:rPr>
      </w:pPr>
    </w:p>
    <w:p w14:paraId="4C068764">
      <w:pPr>
        <w:pStyle w:val="13"/>
        <w:jc w:val="center"/>
        <w:rPr>
          <w:rFonts w:ascii="Times New Roman" w:hAnsi="Times New Roman" w:eastAsia="方正小标宋_GBK" w:cs="Times New Roman"/>
          <w:sz w:val="52"/>
          <w:szCs w:val="52"/>
        </w:rPr>
      </w:pPr>
    </w:p>
    <w:p w14:paraId="5C2E292E">
      <w:pPr>
        <w:pStyle w:val="13"/>
        <w:jc w:val="center"/>
        <w:rPr>
          <w:rFonts w:ascii="Times New Roman" w:hAnsi="Times New Roman" w:eastAsia="方正小标宋_GBK" w:cs="Times New Roman"/>
          <w:sz w:val="52"/>
          <w:szCs w:val="52"/>
        </w:rPr>
      </w:pPr>
    </w:p>
    <w:p w14:paraId="532AD78F">
      <w:pPr>
        <w:pStyle w:val="13"/>
        <w:jc w:val="center"/>
        <w:rPr>
          <w:rFonts w:ascii="Times New Roman" w:hAnsi="Times New Roman" w:eastAsia="方正小标宋_GBK" w:cs="Times New Roman"/>
          <w:sz w:val="52"/>
          <w:szCs w:val="52"/>
        </w:rPr>
      </w:pPr>
    </w:p>
    <w:p w14:paraId="07624D84">
      <w:pPr>
        <w:pStyle w:val="13"/>
        <w:jc w:val="center"/>
        <w:rPr>
          <w:rFonts w:ascii="Times New Roman" w:hAnsi="Times New Roman" w:eastAsia="方正小标宋_GBK" w:cs="Times New Roman"/>
          <w:sz w:val="52"/>
          <w:szCs w:val="52"/>
        </w:rPr>
      </w:pPr>
    </w:p>
    <w:p w14:paraId="64E1E497">
      <w:pPr>
        <w:pStyle w:val="13"/>
        <w:jc w:val="center"/>
        <w:rPr>
          <w:rFonts w:ascii="Times New Roman" w:hAnsi="Times New Roman" w:eastAsia="方正小标宋_GBK" w:cs="Times New Roman"/>
          <w:sz w:val="52"/>
          <w:szCs w:val="52"/>
        </w:rPr>
      </w:pPr>
    </w:p>
    <w:p w14:paraId="6D2C09E8">
      <w:pPr>
        <w:pStyle w:val="13"/>
        <w:jc w:val="both"/>
        <w:rPr>
          <w:rFonts w:ascii="Times New Roman" w:hAnsi="Times New Roman" w:eastAsia="方正小标宋_GBK" w:cs="Times New Roman"/>
          <w:sz w:val="52"/>
          <w:szCs w:val="52"/>
        </w:rPr>
      </w:pPr>
    </w:p>
    <w:p w14:paraId="746994A0">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9559154">
      <w:pPr>
        <w:pStyle w:val="13"/>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详见附表</w:t>
      </w:r>
      <w:r>
        <w:rPr>
          <w:rFonts w:hint="eastAsia" w:ascii="Times New Roman" w:hAnsi="Times New Roman" w:eastAsia="方正小标宋_GBK" w:cs="Times New Roman"/>
          <w:sz w:val="52"/>
          <w:szCs w:val="52"/>
          <w:lang w:eastAsia="zh-CN"/>
        </w:rPr>
        <w:t>）</w:t>
      </w:r>
    </w:p>
    <w:p w14:paraId="2C93E359">
      <w:pPr>
        <w:autoSpaceDE w:val="0"/>
        <w:autoSpaceDN w:val="0"/>
        <w:adjustRightInd w:val="0"/>
        <w:ind w:left="315" w:leftChars="150"/>
        <w:jc w:val="left"/>
        <w:rPr>
          <w:rFonts w:ascii="Times New Roman" w:hAnsi="Times New Roman" w:eastAsia="宋体" w:cs="Times New Roman"/>
          <w:kern w:val="0"/>
          <w:sz w:val="24"/>
          <w:szCs w:val="24"/>
        </w:rPr>
      </w:pPr>
    </w:p>
    <w:p w14:paraId="4686F696">
      <w:pPr>
        <w:widowControl/>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r>
        <w:rPr>
          <w:rFonts w:ascii="Times New Roman" w:hAnsi="Times New Roman" w:eastAsia="黑体" w:cs="Times New Roman"/>
          <w:szCs w:val="21"/>
        </w:rPr>
        <w:br w:type="page"/>
      </w:r>
    </w:p>
    <w:p w14:paraId="1488E560">
      <w:pPr>
        <w:pStyle w:val="13"/>
        <w:rPr>
          <w:rFonts w:ascii="Times New Roman" w:hAnsi="Times New Roman" w:cs="Times New Roman"/>
          <w:sz w:val="72"/>
          <w:szCs w:val="72"/>
        </w:rPr>
      </w:pPr>
    </w:p>
    <w:p w14:paraId="7424E160">
      <w:pPr>
        <w:pStyle w:val="13"/>
        <w:rPr>
          <w:rFonts w:ascii="Times New Roman" w:hAnsi="Times New Roman" w:cs="Times New Roman"/>
          <w:sz w:val="72"/>
          <w:szCs w:val="72"/>
        </w:rPr>
      </w:pPr>
    </w:p>
    <w:p w14:paraId="7E664B58">
      <w:pPr>
        <w:pStyle w:val="13"/>
        <w:rPr>
          <w:rFonts w:ascii="Times New Roman" w:hAnsi="Times New Roman" w:cs="Times New Roman"/>
          <w:sz w:val="72"/>
          <w:szCs w:val="72"/>
        </w:rPr>
      </w:pPr>
    </w:p>
    <w:p w14:paraId="65C36C9F">
      <w:pPr>
        <w:pStyle w:val="13"/>
        <w:jc w:val="center"/>
        <w:rPr>
          <w:rFonts w:ascii="Times New Roman" w:hAnsi="Times New Roman" w:cs="Times New Roman"/>
          <w:sz w:val="72"/>
          <w:szCs w:val="72"/>
        </w:rPr>
      </w:pPr>
    </w:p>
    <w:p w14:paraId="6B8961B3">
      <w:pPr>
        <w:pStyle w:val="13"/>
        <w:jc w:val="center"/>
        <w:rPr>
          <w:rFonts w:ascii="Times New Roman" w:hAnsi="Times New Roman" w:eastAsia="方正小标宋_GBK" w:cs="Times New Roman"/>
          <w:sz w:val="72"/>
          <w:szCs w:val="72"/>
        </w:rPr>
      </w:pPr>
    </w:p>
    <w:p w14:paraId="6C92D77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6FB43AA">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w:t>
      </w:r>
      <w:r>
        <w:rPr>
          <w:rFonts w:ascii="Times New Roman" w:hAnsi="Times New Roman" w:eastAsia="方正小标宋_GBK" w:cs="Times New Roman"/>
          <w:sz w:val="52"/>
          <w:szCs w:val="52"/>
        </w:rPr>
        <w:t>年度部门决算情况说明</w:t>
      </w:r>
    </w:p>
    <w:p w14:paraId="18A9982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BBE68F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F572D9D">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467.98</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654.42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58.31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2025年度减少了财政拨款第十一届全球湘商大会前期筹备工作经费、大会议服务经费以及开幕式场地采购项目服务费等项目资金；减少了省工商联下拨专项工作经费。</w:t>
      </w:r>
    </w:p>
    <w:p w14:paraId="1B7ACA6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AB6760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467.98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467.98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264418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A55254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467.98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369.97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98.01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3294B6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0025CD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467.98</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654.42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58.31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本年度较少了第十一届全球湘商大会前期筹备工作经费、大会议服务经费以及开幕式场地采购项目服务费等项目资金。</w:t>
      </w:r>
    </w:p>
    <w:p w14:paraId="3170C0C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2A2D3F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FC5568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467.98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较少</w:t>
      </w:r>
      <w:r>
        <w:rPr>
          <w:rFonts w:hint="eastAsia" w:ascii="Times New Roman" w:hAnsi="Times New Roman" w:eastAsia="仿宋_GB2312" w:cs="Times New Roman"/>
          <w:sz w:val="32"/>
          <w:szCs w:val="32"/>
          <w:lang w:val="en-US" w:eastAsia="zh-CN"/>
        </w:rPr>
        <w:t>654.42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58.31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本年度减少了第十一届全球湘商大会前期筹备工作经费、大会议服务经费以及开幕式场地采购项目服务费等项目资金。</w:t>
      </w:r>
    </w:p>
    <w:p w14:paraId="42178EE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B0C8AF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467.98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397.48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84.94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31.09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12.09万元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2.58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支出</w:t>
      </w:r>
      <w:r>
        <w:rPr>
          <w:rFonts w:hint="eastAsia" w:ascii="Times New Roman" w:hAnsi="Times New Roman" w:eastAsia="仿宋_GB2312" w:cs="Times New Roman"/>
          <w:sz w:val="32"/>
          <w:szCs w:val="32"/>
          <w:lang w:val="en-US" w:eastAsia="zh-CN"/>
        </w:rPr>
        <w:t>27.32万元，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5.84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14A2AF9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29C208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年度财政拨款支出年初预算数</w:t>
      </w:r>
      <w:r>
        <w:rPr>
          <w:rFonts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lang w:val="en-US" w:eastAsia="zh-CN"/>
        </w:rPr>
        <w:t>367.3</w:t>
      </w:r>
      <w:r>
        <w:rPr>
          <w:rFonts w:ascii="Times New Roman" w:hAnsi="Times New Roman" w:eastAsia="仿宋_GB2312" w:cs="Times New Roman"/>
          <w:sz w:val="32"/>
          <w:szCs w:val="32"/>
          <w:highlight w:val="none"/>
        </w:rPr>
        <w:t>万元，支出决算数为</w:t>
      </w:r>
      <w:r>
        <w:rPr>
          <w:rFonts w:hint="eastAsia" w:ascii="Times New Roman" w:hAnsi="Times New Roman" w:eastAsia="仿宋_GB2312" w:cs="Times New Roman"/>
          <w:sz w:val="32"/>
          <w:szCs w:val="32"/>
          <w:highlight w:val="none"/>
          <w:lang w:val="en-US" w:eastAsia="zh-CN"/>
        </w:rPr>
        <w:t>467.98</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127.41</w:t>
      </w:r>
      <w:r>
        <w:rPr>
          <w:rFonts w:ascii="Times New Roman" w:hAnsi="Times New Roman" w:eastAsia="仿宋_GB2312" w:cs="Times New Roman"/>
          <w:sz w:val="32"/>
          <w:szCs w:val="32"/>
          <w:highlight w:val="none"/>
        </w:rPr>
        <w:t>%，其</w:t>
      </w:r>
      <w:r>
        <w:rPr>
          <w:rFonts w:ascii="Times New Roman" w:hAnsi="Times New Roman" w:eastAsia="仿宋_GB2312" w:cs="Times New Roman"/>
          <w:sz w:val="32"/>
          <w:szCs w:val="32"/>
        </w:rPr>
        <w:t>中：</w:t>
      </w:r>
    </w:p>
    <w:p w14:paraId="2C6EE1F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5E41C75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年初预</w:t>
      </w:r>
      <w:r>
        <w:rPr>
          <w:rFonts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252.38</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271.03</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完成年初预算的</w:t>
      </w:r>
      <w:r>
        <w:rPr>
          <w:rFonts w:hint="eastAsia" w:ascii="Times New Roman" w:hAnsi="Times New Roman" w:eastAsia="仿宋_GB2312"/>
          <w:sz w:val="32"/>
          <w:szCs w:val="32"/>
          <w:highlight w:val="none"/>
          <w:lang w:val="en-US" w:eastAsia="zh-CN"/>
        </w:rPr>
        <w:t>107.39</w:t>
      </w:r>
      <w:r>
        <w:rPr>
          <w:rFonts w:hint="eastAsia" w:ascii="Times New Roman" w:hAnsi="Times New Roman" w:eastAsia="仿宋_GB2312"/>
          <w:sz w:val="32"/>
          <w:szCs w:val="32"/>
          <w:highlight w:val="none"/>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大</w:t>
      </w:r>
      <w:r>
        <w:rPr>
          <w:rFonts w:ascii="Times New Roman" w:hAnsi="Times New Roman" w:eastAsia="仿宋_GB2312" w:cs="Times New Roman"/>
          <w:sz w:val="32"/>
          <w:szCs w:val="32"/>
          <w:highlight w:val="none"/>
        </w:rPr>
        <w:t>于年初预算数的主要原因是：</w:t>
      </w:r>
      <w:r>
        <w:rPr>
          <w:rFonts w:hint="eastAsia" w:ascii="Times New Roman" w:hAnsi="Times New Roman" w:eastAsia="仿宋_GB2312" w:cs="Times New Roman"/>
          <w:sz w:val="32"/>
          <w:szCs w:val="32"/>
          <w:highlight w:val="none"/>
          <w:lang w:val="en-US" w:eastAsia="zh-CN"/>
        </w:rPr>
        <w:t>本年度在职人员调入1人，人员经费支出增加。</w:t>
      </w:r>
    </w:p>
    <w:p w14:paraId="628C5BB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56F5A960">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年初预算</w:t>
      </w:r>
      <w:r>
        <w:rPr>
          <w:rFonts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lang w:val="en-US" w:eastAsia="zh-CN"/>
        </w:rPr>
        <w:t>50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45.85万</w:t>
      </w:r>
      <w:r>
        <w:rPr>
          <w:rFonts w:ascii="Times New Roman" w:hAnsi="Times New Roman" w:eastAsia="仿宋_GB2312" w:cs="Times New Roman"/>
          <w:sz w:val="32"/>
          <w:szCs w:val="32"/>
          <w:highlight w:val="none"/>
        </w:rPr>
        <w:t>元，</w:t>
      </w:r>
      <w:r>
        <w:rPr>
          <w:rFonts w:hint="eastAsia" w:ascii="Times New Roman" w:hAnsi="Times New Roman" w:eastAsia="仿宋_GB2312"/>
          <w:sz w:val="32"/>
          <w:szCs w:val="32"/>
          <w:highlight w:val="none"/>
        </w:rPr>
        <w:t>完成年初预算的</w:t>
      </w:r>
      <w:r>
        <w:rPr>
          <w:rFonts w:hint="eastAsia" w:ascii="Times New Roman" w:hAnsi="Times New Roman" w:eastAsia="仿宋_GB2312"/>
          <w:sz w:val="32"/>
          <w:szCs w:val="32"/>
          <w:highlight w:val="none"/>
          <w:lang w:val="en-US" w:eastAsia="zh-CN"/>
        </w:rPr>
        <w:t>91.7</w:t>
      </w:r>
      <w:r>
        <w:rPr>
          <w:rFonts w:hint="eastAsia" w:ascii="Times New Roman" w:hAnsi="Times New Roman" w:eastAsia="仿宋_GB2312"/>
          <w:sz w:val="32"/>
          <w:szCs w:val="32"/>
          <w:highlight w:val="none"/>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小</w:t>
      </w:r>
      <w:r>
        <w:rPr>
          <w:rFonts w:ascii="Times New Roman" w:hAnsi="Times New Roman" w:eastAsia="仿宋_GB2312" w:cs="Times New Roman"/>
          <w:sz w:val="32"/>
          <w:szCs w:val="32"/>
          <w:highlight w:val="none"/>
        </w:rPr>
        <w:t>于年初预算数的主要原因是：</w:t>
      </w:r>
      <w:r>
        <w:rPr>
          <w:rFonts w:hint="eastAsia" w:ascii="Times New Roman" w:hAnsi="Times New Roman" w:eastAsia="仿宋_GB2312" w:cs="Times New Roman"/>
          <w:sz w:val="32"/>
          <w:szCs w:val="32"/>
          <w:highlight w:val="none"/>
          <w:lang w:eastAsia="zh-CN"/>
        </w:rPr>
        <w:t>一是厉行节约，湘商回归专项经费节约；二是</w:t>
      </w:r>
      <w:r>
        <w:rPr>
          <w:rFonts w:hint="eastAsia" w:ascii="Times New Roman" w:hAnsi="Times New Roman" w:eastAsia="仿宋_GB2312" w:cs="Times New Roman"/>
          <w:sz w:val="32"/>
          <w:szCs w:val="32"/>
          <w:highlight w:val="none"/>
          <w:lang w:val="en-US" w:eastAsia="zh-CN"/>
        </w:rPr>
        <w:t>原工商业者及遗属本年度减少6人，慰问减少。</w:t>
      </w:r>
    </w:p>
    <w:p w14:paraId="3BD65CF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其他民主党派及工商联事务支出</w:t>
      </w:r>
      <w:r>
        <w:rPr>
          <w:rFonts w:ascii="Times New Roman" w:hAnsi="Times New Roman" w:eastAsia="仿宋_GB2312" w:cs="Times New Roman"/>
          <w:sz w:val="32"/>
          <w:szCs w:val="32"/>
        </w:rPr>
        <w:t>（项）。</w:t>
      </w:r>
    </w:p>
    <w:p w14:paraId="7FA66F15">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eastAsia="仿宋_GB2312" w:cs="Times New Roman"/>
          <w:sz w:val="32"/>
          <w:szCs w:val="32"/>
        </w:rPr>
        <w:t>年初</w:t>
      </w:r>
      <w:r>
        <w:rPr>
          <w:rFonts w:ascii="Times New Roman" w:hAnsi="Times New Roman" w:eastAsia="仿宋_GB2312" w:cs="Times New Roman"/>
          <w:sz w:val="32"/>
          <w:szCs w:val="32"/>
          <w:highlight w:val="none"/>
        </w:rPr>
        <w:t>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36.48</w:t>
      </w:r>
      <w:r>
        <w:rPr>
          <w:rFonts w:ascii="Times New Roman" w:hAnsi="Times New Roman" w:eastAsia="仿宋_GB2312" w:cs="Times New Roman"/>
          <w:sz w:val="32"/>
          <w:szCs w:val="32"/>
          <w:highlight w:val="none"/>
        </w:rPr>
        <w:t>万元，决算数</w:t>
      </w:r>
      <w:r>
        <w:rPr>
          <w:rFonts w:hint="eastAsia" w:ascii="Times New Roman" w:hAnsi="Times New Roman" w:eastAsia="仿宋_GB2312" w:cs="Times New Roman"/>
          <w:sz w:val="32"/>
          <w:szCs w:val="32"/>
          <w:highlight w:val="none"/>
          <w:lang w:val="en-US" w:eastAsia="zh-CN"/>
        </w:rPr>
        <w:t>大</w:t>
      </w:r>
      <w:r>
        <w:rPr>
          <w:rFonts w:ascii="Times New Roman" w:hAnsi="Times New Roman" w:eastAsia="仿宋_GB2312" w:cs="Times New Roman"/>
          <w:sz w:val="32"/>
          <w:szCs w:val="32"/>
          <w:highlight w:val="none"/>
        </w:rPr>
        <w:t>于年初预算数的主要原因是：</w:t>
      </w:r>
      <w:r>
        <w:rPr>
          <w:rFonts w:hint="eastAsia" w:ascii="Times New Roman" w:hAnsi="Times New Roman" w:eastAsia="仿宋_GB2312" w:cs="Times New Roman"/>
          <w:sz w:val="32"/>
          <w:szCs w:val="32"/>
          <w:highlight w:val="none"/>
          <w:lang w:val="en-US" w:eastAsia="zh-CN"/>
        </w:rPr>
        <w:t>年中调整增加“第十一届全球湘商大会会议服务经费”和“怀化企业家日”系列活动经费，未纳入年初预算。</w:t>
      </w:r>
    </w:p>
    <w:p w14:paraId="29A36B2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27BBD890">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eastAsia="仿宋_GB2312" w:cs="Times New Roman"/>
          <w:sz w:val="32"/>
          <w:szCs w:val="32"/>
        </w:rPr>
        <w:t>年初预算</w:t>
      </w:r>
      <w:r>
        <w:rPr>
          <w:rFonts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44.12</w:t>
      </w:r>
      <w:r>
        <w:rPr>
          <w:rFonts w:ascii="Times New Roman" w:hAnsi="Times New Roman" w:eastAsia="仿宋_GB2312" w:cs="Times New Roman"/>
          <w:sz w:val="32"/>
          <w:szCs w:val="32"/>
          <w:highlight w:val="none"/>
        </w:rPr>
        <w:t>万元，决算数</w:t>
      </w:r>
      <w:r>
        <w:rPr>
          <w:rFonts w:hint="eastAsia" w:ascii="Times New Roman" w:hAnsi="Times New Roman" w:eastAsia="仿宋_GB2312" w:cs="Times New Roman"/>
          <w:sz w:val="32"/>
          <w:szCs w:val="32"/>
          <w:highlight w:val="none"/>
          <w:lang w:val="en-US" w:eastAsia="zh-CN"/>
        </w:rPr>
        <w:t>大</w:t>
      </w:r>
      <w:r>
        <w:rPr>
          <w:rFonts w:ascii="Times New Roman" w:hAnsi="Times New Roman" w:eastAsia="仿宋_GB2312" w:cs="Times New Roman"/>
          <w:sz w:val="32"/>
          <w:szCs w:val="32"/>
          <w:highlight w:val="none"/>
        </w:rPr>
        <w:t>于年初预算数的主要原因是：</w:t>
      </w:r>
      <w:r>
        <w:rPr>
          <w:rFonts w:hint="eastAsia" w:ascii="Times New Roman" w:hAnsi="Times New Roman" w:eastAsia="仿宋_GB2312" w:cs="Times New Roman"/>
          <w:sz w:val="32"/>
          <w:szCs w:val="32"/>
          <w:highlight w:val="none"/>
          <w:lang w:val="en-US" w:eastAsia="zh-CN"/>
        </w:rPr>
        <w:t>本年度追加了涉案企业合规工作专项经费、民营企业座谈会、“第十一届全球湘商大会”项目结算审计等专项经费，未纳入年初预算。</w:t>
      </w:r>
    </w:p>
    <w:p w14:paraId="4C24E94F">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行政事业单位养老支出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事业单位离退休</w:t>
      </w:r>
      <w:r>
        <w:rPr>
          <w:rFonts w:ascii="Times New Roman" w:hAnsi="Times New Roman" w:eastAsia="仿宋_GB2312" w:cs="Times New Roman"/>
          <w:sz w:val="32"/>
          <w:szCs w:val="32"/>
          <w:highlight w:val="none"/>
        </w:rPr>
        <w:t>（项）。</w:t>
      </w:r>
    </w:p>
    <w:p w14:paraId="36D19B8E">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1.33</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1.33</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与</w:t>
      </w:r>
      <w:r>
        <w:rPr>
          <w:rFonts w:ascii="Times New Roman" w:hAnsi="Times New Roman" w:eastAsia="仿宋_GB2312" w:cs="Times New Roman"/>
          <w:sz w:val="32"/>
          <w:szCs w:val="32"/>
          <w:highlight w:val="none"/>
        </w:rPr>
        <w:t>年初预算数</w:t>
      </w:r>
      <w:r>
        <w:rPr>
          <w:rFonts w:hint="eastAsia" w:ascii="Times New Roman" w:hAnsi="Times New Roman" w:eastAsia="仿宋_GB2312" w:cs="Times New Roman"/>
          <w:sz w:val="32"/>
          <w:szCs w:val="32"/>
          <w:highlight w:val="none"/>
          <w:lang w:val="en-US" w:eastAsia="zh-CN"/>
        </w:rPr>
        <w:t>持平。</w:t>
      </w:r>
    </w:p>
    <w:p w14:paraId="7B73A197">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行政事业单位养老支出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机关事业单位基本养老保险缴费支出</w:t>
      </w:r>
      <w:r>
        <w:rPr>
          <w:rFonts w:ascii="Times New Roman" w:hAnsi="Times New Roman" w:eastAsia="仿宋_GB2312" w:cs="Times New Roman"/>
          <w:sz w:val="32"/>
          <w:szCs w:val="32"/>
          <w:highlight w:val="none"/>
        </w:rPr>
        <w:t>（项）。</w:t>
      </w:r>
    </w:p>
    <w:p w14:paraId="7AB6DA71">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28.62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29.75</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完成年初预算的</w:t>
      </w:r>
      <w:r>
        <w:rPr>
          <w:rFonts w:hint="eastAsia" w:ascii="Times New Roman" w:hAnsi="Times New Roman" w:eastAsia="仿宋_GB2312"/>
          <w:sz w:val="32"/>
          <w:szCs w:val="32"/>
          <w:highlight w:val="none"/>
          <w:lang w:val="en-US" w:eastAsia="zh-CN"/>
        </w:rPr>
        <w:t>103.95%</w:t>
      </w:r>
      <w:r>
        <w:rPr>
          <w:rFonts w:hint="eastAsia" w:ascii="Times New Roman" w:hAnsi="Times New Roman" w:eastAsia="仿宋_GB2312"/>
          <w:sz w:val="32"/>
          <w:szCs w:val="32"/>
          <w:highlight w:val="none"/>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大</w:t>
      </w:r>
      <w:r>
        <w:rPr>
          <w:rFonts w:ascii="Times New Roman" w:hAnsi="Times New Roman" w:eastAsia="仿宋_GB2312" w:cs="Times New Roman"/>
          <w:sz w:val="32"/>
          <w:szCs w:val="32"/>
          <w:highlight w:val="none"/>
        </w:rPr>
        <w:t>于年初预算数的主要原因是：</w:t>
      </w:r>
      <w:r>
        <w:rPr>
          <w:rFonts w:hint="eastAsia" w:ascii="Times New Roman" w:hAnsi="Times New Roman" w:eastAsia="仿宋_GB2312" w:cs="Times New Roman"/>
          <w:sz w:val="32"/>
          <w:szCs w:val="32"/>
          <w:highlight w:val="none"/>
          <w:lang w:val="en-US" w:eastAsia="zh-CN"/>
        </w:rPr>
        <w:t>本年度人员增加，养老保险费支出增加。</w:t>
      </w:r>
    </w:p>
    <w:p w14:paraId="74F4804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（项）。</w:t>
      </w:r>
    </w:p>
    <w:p w14:paraId="31B47F41">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本年度追加离退休人员春节一次性生活补助补差部分。</w:t>
      </w:r>
    </w:p>
    <w:p w14:paraId="29F0732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31955FA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年初预</w:t>
      </w:r>
      <w:r>
        <w:rPr>
          <w:rFonts w:ascii="Times New Roman" w:hAnsi="Times New Roman" w:eastAsia="仿宋_GB2312" w:cs="Times New Roman"/>
          <w:sz w:val="32"/>
          <w:szCs w:val="32"/>
          <w:highlight w:val="none"/>
        </w:rPr>
        <w:t>算为</w:t>
      </w:r>
      <w:r>
        <w:rPr>
          <w:rFonts w:hint="eastAsia" w:ascii="Times New Roman" w:hAnsi="Times New Roman" w:eastAsia="仿宋_GB2312" w:cs="Times New Roman"/>
          <w:sz w:val="32"/>
          <w:szCs w:val="32"/>
          <w:highlight w:val="none"/>
          <w:lang w:val="en-US" w:eastAsia="zh-CN"/>
        </w:rPr>
        <w:t>11.34</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12.09</w:t>
      </w:r>
      <w:r>
        <w:rPr>
          <w:rFonts w:ascii="Times New Roman" w:hAnsi="Times New Roman" w:eastAsia="仿宋_GB2312" w:cs="Times New Roman"/>
          <w:sz w:val="32"/>
          <w:szCs w:val="32"/>
          <w:highlight w:val="none"/>
        </w:rPr>
        <w:t>万元，</w:t>
      </w:r>
      <w:r>
        <w:rPr>
          <w:rFonts w:hint="eastAsia" w:ascii="Times New Roman" w:hAnsi="Times New Roman" w:eastAsia="仿宋_GB2312"/>
          <w:sz w:val="32"/>
          <w:szCs w:val="32"/>
          <w:highlight w:val="none"/>
        </w:rPr>
        <w:t>完成年初预算的</w:t>
      </w:r>
      <w:r>
        <w:rPr>
          <w:rFonts w:hint="eastAsia" w:ascii="Times New Roman" w:hAnsi="Times New Roman" w:eastAsia="仿宋_GB2312"/>
          <w:sz w:val="32"/>
          <w:szCs w:val="32"/>
          <w:highlight w:val="none"/>
          <w:lang w:val="en-US" w:eastAsia="zh-CN"/>
        </w:rPr>
        <w:t>106.61</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大</w:t>
      </w:r>
      <w:r>
        <w:rPr>
          <w:rFonts w:ascii="Times New Roman" w:hAnsi="Times New Roman" w:eastAsia="仿宋_GB2312" w:cs="Times New Roman"/>
          <w:sz w:val="32"/>
          <w:szCs w:val="32"/>
          <w:highlight w:val="none"/>
        </w:rPr>
        <w:t>于年初预</w:t>
      </w:r>
      <w:r>
        <w:rPr>
          <w:rFonts w:ascii="Times New Roman" w:hAnsi="Times New Roman" w:eastAsia="仿宋_GB2312" w:cs="Times New Roman"/>
          <w:sz w:val="32"/>
          <w:szCs w:val="32"/>
        </w:rPr>
        <w:t>算数的主要原因是：</w:t>
      </w:r>
      <w:r>
        <w:rPr>
          <w:rFonts w:hint="eastAsia" w:ascii="Times New Roman" w:hAnsi="Times New Roman" w:eastAsia="仿宋_GB2312" w:cs="Times New Roman"/>
          <w:sz w:val="32"/>
          <w:szCs w:val="32"/>
          <w:lang w:val="en-US" w:eastAsia="zh-CN"/>
        </w:rPr>
        <w:t>本年度人员增加，医疗保险费支出增加。</w:t>
      </w:r>
    </w:p>
    <w:p w14:paraId="3271BF9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DAA417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23.63</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eastAsia="zh-CN"/>
        </w:rPr>
        <w:t>为</w:t>
      </w:r>
      <w:r>
        <w:rPr>
          <w:rFonts w:hint="eastAsia" w:ascii="Times New Roman" w:hAnsi="Times New Roman" w:eastAsia="仿宋_GB2312" w:cs="Times New Roman"/>
          <w:sz w:val="32"/>
          <w:szCs w:val="32"/>
          <w:lang w:val="en-US" w:eastAsia="zh-CN"/>
        </w:rPr>
        <w:t>27.32</w:t>
      </w:r>
      <w:r>
        <w:rPr>
          <w:rFonts w:ascii="Times New Roman" w:hAnsi="Times New Roman" w:eastAsia="仿宋_GB2312" w:cs="Times New Roman"/>
          <w:sz w:val="32"/>
          <w:szCs w:val="32"/>
        </w:rPr>
        <w:t>万元，</w:t>
      </w:r>
      <w:r>
        <w:rPr>
          <w:rFonts w:hint="eastAsia" w:ascii="Times New Roman" w:hAnsi="Times New Roman" w:eastAsia="仿宋_GB2312"/>
          <w:sz w:val="32"/>
          <w:szCs w:val="32"/>
          <w:highlight w:val="none"/>
        </w:rPr>
        <w:t>完成年初预算的</w:t>
      </w:r>
      <w:r>
        <w:rPr>
          <w:rFonts w:hint="eastAsia" w:ascii="Times New Roman" w:hAnsi="Times New Roman" w:eastAsia="仿宋_GB2312"/>
          <w:sz w:val="32"/>
          <w:szCs w:val="32"/>
          <w:highlight w:val="none"/>
          <w:lang w:val="en-US" w:eastAsia="zh-CN"/>
        </w:rPr>
        <w:t>115.62</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本年度人员增加，住房公积金支出增加。</w:t>
      </w:r>
    </w:p>
    <w:p w14:paraId="298EBB1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2DCB2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369.97</w:t>
      </w:r>
      <w:r>
        <w:rPr>
          <w:rFonts w:ascii="Times New Roman" w:hAnsi="Times New Roman" w:eastAsia="仿宋_GB2312" w:cs="Times New Roman"/>
          <w:sz w:val="32"/>
          <w:szCs w:val="32"/>
        </w:rPr>
        <w:t>万元，其中：</w:t>
      </w:r>
    </w:p>
    <w:p w14:paraId="0FD3A25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341.58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92.33</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、绩效工资、机关事业单位基本养老保险缴费、职工基本医疗保险缴费、其他社会保障缴费、住房公积金、生活补助、奖励金</w:t>
      </w:r>
      <w:r>
        <w:rPr>
          <w:rFonts w:ascii="Times New Roman" w:hAnsi="Times New Roman" w:eastAsia="仿宋_GB2312" w:cs="Times New Roman"/>
          <w:sz w:val="32"/>
          <w:szCs w:val="32"/>
        </w:rPr>
        <w:t>。</w:t>
      </w:r>
    </w:p>
    <w:p w14:paraId="26DC768B">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28.39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7.67</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维修（护）费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培训费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、福利费、其他交通费用、其他商品和服务支出。</w:t>
      </w:r>
    </w:p>
    <w:p w14:paraId="33F3B7C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w:t>
      </w:r>
      <w:r>
        <w:rPr>
          <w:rFonts w:hint="eastAsia" w:ascii="Times New Roman" w:hAnsi="Times New Roman" w:cs="Times New Roman"/>
          <w:bCs/>
          <w:sz w:val="32"/>
          <w:szCs w:val="32"/>
          <w:lang w:eastAsia="zh-CN"/>
        </w:rPr>
        <w:t>“</w:t>
      </w:r>
      <w:r>
        <w:rPr>
          <w:rFonts w:ascii="Times New Roman" w:hAnsi="Times New Roman" w:cs="Times New Roman"/>
          <w:bCs/>
          <w:sz w:val="32"/>
          <w:szCs w:val="32"/>
        </w:rPr>
        <w:t>三公</w:t>
      </w:r>
      <w:r>
        <w:rPr>
          <w:rFonts w:hint="eastAsia" w:ascii="Times New Roman" w:hAnsi="Times New Roman" w:cs="Times New Roman"/>
          <w:bCs/>
          <w:sz w:val="32"/>
          <w:szCs w:val="32"/>
          <w:lang w:eastAsia="zh-CN"/>
        </w:rPr>
        <w:t>”</w:t>
      </w:r>
      <w:r>
        <w:rPr>
          <w:rFonts w:ascii="Times New Roman" w:hAnsi="Times New Roman" w:cs="Times New Roman"/>
          <w:bCs/>
          <w:sz w:val="32"/>
          <w:szCs w:val="32"/>
        </w:rPr>
        <w:t>经费支出决算情况说明</w:t>
      </w:r>
    </w:p>
    <w:p w14:paraId="36C55401">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E0E133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highlight w:val="none"/>
          <w:lang w:val="en-US" w:eastAsia="zh-CN"/>
        </w:rPr>
        <w:t>5.42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62.92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35.05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严控三公经费支出</w:t>
      </w:r>
      <w:r>
        <w:rPr>
          <w:rFonts w:ascii="Times New Roman" w:hAnsi="Times New Roman" w:eastAsia="仿宋_GB2312" w:cs="Times New Roman"/>
          <w:sz w:val="32"/>
          <w:szCs w:val="32"/>
        </w:rPr>
        <w:t>。</w:t>
      </w:r>
    </w:p>
    <w:p w14:paraId="5F9C5D4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481BE61">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与上年持平</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本年度未发生</w:t>
      </w:r>
      <w:r>
        <w:rPr>
          <w:rFonts w:hint="eastAsia" w:ascii="Times New Roman" w:hAnsi="Times New Roman" w:eastAsia="仿宋_GB2312"/>
          <w:sz w:val="32"/>
          <w:szCs w:val="32"/>
          <w:lang w:val="en-US" w:eastAsia="zh-CN"/>
        </w:rPr>
        <w:t>因公出国（境）费用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2213E2F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92.18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5.17</w:t>
      </w:r>
      <w:r>
        <w:rPr>
          <w:rFonts w:ascii="Times New Roman" w:hAnsi="Times New Roman" w:eastAsia="仿宋_GB2312" w:cs="Times New Roman"/>
          <w:sz w:val="32"/>
          <w:szCs w:val="32"/>
        </w:rPr>
        <w:t>%。其中：</w:t>
      </w:r>
    </w:p>
    <w:p w14:paraId="1905253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预算数，与上年</w:t>
      </w:r>
      <w:r>
        <w:rPr>
          <w:rFonts w:hint="eastAsia" w:ascii="Times New Roman" w:hAnsi="Times New Roman" w:eastAsia="仿宋_GB2312"/>
          <w:sz w:val="32"/>
          <w:szCs w:val="32"/>
          <w:lang w:val="en-US"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怀化市工商业联合会</w:t>
      </w:r>
      <w:r>
        <w:rPr>
          <w:rFonts w:ascii="Times New Roman" w:hAnsi="Times New Roman" w:eastAsia="仿宋_GB2312" w:cs="Times New Roman"/>
          <w:sz w:val="32"/>
          <w:szCs w:val="32"/>
        </w:rPr>
        <w:t>本级更新公务用车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3495532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w:t>
      </w:r>
    </w:p>
    <w:p w14:paraId="0F6C2A5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车辆油料费、车辆维修费、安全奖励费用、过路费等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92.18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5.17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val="en-US" w:eastAsia="zh-CN"/>
        </w:rPr>
        <w:t>严格按预算执行</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0" w:name="_GoBack"/>
      <w:bookmarkEnd w:id="0"/>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3FB91CF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5.43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94.35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val="en-US" w:eastAsia="zh-CN"/>
        </w:rPr>
        <w:t>严格按预算执行</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根据工作需要，减少接待费支出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年度共接待来访</w:t>
      </w:r>
      <w:r>
        <w:rPr>
          <w:rFonts w:ascii="Times New Roman" w:hAnsi="Times New Roman" w:eastAsia="仿宋_GB2312" w:cs="Times New Roman"/>
          <w:sz w:val="32"/>
          <w:szCs w:val="32"/>
          <w:highlight w:val="none"/>
        </w:rPr>
        <w:t>团组</w:t>
      </w:r>
      <w:r>
        <w:rPr>
          <w:rFonts w:hint="default"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个、来宾</w:t>
      </w:r>
      <w:r>
        <w:rPr>
          <w:rFonts w:hint="default" w:ascii="Times New Roman" w:hAnsi="Times New Roman" w:eastAsia="仿宋_GB2312" w:cs="Times New Roman"/>
          <w:sz w:val="32"/>
          <w:szCs w:val="32"/>
          <w:highlight w:val="none"/>
          <w:lang w:val="en-US" w:eastAsia="zh-CN"/>
        </w:rPr>
        <w:t>12</w:t>
      </w:r>
      <w:r>
        <w:rPr>
          <w:rFonts w:ascii="Times New Roman" w:hAnsi="Times New Roman" w:eastAsia="仿宋_GB2312" w:cs="Times New Roman"/>
          <w:sz w:val="32"/>
          <w:szCs w:val="32"/>
          <w:highlight w:val="none"/>
        </w:rPr>
        <w:t>人次，</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接待异地商会来怀考察、异地企业来怀交流等</w:t>
      </w:r>
      <w:r>
        <w:rPr>
          <w:rFonts w:ascii="Times New Roman" w:hAnsi="Times New Roman" w:eastAsia="仿宋_GB2312" w:cs="Times New Roman"/>
          <w:sz w:val="32"/>
          <w:szCs w:val="32"/>
        </w:rPr>
        <w:t>发生的接待支出。</w:t>
      </w:r>
    </w:p>
    <w:p w14:paraId="714300A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736FF4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万元。单位无政府性基金收支</w:t>
      </w:r>
      <w:r>
        <w:rPr>
          <w:rFonts w:hint="eastAsia" w:ascii="Times New Roman" w:hAnsi="Times New Roman" w:eastAsia="仿宋_GB2312" w:cs="Times New Roman"/>
          <w:sz w:val="32"/>
          <w:szCs w:val="32"/>
          <w:lang w:eastAsia="zh-CN"/>
        </w:rPr>
        <w:t>。</w:t>
      </w:r>
    </w:p>
    <w:p w14:paraId="1F01339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lang w:val="en-US" w:eastAsia="zh-CN"/>
        </w:rPr>
      </w:pPr>
      <w:r>
        <w:rPr>
          <w:rFonts w:hint="eastAsia" w:ascii="黑体" w:hAnsi="黑体" w:eastAsia="黑体" w:cs="黑体"/>
          <w:b w:val="0"/>
          <w:bCs/>
          <w:sz w:val="32"/>
          <w:szCs w:val="32"/>
          <w:lang w:val="en-US" w:eastAsia="zh-CN"/>
        </w:rPr>
        <w:t>九、国有资本经营预算收入支出决算情况</w:t>
      </w:r>
    </w:p>
    <w:p w14:paraId="0DDD46E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国有资本经营</w:t>
      </w:r>
      <w:r>
        <w:rPr>
          <w:rFonts w:hint="eastAsia" w:ascii="Times New Roman" w:hAnsi="Times New Roman" w:eastAsia="仿宋_GB2312"/>
          <w:sz w:val="32"/>
          <w:szCs w:val="32"/>
        </w:rPr>
        <w:t>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本单位无国有资本经营收支。</w:t>
      </w:r>
    </w:p>
    <w:p w14:paraId="4FB7491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C3DC11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28.39</w:t>
      </w:r>
      <w:r>
        <w:rPr>
          <w:rFonts w:ascii="Times New Roman" w:hAnsi="Times New Roman" w:eastAsia="仿宋_GB2312" w:cs="Times New Roman"/>
          <w:sz w:val="32"/>
          <w:szCs w:val="32"/>
        </w:rPr>
        <w:t>万元，比上年决算数减少</w:t>
      </w:r>
      <w:r>
        <w:rPr>
          <w:rFonts w:hint="default"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eastAsia="zh-CN"/>
        </w:rPr>
        <w:t>13.94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厉行节约，本年度机关运行费较少</w:t>
      </w:r>
      <w:r>
        <w:rPr>
          <w:rFonts w:ascii="Times New Roman" w:hAnsi="Times New Roman" w:eastAsia="仿宋_GB2312" w:cs="Times New Roman"/>
          <w:sz w:val="32"/>
          <w:szCs w:val="32"/>
        </w:rPr>
        <w:t>。</w:t>
      </w:r>
    </w:p>
    <w:p w14:paraId="5D58274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490B2DC1">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开支会议费</w:t>
      </w:r>
      <w:r>
        <w:rPr>
          <w:rFonts w:hint="default"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493F083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2025年本部门</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7D962A22">
      <w:pPr>
        <w:pStyle w:val="13"/>
        <w:overflowPunct w:val="0"/>
        <w:autoSpaceDE/>
        <w:autoSpaceDN/>
        <w:spacing w:line="600" w:lineRule="exact"/>
        <w:ind w:firstLine="640" w:firstLineChars="200"/>
        <w:jc w:val="both"/>
        <w:rPr>
          <w:rFonts w:hint="eastAsia" w:ascii="Times New Roman" w:hAnsi="Times New Roman" w:eastAsia="仿宋_GB2312"/>
          <w:sz w:val="32"/>
          <w:szCs w:val="32"/>
          <w:highlight w:val="none"/>
          <w:lang w:eastAsia="zh-CN"/>
        </w:rPr>
      </w:pPr>
      <w:r>
        <w:rPr>
          <w:rFonts w:hint="eastAsia" w:ascii="Times New Roman" w:hAnsi="Times New Roman" w:eastAsia="仿宋_GB2312" w:cs="Times New Roman"/>
          <w:color w:val="auto"/>
          <w:sz w:val="32"/>
          <w:szCs w:val="32"/>
          <w:lang w:val="en-US" w:eastAsia="zh-CN"/>
        </w:rPr>
        <w:t>2025年</w:t>
      </w:r>
      <w:r>
        <w:rPr>
          <w:rFonts w:hint="eastAsia" w:ascii="Times New Roman" w:hAnsi="Times New Roman" w:eastAsia="仿宋_GB2312"/>
          <w:color w:val="auto"/>
          <w:sz w:val="32"/>
          <w:szCs w:val="32"/>
          <w:highlight w:val="none"/>
        </w:rPr>
        <w:t>本</w:t>
      </w:r>
      <w:r>
        <w:rPr>
          <w:rFonts w:hint="eastAsia" w:ascii="Times New Roman" w:hAnsi="Times New Roman" w:eastAsia="仿宋_GB2312"/>
          <w:sz w:val="32"/>
          <w:szCs w:val="32"/>
          <w:highlight w:val="none"/>
        </w:rPr>
        <w:t>部门</w:t>
      </w:r>
      <w:r>
        <w:rPr>
          <w:rFonts w:hint="eastAsia" w:ascii="Times New Roman" w:hAnsi="Times New Roman" w:eastAsia="仿宋_GB2312"/>
          <w:sz w:val="32"/>
          <w:szCs w:val="32"/>
          <w:highlight w:val="none"/>
          <w:lang w:val="en-US" w:eastAsia="zh-CN"/>
        </w:rPr>
        <w:t>未</w:t>
      </w:r>
      <w:r>
        <w:rPr>
          <w:rFonts w:hint="eastAsia" w:ascii="Times New Roman" w:hAnsi="Times New Roman" w:eastAsia="仿宋_GB2312"/>
          <w:sz w:val="32"/>
          <w:szCs w:val="32"/>
          <w:highlight w:val="none"/>
        </w:rPr>
        <w:t>举办节庆、晚会、论坛、赛事活动</w:t>
      </w:r>
      <w:r>
        <w:rPr>
          <w:rFonts w:hint="eastAsia" w:ascii="Times New Roman" w:hAnsi="Times New Roman" w:eastAsia="仿宋_GB2312"/>
          <w:sz w:val="32"/>
          <w:szCs w:val="32"/>
          <w:highlight w:val="none"/>
          <w:lang w:eastAsia="zh-CN"/>
        </w:rPr>
        <w:t>。</w:t>
      </w:r>
    </w:p>
    <w:p w14:paraId="622704B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0C85D7C5">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38B89B7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62262FA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8B2AF60">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3EF4B3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98.01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98.01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5B1BF3D6">
      <w:pPr>
        <w:keepNext w:val="0"/>
        <w:keepLines w:val="0"/>
        <w:pageBreakBefore w:val="0"/>
        <w:widowControl w:val="0"/>
        <w:kinsoku/>
        <w:wordWrap/>
        <w:overflowPunct/>
        <w:topLinePunct w:val="0"/>
        <w:autoSpaceDE/>
        <w:autoSpaceDN/>
        <w:bidi w:val="0"/>
        <w:adjustRightInd/>
        <w:snapToGrid w:val="0"/>
        <w:spacing w:line="520" w:lineRule="exact"/>
        <w:ind w:firstLine="800"/>
        <w:jc w:val="left"/>
        <w:textAlignment w:val="auto"/>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w:t>
      </w:r>
      <w:r>
        <w:rPr>
          <w:rFonts w:hint="eastAsia" w:ascii="Times New Roman" w:hAnsi="Times New Roman" w:eastAsia="仿宋_GB2312" w:cs="Times New Roman"/>
          <w:kern w:val="0"/>
          <w:sz w:val="32"/>
          <w:szCs w:val="32"/>
          <w:lang w:val="en-US" w:eastAsia="zh-CN"/>
        </w:rPr>
        <w:t>部门</w:t>
      </w:r>
      <w:r>
        <w:rPr>
          <w:rFonts w:ascii="Times New Roman" w:hAnsi="Times New Roman" w:eastAsia="仿宋_GB2312" w:cs="Times New Roman"/>
          <w:kern w:val="0"/>
          <w:sz w:val="32"/>
          <w:szCs w:val="32"/>
        </w:rPr>
        <w:t>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367.3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467.98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127.41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99.39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高质量举办第二届“怀化企业家日”系列活动，吸引</w:t>
      </w:r>
      <w:r>
        <w:rPr>
          <w:rFonts w:hint="eastAsia" w:ascii="Times New Roman" w:hAnsi="Times New Roman" w:eastAsia="仿宋_GB2312" w:cs="Times New Roman"/>
          <w:sz w:val="32"/>
          <w:szCs w:val="32"/>
          <w:lang w:val="en-US" w:eastAsia="zh-CN"/>
        </w:rPr>
        <w:t>50余家重点企业、10余家金融机构等深度参与；牵头开展“政好遇见你”政策直通车活动；指导各商会40余次，精准指导4家商会党支部成功换届；全程参与全国工商联十三届四次执委会邀商及7大片区联席会议，向300余家全国知名企业专题推介怀化文旅资源</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val="en-US" w:eastAsia="zh-CN"/>
        </w:rPr>
        <w:t>年初绩效评价指标体系不完善，绩效目标设立不够明确、细化和量化</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部分项目执行与预算支出指标差距较大。部分项目在预算时未能充分预料和考虑到来年的政策变化，导致实际支出与预算有差</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年初绩效目标设立要细化、量化，在布置预算绩效管理工作时，相关负责人要督促各项目负责人从预算编制开始，做好收集、汇总项目各个阶段的痕迹资料，提醒和督促加快资金拨付和使用等工作</w:t>
      </w:r>
      <w:r>
        <w:rPr>
          <w:rFonts w:ascii="Times New Roman" w:hAnsi="Times New Roman" w:eastAsia="仿宋_GB2312" w:cs="Times New Roman"/>
          <w:sz w:val="32"/>
          <w:szCs w:val="32"/>
        </w:rPr>
        <w:t>。</w:t>
      </w:r>
    </w:p>
    <w:p w14:paraId="24336D82">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363B2952">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rPr>
        <w:t>将绩效自评结果作为本单位完善制度和改进管理的重要依据，根据绩效自评结果，对比设定目标和实际完成情况，及时调整工作重点，制定发展计划，</w:t>
      </w:r>
      <w:r>
        <w:rPr>
          <w:rFonts w:hint="eastAsia" w:ascii="Times New Roman" w:hAnsi="Times New Roman" w:eastAsia="仿宋_GB2312" w:cs="Times New Roman"/>
          <w:color w:val="auto"/>
          <w:sz w:val="32"/>
          <w:szCs w:val="32"/>
          <w:lang w:val="en-US" w:eastAsia="zh-CN"/>
        </w:rPr>
        <w:t>加强财政资金使用效率，</w:t>
      </w:r>
      <w:r>
        <w:rPr>
          <w:rFonts w:hint="eastAsia" w:ascii="Times New Roman" w:hAnsi="Times New Roman" w:eastAsia="仿宋_GB2312" w:cs="Times New Roman"/>
          <w:color w:val="auto"/>
          <w:sz w:val="32"/>
          <w:szCs w:val="32"/>
        </w:rPr>
        <w:t>提高财政资金支出决策水平和管理水平</w:t>
      </w:r>
      <w:r>
        <w:rPr>
          <w:rFonts w:ascii="Times New Roman" w:hAnsi="Times New Roman" w:eastAsia="仿宋_GB2312" w:cs="Times New Roman"/>
          <w:color w:val="auto"/>
          <w:sz w:val="32"/>
          <w:szCs w:val="32"/>
        </w:rPr>
        <w:t>。</w:t>
      </w:r>
    </w:p>
    <w:p w14:paraId="5BFD3577">
      <w:pPr>
        <w:pStyle w:val="13"/>
        <w:jc w:val="center"/>
        <w:rPr>
          <w:rFonts w:ascii="Times New Roman" w:hAnsi="Times New Roman" w:cs="Times New Roman"/>
          <w:sz w:val="72"/>
          <w:szCs w:val="72"/>
        </w:rPr>
      </w:pPr>
    </w:p>
    <w:p w14:paraId="0E6256D8">
      <w:pPr>
        <w:pStyle w:val="13"/>
        <w:jc w:val="center"/>
        <w:rPr>
          <w:rFonts w:ascii="Times New Roman" w:hAnsi="Times New Roman" w:cs="Times New Roman"/>
          <w:sz w:val="72"/>
          <w:szCs w:val="72"/>
        </w:rPr>
      </w:pPr>
    </w:p>
    <w:p w14:paraId="7F74029C">
      <w:pPr>
        <w:pStyle w:val="13"/>
        <w:jc w:val="center"/>
        <w:rPr>
          <w:rFonts w:ascii="Times New Roman" w:hAnsi="Times New Roman" w:cs="Times New Roman"/>
          <w:sz w:val="72"/>
          <w:szCs w:val="72"/>
        </w:rPr>
      </w:pPr>
    </w:p>
    <w:p w14:paraId="082149EA">
      <w:pPr>
        <w:pStyle w:val="13"/>
        <w:jc w:val="both"/>
        <w:rPr>
          <w:rFonts w:ascii="Times New Roman" w:hAnsi="Times New Roman" w:cs="Times New Roman"/>
          <w:sz w:val="72"/>
          <w:szCs w:val="72"/>
        </w:rPr>
      </w:pPr>
    </w:p>
    <w:p w14:paraId="384C9B64">
      <w:pPr>
        <w:pStyle w:val="13"/>
        <w:jc w:val="center"/>
        <w:rPr>
          <w:rFonts w:ascii="Times New Roman" w:hAnsi="Times New Roman" w:cs="Times New Roman"/>
          <w:sz w:val="72"/>
          <w:szCs w:val="72"/>
        </w:rPr>
      </w:pPr>
    </w:p>
    <w:p w14:paraId="44D226F7">
      <w:pPr>
        <w:pStyle w:val="13"/>
        <w:jc w:val="center"/>
        <w:rPr>
          <w:rFonts w:ascii="Times New Roman" w:hAnsi="Times New Roman" w:cs="Times New Roman"/>
          <w:sz w:val="72"/>
          <w:szCs w:val="72"/>
        </w:rPr>
      </w:pPr>
    </w:p>
    <w:p w14:paraId="304D9861">
      <w:pPr>
        <w:pStyle w:val="13"/>
        <w:jc w:val="center"/>
        <w:rPr>
          <w:rFonts w:ascii="Times New Roman" w:hAnsi="Times New Roman" w:cs="Times New Roman"/>
          <w:sz w:val="72"/>
          <w:szCs w:val="72"/>
        </w:rPr>
      </w:pPr>
    </w:p>
    <w:p w14:paraId="6E2044F8">
      <w:pPr>
        <w:pStyle w:val="13"/>
        <w:jc w:val="center"/>
        <w:rPr>
          <w:rFonts w:ascii="Times New Roman" w:hAnsi="Times New Roman" w:cs="Times New Roman"/>
          <w:sz w:val="72"/>
          <w:szCs w:val="72"/>
        </w:rPr>
      </w:pPr>
    </w:p>
    <w:p w14:paraId="79B44488">
      <w:pPr>
        <w:pStyle w:val="13"/>
        <w:spacing w:line="360" w:lineRule="auto"/>
        <w:ind w:firstLine="1560" w:firstLineChars="3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8204338">
      <w:pPr>
        <w:widowControl/>
        <w:jc w:val="left"/>
        <w:rPr>
          <w:rFonts w:ascii="Times New Roman" w:hAnsi="Times New Roman" w:cs="Times New Roman"/>
          <w:color w:val="000000"/>
          <w:kern w:val="0"/>
          <w:sz w:val="32"/>
          <w:szCs w:val="32"/>
        </w:rPr>
      </w:pPr>
    </w:p>
    <w:p w14:paraId="73F02085">
      <w:pPr>
        <w:widowControl/>
        <w:jc w:val="left"/>
        <w:rPr>
          <w:rFonts w:ascii="Times New Roman" w:hAnsi="Times New Roman" w:cs="Times New Roman"/>
          <w:color w:val="000000"/>
          <w:kern w:val="0"/>
          <w:sz w:val="32"/>
          <w:szCs w:val="32"/>
        </w:rPr>
      </w:pPr>
    </w:p>
    <w:p w14:paraId="3E0160DC">
      <w:pPr>
        <w:widowControl/>
        <w:jc w:val="left"/>
        <w:rPr>
          <w:rFonts w:ascii="Times New Roman" w:hAnsi="Times New Roman" w:cs="Times New Roman"/>
          <w:color w:val="000000"/>
          <w:kern w:val="0"/>
          <w:sz w:val="32"/>
          <w:szCs w:val="32"/>
        </w:rPr>
      </w:pPr>
    </w:p>
    <w:p w14:paraId="63D5E593">
      <w:pPr>
        <w:widowControl/>
        <w:jc w:val="left"/>
        <w:rPr>
          <w:rFonts w:ascii="Times New Roman" w:hAnsi="Times New Roman" w:cs="Times New Roman"/>
          <w:color w:val="000000"/>
          <w:kern w:val="0"/>
          <w:sz w:val="32"/>
          <w:szCs w:val="32"/>
        </w:rPr>
      </w:pPr>
    </w:p>
    <w:p w14:paraId="570C7B6B">
      <w:pPr>
        <w:widowControl/>
        <w:jc w:val="left"/>
        <w:rPr>
          <w:rFonts w:ascii="Times New Roman" w:hAnsi="Times New Roman" w:cs="Times New Roman"/>
          <w:color w:val="000000"/>
          <w:kern w:val="0"/>
          <w:sz w:val="32"/>
          <w:szCs w:val="32"/>
        </w:rPr>
      </w:pPr>
    </w:p>
    <w:p w14:paraId="30563F7D">
      <w:pPr>
        <w:widowControl/>
        <w:jc w:val="left"/>
        <w:rPr>
          <w:rFonts w:ascii="Times New Roman" w:hAnsi="Times New Roman" w:cs="Times New Roman"/>
          <w:color w:val="000000"/>
          <w:kern w:val="0"/>
          <w:sz w:val="32"/>
          <w:szCs w:val="32"/>
        </w:rPr>
      </w:pPr>
    </w:p>
    <w:p w14:paraId="3879600F">
      <w:pPr>
        <w:widowControl/>
        <w:jc w:val="left"/>
        <w:rPr>
          <w:rFonts w:ascii="Times New Roman" w:hAnsi="Times New Roman" w:cs="Times New Roman"/>
          <w:color w:val="000000"/>
          <w:kern w:val="0"/>
          <w:sz w:val="32"/>
          <w:szCs w:val="32"/>
        </w:rPr>
      </w:pPr>
    </w:p>
    <w:p w14:paraId="58670F6A">
      <w:pPr>
        <w:widowControl/>
        <w:jc w:val="left"/>
        <w:rPr>
          <w:rFonts w:ascii="Times New Roman" w:hAnsi="Times New Roman" w:cs="Times New Roman"/>
          <w:color w:val="000000"/>
          <w:kern w:val="0"/>
          <w:sz w:val="32"/>
          <w:szCs w:val="32"/>
        </w:rPr>
      </w:pPr>
    </w:p>
    <w:p w14:paraId="09F848FD">
      <w:pPr>
        <w:widowControl/>
        <w:jc w:val="left"/>
        <w:rPr>
          <w:rFonts w:ascii="Times New Roman" w:hAnsi="Times New Roman" w:cs="Times New Roman"/>
          <w:color w:val="000000"/>
          <w:kern w:val="0"/>
          <w:sz w:val="32"/>
          <w:szCs w:val="32"/>
        </w:rPr>
      </w:pPr>
    </w:p>
    <w:p w14:paraId="03F253A0">
      <w:pPr>
        <w:widowControl/>
        <w:jc w:val="left"/>
        <w:rPr>
          <w:rFonts w:ascii="Times New Roman" w:hAnsi="Times New Roman" w:cs="Times New Roman"/>
          <w:color w:val="000000"/>
          <w:kern w:val="0"/>
          <w:sz w:val="32"/>
          <w:szCs w:val="32"/>
        </w:rPr>
      </w:pPr>
    </w:p>
    <w:p w14:paraId="0A339934">
      <w:pPr>
        <w:ind w:firstLine="640" w:firstLineChars="200"/>
        <w:jc w:val="left"/>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28618354">
      <w:pPr>
        <w:pStyle w:val="13"/>
        <w:ind w:firstLine="640" w:firstLineChars="200"/>
        <w:rPr>
          <w:rFonts w:ascii="Times New Roman" w:hAnsi="Times New Roman" w:cs="Times New Roman" w:eastAsiaTheme="minorEastAsia"/>
          <w:sz w:val="32"/>
          <w:szCs w:val="32"/>
        </w:rPr>
      </w:pPr>
      <w:r>
        <w:rPr>
          <w:rFonts w:hint="eastAsia" w:ascii="Times New Roman" w:hAnsi="Times New Roman" w:eastAsia="仿宋_GB2312" w:cs="黑体"/>
          <w:color w:val="000000"/>
          <w:kern w:val="0"/>
          <w:sz w:val="32"/>
          <w:szCs w:val="32"/>
          <w:lang w:val="en-US" w:eastAsia="zh-CN" w:bidi="ar-SA"/>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DC1070A">
      <w:pPr>
        <w:pStyle w:val="13"/>
        <w:jc w:val="center"/>
        <w:rPr>
          <w:rFonts w:ascii="Times New Roman" w:hAnsi="Times New Roman" w:cs="Times New Roman"/>
          <w:sz w:val="72"/>
          <w:szCs w:val="72"/>
        </w:rPr>
      </w:pPr>
    </w:p>
    <w:p w14:paraId="2E948F7A">
      <w:pPr>
        <w:pStyle w:val="13"/>
        <w:jc w:val="center"/>
        <w:rPr>
          <w:rFonts w:ascii="Times New Roman" w:hAnsi="Times New Roman" w:cs="Times New Roman"/>
          <w:sz w:val="72"/>
          <w:szCs w:val="72"/>
        </w:rPr>
      </w:pPr>
    </w:p>
    <w:p w14:paraId="49DECE23">
      <w:pPr>
        <w:pStyle w:val="13"/>
        <w:jc w:val="center"/>
        <w:rPr>
          <w:rFonts w:ascii="Times New Roman" w:hAnsi="Times New Roman" w:cs="Times New Roman"/>
          <w:sz w:val="72"/>
          <w:szCs w:val="72"/>
        </w:rPr>
      </w:pPr>
    </w:p>
    <w:p w14:paraId="136D2B1F">
      <w:pPr>
        <w:pStyle w:val="13"/>
        <w:jc w:val="center"/>
        <w:rPr>
          <w:rFonts w:ascii="Times New Roman" w:hAnsi="Times New Roman" w:cs="Times New Roman"/>
          <w:sz w:val="72"/>
          <w:szCs w:val="72"/>
        </w:rPr>
      </w:pPr>
    </w:p>
    <w:p w14:paraId="084B803D">
      <w:pPr>
        <w:pStyle w:val="13"/>
        <w:jc w:val="center"/>
        <w:rPr>
          <w:rFonts w:ascii="Times New Roman" w:hAnsi="Times New Roman" w:cs="Times New Roman"/>
          <w:sz w:val="72"/>
          <w:szCs w:val="72"/>
        </w:rPr>
      </w:pPr>
    </w:p>
    <w:p w14:paraId="00E745DE">
      <w:pPr>
        <w:pStyle w:val="13"/>
        <w:jc w:val="center"/>
        <w:rPr>
          <w:rFonts w:ascii="Times New Roman" w:hAnsi="Times New Roman" w:cs="Times New Roman"/>
          <w:sz w:val="72"/>
          <w:szCs w:val="72"/>
        </w:rPr>
      </w:pPr>
    </w:p>
    <w:p w14:paraId="514F8643">
      <w:pPr>
        <w:pStyle w:val="13"/>
        <w:jc w:val="center"/>
        <w:rPr>
          <w:rFonts w:ascii="Times New Roman" w:hAnsi="Times New Roman" w:cs="Times New Roman"/>
          <w:sz w:val="72"/>
          <w:szCs w:val="72"/>
        </w:rPr>
      </w:pPr>
    </w:p>
    <w:p w14:paraId="147B45F9">
      <w:pPr>
        <w:pStyle w:val="13"/>
        <w:jc w:val="both"/>
        <w:rPr>
          <w:rFonts w:ascii="Times New Roman" w:hAnsi="Times New Roman" w:cs="Times New Roman"/>
          <w:sz w:val="72"/>
          <w:szCs w:val="72"/>
        </w:rPr>
      </w:pPr>
    </w:p>
    <w:p w14:paraId="008CE273">
      <w:pPr>
        <w:pStyle w:val="13"/>
        <w:spacing w:line="360" w:lineRule="auto"/>
        <w:jc w:val="center"/>
        <w:rPr>
          <w:rFonts w:ascii="Times New Roman" w:hAnsi="Times New Roman" w:eastAsia="方正小标宋_GBK" w:cs="Times New Roman"/>
          <w:sz w:val="52"/>
          <w:szCs w:val="52"/>
        </w:rPr>
      </w:pPr>
    </w:p>
    <w:p w14:paraId="39F7DD41">
      <w:pPr>
        <w:pStyle w:val="13"/>
        <w:spacing w:line="360" w:lineRule="auto"/>
        <w:jc w:val="center"/>
        <w:rPr>
          <w:rFonts w:ascii="Times New Roman" w:hAnsi="Times New Roman" w:eastAsia="方正小标宋_GBK" w:cs="Times New Roman"/>
          <w:sz w:val="52"/>
          <w:szCs w:val="52"/>
        </w:rPr>
      </w:pPr>
    </w:p>
    <w:p w14:paraId="19DC3F8E">
      <w:pPr>
        <w:pStyle w:val="13"/>
        <w:spacing w:line="360" w:lineRule="auto"/>
        <w:jc w:val="center"/>
        <w:rPr>
          <w:rFonts w:ascii="Times New Roman" w:hAnsi="Times New Roman" w:eastAsia="方正小标宋_GBK" w:cs="Times New Roman"/>
          <w:sz w:val="52"/>
          <w:szCs w:val="52"/>
        </w:rPr>
      </w:pPr>
    </w:p>
    <w:p w14:paraId="14202270">
      <w:pPr>
        <w:pStyle w:val="13"/>
        <w:spacing w:line="360" w:lineRule="auto"/>
        <w:jc w:val="center"/>
        <w:rPr>
          <w:rFonts w:ascii="Times New Roman" w:hAnsi="Times New Roman" w:eastAsia="方正小标宋_GBK" w:cs="Times New Roman"/>
          <w:sz w:val="52"/>
          <w:szCs w:val="52"/>
        </w:rPr>
      </w:pPr>
    </w:p>
    <w:p w14:paraId="6BED7EF7">
      <w:pPr>
        <w:pStyle w:val="13"/>
        <w:spacing w:line="360" w:lineRule="auto"/>
        <w:jc w:val="center"/>
        <w:rPr>
          <w:rFonts w:ascii="Times New Roman" w:hAnsi="Times New Roman" w:eastAsia="方正小标宋_GBK" w:cs="Times New Roman"/>
          <w:sz w:val="52"/>
          <w:szCs w:val="52"/>
        </w:rPr>
      </w:pPr>
    </w:p>
    <w:p w14:paraId="7E8A6D19">
      <w:pPr>
        <w:pStyle w:val="13"/>
        <w:spacing w:line="360" w:lineRule="auto"/>
        <w:jc w:val="center"/>
        <w:rPr>
          <w:rFonts w:ascii="Times New Roman" w:hAnsi="Times New Roman" w:eastAsia="方正小标宋_GBK" w:cs="Times New Roman"/>
          <w:sz w:val="52"/>
          <w:szCs w:val="52"/>
        </w:rPr>
      </w:pPr>
    </w:p>
    <w:p w14:paraId="0EF8C706">
      <w:pPr>
        <w:pStyle w:val="13"/>
        <w:spacing w:line="360" w:lineRule="auto"/>
        <w:jc w:val="center"/>
        <w:rPr>
          <w:rFonts w:ascii="Times New Roman" w:hAnsi="Times New Roman" w:eastAsia="方正小标宋_GBK" w:cs="Times New Roman"/>
          <w:sz w:val="52"/>
          <w:szCs w:val="52"/>
        </w:rPr>
      </w:pPr>
    </w:p>
    <w:p w14:paraId="208B6CE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CE0472C">
      <w:pPr>
        <w:rPr>
          <w:rFonts w:ascii="Times New Roman" w:hAnsi="Times New Roman" w:cs="Times New Roman"/>
          <w:sz w:val="72"/>
          <w:szCs w:val="72"/>
        </w:rPr>
      </w:pPr>
    </w:p>
    <w:p w14:paraId="1DD89AC9">
      <w:pPr>
        <w:pStyle w:val="13"/>
        <w:spacing w:line="600" w:lineRule="exact"/>
        <w:ind w:firstLine="640" w:firstLineChars="200"/>
        <w:rPr>
          <w:rFonts w:ascii="Times New Roman" w:hAnsi="Times New Roman" w:eastAsia="仿宋_GB2312" w:cs="Times New Roman"/>
          <w:b/>
          <w:bCs/>
          <w:sz w:val="32"/>
          <w:szCs w:val="32"/>
        </w:rPr>
      </w:pPr>
    </w:p>
    <w:p w14:paraId="148D3388">
      <w:pPr>
        <w:pStyle w:val="13"/>
        <w:spacing w:line="600" w:lineRule="exact"/>
        <w:ind w:firstLine="640" w:firstLineChars="200"/>
        <w:rPr>
          <w:rFonts w:ascii="Times New Roman" w:hAnsi="Times New Roman" w:eastAsia="仿宋_GB2312" w:cs="Times New Roman"/>
          <w:b/>
          <w:bCs/>
          <w:sz w:val="32"/>
          <w:szCs w:val="32"/>
        </w:rPr>
      </w:pPr>
    </w:p>
    <w:p w14:paraId="0318C7EF">
      <w:pPr>
        <w:pStyle w:val="13"/>
        <w:spacing w:line="600" w:lineRule="exact"/>
        <w:ind w:firstLine="640" w:firstLineChars="200"/>
        <w:rPr>
          <w:rFonts w:ascii="Times New Roman" w:hAnsi="Times New Roman" w:eastAsia="仿宋_GB2312" w:cs="Times New Roman"/>
          <w:b/>
          <w:bCs/>
          <w:sz w:val="32"/>
          <w:szCs w:val="32"/>
        </w:rPr>
      </w:pPr>
    </w:p>
    <w:p w14:paraId="6434679B">
      <w:pPr>
        <w:pStyle w:val="13"/>
        <w:spacing w:line="600" w:lineRule="exact"/>
        <w:ind w:firstLine="640" w:firstLineChars="200"/>
        <w:rPr>
          <w:rFonts w:ascii="Times New Roman" w:hAnsi="Times New Roman" w:eastAsia="仿宋_GB2312" w:cs="Times New Roman"/>
          <w:b/>
          <w:bCs/>
          <w:sz w:val="32"/>
          <w:szCs w:val="32"/>
        </w:rPr>
      </w:pPr>
    </w:p>
    <w:p w14:paraId="232F32D0">
      <w:pPr>
        <w:pStyle w:val="13"/>
        <w:spacing w:line="600" w:lineRule="exact"/>
        <w:ind w:firstLine="640" w:firstLineChars="200"/>
        <w:rPr>
          <w:rFonts w:ascii="Times New Roman" w:hAnsi="Times New Roman" w:eastAsia="仿宋_GB2312" w:cs="Times New Roman"/>
          <w:b/>
          <w:bCs/>
          <w:sz w:val="32"/>
          <w:szCs w:val="32"/>
        </w:rPr>
      </w:pPr>
    </w:p>
    <w:p w14:paraId="431F553D">
      <w:pPr>
        <w:pStyle w:val="13"/>
        <w:spacing w:line="600" w:lineRule="exact"/>
        <w:ind w:firstLine="640" w:firstLineChars="200"/>
        <w:rPr>
          <w:rFonts w:ascii="Times New Roman" w:hAnsi="Times New Roman" w:eastAsia="仿宋_GB2312" w:cs="Times New Roman"/>
          <w:b/>
          <w:bCs/>
          <w:sz w:val="32"/>
          <w:szCs w:val="32"/>
        </w:rPr>
      </w:pPr>
    </w:p>
    <w:p w14:paraId="37C5544B">
      <w:pPr>
        <w:pStyle w:val="13"/>
        <w:spacing w:line="600" w:lineRule="exact"/>
        <w:ind w:firstLine="640" w:firstLineChars="200"/>
        <w:rPr>
          <w:rFonts w:ascii="Times New Roman" w:hAnsi="Times New Roman" w:eastAsia="仿宋_GB2312" w:cs="Times New Roman"/>
          <w:b/>
          <w:bCs/>
          <w:sz w:val="32"/>
          <w:szCs w:val="32"/>
        </w:rPr>
      </w:pPr>
    </w:p>
    <w:p w14:paraId="38F4A475">
      <w:pPr>
        <w:pStyle w:val="13"/>
        <w:spacing w:line="600" w:lineRule="exact"/>
        <w:ind w:firstLine="640" w:firstLineChars="200"/>
        <w:rPr>
          <w:rFonts w:ascii="Times New Roman" w:hAnsi="Times New Roman" w:eastAsia="仿宋_GB2312" w:cs="Times New Roman"/>
          <w:b/>
          <w:bCs/>
          <w:sz w:val="32"/>
          <w:szCs w:val="32"/>
        </w:rPr>
      </w:pPr>
    </w:p>
    <w:p w14:paraId="286A94A1">
      <w:pPr>
        <w:pStyle w:val="13"/>
        <w:spacing w:line="600" w:lineRule="exact"/>
        <w:ind w:firstLine="640" w:firstLineChars="200"/>
        <w:rPr>
          <w:rFonts w:ascii="Times New Roman" w:hAnsi="Times New Roman" w:eastAsia="仿宋_GB2312" w:cs="Times New Roman"/>
          <w:b/>
          <w:bCs/>
          <w:sz w:val="32"/>
          <w:szCs w:val="32"/>
        </w:rPr>
      </w:pPr>
    </w:p>
    <w:p w14:paraId="4282359E">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怀化市工商业联合会</w:t>
      </w:r>
      <w:r>
        <w:rPr>
          <w:rFonts w:ascii="Times New Roman" w:hAnsi="Times New Roman" w:eastAsia="仿宋_GB2312" w:cs="Times New Roman"/>
          <w:sz w:val="32"/>
          <w:szCs w:val="32"/>
        </w:rPr>
        <w:t>整体支出绩效自评报告</w:t>
      </w:r>
    </w:p>
    <w:p w14:paraId="193D8388">
      <w:pPr>
        <w:pStyle w:val="13"/>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二、2025年怀化市工商业联合会决算公开</w:t>
      </w:r>
    </w:p>
    <w:p w14:paraId="703A4D6A">
      <w:pPr>
        <w:pStyle w:val="13"/>
        <w:spacing w:line="600" w:lineRule="exact"/>
        <w:ind w:firstLine="640" w:firstLineChars="200"/>
        <w:rPr>
          <w:rFonts w:ascii="Times New Roman" w:hAnsi="Times New Roman" w:eastAsia="仿宋_GB2312" w:cs="Times New Roman"/>
          <w:sz w:val="32"/>
          <w:szCs w:val="32"/>
        </w:rPr>
      </w:pPr>
    </w:p>
    <w:p w14:paraId="54D4386D">
      <w:pPr>
        <w:pStyle w:val="13"/>
        <w:jc w:val="center"/>
        <w:rPr>
          <w:rFonts w:ascii="Times New Roman" w:hAnsi="Times New Roman" w:cs="Times New Roman"/>
          <w:sz w:val="72"/>
          <w:szCs w:val="72"/>
        </w:rPr>
      </w:pPr>
    </w:p>
    <w:p w14:paraId="21749A7E">
      <w:pPr>
        <w:pStyle w:val="13"/>
        <w:jc w:val="center"/>
        <w:rPr>
          <w:rFonts w:ascii="Times New Roman" w:hAnsi="Times New Roman" w:cs="Times New Roman"/>
          <w:sz w:val="72"/>
          <w:szCs w:val="72"/>
        </w:rPr>
      </w:pPr>
    </w:p>
    <w:p w14:paraId="3E496FA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51D83">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14FF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D5031">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D2AA04">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2BD2AA04">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749E3"/>
    <w:rsid w:val="00080785"/>
    <w:rsid w:val="000A3F69"/>
    <w:rsid w:val="000B20F1"/>
    <w:rsid w:val="000C5742"/>
    <w:rsid w:val="00103957"/>
    <w:rsid w:val="001113BD"/>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9744B"/>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53129"/>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BF706B"/>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0C00"/>
    <w:rsid w:val="00E67BE6"/>
    <w:rsid w:val="00E8683C"/>
    <w:rsid w:val="00EA2B72"/>
    <w:rsid w:val="00F74360"/>
    <w:rsid w:val="00FB462F"/>
    <w:rsid w:val="00FD7D3B"/>
    <w:rsid w:val="00FE16FA"/>
    <w:rsid w:val="00FE328A"/>
    <w:rsid w:val="00FE6269"/>
    <w:rsid w:val="00FF5CD6"/>
    <w:rsid w:val="021F7DC1"/>
    <w:rsid w:val="02555ED9"/>
    <w:rsid w:val="02BA21E0"/>
    <w:rsid w:val="02D52B76"/>
    <w:rsid w:val="02E1776D"/>
    <w:rsid w:val="02E96621"/>
    <w:rsid w:val="030D0562"/>
    <w:rsid w:val="03EC63C9"/>
    <w:rsid w:val="04F01EE9"/>
    <w:rsid w:val="059E1945"/>
    <w:rsid w:val="05AC22B4"/>
    <w:rsid w:val="05F81055"/>
    <w:rsid w:val="062067FE"/>
    <w:rsid w:val="067526A6"/>
    <w:rsid w:val="06B55198"/>
    <w:rsid w:val="06C70A28"/>
    <w:rsid w:val="06E240A7"/>
    <w:rsid w:val="071023CF"/>
    <w:rsid w:val="08395058"/>
    <w:rsid w:val="08B1373D"/>
    <w:rsid w:val="08CB0CA3"/>
    <w:rsid w:val="09093579"/>
    <w:rsid w:val="092E2FE0"/>
    <w:rsid w:val="09B96D4E"/>
    <w:rsid w:val="09C13DB7"/>
    <w:rsid w:val="09DB4F16"/>
    <w:rsid w:val="0A110938"/>
    <w:rsid w:val="0A6A44EC"/>
    <w:rsid w:val="0A762E91"/>
    <w:rsid w:val="0A8A2498"/>
    <w:rsid w:val="0A8F7AAE"/>
    <w:rsid w:val="0AA7304A"/>
    <w:rsid w:val="0AD41965"/>
    <w:rsid w:val="0B9E269F"/>
    <w:rsid w:val="0BFE4EEC"/>
    <w:rsid w:val="0BFFD42F"/>
    <w:rsid w:val="0C326AFC"/>
    <w:rsid w:val="0C692CAD"/>
    <w:rsid w:val="0D837D9E"/>
    <w:rsid w:val="0D906017"/>
    <w:rsid w:val="0DD24882"/>
    <w:rsid w:val="0DEE0F90"/>
    <w:rsid w:val="0E407A3D"/>
    <w:rsid w:val="0E71409B"/>
    <w:rsid w:val="0ECB3F41"/>
    <w:rsid w:val="0F5A68DD"/>
    <w:rsid w:val="0FD3668F"/>
    <w:rsid w:val="10142F30"/>
    <w:rsid w:val="103A226A"/>
    <w:rsid w:val="103A670E"/>
    <w:rsid w:val="10466E61"/>
    <w:rsid w:val="108160EB"/>
    <w:rsid w:val="111B209C"/>
    <w:rsid w:val="111E1B8C"/>
    <w:rsid w:val="114C66F9"/>
    <w:rsid w:val="11934328"/>
    <w:rsid w:val="11CC1DC3"/>
    <w:rsid w:val="122D527E"/>
    <w:rsid w:val="1272218F"/>
    <w:rsid w:val="12DE15D3"/>
    <w:rsid w:val="13223BB5"/>
    <w:rsid w:val="132D4308"/>
    <w:rsid w:val="13AC7923"/>
    <w:rsid w:val="145923F1"/>
    <w:rsid w:val="15910B7E"/>
    <w:rsid w:val="15AF7257"/>
    <w:rsid w:val="15BC073A"/>
    <w:rsid w:val="163A2FC4"/>
    <w:rsid w:val="167A5AB7"/>
    <w:rsid w:val="17096EE9"/>
    <w:rsid w:val="1726179A"/>
    <w:rsid w:val="174A5489"/>
    <w:rsid w:val="17942BA8"/>
    <w:rsid w:val="17AC04B0"/>
    <w:rsid w:val="18041ADC"/>
    <w:rsid w:val="189D783A"/>
    <w:rsid w:val="19145D4E"/>
    <w:rsid w:val="19445F08"/>
    <w:rsid w:val="19842055"/>
    <w:rsid w:val="19DE010A"/>
    <w:rsid w:val="1A0E6C42"/>
    <w:rsid w:val="1A400DC5"/>
    <w:rsid w:val="1A9D6217"/>
    <w:rsid w:val="1AC8208F"/>
    <w:rsid w:val="1ACD2659"/>
    <w:rsid w:val="1B5C39DD"/>
    <w:rsid w:val="1B876A10"/>
    <w:rsid w:val="1C8C02F2"/>
    <w:rsid w:val="1CC17F9B"/>
    <w:rsid w:val="1CC21F65"/>
    <w:rsid w:val="1CF55E97"/>
    <w:rsid w:val="1D152095"/>
    <w:rsid w:val="1D6D0123"/>
    <w:rsid w:val="1D743260"/>
    <w:rsid w:val="1D97DEFF"/>
    <w:rsid w:val="1DD12460"/>
    <w:rsid w:val="1DE2466D"/>
    <w:rsid w:val="1DE9F72C"/>
    <w:rsid w:val="1DFF72E5"/>
    <w:rsid w:val="1E3B1FCF"/>
    <w:rsid w:val="1EC41FC5"/>
    <w:rsid w:val="1EEB57A3"/>
    <w:rsid w:val="1EFC6F07"/>
    <w:rsid w:val="1FAE057F"/>
    <w:rsid w:val="20F3093F"/>
    <w:rsid w:val="225E628C"/>
    <w:rsid w:val="22603DB2"/>
    <w:rsid w:val="226A69DF"/>
    <w:rsid w:val="226F3FF6"/>
    <w:rsid w:val="22963C78"/>
    <w:rsid w:val="2377537C"/>
    <w:rsid w:val="23CB7951"/>
    <w:rsid w:val="23FC5D5D"/>
    <w:rsid w:val="242157C3"/>
    <w:rsid w:val="243E0123"/>
    <w:rsid w:val="24633D08"/>
    <w:rsid w:val="24727DCD"/>
    <w:rsid w:val="247C6E9E"/>
    <w:rsid w:val="24C06D8A"/>
    <w:rsid w:val="24E567F1"/>
    <w:rsid w:val="24FB6014"/>
    <w:rsid w:val="25697422"/>
    <w:rsid w:val="259F4FED"/>
    <w:rsid w:val="25D02FFD"/>
    <w:rsid w:val="25D6438C"/>
    <w:rsid w:val="25DC7BF4"/>
    <w:rsid w:val="263E265D"/>
    <w:rsid w:val="266B45B7"/>
    <w:rsid w:val="26C863CA"/>
    <w:rsid w:val="26F471BF"/>
    <w:rsid w:val="26FB67A0"/>
    <w:rsid w:val="278A18D2"/>
    <w:rsid w:val="27EE00B2"/>
    <w:rsid w:val="28CA642A"/>
    <w:rsid w:val="29211DC2"/>
    <w:rsid w:val="29346F27"/>
    <w:rsid w:val="2A1A0CEB"/>
    <w:rsid w:val="2A7A5C2D"/>
    <w:rsid w:val="2B2B6F28"/>
    <w:rsid w:val="2B357971"/>
    <w:rsid w:val="2C4402A1"/>
    <w:rsid w:val="2C7843EE"/>
    <w:rsid w:val="2CB52F4D"/>
    <w:rsid w:val="2CD930DF"/>
    <w:rsid w:val="2D4B565F"/>
    <w:rsid w:val="2D60110A"/>
    <w:rsid w:val="2DCB7A40"/>
    <w:rsid w:val="2DDB4C35"/>
    <w:rsid w:val="2E4E5407"/>
    <w:rsid w:val="2E876B6B"/>
    <w:rsid w:val="2EB711FE"/>
    <w:rsid w:val="2EDA313F"/>
    <w:rsid w:val="2FA23C5C"/>
    <w:rsid w:val="2FDF85B8"/>
    <w:rsid w:val="2FFFEE04"/>
    <w:rsid w:val="312B7C81"/>
    <w:rsid w:val="318F1FBE"/>
    <w:rsid w:val="318F6462"/>
    <w:rsid w:val="32116E77"/>
    <w:rsid w:val="322B69C3"/>
    <w:rsid w:val="336B6A5B"/>
    <w:rsid w:val="347B4A7C"/>
    <w:rsid w:val="34DF85B0"/>
    <w:rsid w:val="34F07218"/>
    <w:rsid w:val="35305866"/>
    <w:rsid w:val="35A0080B"/>
    <w:rsid w:val="35BF4E3C"/>
    <w:rsid w:val="35EA1EB9"/>
    <w:rsid w:val="36575075"/>
    <w:rsid w:val="368340BC"/>
    <w:rsid w:val="36AD7DEB"/>
    <w:rsid w:val="3701395E"/>
    <w:rsid w:val="37031DE8"/>
    <w:rsid w:val="37082F44"/>
    <w:rsid w:val="377A54BF"/>
    <w:rsid w:val="37CD2C58"/>
    <w:rsid w:val="38806B05"/>
    <w:rsid w:val="3891486E"/>
    <w:rsid w:val="38B95B73"/>
    <w:rsid w:val="39B051C8"/>
    <w:rsid w:val="39E66E3B"/>
    <w:rsid w:val="39E7368D"/>
    <w:rsid w:val="3A202E5A"/>
    <w:rsid w:val="3A443B62"/>
    <w:rsid w:val="3A4D0C68"/>
    <w:rsid w:val="3AAB598F"/>
    <w:rsid w:val="3B556027"/>
    <w:rsid w:val="3B8F36BC"/>
    <w:rsid w:val="3D7F55DD"/>
    <w:rsid w:val="3DA45043"/>
    <w:rsid w:val="3DF5764D"/>
    <w:rsid w:val="3F220916"/>
    <w:rsid w:val="3FF37BBC"/>
    <w:rsid w:val="409969B6"/>
    <w:rsid w:val="415E7BFF"/>
    <w:rsid w:val="417E3DFD"/>
    <w:rsid w:val="41962EF5"/>
    <w:rsid w:val="41EB2280"/>
    <w:rsid w:val="41FD11C6"/>
    <w:rsid w:val="42116A20"/>
    <w:rsid w:val="42D53EF1"/>
    <w:rsid w:val="42DF08CC"/>
    <w:rsid w:val="432A7D99"/>
    <w:rsid w:val="432B3B11"/>
    <w:rsid w:val="434C41B3"/>
    <w:rsid w:val="43650DD1"/>
    <w:rsid w:val="439E2535"/>
    <w:rsid w:val="446E0159"/>
    <w:rsid w:val="44A45929"/>
    <w:rsid w:val="44E623E5"/>
    <w:rsid w:val="45505AB1"/>
    <w:rsid w:val="456A4DC4"/>
    <w:rsid w:val="45B20519"/>
    <w:rsid w:val="461B60BF"/>
    <w:rsid w:val="46AB11F1"/>
    <w:rsid w:val="46F10BCE"/>
    <w:rsid w:val="46F801AE"/>
    <w:rsid w:val="47694C08"/>
    <w:rsid w:val="47E8935B"/>
    <w:rsid w:val="480F1C53"/>
    <w:rsid w:val="485D476D"/>
    <w:rsid w:val="486C2C02"/>
    <w:rsid w:val="48853CC3"/>
    <w:rsid w:val="48B031BB"/>
    <w:rsid w:val="491FF225"/>
    <w:rsid w:val="49431BB4"/>
    <w:rsid w:val="4A1C41B3"/>
    <w:rsid w:val="4A381B21"/>
    <w:rsid w:val="4A655B5A"/>
    <w:rsid w:val="4AFF49AD"/>
    <w:rsid w:val="4B3C4B0D"/>
    <w:rsid w:val="4C334692"/>
    <w:rsid w:val="4CEA67EB"/>
    <w:rsid w:val="4D331F40"/>
    <w:rsid w:val="4D7A191D"/>
    <w:rsid w:val="4E9133C2"/>
    <w:rsid w:val="4F4421E2"/>
    <w:rsid w:val="4F716D4F"/>
    <w:rsid w:val="4FB629B4"/>
    <w:rsid w:val="4FE45773"/>
    <w:rsid w:val="4FE6773D"/>
    <w:rsid w:val="4FE70DC0"/>
    <w:rsid w:val="4FFD214C"/>
    <w:rsid w:val="505E4C4B"/>
    <w:rsid w:val="506F14E1"/>
    <w:rsid w:val="50ED1318"/>
    <w:rsid w:val="514F30C0"/>
    <w:rsid w:val="52304CA0"/>
    <w:rsid w:val="52500E9E"/>
    <w:rsid w:val="52DC7DB4"/>
    <w:rsid w:val="53277E51"/>
    <w:rsid w:val="532F3286"/>
    <w:rsid w:val="533B56AA"/>
    <w:rsid w:val="53513120"/>
    <w:rsid w:val="538A03E0"/>
    <w:rsid w:val="53A05E55"/>
    <w:rsid w:val="540248E3"/>
    <w:rsid w:val="544A4CD7"/>
    <w:rsid w:val="54B12F7D"/>
    <w:rsid w:val="54CC5154"/>
    <w:rsid w:val="54EF2BF0"/>
    <w:rsid w:val="55366A71"/>
    <w:rsid w:val="55434CEA"/>
    <w:rsid w:val="5572737D"/>
    <w:rsid w:val="55BA31FE"/>
    <w:rsid w:val="55E4027B"/>
    <w:rsid w:val="563A7A06"/>
    <w:rsid w:val="56694C24"/>
    <w:rsid w:val="566D9F99"/>
    <w:rsid w:val="570D0312"/>
    <w:rsid w:val="57437223"/>
    <w:rsid w:val="5777D4F5"/>
    <w:rsid w:val="57AD28EF"/>
    <w:rsid w:val="580764A3"/>
    <w:rsid w:val="59367040"/>
    <w:rsid w:val="59DD8326"/>
    <w:rsid w:val="5A2B32E4"/>
    <w:rsid w:val="5A2F1CE1"/>
    <w:rsid w:val="5A81253D"/>
    <w:rsid w:val="5B3A26EB"/>
    <w:rsid w:val="5BE72873"/>
    <w:rsid w:val="5C133668"/>
    <w:rsid w:val="5CA97C7F"/>
    <w:rsid w:val="5CCC1A69"/>
    <w:rsid w:val="5CFA65D6"/>
    <w:rsid w:val="5D7D47EF"/>
    <w:rsid w:val="5DEF592A"/>
    <w:rsid w:val="5E56783C"/>
    <w:rsid w:val="5E6A778C"/>
    <w:rsid w:val="5E824AD5"/>
    <w:rsid w:val="5E9860A7"/>
    <w:rsid w:val="5E9B238B"/>
    <w:rsid w:val="5F0E6369"/>
    <w:rsid w:val="5F105C3D"/>
    <w:rsid w:val="5F13397F"/>
    <w:rsid w:val="5F48187B"/>
    <w:rsid w:val="5F724B4A"/>
    <w:rsid w:val="5FC6BB1E"/>
    <w:rsid w:val="5FE77901"/>
    <w:rsid w:val="5FF720F1"/>
    <w:rsid w:val="606BDD03"/>
    <w:rsid w:val="607641C6"/>
    <w:rsid w:val="60791F08"/>
    <w:rsid w:val="608368E3"/>
    <w:rsid w:val="608F34D9"/>
    <w:rsid w:val="613C71BD"/>
    <w:rsid w:val="625642AF"/>
    <w:rsid w:val="627B5AC3"/>
    <w:rsid w:val="6280132C"/>
    <w:rsid w:val="6299063F"/>
    <w:rsid w:val="632F0827"/>
    <w:rsid w:val="647C1FC7"/>
    <w:rsid w:val="64CF0348"/>
    <w:rsid w:val="64F953C5"/>
    <w:rsid w:val="653A1489"/>
    <w:rsid w:val="659155FE"/>
    <w:rsid w:val="659C46CE"/>
    <w:rsid w:val="65EC45F7"/>
    <w:rsid w:val="66477750"/>
    <w:rsid w:val="66576847"/>
    <w:rsid w:val="66860EDB"/>
    <w:rsid w:val="66AD290B"/>
    <w:rsid w:val="6713087B"/>
    <w:rsid w:val="67FF5C0B"/>
    <w:rsid w:val="684921C0"/>
    <w:rsid w:val="686261C8"/>
    <w:rsid w:val="6885769C"/>
    <w:rsid w:val="69B55D5F"/>
    <w:rsid w:val="69BC60D2"/>
    <w:rsid w:val="69E71C90"/>
    <w:rsid w:val="6A222CC8"/>
    <w:rsid w:val="6A330664"/>
    <w:rsid w:val="6A3C1FDC"/>
    <w:rsid w:val="6AA25882"/>
    <w:rsid w:val="6AAA163C"/>
    <w:rsid w:val="6AB9187F"/>
    <w:rsid w:val="6AFB3C45"/>
    <w:rsid w:val="6B0A20DA"/>
    <w:rsid w:val="6C134FBF"/>
    <w:rsid w:val="6D1A237D"/>
    <w:rsid w:val="6D8A305E"/>
    <w:rsid w:val="6DB30807"/>
    <w:rsid w:val="6DC26C9C"/>
    <w:rsid w:val="6DFF3A4C"/>
    <w:rsid w:val="6E5518BE"/>
    <w:rsid w:val="6EC922AC"/>
    <w:rsid w:val="6EEA6186"/>
    <w:rsid w:val="6EFC0924"/>
    <w:rsid w:val="6F5C6C7D"/>
    <w:rsid w:val="6FB74722"/>
    <w:rsid w:val="6FEF8B7E"/>
    <w:rsid w:val="6FF675F6"/>
    <w:rsid w:val="70090BB2"/>
    <w:rsid w:val="704E0CBB"/>
    <w:rsid w:val="705B0CE2"/>
    <w:rsid w:val="70DF5DB7"/>
    <w:rsid w:val="70E46F2A"/>
    <w:rsid w:val="70F133F4"/>
    <w:rsid w:val="71A55100"/>
    <w:rsid w:val="71A6591B"/>
    <w:rsid w:val="720553A9"/>
    <w:rsid w:val="721B4BCD"/>
    <w:rsid w:val="725D51E5"/>
    <w:rsid w:val="736305DA"/>
    <w:rsid w:val="737D59BA"/>
    <w:rsid w:val="738642C8"/>
    <w:rsid w:val="73FE6554"/>
    <w:rsid w:val="74634609"/>
    <w:rsid w:val="75575F1C"/>
    <w:rsid w:val="75587EE6"/>
    <w:rsid w:val="75EB2B08"/>
    <w:rsid w:val="7610431D"/>
    <w:rsid w:val="76B13D52"/>
    <w:rsid w:val="76FD2AF3"/>
    <w:rsid w:val="770519A8"/>
    <w:rsid w:val="77AB254F"/>
    <w:rsid w:val="77C37683"/>
    <w:rsid w:val="77E12415"/>
    <w:rsid w:val="789254BD"/>
    <w:rsid w:val="78C25DA2"/>
    <w:rsid w:val="78CF6711"/>
    <w:rsid w:val="78E0447A"/>
    <w:rsid w:val="78ED2AF3"/>
    <w:rsid w:val="790740FD"/>
    <w:rsid w:val="792A1D12"/>
    <w:rsid w:val="79CB6ED9"/>
    <w:rsid w:val="79D19834"/>
    <w:rsid w:val="79FF515B"/>
    <w:rsid w:val="7A462A03"/>
    <w:rsid w:val="7A886B78"/>
    <w:rsid w:val="7A97325F"/>
    <w:rsid w:val="7AFE6E3A"/>
    <w:rsid w:val="7B0E3521"/>
    <w:rsid w:val="7B3B8D24"/>
    <w:rsid w:val="7B65510B"/>
    <w:rsid w:val="7BF1B462"/>
    <w:rsid w:val="7C4D0079"/>
    <w:rsid w:val="7C7970C0"/>
    <w:rsid w:val="7CD97B5E"/>
    <w:rsid w:val="7DB12889"/>
    <w:rsid w:val="7DF10ED8"/>
    <w:rsid w:val="7E9E1962"/>
    <w:rsid w:val="7E9F11B4"/>
    <w:rsid w:val="7EAF42BB"/>
    <w:rsid w:val="7F37EC1E"/>
    <w:rsid w:val="7F645E05"/>
    <w:rsid w:val="7F78540D"/>
    <w:rsid w:val="7F7DCD9D"/>
    <w:rsid w:val="7F970A6F"/>
    <w:rsid w:val="7FA77AA0"/>
    <w:rsid w:val="7FC1FFF3"/>
    <w:rsid w:val="7FC69637"/>
    <w:rsid w:val="7FDF8620"/>
    <w:rsid w:val="7FE8C8F7"/>
    <w:rsid w:val="7FFB242F"/>
    <w:rsid w:val="7FFDB408"/>
    <w:rsid w:val="7FFE4EEB"/>
    <w:rsid w:val="95FB2B98"/>
    <w:rsid w:val="9A639BC2"/>
    <w:rsid w:val="9FF7D786"/>
    <w:rsid w:val="AB34131D"/>
    <w:rsid w:val="ABBFB23D"/>
    <w:rsid w:val="BEFF825F"/>
    <w:rsid w:val="C3B4DA5A"/>
    <w:rsid w:val="CBFF70E0"/>
    <w:rsid w:val="CD7C15A2"/>
    <w:rsid w:val="CFF50B82"/>
    <w:rsid w:val="CFFFAD89"/>
    <w:rsid w:val="DD37D602"/>
    <w:rsid w:val="DFFE01D8"/>
    <w:rsid w:val="DFFE359E"/>
    <w:rsid w:val="DFFE4FFD"/>
    <w:rsid w:val="EDDDF897"/>
    <w:rsid w:val="EEABED75"/>
    <w:rsid w:val="EF30FCB2"/>
    <w:rsid w:val="EF9DAAFD"/>
    <w:rsid w:val="F56FDF51"/>
    <w:rsid w:val="F6B69F17"/>
    <w:rsid w:val="F77F1D61"/>
    <w:rsid w:val="F7FED3A9"/>
    <w:rsid w:val="F8C9DB26"/>
    <w:rsid w:val="F97E8EAE"/>
    <w:rsid w:val="FB36E1A6"/>
    <w:rsid w:val="FB3BE134"/>
    <w:rsid w:val="FB47E5C5"/>
    <w:rsid w:val="FBD36697"/>
    <w:rsid w:val="FCFF4275"/>
    <w:rsid w:val="FD7FEEEA"/>
    <w:rsid w:val="FDFFB577"/>
    <w:rsid w:val="FEEA50FE"/>
    <w:rsid w:val="FF7D47A9"/>
    <w:rsid w:val="FF7E3201"/>
    <w:rsid w:val="FFBF68BB"/>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444</Words>
  <Characters>450</Characters>
  <Lines>69</Lines>
  <Paragraphs>19</Paragraphs>
  <TotalTime>109</TotalTime>
  <ScaleCrop>false</ScaleCrop>
  <LinksUpToDate>false</LinksUpToDate>
  <CharactersWithSpaces>457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2025-09-12T02:15:00Z</dcterms:created>
  <dc:creator>李航 null</dc:creator>
  <cp:lastModifiedBy>A梦</cp:lastModifiedBy>
  <cp:lastPrinted>2026-09-10T02:48:00Z</cp:lastPrinted>
  <dcterms:modified xsi:type="dcterms:W3CDTF">2026-10-12T17:18:06Z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A3222EADB9224364BC890181E23CB7B1_13</vt:lpwstr>
  </property>
  <property fmtid="{D5CDD505-2E9C-101B-9397-08002B2CF9AE}" pid="4" name="KSOTemplateDocerSaveRecord">
    <vt:lpwstr>eyJoZGlkIjoiNzBhNzFmNjRiNmQyNzA3ODI2ZTY5ZGExZWQ2MmQzNDEiLCJ1c2VySWQiOiIzNDQwMDQzNTQifQ==</vt:lpwstr>
  </property>
</Properties>
</file>