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C07A14">
      <w:pPr>
        <w:pStyle w:val="15"/>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1B71A68E">
      <w:pPr>
        <w:pStyle w:val="15"/>
        <w:jc w:val="center"/>
        <w:rPr>
          <w:rFonts w:ascii="Times New Roman" w:hAnsi="Times New Roman" w:cs="Times New Roman"/>
          <w:sz w:val="56"/>
          <w:szCs w:val="56"/>
        </w:rPr>
      </w:pPr>
    </w:p>
    <w:p w14:paraId="6C9A1512">
      <w:pPr>
        <w:pStyle w:val="15"/>
        <w:jc w:val="center"/>
        <w:rPr>
          <w:rFonts w:ascii="Times New Roman" w:hAnsi="Times New Roman" w:cs="Times New Roman"/>
          <w:sz w:val="84"/>
          <w:szCs w:val="84"/>
        </w:rPr>
      </w:pPr>
    </w:p>
    <w:p w14:paraId="42F6CBED">
      <w:pPr>
        <w:pStyle w:val="15"/>
        <w:jc w:val="center"/>
        <w:rPr>
          <w:rFonts w:ascii="Times New Roman" w:hAnsi="Times New Roman" w:cs="Times New Roman"/>
          <w:sz w:val="84"/>
          <w:szCs w:val="84"/>
        </w:rPr>
      </w:pPr>
    </w:p>
    <w:p w14:paraId="0C5C45AD">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5BF0F77">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怀化市委市政府机关老干部休养所</w:t>
      </w:r>
      <w:r>
        <w:rPr>
          <w:rFonts w:ascii="Times New Roman" w:hAnsi="Times New Roman" w:eastAsia="方正小标宋简体" w:cs="Times New Roman"/>
          <w:sz w:val="72"/>
          <w:szCs w:val="72"/>
        </w:rPr>
        <w:t>部门决算</w:t>
      </w:r>
    </w:p>
    <w:p w14:paraId="342ED14D">
      <w:pPr>
        <w:pStyle w:val="15"/>
        <w:jc w:val="center"/>
        <w:rPr>
          <w:rFonts w:ascii="Times New Roman" w:hAnsi="Times New Roman" w:eastAsia="方正小标宋_GBK" w:cs="Times New Roman"/>
          <w:sz w:val="56"/>
          <w:szCs w:val="56"/>
        </w:rPr>
      </w:pPr>
    </w:p>
    <w:p w14:paraId="3789C4F9">
      <w:pPr>
        <w:pStyle w:val="15"/>
        <w:jc w:val="center"/>
        <w:rPr>
          <w:rFonts w:ascii="Times New Roman" w:hAnsi="Times New Roman" w:cs="Times New Roman"/>
          <w:sz w:val="56"/>
          <w:szCs w:val="56"/>
        </w:rPr>
      </w:pPr>
    </w:p>
    <w:p w14:paraId="683CAFCF">
      <w:pPr>
        <w:pStyle w:val="15"/>
        <w:rPr>
          <w:rFonts w:ascii="Times New Roman" w:hAnsi="Times New Roman" w:cs="Times New Roman"/>
          <w:sz w:val="56"/>
          <w:szCs w:val="56"/>
        </w:rPr>
      </w:pPr>
    </w:p>
    <w:p w14:paraId="3F05E835">
      <w:pPr>
        <w:pStyle w:val="15"/>
        <w:jc w:val="center"/>
        <w:rPr>
          <w:rFonts w:ascii="Times New Roman" w:hAnsi="Times New Roman" w:cs="Times New Roman"/>
          <w:sz w:val="32"/>
          <w:szCs w:val="32"/>
        </w:rPr>
      </w:pPr>
    </w:p>
    <w:p w14:paraId="7D2C5349">
      <w:pPr>
        <w:pStyle w:val="15"/>
        <w:jc w:val="center"/>
        <w:rPr>
          <w:rFonts w:ascii="Times New Roman" w:hAnsi="Times New Roman" w:cs="Times New Roman"/>
          <w:sz w:val="32"/>
          <w:szCs w:val="32"/>
        </w:rPr>
      </w:pPr>
    </w:p>
    <w:p w14:paraId="6E084D68">
      <w:pPr>
        <w:pStyle w:val="15"/>
        <w:jc w:val="center"/>
        <w:rPr>
          <w:rFonts w:ascii="Times New Roman" w:hAnsi="Times New Roman" w:cs="Times New Roman"/>
          <w:sz w:val="32"/>
          <w:szCs w:val="32"/>
        </w:rPr>
      </w:pPr>
    </w:p>
    <w:p w14:paraId="39A6E0D9">
      <w:pPr>
        <w:pStyle w:val="15"/>
        <w:jc w:val="center"/>
        <w:rPr>
          <w:rFonts w:ascii="Times New Roman" w:hAnsi="Times New Roman" w:cs="Times New Roman"/>
          <w:sz w:val="32"/>
          <w:szCs w:val="32"/>
        </w:rPr>
      </w:pPr>
    </w:p>
    <w:p w14:paraId="7072F261">
      <w:pPr>
        <w:pStyle w:val="15"/>
        <w:jc w:val="center"/>
        <w:rPr>
          <w:rFonts w:ascii="Times New Roman" w:hAnsi="Times New Roman" w:cs="Times New Roman"/>
          <w:sz w:val="32"/>
          <w:szCs w:val="32"/>
        </w:rPr>
      </w:pPr>
    </w:p>
    <w:p w14:paraId="441FB3B3">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53C57D4F">
      <w:pPr>
        <w:pStyle w:val="15"/>
        <w:spacing w:line="600" w:lineRule="exact"/>
        <w:jc w:val="both"/>
        <w:rPr>
          <w:rFonts w:ascii="Times New Roman" w:hAnsi="Times New Roman" w:cs="Times New Roman"/>
          <w:b/>
          <w:sz w:val="36"/>
          <w:szCs w:val="28"/>
        </w:rPr>
      </w:pPr>
    </w:p>
    <w:p w14:paraId="682BC059">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E6FFEAE">
      <w:pPr>
        <w:pStyle w:val="15"/>
        <w:spacing w:line="600" w:lineRule="exact"/>
        <w:jc w:val="center"/>
        <w:rPr>
          <w:rFonts w:ascii="Times New Roman" w:hAnsi="Times New Roman" w:cs="Times New Roman"/>
          <w:b/>
          <w:sz w:val="36"/>
          <w:szCs w:val="28"/>
        </w:rPr>
      </w:pPr>
    </w:p>
    <w:p w14:paraId="503F6629">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怀化市委市政府机关老干部休养所</w:t>
      </w:r>
      <w:r>
        <w:rPr>
          <w:rFonts w:ascii="Times New Roman" w:hAnsi="Times New Roman" w:cs="Times New Roman"/>
          <w:bCs/>
          <w:sz w:val="32"/>
          <w:szCs w:val="32"/>
        </w:rPr>
        <w:t>概况</w:t>
      </w:r>
    </w:p>
    <w:p w14:paraId="6A3DB9C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553CAF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5CD0370">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738FD5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C3AE91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C5CF02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B12B5CE">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B1FC7D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7E4B77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398897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77578F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19635B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587CCAC">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79F379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21E6B7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576B8A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1365A5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44E2EE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7233471">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2111A2C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6206CC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47996C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2FEB5B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6559F7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0A7C0DD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7B1A57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F3F542E">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18E084A2">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474F2B6">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F6B7FAA">
      <w:pPr>
        <w:pStyle w:val="15"/>
        <w:spacing w:line="600" w:lineRule="exact"/>
        <w:rPr>
          <w:rFonts w:ascii="Times New Roman" w:hAnsi="Times New Roman" w:cs="Times New Roman"/>
          <w:bCs/>
          <w:sz w:val="28"/>
          <w:szCs w:val="28"/>
        </w:rPr>
      </w:pPr>
    </w:p>
    <w:p w14:paraId="39F86169">
      <w:pPr>
        <w:jc w:val="center"/>
        <w:rPr>
          <w:rFonts w:ascii="Times New Roman" w:hAnsi="Times New Roman" w:cs="Times New Roman"/>
          <w:sz w:val="72"/>
          <w:szCs w:val="72"/>
        </w:rPr>
      </w:pPr>
    </w:p>
    <w:p w14:paraId="194ACF0F">
      <w:pPr>
        <w:jc w:val="center"/>
        <w:rPr>
          <w:rFonts w:ascii="Times New Roman" w:hAnsi="Times New Roman" w:cs="Times New Roman"/>
          <w:sz w:val="72"/>
          <w:szCs w:val="72"/>
        </w:rPr>
      </w:pPr>
    </w:p>
    <w:p w14:paraId="1EA4076C">
      <w:pPr>
        <w:jc w:val="center"/>
        <w:rPr>
          <w:rFonts w:ascii="Times New Roman" w:hAnsi="Times New Roman" w:cs="Times New Roman"/>
          <w:sz w:val="72"/>
          <w:szCs w:val="72"/>
        </w:rPr>
      </w:pPr>
    </w:p>
    <w:p w14:paraId="051C52D4">
      <w:pPr>
        <w:pStyle w:val="8"/>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671553EF">
      <w:pPr>
        <w:rPr>
          <w:rFonts w:ascii="Times New Roman" w:hAnsi="Times New Roman" w:eastAsia="方正小标宋_GBK" w:cs="Times New Roman"/>
          <w:sz w:val="72"/>
          <w:szCs w:val="72"/>
        </w:rPr>
      </w:pPr>
    </w:p>
    <w:p w14:paraId="286E316F">
      <w:pPr>
        <w:rPr>
          <w:rFonts w:ascii="Times New Roman" w:hAnsi="Times New Roman" w:eastAsia="方正小标宋_GBK" w:cs="Times New Roman"/>
          <w:sz w:val="72"/>
          <w:szCs w:val="72"/>
        </w:rPr>
      </w:pPr>
    </w:p>
    <w:p w14:paraId="2182772C">
      <w:pPr>
        <w:rPr>
          <w:rFonts w:ascii="Times New Roman" w:hAnsi="Times New Roman" w:eastAsia="方正小标宋_GBK" w:cs="Times New Roman"/>
          <w:sz w:val="72"/>
          <w:szCs w:val="72"/>
        </w:rPr>
      </w:pPr>
    </w:p>
    <w:p w14:paraId="5B5E9B83">
      <w:pPr>
        <w:rPr>
          <w:rFonts w:ascii="Times New Roman" w:hAnsi="Times New Roman" w:eastAsia="方正小标宋_GBK" w:cs="Times New Roman"/>
          <w:sz w:val="72"/>
          <w:szCs w:val="72"/>
        </w:rPr>
      </w:pPr>
    </w:p>
    <w:p w14:paraId="3FC9C492">
      <w:pPr>
        <w:rPr>
          <w:rFonts w:ascii="Times New Roman" w:hAnsi="Times New Roman" w:eastAsia="方正小标宋_GBK" w:cs="Times New Roman"/>
          <w:sz w:val="72"/>
          <w:szCs w:val="72"/>
        </w:rPr>
      </w:pPr>
    </w:p>
    <w:p w14:paraId="5CC1A069">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FD2B4CB">
      <w:pPr>
        <w:pStyle w:val="15"/>
        <w:spacing w:line="360" w:lineRule="auto"/>
        <w:jc w:val="both"/>
        <w:rPr>
          <w:rFonts w:ascii="Times New Roman" w:hAnsi="Times New Roman" w:eastAsia="方正小标宋_GBK" w:cs="Times New Roman"/>
          <w:spacing w:val="-6"/>
          <w:sz w:val="52"/>
          <w:szCs w:val="52"/>
        </w:rPr>
      </w:pPr>
      <w:r>
        <w:rPr>
          <w:rFonts w:hint="eastAsia" w:ascii="Times New Roman" w:hAnsi="Times New Roman" w:eastAsia="方正小标宋_GBK" w:cs="Times New Roman"/>
          <w:spacing w:val="-6"/>
          <w:sz w:val="52"/>
          <w:szCs w:val="52"/>
        </w:rPr>
        <w:t>怀化市委市政府机关老干部休养所</w:t>
      </w:r>
      <w:r>
        <w:rPr>
          <w:rFonts w:ascii="Times New Roman" w:hAnsi="Times New Roman" w:eastAsia="方正小标宋_GBK" w:cs="Times New Roman"/>
          <w:spacing w:val="-6"/>
          <w:sz w:val="52"/>
          <w:szCs w:val="52"/>
        </w:rPr>
        <w:t>概况</w:t>
      </w:r>
    </w:p>
    <w:p w14:paraId="230291DC">
      <w:pPr>
        <w:pStyle w:val="9"/>
        <w:ind w:left="0" w:leftChars="0" w:firstLine="0" w:firstLineChars="0"/>
        <w:rPr>
          <w:rFonts w:ascii="Times New Roman" w:hAnsi="Times New Roman" w:cs="Times New Roman"/>
        </w:rPr>
      </w:pPr>
    </w:p>
    <w:p w14:paraId="4BD6FB69">
      <w:pPr>
        <w:pStyle w:val="16"/>
        <w:spacing w:line="600" w:lineRule="exact"/>
        <w:ind w:firstLine="640" w:firstLineChars="200"/>
        <w:jc w:val="left"/>
        <w:rPr>
          <w:rFonts w:hint="eastAsia" w:ascii="Times New Roman" w:hAnsi="Times New Roman" w:eastAsia="黑体" w:cs="Times New Roman"/>
          <w:sz w:val="32"/>
          <w:szCs w:val="32"/>
        </w:rPr>
      </w:pPr>
    </w:p>
    <w:p w14:paraId="165F88FC">
      <w:pPr>
        <w:pStyle w:val="16"/>
        <w:spacing w:line="600" w:lineRule="exact"/>
        <w:ind w:firstLine="640" w:firstLineChars="200"/>
        <w:jc w:val="left"/>
        <w:rPr>
          <w:rFonts w:hint="eastAsia" w:ascii="Times New Roman" w:hAnsi="Times New Roman" w:eastAsia="黑体" w:cs="Times New Roman"/>
          <w:sz w:val="32"/>
          <w:szCs w:val="32"/>
        </w:rPr>
      </w:pPr>
    </w:p>
    <w:p w14:paraId="00439936">
      <w:pPr>
        <w:pStyle w:val="16"/>
        <w:spacing w:line="600" w:lineRule="exact"/>
        <w:ind w:firstLine="640" w:firstLineChars="200"/>
        <w:jc w:val="left"/>
        <w:rPr>
          <w:rFonts w:hint="eastAsia" w:ascii="Times New Roman" w:hAnsi="Times New Roman" w:eastAsia="黑体" w:cs="Times New Roman"/>
          <w:sz w:val="32"/>
          <w:szCs w:val="32"/>
        </w:rPr>
      </w:pPr>
    </w:p>
    <w:p w14:paraId="0DC67B01">
      <w:pPr>
        <w:pStyle w:val="16"/>
        <w:spacing w:line="600" w:lineRule="exact"/>
        <w:ind w:firstLine="640" w:firstLineChars="200"/>
        <w:jc w:val="left"/>
        <w:rPr>
          <w:rFonts w:hint="eastAsia" w:ascii="Times New Roman" w:hAnsi="Times New Roman" w:eastAsia="黑体" w:cs="Times New Roman"/>
          <w:sz w:val="32"/>
          <w:szCs w:val="32"/>
        </w:rPr>
      </w:pPr>
    </w:p>
    <w:p w14:paraId="6E94CC13">
      <w:pPr>
        <w:pStyle w:val="16"/>
        <w:spacing w:line="600" w:lineRule="exact"/>
        <w:ind w:firstLine="640" w:firstLineChars="200"/>
        <w:jc w:val="left"/>
        <w:rPr>
          <w:rFonts w:hint="eastAsia" w:ascii="Times New Roman" w:hAnsi="Times New Roman" w:eastAsia="黑体" w:cs="Times New Roman"/>
          <w:sz w:val="32"/>
          <w:szCs w:val="32"/>
        </w:rPr>
      </w:pPr>
    </w:p>
    <w:p w14:paraId="20E3C85C">
      <w:pPr>
        <w:pStyle w:val="16"/>
        <w:spacing w:line="600" w:lineRule="exact"/>
        <w:ind w:firstLine="640" w:firstLineChars="200"/>
        <w:jc w:val="left"/>
        <w:rPr>
          <w:rFonts w:hint="eastAsia" w:ascii="Times New Roman" w:hAnsi="Times New Roman" w:eastAsia="黑体" w:cs="Times New Roman"/>
          <w:sz w:val="32"/>
          <w:szCs w:val="32"/>
        </w:rPr>
      </w:pPr>
    </w:p>
    <w:p w14:paraId="6E3219A1">
      <w:pPr>
        <w:pStyle w:val="16"/>
        <w:spacing w:line="600" w:lineRule="exact"/>
        <w:ind w:firstLine="640" w:firstLineChars="200"/>
        <w:jc w:val="left"/>
        <w:rPr>
          <w:rFonts w:hint="eastAsia" w:ascii="Times New Roman" w:hAnsi="Times New Roman" w:eastAsia="黑体" w:cs="Times New Roman"/>
          <w:sz w:val="32"/>
          <w:szCs w:val="32"/>
        </w:rPr>
      </w:pPr>
    </w:p>
    <w:p w14:paraId="70F2E61E">
      <w:pPr>
        <w:pStyle w:val="16"/>
        <w:spacing w:line="600" w:lineRule="exact"/>
        <w:ind w:firstLine="640" w:firstLineChars="200"/>
        <w:jc w:val="left"/>
        <w:rPr>
          <w:rFonts w:hint="eastAsia" w:ascii="Times New Roman" w:hAnsi="Times New Roman" w:eastAsia="黑体" w:cs="Times New Roman"/>
          <w:sz w:val="32"/>
          <w:szCs w:val="32"/>
        </w:rPr>
      </w:pPr>
    </w:p>
    <w:p w14:paraId="32C99ABF">
      <w:pPr>
        <w:pStyle w:val="16"/>
        <w:spacing w:line="600" w:lineRule="exact"/>
        <w:ind w:firstLine="640" w:firstLineChars="200"/>
        <w:jc w:val="left"/>
        <w:rPr>
          <w:rFonts w:hint="eastAsia" w:ascii="Times New Roman" w:hAnsi="Times New Roman" w:eastAsia="黑体" w:cs="Times New Roman"/>
          <w:sz w:val="32"/>
          <w:szCs w:val="32"/>
        </w:rPr>
      </w:pPr>
    </w:p>
    <w:p w14:paraId="298F5ED1">
      <w:pPr>
        <w:pStyle w:val="16"/>
        <w:spacing w:line="600" w:lineRule="exact"/>
        <w:ind w:firstLine="640" w:firstLineChars="200"/>
        <w:jc w:val="left"/>
        <w:rPr>
          <w:rFonts w:hint="eastAsia" w:ascii="Times New Roman" w:hAnsi="Times New Roman" w:eastAsia="黑体" w:cs="Times New Roman"/>
          <w:sz w:val="32"/>
          <w:szCs w:val="32"/>
        </w:rPr>
      </w:pPr>
    </w:p>
    <w:p w14:paraId="4BD56C96">
      <w:pPr>
        <w:pStyle w:val="16"/>
        <w:spacing w:line="600" w:lineRule="exact"/>
        <w:ind w:firstLine="640" w:firstLineChars="200"/>
        <w:jc w:val="left"/>
        <w:rPr>
          <w:rFonts w:hint="eastAsia" w:ascii="Times New Roman" w:hAnsi="Times New Roman" w:eastAsia="黑体" w:cs="Times New Roman"/>
          <w:sz w:val="32"/>
          <w:szCs w:val="32"/>
        </w:rPr>
      </w:pPr>
    </w:p>
    <w:p w14:paraId="72E98056">
      <w:pPr>
        <w:pStyle w:val="16"/>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F51480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（1）认真宣传、贯彻执行党中央、国务院关于离退休干部的各项方针政策。</w:t>
      </w:r>
    </w:p>
    <w:p w14:paraId="42A8ACC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（2）负责做好离退休干部的政治学习、文件传阅、听重要报告、参加重要会议和政治活动等具体组织工作，落实好各项政治待遇。</w:t>
      </w:r>
    </w:p>
    <w:p w14:paraId="1A3A8A1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（3）协助做好离退休干部的医疗保健工作，安排好老干部的体检、疗养和用车。</w:t>
      </w:r>
    </w:p>
    <w:p w14:paraId="7992A58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bCs/>
          <w:color w:val="auto"/>
          <w:kern w:val="0"/>
          <w:sz w:val="32"/>
          <w:szCs w:val="32"/>
        </w:rPr>
      </w:pPr>
      <w:r>
        <w:rPr>
          <w:rFonts w:hint="eastAsia" w:ascii="Times New Roman" w:hAnsi="Times New Roman" w:eastAsia="仿宋_GB2312" w:cs="仿宋_GB2312"/>
          <w:bCs/>
          <w:kern w:val="0"/>
          <w:sz w:val="32"/>
          <w:szCs w:val="32"/>
        </w:rPr>
        <w:t>（4）组织开</w:t>
      </w:r>
      <w:r>
        <w:rPr>
          <w:rFonts w:hint="eastAsia" w:ascii="Times New Roman" w:hAnsi="Times New Roman" w:eastAsia="仿宋_GB2312" w:cs="仿宋_GB2312"/>
          <w:bCs/>
          <w:color w:val="auto"/>
          <w:kern w:val="0"/>
          <w:sz w:val="32"/>
          <w:szCs w:val="32"/>
        </w:rPr>
        <w:t>展有益老干部身心健康的各项活动，发挥老干部在社会建设中的作用。</w:t>
      </w:r>
    </w:p>
    <w:p w14:paraId="20D2F20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bCs/>
          <w:color w:val="auto"/>
          <w:kern w:val="0"/>
          <w:sz w:val="32"/>
          <w:szCs w:val="32"/>
        </w:rPr>
      </w:pPr>
      <w:r>
        <w:rPr>
          <w:rFonts w:hint="eastAsia" w:ascii="Times New Roman" w:hAnsi="Times New Roman" w:eastAsia="仿宋_GB2312" w:cs="仿宋_GB2312"/>
          <w:bCs/>
          <w:color w:val="auto"/>
          <w:kern w:val="0"/>
          <w:sz w:val="32"/>
          <w:szCs w:val="32"/>
        </w:rPr>
        <w:t>（5）生活上关心照顾好老干部，经常了解老干部的思想、身体、生活情况，坚持走访慰问等制度。</w:t>
      </w:r>
    </w:p>
    <w:p w14:paraId="3498566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bCs/>
          <w:color w:val="auto"/>
          <w:kern w:val="0"/>
          <w:sz w:val="32"/>
          <w:szCs w:val="32"/>
        </w:rPr>
      </w:pPr>
      <w:r>
        <w:rPr>
          <w:rFonts w:hint="eastAsia" w:ascii="Times New Roman" w:hAnsi="Times New Roman" w:eastAsia="仿宋_GB2312" w:cs="仿宋_GB2312"/>
          <w:bCs/>
          <w:color w:val="auto"/>
          <w:kern w:val="0"/>
          <w:sz w:val="32"/>
          <w:szCs w:val="32"/>
        </w:rPr>
        <w:t>（6）认真接待好老干部的来电、来信、来访，及时反映他们的合理要求，尽力帮助他们排忧解难。</w:t>
      </w:r>
    </w:p>
    <w:p w14:paraId="629636E4">
      <w:pPr>
        <w:widowControl/>
        <w:spacing w:line="600" w:lineRule="exact"/>
        <w:ind w:firstLine="640" w:firstLineChars="200"/>
        <w:rPr>
          <w:rFonts w:hint="eastAsia" w:ascii="Times New Roman" w:hAnsi="Times New Roman" w:eastAsia="仿宋_GB2312" w:cs="仿宋_GB2312"/>
          <w:bCs/>
          <w:color w:val="auto"/>
          <w:kern w:val="0"/>
          <w:sz w:val="32"/>
          <w:szCs w:val="32"/>
        </w:rPr>
      </w:pPr>
      <w:r>
        <w:rPr>
          <w:rFonts w:hint="eastAsia" w:ascii="Times New Roman" w:hAnsi="Times New Roman" w:eastAsia="仿宋_GB2312" w:cs="仿宋_GB2312"/>
          <w:bCs/>
          <w:color w:val="auto"/>
          <w:kern w:val="0"/>
          <w:sz w:val="32"/>
          <w:szCs w:val="32"/>
        </w:rPr>
        <w:t>（7）会同有关部门办理老干部及遗孀丧葬事宜。</w:t>
      </w:r>
    </w:p>
    <w:p w14:paraId="62BD5962">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FEA036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bCs/>
          <w:color w:val="auto"/>
          <w:kern w:val="0"/>
          <w:sz w:val="32"/>
          <w:szCs w:val="32"/>
        </w:rPr>
      </w:pPr>
      <w:r>
        <w:rPr>
          <w:rFonts w:hint="eastAsia" w:ascii="Times New Roman" w:hAnsi="Times New Roman" w:eastAsia="仿宋_GB2312" w:cs="仿宋_GB2312"/>
          <w:bCs/>
          <w:color w:val="auto"/>
          <w:kern w:val="0"/>
          <w:sz w:val="32"/>
          <w:szCs w:val="32"/>
        </w:rPr>
        <w:t>（一）内设机构设置。怀化市委市政府机关老干部休养所内设</w:t>
      </w:r>
      <w:r>
        <w:rPr>
          <w:rFonts w:hint="eastAsia" w:ascii="Times New Roman" w:hAnsi="Times New Roman" w:eastAsia="仿宋_GB2312" w:cs="仿宋_GB2312"/>
          <w:bCs/>
          <w:color w:val="auto"/>
          <w:kern w:val="0"/>
          <w:sz w:val="32"/>
          <w:szCs w:val="32"/>
          <w:lang w:eastAsia="zh-CN"/>
        </w:rPr>
        <w:t>科室</w:t>
      </w:r>
      <w:r>
        <w:rPr>
          <w:rFonts w:hint="eastAsia" w:ascii="Times New Roman" w:hAnsi="Times New Roman" w:eastAsia="仿宋_GB2312" w:cs="仿宋_GB2312"/>
          <w:bCs/>
          <w:color w:val="auto"/>
          <w:kern w:val="0"/>
          <w:sz w:val="32"/>
          <w:szCs w:val="32"/>
        </w:rPr>
        <w:t>包括：办公室、活动组织部。</w:t>
      </w:r>
    </w:p>
    <w:p w14:paraId="52B1AD4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color w:val="auto"/>
          <w:sz w:val="72"/>
          <w:szCs w:val="72"/>
        </w:rPr>
      </w:pPr>
      <w:r>
        <w:rPr>
          <w:rFonts w:hint="eastAsia" w:ascii="Times New Roman" w:hAnsi="Times New Roman" w:eastAsia="仿宋_GB2312" w:cs="仿宋_GB2312"/>
          <w:bCs/>
          <w:color w:val="auto"/>
          <w:kern w:val="0"/>
          <w:sz w:val="32"/>
          <w:szCs w:val="32"/>
        </w:rPr>
        <w:t>（二）决算单位构成。怀化市委市政府机关老干部休养所202</w:t>
      </w:r>
      <w:r>
        <w:rPr>
          <w:rFonts w:hint="eastAsia" w:ascii="Times New Roman" w:hAnsi="Times New Roman" w:eastAsia="仿宋_GB2312" w:cs="仿宋_GB2312"/>
          <w:bCs/>
          <w:color w:val="auto"/>
          <w:kern w:val="0"/>
          <w:sz w:val="32"/>
          <w:szCs w:val="32"/>
          <w:lang w:val="en-US" w:eastAsia="zh-CN"/>
        </w:rPr>
        <w:t>5</w:t>
      </w:r>
      <w:r>
        <w:rPr>
          <w:rFonts w:hint="eastAsia" w:ascii="Times New Roman" w:hAnsi="Times New Roman" w:eastAsia="仿宋_GB2312" w:cs="仿宋_GB2312"/>
          <w:bCs/>
          <w:color w:val="auto"/>
          <w:kern w:val="0"/>
          <w:sz w:val="32"/>
          <w:szCs w:val="32"/>
        </w:rPr>
        <w:t>年部门决算汇总公开单位构成包括：怀化市委市政府机关老干部休养所</w:t>
      </w:r>
      <w:r>
        <w:rPr>
          <w:rFonts w:hint="eastAsia" w:ascii="Times New Roman" w:hAnsi="Times New Roman" w:eastAsia="仿宋_GB2312" w:cs="仿宋_GB2312"/>
          <w:bCs/>
          <w:color w:val="auto"/>
          <w:kern w:val="0"/>
          <w:sz w:val="32"/>
          <w:szCs w:val="32"/>
          <w:lang w:eastAsia="zh-CN"/>
        </w:rPr>
        <w:t>。</w:t>
      </w:r>
    </w:p>
    <w:p w14:paraId="2F86C678">
      <w:pPr>
        <w:jc w:val="left"/>
        <w:rPr>
          <w:rFonts w:ascii="Times New Roman" w:hAnsi="Times New Roman" w:eastAsia="仿宋_GB2312" w:cs="Times New Roman"/>
          <w:sz w:val="28"/>
          <w:szCs w:val="32"/>
        </w:rPr>
      </w:pPr>
    </w:p>
    <w:p w14:paraId="56019DDB">
      <w:pPr>
        <w:jc w:val="center"/>
        <w:rPr>
          <w:rFonts w:ascii="Times New Roman" w:hAnsi="Times New Roman" w:eastAsia="黑体" w:cs="Times New Roman"/>
          <w:sz w:val="28"/>
          <w:szCs w:val="28"/>
        </w:rPr>
      </w:pPr>
    </w:p>
    <w:p w14:paraId="5EE55CE7">
      <w:pPr>
        <w:jc w:val="center"/>
        <w:rPr>
          <w:rFonts w:ascii="Times New Roman" w:hAnsi="Times New Roman" w:eastAsia="黑体" w:cs="Times New Roman"/>
          <w:sz w:val="28"/>
          <w:szCs w:val="28"/>
        </w:rPr>
      </w:pPr>
    </w:p>
    <w:p w14:paraId="12F0112F">
      <w:pPr>
        <w:jc w:val="center"/>
        <w:rPr>
          <w:rFonts w:ascii="Times New Roman" w:hAnsi="Times New Roman" w:eastAsia="黑体" w:cs="Times New Roman"/>
          <w:sz w:val="28"/>
          <w:szCs w:val="28"/>
        </w:rPr>
      </w:pPr>
    </w:p>
    <w:p w14:paraId="2E2F9579">
      <w:pPr>
        <w:jc w:val="center"/>
        <w:rPr>
          <w:rFonts w:ascii="Times New Roman" w:hAnsi="Times New Roman" w:eastAsia="黑体" w:cs="Times New Roman"/>
          <w:sz w:val="28"/>
          <w:szCs w:val="28"/>
        </w:rPr>
      </w:pPr>
    </w:p>
    <w:p w14:paraId="058378A7">
      <w:pPr>
        <w:jc w:val="center"/>
        <w:rPr>
          <w:rFonts w:ascii="Times New Roman" w:hAnsi="Times New Roman" w:eastAsia="黑体" w:cs="Times New Roman"/>
          <w:sz w:val="28"/>
          <w:szCs w:val="28"/>
        </w:rPr>
      </w:pPr>
    </w:p>
    <w:p w14:paraId="5909EA94">
      <w:pPr>
        <w:pStyle w:val="8"/>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26246C11">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C1C36EF">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528D452">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797E640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怀化市委市政府机关老干部休养所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1"/>
        <w:tblW w:w="140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10"/>
        <w:gridCol w:w="824"/>
        <w:gridCol w:w="1101"/>
        <w:gridCol w:w="4900"/>
        <w:gridCol w:w="914"/>
        <w:gridCol w:w="1221"/>
      </w:tblGrid>
      <w:tr w14:paraId="6309B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35" w:type="dxa"/>
            <w:gridSpan w:val="3"/>
            <w:tcBorders>
              <w:top w:val="nil"/>
              <w:left w:val="nil"/>
              <w:bottom w:val="nil"/>
              <w:right w:val="nil"/>
            </w:tcBorders>
            <w:shd w:val="clear" w:color="auto" w:fill="FFFFFF" w:themeFill="background1"/>
            <w:noWrap/>
            <w:vAlign w:val="center"/>
          </w:tcPr>
          <w:p w14:paraId="7926C46B">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7035" w:type="dxa"/>
            <w:gridSpan w:val="3"/>
            <w:tcBorders>
              <w:top w:val="nil"/>
              <w:left w:val="nil"/>
              <w:bottom w:val="nil"/>
              <w:right w:val="nil"/>
            </w:tcBorders>
            <w:shd w:val="clear" w:color="auto" w:fill="FFFFFF" w:themeFill="background1"/>
            <w:noWrap/>
            <w:vAlign w:val="center"/>
          </w:tcPr>
          <w:p w14:paraId="3FBD066F">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6DDDB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349C9CAF">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nil"/>
              <w:left w:val="nil"/>
              <w:bottom w:val="nil"/>
              <w:right w:val="nil"/>
            </w:tcBorders>
            <w:shd w:val="clear" w:color="auto" w:fill="FFFFFF" w:themeFill="background1"/>
            <w:noWrap/>
            <w:vAlign w:val="center"/>
          </w:tcPr>
          <w:p w14:paraId="2A0D368F">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nil"/>
              <w:left w:val="nil"/>
              <w:bottom w:val="nil"/>
              <w:right w:val="nil"/>
            </w:tcBorders>
            <w:shd w:val="clear" w:color="auto" w:fill="FFFFFF" w:themeFill="background1"/>
            <w:noWrap/>
            <w:vAlign w:val="center"/>
          </w:tcPr>
          <w:p w14:paraId="610627B4">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0" w:type="auto"/>
            <w:tcBorders>
              <w:top w:val="nil"/>
              <w:left w:val="nil"/>
              <w:bottom w:val="nil"/>
              <w:right w:val="nil"/>
            </w:tcBorders>
            <w:shd w:val="clear" w:color="auto" w:fill="FFFFFF" w:themeFill="background1"/>
            <w:noWrap/>
            <w:vAlign w:val="center"/>
          </w:tcPr>
          <w:p w14:paraId="5C15457D">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nil"/>
              <w:left w:val="nil"/>
              <w:bottom w:val="nil"/>
              <w:right w:val="nil"/>
            </w:tcBorders>
            <w:shd w:val="clear" w:color="auto" w:fill="FFFFFF" w:themeFill="background1"/>
            <w:noWrap/>
            <w:vAlign w:val="center"/>
          </w:tcPr>
          <w:p w14:paraId="4793518F">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nil"/>
              <w:left w:val="nil"/>
              <w:bottom w:val="nil"/>
              <w:right w:val="nil"/>
            </w:tcBorders>
            <w:shd w:val="clear" w:color="auto" w:fill="FFFFFF" w:themeFill="background1"/>
            <w:noWrap/>
            <w:vAlign w:val="center"/>
          </w:tcPr>
          <w:p w14:paraId="5D19ACDD">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267A8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50C94058">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nil"/>
              <w:right w:val="nil"/>
            </w:tcBorders>
            <w:shd w:val="clear" w:color="auto" w:fill="FFFFFF" w:themeFill="background1"/>
            <w:noWrap/>
            <w:vAlign w:val="center"/>
          </w:tcPr>
          <w:p w14:paraId="6CC1299F">
            <w:pPr>
              <w:keepNext w:val="0"/>
              <w:keepLines w:val="0"/>
              <w:pageBreakBefore w:val="0"/>
              <w:widowControl w:val="0"/>
              <w:kinsoku/>
              <w:wordWrap/>
              <w:overflowPunct/>
              <w:topLinePunct w:val="0"/>
              <w:autoSpaceDE/>
              <w:autoSpaceDN/>
              <w:bidi w:val="0"/>
              <w:adjustRightInd/>
              <w:snapToGrid/>
              <w:spacing w:line="440" w:lineRule="exact"/>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25492E57">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FFFFFF" w:themeFill="background1"/>
            <w:noWrap/>
            <w:vAlign w:val="center"/>
          </w:tcPr>
          <w:p w14:paraId="1B54203C">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nil"/>
              <w:right w:val="nil"/>
            </w:tcBorders>
            <w:shd w:val="clear" w:color="auto" w:fill="FFFFFF" w:themeFill="background1"/>
            <w:noWrap/>
            <w:vAlign w:val="center"/>
          </w:tcPr>
          <w:p w14:paraId="0683BEC9">
            <w:pPr>
              <w:keepNext w:val="0"/>
              <w:keepLines w:val="0"/>
              <w:pageBreakBefore w:val="0"/>
              <w:widowControl w:val="0"/>
              <w:kinsoku/>
              <w:wordWrap/>
              <w:overflowPunct/>
              <w:topLinePunct w:val="0"/>
              <w:autoSpaceDE/>
              <w:autoSpaceDN/>
              <w:bidi w:val="0"/>
              <w:adjustRightInd/>
              <w:snapToGrid/>
              <w:spacing w:line="440" w:lineRule="exact"/>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79D3F928">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53C8D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68064296">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nil"/>
              <w:left w:val="nil"/>
              <w:bottom w:val="nil"/>
              <w:right w:val="nil"/>
            </w:tcBorders>
            <w:shd w:val="clear" w:color="auto" w:fill="FFFFFF" w:themeFill="background1"/>
            <w:noWrap/>
            <w:vAlign w:val="center"/>
          </w:tcPr>
          <w:p w14:paraId="236C3219">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FFFFFF" w:themeFill="background1"/>
            <w:noWrap/>
            <w:vAlign w:val="center"/>
          </w:tcPr>
          <w:p w14:paraId="419FD056">
            <w:pPr>
              <w:keepNext w:val="0"/>
              <w:keepLines w:val="0"/>
              <w:pageBreakBefore w:val="0"/>
              <w:widowControl w:val="0"/>
              <w:suppressLineNumbers w:val="0"/>
              <w:kinsoku/>
              <w:wordWrap/>
              <w:overflowPunct/>
              <w:topLinePunct w:val="0"/>
              <w:autoSpaceDE/>
              <w:autoSpaceDN/>
              <w:bidi w:val="0"/>
              <w:adjustRightInd/>
              <w:snapToGrid/>
              <w:spacing w:line="44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415.78 </w:t>
            </w:r>
          </w:p>
        </w:tc>
        <w:tc>
          <w:tcPr>
            <w:tcW w:w="0" w:type="auto"/>
            <w:tcBorders>
              <w:top w:val="nil"/>
              <w:left w:val="nil"/>
              <w:bottom w:val="nil"/>
              <w:right w:val="nil"/>
            </w:tcBorders>
            <w:shd w:val="clear" w:color="auto" w:fill="FFFFFF" w:themeFill="background1"/>
            <w:noWrap/>
            <w:vAlign w:val="center"/>
          </w:tcPr>
          <w:p w14:paraId="0C63AD6D">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nil"/>
              <w:left w:val="nil"/>
              <w:bottom w:val="nil"/>
              <w:right w:val="nil"/>
            </w:tcBorders>
            <w:shd w:val="clear" w:color="auto" w:fill="FFFFFF" w:themeFill="background1"/>
            <w:noWrap/>
            <w:vAlign w:val="center"/>
          </w:tcPr>
          <w:p w14:paraId="2D36D746">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nil"/>
              <w:left w:val="nil"/>
              <w:bottom w:val="nil"/>
              <w:right w:val="nil"/>
            </w:tcBorders>
            <w:shd w:val="clear" w:color="auto" w:fill="FFFFFF" w:themeFill="background1"/>
            <w:noWrap/>
            <w:vAlign w:val="center"/>
          </w:tcPr>
          <w:p w14:paraId="5937127C">
            <w:pPr>
              <w:keepNext w:val="0"/>
              <w:keepLines w:val="0"/>
              <w:pageBreakBefore w:val="0"/>
              <w:widowControl w:val="0"/>
              <w:suppressLineNumbers w:val="0"/>
              <w:kinsoku/>
              <w:wordWrap/>
              <w:overflowPunct/>
              <w:topLinePunct w:val="0"/>
              <w:autoSpaceDE/>
              <w:autoSpaceDN/>
              <w:bidi w:val="0"/>
              <w:adjustRightInd/>
              <w:snapToGrid/>
              <w:spacing w:line="44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13.40 </w:t>
            </w:r>
          </w:p>
        </w:tc>
      </w:tr>
      <w:tr w14:paraId="6CFBD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4FC7E0FD">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nil"/>
              <w:left w:val="nil"/>
              <w:bottom w:val="nil"/>
              <w:right w:val="nil"/>
            </w:tcBorders>
            <w:shd w:val="clear" w:color="auto" w:fill="FFFFFF" w:themeFill="background1"/>
            <w:noWrap/>
            <w:vAlign w:val="center"/>
          </w:tcPr>
          <w:p w14:paraId="438B11AD">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nil"/>
              <w:right w:val="nil"/>
            </w:tcBorders>
            <w:shd w:val="clear" w:color="auto" w:fill="FFFFFF" w:themeFill="background1"/>
            <w:noWrap/>
            <w:vAlign w:val="center"/>
          </w:tcPr>
          <w:p w14:paraId="775847FB">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64AA52B7">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nil"/>
              <w:left w:val="nil"/>
              <w:bottom w:val="nil"/>
              <w:right w:val="nil"/>
            </w:tcBorders>
            <w:shd w:val="clear" w:color="auto" w:fill="FFFFFF" w:themeFill="background1"/>
            <w:noWrap/>
            <w:vAlign w:val="center"/>
          </w:tcPr>
          <w:p w14:paraId="39F766B1">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nil"/>
              <w:left w:val="nil"/>
              <w:bottom w:val="nil"/>
              <w:right w:val="nil"/>
            </w:tcBorders>
            <w:shd w:val="clear" w:color="auto" w:fill="FFFFFF" w:themeFill="background1"/>
            <w:noWrap/>
            <w:vAlign w:val="center"/>
          </w:tcPr>
          <w:p w14:paraId="577EA3E5">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21AC0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11771204">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nil"/>
              <w:left w:val="nil"/>
              <w:bottom w:val="nil"/>
              <w:right w:val="nil"/>
            </w:tcBorders>
            <w:shd w:val="clear" w:color="auto" w:fill="FFFFFF" w:themeFill="background1"/>
            <w:noWrap/>
            <w:vAlign w:val="center"/>
          </w:tcPr>
          <w:p w14:paraId="73417329">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nil"/>
              <w:right w:val="nil"/>
            </w:tcBorders>
            <w:shd w:val="clear" w:color="auto" w:fill="FFFFFF" w:themeFill="background1"/>
            <w:noWrap/>
            <w:vAlign w:val="center"/>
          </w:tcPr>
          <w:p w14:paraId="78008968">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2BBBC6B1">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nil"/>
              <w:left w:val="nil"/>
              <w:bottom w:val="nil"/>
              <w:right w:val="nil"/>
            </w:tcBorders>
            <w:shd w:val="clear" w:color="auto" w:fill="FFFFFF" w:themeFill="background1"/>
            <w:noWrap/>
            <w:vAlign w:val="center"/>
          </w:tcPr>
          <w:p w14:paraId="13AC4D2C">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nil"/>
              <w:left w:val="nil"/>
              <w:bottom w:val="nil"/>
              <w:right w:val="nil"/>
            </w:tcBorders>
            <w:shd w:val="clear" w:color="auto" w:fill="FFFFFF" w:themeFill="background1"/>
            <w:noWrap/>
            <w:vAlign w:val="center"/>
          </w:tcPr>
          <w:p w14:paraId="46DA5499">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2C830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258091CB">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nil"/>
              <w:left w:val="nil"/>
              <w:bottom w:val="nil"/>
              <w:right w:val="nil"/>
            </w:tcBorders>
            <w:shd w:val="clear" w:color="auto" w:fill="FFFFFF" w:themeFill="background1"/>
            <w:noWrap/>
            <w:vAlign w:val="center"/>
          </w:tcPr>
          <w:p w14:paraId="07691B04">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nil"/>
              <w:bottom w:val="nil"/>
              <w:right w:val="nil"/>
            </w:tcBorders>
            <w:shd w:val="clear" w:color="auto" w:fill="FFFFFF" w:themeFill="background1"/>
            <w:noWrap/>
            <w:vAlign w:val="center"/>
          </w:tcPr>
          <w:p w14:paraId="0EF9F002">
            <w:pPr>
              <w:keepNext w:val="0"/>
              <w:keepLines w:val="0"/>
              <w:pageBreakBefore w:val="0"/>
              <w:widowControl w:val="0"/>
              <w:suppressLineNumbers w:val="0"/>
              <w:kinsoku/>
              <w:wordWrap/>
              <w:overflowPunct/>
              <w:topLinePunct w:val="0"/>
              <w:autoSpaceDE/>
              <w:autoSpaceDN/>
              <w:bidi w:val="0"/>
              <w:adjustRightInd/>
              <w:snapToGrid/>
              <w:spacing w:line="44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nil"/>
              <w:left w:val="nil"/>
              <w:bottom w:val="nil"/>
              <w:right w:val="nil"/>
            </w:tcBorders>
            <w:shd w:val="clear" w:color="auto" w:fill="FFFFFF" w:themeFill="background1"/>
            <w:noWrap/>
            <w:vAlign w:val="center"/>
          </w:tcPr>
          <w:p w14:paraId="187CC690">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nil"/>
              <w:left w:val="nil"/>
              <w:bottom w:val="nil"/>
              <w:right w:val="nil"/>
            </w:tcBorders>
            <w:shd w:val="clear" w:color="auto" w:fill="FFFFFF" w:themeFill="background1"/>
            <w:noWrap/>
            <w:vAlign w:val="center"/>
          </w:tcPr>
          <w:p w14:paraId="7795D3F0">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nil"/>
              <w:left w:val="nil"/>
              <w:bottom w:val="nil"/>
              <w:right w:val="nil"/>
            </w:tcBorders>
            <w:shd w:val="clear" w:color="auto" w:fill="FFFFFF" w:themeFill="background1"/>
            <w:noWrap/>
            <w:vAlign w:val="center"/>
          </w:tcPr>
          <w:p w14:paraId="14D70E89">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35443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1E503DDF">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nil"/>
              <w:left w:val="nil"/>
              <w:bottom w:val="nil"/>
              <w:right w:val="nil"/>
            </w:tcBorders>
            <w:shd w:val="clear" w:color="auto" w:fill="FFFFFF" w:themeFill="background1"/>
            <w:noWrap/>
            <w:vAlign w:val="center"/>
          </w:tcPr>
          <w:p w14:paraId="1CE636B2">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nil"/>
              <w:left w:val="nil"/>
              <w:bottom w:val="nil"/>
              <w:right w:val="nil"/>
            </w:tcBorders>
            <w:shd w:val="clear" w:color="auto" w:fill="FFFFFF" w:themeFill="background1"/>
            <w:noWrap/>
            <w:vAlign w:val="center"/>
          </w:tcPr>
          <w:p w14:paraId="7F6BDDB9">
            <w:pPr>
              <w:keepNext w:val="0"/>
              <w:keepLines w:val="0"/>
              <w:pageBreakBefore w:val="0"/>
              <w:widowControl w:val="0"/>
              <w:suppressLineNumbers w:val="0"/>
              <w:kinsoku/>
              <w:wordWrap/>
              <w:overflowPunct/>
              <w:topLinePunct w:val="0"/>
              <w:autoSpaceDE/>
              <w:autoSpaceDN/>
              <w:bidi w:val="0"/>
              <w:adjustRightInd/>
              <w:snapToGrid/>
              <w:spacing w:line="44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nil"/>
              <w:left w:val="nil"/>
              <w:bottom w:val="nil"/>
              <w:right w:val="nil"/>
            </w:tcBorders>
            <w:shd w:val="clear" w:color="auto" w:fill="FFFFFF" w:themeFill="background1"/>
            <w:noWrap/>
            <w:vAlign w:val="center"/>
          </w:tcPr>
          <w:p w14:paraId="2C6270F6">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nil"/>
              <w:left w:val="nil"/>
              <w:bottom w:val="nil"/>
              <w:right w:val="nil"/>
            </w:tcBorders>
            <w:shd w:val="clear" w:color="auto" w:fill="FFFFFF" w:themeFill="background1"/>
            <w:noWrap/>
            <w:vAlign w:val="center"/>
          </w:tcPr>
          <w:p w14:paraId="7C3D8047">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nil"/>
              <w:left w:val="nil"/>
              <w:bottom w:val="nil"/>
              <w:right w:val="nil"/>
            </w:tcBorders>
            <w:shd w:val="clear" w:color="auto" w:fill="FFFFFF" w:themeFill="background1"/>
            <w:noWrap/>
            <w:vAlign w:val="center"/>
          </w:tcPr>
          <w:p w14:paraId="2421DF97">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10203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2BEE03E0">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nil"/>
              <w:left w:val="nil"/>
              <w:bottom w:val="nil"/>
              <w:right w:val="nil"/>
            </w:tcBorders>
            <w:shd w:val="clear" w:color="auto" w:fill="FFFFFF" w:themeFill="background1"/>
            <w:noWrap/>
            <w:vAlign w:val="center"/>
          </w:tcPr>
          <w:p w14:paraId="259CD74C">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nil"/>
              <w:left w:val="nil"/>
              <w:bottom w:val="nil"/>
              <w:right w:val="nil"/>
            </w:tcBorders>
            <w:shd w:val="clear" w:color="auto" w:fill="FFFFFF" w:themeFill="background1"/>
            <w:noWrap/>
            <w:vAlign w:val="center"/>
          </w:tcPr>
          <w:p w14:paraId="0DEBA8A9">
            <w:pPr>
              <w:keepNext w:val="0"/>
              <w:keepLines w:val="0"/>
              <w:pageBreakBefore w:val="0"/>
              <w:widowControl w:val="0"/>
              <w:suppressLineNumbers w:val="0"/>
              <w:kinsoku/>
              <w:wordWrap/>
              <w:overflowPunct/>
              <w:topLinePunct w:val="0"/>
              <w:autoSpaceDE/>
              <w:autoSpaceDN/>
              <w:bidi w:val="0"/>
              <w:adjustRightInd/>
              <w:snapToGrid/>
              <w:spacing w:line="44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nil"/>
              <w:left w:val="nil"/>
              <w:bottom w:val="nil"/>
              <w:right w:val="nil"/>
            </w:tcBorders>
            <w:shd w:val="clear" w:color="auto" w:fill="FFFFFF" w:themeFill="background1"/>
            <w:noWrap/>
            <w:vAlign w:val="center"/>
          </w:tcPr>
          <w:p w14:paraId="3FF83982">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nil"/>
              <w:left w:val="nil"/>
              <w:bottom w:val="nil"/>
              <w:right w:val="nil"/>
            </w:tcBorders>
            <w:shd w:val="clear" w:color="auto" w:fill="FFFFFF" w:themeFill="background1"/>
            <w:noWrap/>
            <w:vAlign w:val="center"/>
          </w:tcPr>
          <w:p w14:paraId="32E27573">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nil"/>
              <w:left w:val="nil"/>
              <w:bottom w:val="nil"/>
              <w:right w:val="nil"/>
            </w:tcBorders>
            <w:shd w:val="clear" w:color="auto" w:fill="FFFFFF" w:themeFill="background1"/>
            <w:noWrap/>
            <w:vAlign w:val="center"/>
          </w:tcPr>
          <w:p w14:paraId="13AF707A">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6DC93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21BC3351">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nil"/>
              <w:left w:val="nil"/>
              <w:bottom w:val="nil"/>
              <w:right w:val="nil"/>
            </w:tcBorders>
            <w:shd w:val="clear" w:color="auto" w:fill="FFFFFF" w:themeFill="background1"/>
            <w:noWrap/>
            <w:vAlign w:val="center"/>
          </w:tcPr>
          <w:p w14:paraId="37F62FF8">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nil"/>
              <w:left w:val="nil"/>
              <w:bottom w:val="nil"/>
              <w:right w:val="nil"/>
            </w:tcBorders>
            <w:shd w:val="clear" w:color="auto" w:fill="FFFFFF" w:themeFill="background1"/>
            <w:noWrap/>
            <w:vAlign w:val="center"/>
          </w:tcPr>
          <w:p w14:paraId="1F55D1C8">
            <w:pPr>
              <w:keepNext w:val="0"/>
              <w:keepLines w:val="0"/>
              <w:pageBreakBefore w:val="0"/>
              <w:widowControl w:val="0"/>
              <w:suppressLineNumbers w:val="0"/>
              <w:kinsoku/>
              <w:wordWrap/>
              <w:overflowPunct/>
              <w:topLinePunct w:val="0"/>
              <w:autoSpaceDE/>
              <w:autoSpaceDN/>
              <w:bidi w:val="0"/>
              <w:adjustRightInd/>
              <w:snapToGrid/>
              <w:spacing w:line="44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nil"/>
              <w:left w:val="nil"/>
              <w:bottom w:val="nil"/>
              <w:right w:val="nil"/>
            </w:tcBorders>
            <w:shd w:val="clear" w:color="auto" w:fill="FFFFFF" w:themeFill="background1"/>
            <w:noWrap/>
            <w:vAlign w:val="center"/>
          </w:tcPr>
          <w:p w14:paraId="594847FD">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nil"/>
              <w:left w:val="nil"/>
              <w:bottom w:val="nil"/>
              <w:right w:val="nil"/>
            </w:tcBorders>
            <w:shd w:val="clear" w:color="auto" w:fill="FFFFFF" w:themeFill="background1"/>
            <w:noWrap/>
            <w:vAlign w:val="center"/>
          </w:tcPr>
          <w:p w14:paraId="704D1E8F">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nil"/>
              <w:left w:val="nil"/>
              <w:bottom w:val="nil"/>
              <w:right w:val="nil"/>
            </w:tcBorders>
            <w:shd w:val="clear" w:color="auto" w:fill="FFFFFF" w:themeFill="background1"/>
            <w:noWrap/>
            <w:vAlign w:val="center"/>
          </w:tcPr>
          <w:p w14:paraId="36C713B9">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36B0E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76A998B3">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nil"/>
              <w:left w:val="nil"/>
              <w:bottom w:val="nil"/>
              <w:right w:val="nil"/>
            </w:tcBorders>
            <w:shd w:val="clear" w:color="auto" w:fill="FFFFFF" w:themeFill="background1"/>
            <w:noWrap/>
            <w:vAlign w:val="center"/>
          </w:tcPr>
          <w:p w14:paraId="4D762539">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nil"/>
              <w:left w:val="nil"/>
              <w:bottom w:val="nil"/>
              <w:right w:val="nil"/>
            </w:tcBorders>
            <w:shd w:val="clear" w:color="auto" w:fill="FFFFFF" w:themeFill="background1"/>
            <w:noWrap/>
            <w:vAlign w:val="center"/>
          </w:tcPr>
          <w:p w14:paraId="25DB7003">
            <w:pPr>
              <w:keepNext w:val="0"/>
              <w:keepLines w:val="0"/>
              <w:pageBreakBefore w:val="0"/>
              <w:widowControl w:val="0"/>
              <w:suppressLineNumbers w:val="0"/>
              <w:kinsoku/>
              <w:wordWrap/>
              <w:overflowPunct/>
              <w:topLinePunct w:val="0"/>
              <w:autoSpaceDE/>
              <w:autoSpaceDN/>
              <w:bidi w:val="0"/>
              <w:adjustRightInd/>
              <w:snapToGrid/>
              <w:spacing w:line="44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nil"/>
              <w:left w:val="nil"/>
              <w:bottom w:val="nil"/>
              <w:right w:val="nil"/>
            </w:tcBorders>
            <w:shd w:val="clear" w:color="auto" w:fill="FFFFFF" w:themeFill="background1"/>
            <w:noWrap/>
            <w:vAlign w:val="center"/>
          </w:tcPr>
          <w:p w14:paraId="7C75F140">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nil"/>
              <w:left w:val="nil"/>
              <w:bottom w:val="nil"/>
              <w:right w:val="nil"/>
            </w:tcBorders>
            <w:shd w:val="clear" w:color="auto" w:fill="FFFFFF" w:themeFill="background1"/>
            <w:noWrap/>
            <w:vAlign w:val="center"/>
          </w:tcPr>
          <w:p w14:paraId="7A31070A">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nil"/>
              <w:left w:val="nil"/>
              <w:bottom w:val="nil"/>
              <w:right w:val="nil"/>
            </w:tcBorders>
            <w:shd w:val="clear" w:color="auto" w:fill="FFFFFF" w:themeFill="background1"/>
            <w:noWrap/>
            <w:vAlign w:val="center"/>
          </w:tcPr>
          <w:p w14:paraId="25F63141">
            <w:pPr>
              <w:keepNext w:val="0"/>
              <w:keepLines w:val="0"/>
              <w:pageBreakBefore w:val="0"/>
              <w:widowControl w:val="0"/>
              <w:suppressLineNumbers w:val="0"/>
              <w:kinsoku/>
              <w:wordWrap/>
              <w:overflowPunct/>
              <w:topLinePunct w:val="0"/>
              <w:autoSpaceDE/>
              <w:autoSpaceDN/>
              <w:bidi w:val="0"/>
              <w:adjustRightInd/>
              <w:snapToGrid/>
              <w:spacing w:line="44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395.47 </w:t>
            </w:r>
          </w:p>
        </w:tc>
      </w:tr>
      <w:tr w14:paraId="6D810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trPr>
        <w:tc>
          <w:tcPr>
            <w:tcW w:w="0" w:type="auto"/>
            <w:tcBorders>
              <w:top w:val="nil"/>
              <w:left w:val="nil"/>
              <w:bottom w:val="nil"/>
              <w:right w:val="nil"/>
            </w:tcBorders>
            <w:shd w:val="clear" w:color="auto" w:fill="FFFFFF" w:themeFill="background1"/>
            <w:noWrap/>
            <w:vAlign w:val="center"/>
          </w:tcPr>
          <w:p w14:paraId="14052DF6">
            <w:pPr>
              <w:keepNext w:val="0"/>
              <w:keepLines w:val="0"/>
              <w:pageBreakBefore w:val="0"/>
              <w:widowControl w:val="0"/>
              <w:kinsoku/>
              <w:wordWrap/>
              <w:overflowPunct/>
              <w:topLinePunct w:val="0"/>
              <w:autoSpaceDE/>
              <w:autoSpaceDN/>
              <w:bidi w:val="0"/>
              <w:adjustRightInd/>
              <w:snapToGrid/>
              <w:spacing w:line="440" w:lineRule="exact"/>
              <w:jc w:val="lef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7761F054">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nil"/>
              <w:left w:val="nil"/>
              <w:bottom w:val="nil"/>
              <w:right w:val="nil"/>
            </w:tcBorders>
            <w:shd w:val="clear" w:color="auto" w:fill="FFFFFF" w:themeFill="background1"/>
            <w:noWrap/>
            <w:vAlign w:val="center"/>
          </w:tcPr>
          <w:p w14:paraId="297177D2">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46847901">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nil"/>
              <w:left w:val="nil"/>
              <w:bottom w:val="nil"/>
              <w:right w:val="nil"/>
            </w:tcBorders>
            <w:shd w:val="clear" w:color="auto" w:fill="FFFFFF" w:themeFill="background1"/>
            <w:noWrap/>
            <w:vAlign w:val="center"/>
          </w:tcPr>
          <w:p w14:paraId="28F335A6">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nil"/>
              <w:left w:val="nil"/>
              <w:bottom w:val="nil"/>
              <w:right w:val="nil"/>
            </w:tcBorders>
            <w:shd w:val="clear" w:color="auto" w:fill="FFFFFF" w:themeFill="background1"/>
            <w:noWrap/>
            <w:vAlign w:val="center"/>
          </w:tcPr>
          <w:p w14:paraId="37FDAAB5">
            <w:pPr>
              <w:keepNext w:val="0"/>
              <w:keepLines w:val="0"/>
              <w:pageBreakBefore w:val="0"/>
              <w:widowControl w:val="0"/>
              <w:suppressLineNumbers w:val="0"/>
              <w:kinsoku/>
              <w:wordWrap/>
              <w:overflowPunct/>
              <w:topLinePunct w:val="0"/>
              <w:autoSpaceDE/>
              <w:autoSpaceDN/>
              <w:bidi w:val="0"/>
              <w:adjustRightInd/>
              <w:snapToGrid/>
              <w:spacing w:line="44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5.37 </w:t>
            </w:r>
          </w:p>
        </w:tc>
      </w:tr>
      <w:tr w14:paraId="679DB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6BE7F459">
            <w:pPr>
              <w:keepNext w:val="0"/>
              <w:keepLines w:val="0"/>
              <w:pageBreakBefore w:val="0"/>
              <w:widowControl w:val="0"/>
              <w:kinsoku/>
              <w:wordWrap/>
              <w:overflowPunct/>
              <w:topLinePunct w:val="0"/>
              <w:autoSpaceDE/>
              <w:autoSpaceDN/>
              <w:bidi w:val="0"/>
              <w:adjustRightInd/>
              <w:snapToGrid/>
              <w:spacing w:line="440" w:lineRule="exact"/>
              <w:jc w:val="lef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508EE44A">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nil"/>
              <w:left w:val="nil"/>
              <w:bottom w:val="nil"/>
              <w:right w:val="nil"/>
            </w:tcBorders>
            <w:shd w:val="clear" w:color="auto" w:fill="FFFFFF" w:themeFill="background1"/>
            <w:noWrap/>
            <w:vAlign w:val="center"/>
          </w:tcPr>
          <w:p w14:paraId="51147C76">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2BBD452C">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nil"/>
              <w:left w:val="nil"/>
              <w:bottom w:val="nil"/>
              <w:right w:val="nil"/>
            </w:tcBorders>
            <w:shd w:val="clear" w:color="auto" w:fill="FFFFFF" w:themeFill="background1"/>
            <w:noWrap/>
            <w:vAlign w:val="center"/>
          </w:tcPr>
          <w:p w14:paraId="0386A2F8">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nil"/>
              <w:left w:val="nil"/>
              <w:bottom w:val="nil"/>
              <w:right w:val="nil"/>
            </w:tcBorders>
            <w:shd w:val="clear" w:color="auto" w:fill="FFFFFF" w:themeFill="background1"/>
            <w:noWrap/>
            <w:vAlign w:val="center"/>
          </w:tcPr>
          <w:p w14:paraId="6FB87876">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51460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27476CDE">
            <w:pPr>
              <w:keepNext w:val="0"/>
              <w:keepLines w:val="0"/>
              <w:pageBreakBefore w:val="0"/>
              <w:widowControl w:val="0"/>
              <w:kinsoku/>
              <w:wordWrap/>
              <w:overflowPunct/>
              <w:topLinePunct w:val="0"/>
              <w:autoSpaceDE/>
              <w:autoSpaceDN/>
              <w:bidi w:val="0"/>
              <w:adjustRightInd/>
              <w:snapToGrid/>
              <w:spacing w:line="440" w:lineRule="exact"/>
              <w:jc w:val="lef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636913C5">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nil"/>
              <w:left w:val="nil"/>
              <w:bottom w:val="nil"/>
              <w:right w:val="nil"/>
            </w:tcBorders>
            <w:shd w:val="clear" w:color="auto" w:fill="FFFFFF" w:themeFill="background1"/>
            <w:noWrap/>
            <w:vAlign w:val="center"/>
          </w:tcPr>
          <w:p w14:paraId="26D9663D">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55C3A6EC">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nil"/>
              <w:left w:val="nil"/>
              <w:bottom w:val="nil"/>
              <w:right w:val="nil"/>
            </w:tcBorders>
            <w:shd w:val="clear" w:color="auto" w:fill="FFFFFF" w:themeFill="background1"/>
            <w:noWrap/>
            <w:vAlign w:val="center"/>
          </w:tcPr>
          <w:p w14:paraId="501681B7">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nil"/>
              <w:left w:val="nil"/>
              <w:bottom w:val="nil"/>
              <w:right w:val="nil"/>
            </w:tcBorders>
            <w:shd w:val="clear" w:color="auto" w:fill="FFFFFF" w:themeFill="background1"/>
            <w:noWrap/>
            <w:vAlign w:val="center"/>
          </w:tcPr>
          <w:p w14:paraId="7B28FE40">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0C8C8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4AE13202">
            <w:pPr>
              <w:keepNext w:val="0"/>
              <w:keepLines w:val="0"/>
              <w:pageBreakBefore w:val="0"/>
              <w:widowControl w:val="0"/>
              <w:kinsoku/>
              <w:wordWrap/>
              <w:overflowPunct/>
              <w:topLinePunct w:val="0"/>
              <w:autoSpaceDE/>
              <w:autoSpaceDN/>
              <w:bidi w:val="0"/>
              <w:adjustRightInd/>
              <w:snapToGrid/>
              <w:spacing w:line="440" w:lineRule="exact"/>
              <w:jc w:val="lef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62EED4B1">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nil"/>
              <w:left w:val="nil"/>
              <w:bottom w:val="nil"/>
              <w:right w:val="nil"/>
            </w:tcBorders>
            <w:shd w:val="clear" w:color="auto" w:fill="FFFFFF" w:themeFill="background1"/>
            <w:noWrap/>
            <w:vAlign w:val="center"/>
          </w:tcPr>
          <w:p w14:paraId="37CB857C">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203F8B8C">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nil"/>
              <w:left w:val="nil"/>
              <w:bottom w:val="nil"/>
              <w:right w:val="nil"/>
            </w:tcBorders>
            <w:shd w:val="clear" w:color="auto" w:fill="FFFFFF" w:themeFill="background1"/>
            <w:noWrap/>
            <w:vAlign w:val="center"/>
          </w:tcPr>
          <w:p w14:paraId="3CDBC2D5">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nil"/>
              <w:left w:val="nil"/>
              <w:bottom w:val="nil"/>
              <w:right w:val="nil"/>
            </w:tcBorders>
            <w:shd w:val="clear" w:color="auto" w:fill="FFFFFF" w:themeFill="background1"/>
            <w:noWrap/>
            <w:vAlign w:val="center"/>
          </w:tcPr>
          <w:p w14:paraId="2AD69E36">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11328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4BCC4C33">
            <w:pPr>
              <w:keepNext w:val="0"/>
              <w:keepLines w:val="0"/>
              <w:pageBreakBefore w:val="0"/>
              <w:widowControl w:val="0"/>
              <w:kinsoku/>
              <w:wordWrap/>
              <w:overflowPunct/>
              <w:topLinePunct w:val="0"/>
              <w:autoSpaceDE/>
              <w:autoSpaceDN/>
              <w:bidi w:val="0"/>
              <w:adjustRightInd/>
              <w:snapToGrid/>
              <w:spacing w:line="440" w:lineRule="exact"/>
              <w:jc w:val="lef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5AE6A9F3">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nil"/>
              <w:left w:val="nil"/>
              <w:bottom w:val="nil"/>
              <w:right w:val="nil"/>
            </w:tcBorders>
            <w:shd w:val="clear" w:color="auto" w:fill="FFFFFF" w:themeFill="background1"/>
            <w:noWrap/>
            <w:vAlign w:val="center"/>
          </w:tcPr>
          <w:p w14:paraId="31A4607A">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4F4CA431">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nil"/>
              <w:left w:val="nil"/>
              <w:bottom w:val="nil"/>
              <w:right w:val="nil"/>
            </w:tcBorders>
            <w:shd w:val="clear" w:color="auto" w:fill="FFFFFF" w:themeFill="background1"/>
            <w:noWrap/>
            <w:vAlign w:val="center"/>
          </w:tcPr>
          <w:p w14:paraId="7175D0D9">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nil"/>
              <w:left w:val="nil"/>
              <w:bottom w:val="nil"/>
              <w:right w:val="nil"/>
            </w:tcBorders>
            <w:shd w:val="clear" w:color="auto" w:fill="FFFFFF" w:themeFill="background1"/>
            <w:noWrap/>
            <w:vAlign w:val="center"/>
          </w:tcPr>
          <w:p w14:paraId="4FE536A6">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10B1E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01BB62A3">
            <w:pPr>
              <w:keepNext w:val="0"/>
              <w:keepLines w:val="0"/>
              <w:pageBreakBefore w:val="0"/>
              <w:widowControl w:val="0"/>
              <w:kinsoku/>
              <w:wordWrap/>
              <w:overflowPunct/>
              <w:topLinePunct w:val="0"/>
              <w:autoSpaceDE/>
              <w:autoSpaceDN/>
              <w:bidi w:val="0"/>
              <w:adjustRightInd/>
              <w:snapToGrid/>
              <w:spacing w:line="440" w:lineRule="exact"/>
              <w:jc w:val="lef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27FE2CA5">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nil"/>
              <w:left w:val="nil"/>
              <w:bottom w:val="nil"/>
              <w:right w:val="nil"/>
            </w:tcBorders>
            <w:shd w:val="clear" w:color="auto" w:fill="FFFFFF" w:themeFill="background1"/>
            <w:noWrap/>
            <w:vAlign w:val="center"/>
          </w:tcPr>
          <w:p w14:paraId="25847A55">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78C19342">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nil"/>
              <w:left w:val="nil"/>
              <w:bottom w:val="nil"/>
              <w:right w:val="nil"/>
            </w:tcBorders>
            <w:shd w:val="clear" w:color="auto" w:fill="FFFFFF" w:themeFill="background1"/>
            <w:noWrap/>
            <w:vAlign w:val="center"/>
          </w:tcPr>
          <w:p w14:paraId="02781676">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nil"/>
              <w:left w:val="nil"/>
              <w:bottom w:val="nil"/>
              <w:right w:val="nil"/>
            </w:tcBorders>
            <w:shd w:val="clear" w:color="auto" w:fill="FFFFFF" w:themeFill="background1"/>
            <w:noWrap/>
            <w:vAlign w:val="center"/>
          </w:tcPr>
          <w:p w14:paraId="6E07ADA6">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3D50A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22E00289">
            <w:pPr>
              <w:keepNext w:val="0"/>
              <w:keepLines w:val="0"/>
              <w:pageBreakBefore w:val="0"/>
              <w:widowControl w:val="0"/>
              <w:kinsoku/>
              <w:wordWrap/>
              <w:overflowPunct/>
              <w:topLinePunct w:val="0"/>
              <w:autoSpaceDE/>
              <w:autoSpaceDN/>
              <w:bidi w:val="0"/>
              <w:adjustRightInd/>
              <w:snapToGrid/>
              <w:spacing w:line="440" w:lineRule="exact"/>
              <w:jc w:val="lef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39262F15">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nil"/>
              <w:left w:val="nil"/>
              <w:bottom w:val="nil"/>
              <w:right w:val="nil"/>
            </w:tcBorders>
            <w:shd w:val="clear" w:color="auto" w:fill="FFFFFF" w:themeFill="background1"/>
            <w:noWrap/>
            <w:vAlign w:val="center"/>
          </w:tcPr>
          <w:p w14:paraId="2B61771C">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1F2CBA3A">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nil"/>
              <w:left w:val="nil"/>
              <w:bottom w:val="nil"/>
              <w:right w:val="nil"/>
            </w:tcBorders>
            <w:shd w:val="clear" w:color="auto" w:fill="FFFFFF" w:themeFill="background1"/>
            <w:noWrap/>
            <w:vAlign w:val="center"/>
          </w:tcPr>
          <w:p w14:paraId="17830CB2">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nil"/>
              <w:left w:val="nil"/>
              <w:bottom w:val="nil"/>
              <w:right w:val="nil"/>
            </w:tcBorders>
            <w:shd w:val="clear" w:color="auto" w:fill="FFFFFF" w:themeFill="background1"/>
            <w:noWrap/>
            <w:vAlign w:val="center"/>
          </w:tcPr>
          <w:p w14:paraId="61382BF3">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38C7F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4963EBBB">
            <w:pPr>
              <w:keepNext w:val="0"/>
              <w:keepLines w:val="0"/>
              <w:pageBreakBefore w:val="0"/>
              <w:widowControl w:val="0"/>
              <w:kinsoku/>
              <w:wordWrap/>
              <w:overflowPunct/>
              <w:topLinePunct w:val="0"/>
              <w:autoSpaceDE/>
              <w:autoSpaceDN/>
              <w:bidi w:val="0"/>
              <w:adjustRightInd/>
              <w:snapToGrid/>
              <w:spacing w:line="440" w:lineRule="exact"/>
              <w:jc w:val="lef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722FCAF5">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nil"/>
              <w:left w:val="nil"/>
              <w:bottom w:val="nil"/>
              <w:right w:val="nil"/>
            </w:tcBorders>
            <w:shd w:val="clear" w:color="auto" w:fill="FFFFFF" w:themeFill="background1"/>
            <w:noWrap/>
            <w:vAlign w:val="center"/>
          </w:tcPr>
          <w:p w14:paraId="46CC553C">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0E57CB03">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nil"/>
              <w:left w:val="nil"/>
              <w:bottom w:val="nil"/>
              <w:right w:val="nil"/>
            </w:tcBorders>
            <w:shd w:val="clear" w:color="auto" w:fill="FFFFFF" w:themeFill="background1"/>
            <w:noWrap/>
            <w:vAlign w:val="center"/>
          </w:tcPr>
          <w:p w14:paraId="3E9B84D0">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nil"/>
              <w:left w:val="nil"/>
              <w:bottom w:val="nil"/>
              <w:right w:val="nil"/>
            </w:tcBorders>
            <w:shd w:val="clear" w:color="auto" w:fill="FFFFFF" w:themeFill="background1"/>
            <w:noWrap/>
            <w:vAlign w:val="center"/>
          </w:tcPr>
          <w:p w14:paraId="0460CB93">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208E6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2FF43A12">
            <w:pPr>
              <w:keepNext w:val="0"/>
              <w:keepLines w:val="0"/>
              <w:pageBreakBefore w:val="0"/>
              <w:widowControl w:val="0"/>
              <w:kinsoku/>
              <w:wordWrap/>
              <w:overflowPunct/>
              <w:topLinePunct w:val="0"/>
              <w:autoSpaceDE/>
              <w:autoSpaceDN/>
              <w:bidi w:val="0"/>
              <w:adjustRightInd/>
              <w:snapToGrid/>
              <w:spacing w:line="440" w:lineRule="exact"/>
              <w:jc w:val="lef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514F4290">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nil"/>
              <w:left w:val="nil"/>
              <w:bottom w:val="nil"/>
              <w:right w:val="nil"/>
            </w:tcBorders>
            <w:shd w:val="clear" w:color="auto" w:fill="FFFFFF" w:themeFill="background1"/>
            <w:noWrap/>
            <w:vAlign w:val="center"/>
          </w:tcPr>
          <w:p w14:paraId="21A1AC18">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02422F2D">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nil"/>
              <w:left w:val="nil"/>
              <w:bottom w:val="nil"/>
              <w:right w:val="nil"/>
            </w:tcBorders>
            <w:shd w:val="clear" w:color="auto" w:fill="FFFFFF" w:themeFill="background1"/>
            <w:noWrap/>
            <w:vAlign w:val="center"/>
          </w:tcPr>
          <w:p w14:paraId="02860D1E">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nil"/>
              <w:left w:val="nil"/>
              <w:bottom w:val="nil"/>
              <w:right w:val="nil"/>
            </w:tcBorders>
            <w:shd w:val="clear" w:color="auto" w:fill="FFFFFF" w:themeFill="background1"/>
            <w:noWrap/>
            <w:vAlign w:val="center"/>
          </w:tcPr>
          <w:p w14:paraId="279AEC73">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0B714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53E75403">
            <w:pPr>
              <w:keepNext w:val="0"/>
              <w:keepLines w:val="0"/>
              <w:pageBreakBefore w:val="0"/>
              <w:widowControl w:val="0"/>
              <w:kinsoku/>
              <w:wordWrap/>
              <w:overflowPunct/>
              <w:topLinePunct w:val="0"/>
              <w:autoSpaceDE/>
              <w:autoSpaceDN/>
              <w:bidi w:val="0"/>
              <w:adjustRightInd/>
              <w:snapToGrid/>
              <w:spacing w:line="440" w:lineRule="exact"/>
              <w:jc w:val="lef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7F8DA041">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nil"/>
              <w:left w:val="nil"/>
              <w:bottom w:val="nil"/>
              <w:right w:val="nil"/>
            </w:tcBorders>
            <w:shd w:val="clear" w:color="auto" w:fill="FFFFFF" w:themeFill="background1"/>
            <w:noWrap/>
            <w:vAlign w:val="center"/>
          </w:tcPr>
          <w:p w14:paraId="606F115C">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3434DA8B">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nil"/>
              <w:left w:val="nil"/>
              <w:bottom w:val="nil"/>
              <w:right w:val="nil"/>
            </w:tcBorders>
            <w:shd w:val="clear" w:color="auto" w:fill="FFFFFF" w:themeFill="background1"/>
            <w:noWrap/>
            <w:vAlign w:val="center"/>
          </w:tcPr>
          <w:p w14:paraId="1CE0F1F6">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nil"/>
              <w:left w:val="nil"/>
              <w:bottom w:val="nil"/>
              <w:right w:val="nil"/>
            </w:tcBorders>
            <w:shd w:val="clear" w:color="auto" w:fill="FFFFFF" w:themeFill="background1"/>
            <w:noWrap/>
            <w:vAlign w:val="center"/>
          </w:tcPr>
          <w:p w14:paraId="2AE49D3C">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1CC8C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3D7D11F3">
            <w:pPr>
              <w:keepNext w:val="0"/>
              <w:keepLines w:val="0"/>
              <w:pageBreakBefore w:val="0"/>
              <w:widowControl w:val="0"/>
              <w:kinsoku/>
              <w:wordWrap/>
              <w:overflowPunct/>
              <w:topLinePunct w:val="0"/>
              <w:autoSpaceDE/>
              <w:autoSpaceDN/>
              <w:bidi w:val="0"/>
              <w:adjustRightInd/>
              <w:snapToGrid/>
              <w:spacing w:line="440" w:lineRule="exact"/>
              <w:jc w:val="lef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2543EDF8">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nil"/>
              <w:left w:val="nil"/>
              <w:bottom w:val="nil"/>
              <w:right w:val="nil"/>
            </w:tcBorders>
            <w:shd w:val="clear" w:color="auto" w:fill="FFFFFF" w:themeFill="background1"/>
            <w:noWrap/>
            <w:vAlign w:val="center"/>
          </w:tcPr>
          <w:p w14:paraId="43F2910D">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00B092BE">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nil"/>
              <w:left w:val="nil"/>
              <w:bottom w:val="nil"/>
              <w:right w:val="nil"/>
            </w:tcBorders>
            <w:shd w:val="clear" w:color="auto" w:fill="FFFFFF" w:themeFill="background1"/>
            <w:noWrap/>
            <w:vAlign w:val="center"/>
          </w:tcPr>
          <w:p w14:paraId="158B216F">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nil"/>
              <w:left w:val="nil"/>
              <w:bottom w:val="nil"/>
              <w:right w:val="nil"/>
            </w:tcBorders>
            <w:shd w:val="clear" w:color="auto" w:fill="FFFFFF" w:themeFill="background1"/>
            <w:noWrap/>
            <w:vAlign w:val="center"/>
          </w:tcPr>
          <w:p w14:paraId="2903340C">
            <w:pPr>
              <w:keepNext w:val="0"/>
              <w:keepLines w:val="0"/>
              <w:pageBreakBefore w:val="0"/>
              <w:widowControl w:val="0"/>
              <w:suppressLineNumbers w:val="0"/>
              <w:kinsoku/>
              <w:wordWrap/>
              <w:overflowPunct/>
              <w:topLinePunct w:val="0"/>
              <w:autoSpaceDE/>
              <w:autoSpaceDN/>
              <w:bidi w:val="0"/>
              <w:adjustRightInd/>
              <w:snapToGrid/>
              <w:spacing w:line="44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1.55 </w:t>
            </w:r>
          </w:p>
        </w:tc>
      </w:tr>
      <w:tr w14:paraId="36EE1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2A871D8B">
            <w:pPr>
              <w:keepNext w:val="0"/>
              <w:keepLines w:val="0"/>
              <w:pageBreakBefore w:val="0"/>
              <w:widowControl w:val="0"/>
              <w:kinsoku/>
              <w:wordWrap/>
              <w:overflowPunct/>
              <w:topLinePunct w:val="0"/>
              <w:autoSpaceDE/>
              <w:autoSpaceDN/>
              <w:bidi w:val="0"/>
              <w:adjustRightInd/>
              <w:snapToGrid/>
              <w:spacing w:line="440" w:lineRule="exact"/>
              <w:jc w:val="lef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419D7B09">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nil"/>
              <w:left w:val="nil"/>
              <w:bottom w:val="nil"/>
              <w:right w:val="nil"/>
            </w:tcBorders>
            <w:shd w:val="clear" w:color="auto" w:fill="FFFFFF" w:themeFill="background1"/>
            <w:noWrap/>
            <w:vAlign w:val="center"/>
          </w:tcPr>
          <w:p w14:paraId="7B73BF1D">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22AEBFE7">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nil"/>
              <w:left w:val="nil"/>
              <w:bottom w:val="nil"/>
              <w:right w:val="nil"/>
            </w:tcBorders>
            <w:shd w:val="clear" w:color="auto" w:fill="FFFFFF" w:themeFill="background1"/>
            <w:noWrap/>
            <w:vAlign w:val="center"/>
          </w:tcPr>
          <w:p w14:paraId="745DE646">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nil"/>
              <w:left w:val="nil"/>
              <w:bottom w:val="nil"/>
              <w:right w:val="nil"/>
            </w:tcBorders>
            <w:shd w:val="clear" w:color="auto" w:fill="FFFFFF" w:themeFill="background1"/>
            <w:noWrap/>
            <w:vAlign w:val="center"/>
          </w:tcPr>
          <w:p w14:paraId="643698D3">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3D65D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1EBD4F96">
            <w:pPr>
              <w:keepNext w:val="0"/>
              <w:keepLines w:val="0"/>
              <w:pageBreakBefore w:val="0"/>
              <w:widowControl w:val="0"/>
              <w:kinsoku/>
              <w:wordWrap/>
              <w:overflowPunct/>
              <w:topLinePunct w:val="0"/>
              <w:autoSpaceDE/>
              <w:autoSpaceDN/>
              <w:bidi w:val="0"/>
              <w:adjustRightInd/>
              <w:snapToGrid/>
              <w:spacing w:line="440" w:lineRule="exact"/>
              <w:jc w:val="lef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1A3561FF">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nil"/>
              <w:left w:val="nil"/>
              <w:bottom w:val="nil"/>
              <w:right w:val="nil"/>
            </w:tcBorders>
            <w:shd w:val="clear" w:color="auto" w:fill="FFFFFF" w:themeFill="background1"/>
            <w:noWrap/>
            <w:vAlign w:val="center"/>
          </w:tcPr>
          <w:p w14:paraId="1550B1D2">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6EDF5864">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nil"/>
              <w:left w:val="nil"/>
              <w:bottom w:val="nil"/>
              <w:right w:val="nil"/>
            </w:tcBorders>
            <w:shd w:val="clear" w:color="auto" w:fill="FFFFFF" w:themeFill="background1"/>
            <w:noWrap/>
            <w:vAlign w:val="center"/>
          </w:tcPr>
          <w:p w14:paraId="42A1A07D">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nil"/>
              <w:left w:val="nil"/>
              <w:bottom w:val="nil"/>
              <w:right w:val="nil"/>
            </w:tcBorders>
            <w:shd w:val="clear" w:color="auto" w:fill="FFFFFF" w:themeFill="background1"/>
            <w:noWrap/>
            <w:vAlign w:val="center"/>
          </w:tcPr>
          <w:p w14:paraId="21BBAFCC">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07CCF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4AD80F93">
            <w:pPr>
              <w:keepNext w:val="0"/>
              <w:keepLines w:val="0"/>
              <w:pageBreakBefore w:val="0"/>
              <w:widowControl w:val="0"/>
              <w:kinsoku/>
              <w:wordWrap/>
              <w:overflowPunct/>
              <w:topLinePunct w:val="0"/>
              <w:autoSpaceDE/>
              <w:autoSpaceDN/>
              <w:bidi w:val="0"/>
              <w:adjustRightInd/>
              <w:snapToGrid/>
              <w:spacing w:line="440" w:lineRule="exact"/>
              <w:jc w:val="lef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13887150">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nil"/>
              <w:left w:val="nil"/>
              <w:bottom w:val="nil"/>
              <w:right w:val="nil"/>
            </w:tcBorders>
            <w:shd w:val="clear" w:color="auto" w:fill="FFFFFF" w:themeFill="background1"/>
            <w:noWrap/>
            <w:vAlign w:val="center"/>
          </w:tcPr>
          <w:p w14:paraId="473F6BCB">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08C09CA6">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nil"/>
              <w:left w:val="nil"/>
              <w:bottom w:val="nil"/>
              <w:right w:val="nil"/>
            </w:tcBorders>
            <w:shd w:val="clear" w:color="auto" w:fill="FFFFFF" w:themeFill="background1"/>
            <w:noWrap/>
            <w:vAlign w:val="center"/>
          </w:tcPr>
          <w:p w14:paraId="0593DDFD">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nil"/>
              <w:left w:val="nil"/>
              <w:bottom w:val="nil"/>
              <w:right w:val="nil"/>
            </w:tcBorders>
            <w:shd w:val="clear" w:color="auto" w:fill="FFFFFF" w:themeFill="background1"/>
            <w:noWrap/>
            <w:vAlign w:val="center"/>
          </w:tcPr>
          <w:p w14:paraId="08CE5E9A">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38A1E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533C1639">
            <w:pPr>
              <w:keepNext w:val="0"/>
              <w:keepLines w:val="0"/>
              <w:pageBreakBefore w:val="0"/>
              <w:widowControl w:val="0"/>
              <w:kinsoku/>
              <w:wordWrap/>
              <w:overflowPunct/>
              <w:topLinePunct w:val="0"/>
              <w:autoSpaceDE/>
              <w:autoSpaceDN/>
              <w:bidi w:val="0"/>
              <w:adjustRightInd/>
              <w:snapToGrid/>
              <w:spacing w:line="440" w:lineRule="exact"/>
              <w:jc w:val="lef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45FEDE4B">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nil"/>
              <w:left w:val="nil"/>
              <w:bottom w:val="nil"/>
              <w:right w:val="nil"/>
            </w:tcBorders>
            <w:shd w:val="clear" w:color="auto" w:fill="FFFFFF" w:themeFill="background1"/>
            <w:noWrap/>
            <w:vAlign w:val="center"/>
          </w:tcPr>
          <w:p w14:paraId="3F90EFE1">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4C787435">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nil"/>
              <w:left w:val="nil"/>
              <w:bottom w:val="nil"/>
              <w:right w:val="nil"/>
            </w:tcBorders>
            <w:shd w:val="clear" w:color="auto" w:fill="FFFFFF" w:themeFill="background1"/>
            <w:noWrap/>
            <w:vAlign w:val="center"/>
          </w:tcPr>
          <w:p w14:paraId="211F3C0C">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nil"/>
              <w:left w:val="nil"/>
              <w:bottom w:val="nil"/>
              <w:right w:val="nil"/>
            </w:tcBorders>
            <w:shd w:val="clear" w:color="auto" w:fill="FFFFFF" w:themeFill="background1"/>
            <w:noWrap/>
            <w:vAlign w:val="center"/>
          </w:tcPr>
          <w:p w14:paraId="6126AE33">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04903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00002C92">
            <w:pPr>
              <w:keepNext w:val="0"/>
              <w:keepLines w:val="0"/>
              <w:pageBreakBefore w:val="0"/>
              <w:widowControl w:val="0"/>
              <w:kinsoku/>
              <w:wordWrap/>
              <w:overflowPunct/>
              <w:topLinePunct w:val="0"/>
              <w:autoSpaceDE/>
              <w:autoSpaceDN/>
              <w:bidi w:val="0"/>
              <w:adjustRightInd/>
              <w:snapToGrid/>
              <w:spacing w:line="440" w:lineRule="exact"/>
              <w:jc w:val="center"/>
              <w:rPr>
                <w:rFonts w:hint="eastAsia" w:ascii="宋体" w:hAnsi="宋体" w:eastAsia="宋体" w:cs="宋体"/>
                <w:b/>
                <w:bCs/>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center"/>
          </w:tcPr>
          <w:p w14:paraId="1C30FAAE">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nil"/>
              <w:left w:val="nil"/>
              <w:bottom w:val="nil"/>
              <w:right w:val="nil"/>
            </w:tcBorders>
            <w:shd w:val="clear" w:color="auto" w:fill="FFFFFF" w:themeFill="background1"/>
            <w:noWrap/>
            <w:vAlign w:val="center"/>
          </w:tcPr>
          <w:p w14:paraId="24701D07">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center"/>
          </w:tcPr>
          <w:p w14:paraId="2E1E326A">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nil"/>
              <w:left w:val="nil"/>
              <w:bottom w:val="nil"/>
              <w:right w:val="nil"/>
            </w:tcBorders>
            <w:shd w:val="clear" w:color="auto" w:fill="FFFFFF" w:themeFill="background1"/>
            <w:noWrap/>
            <w:vAlign w:val="center"/>
          </w:tcPr>
          <w:p w14:paraId="13E7DDFF">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nil"/>
              <w:left w:val="nil"/>
              <w:bottom w:val="nil"/>
              <w:right w:val="nil"/>
            </w:tcBorders>
            <w:shd w:val="clear" w:color="auto" w:fill="FFFFFF" w:themeFill="background1"/>
            <w:noWrap/>
            <w:vAlign w:val="center"/>
          </w:tcPr>
          <w:p w14:paraId="75149CDD">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0A644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5B948EB8">
            <w:pPr>
              <w:keepNext w:val="0"/>
              <w:keepLines w:val="0"/>
              <w:pageBreakBefore w:val="0"/>
              <w:widowControl w:val="0"/>
              <w:kinsoku/>
              <w:wordWrap/>
              <w:overflowPunct/>
              <w:topLinePunct w:val="0"/>
              <w:autoSpaceDE/>
              <w:autoSpaceDN/>
              <w:bidi w:val="0"/>
              <w:adjustRightInd/>
              <w:snapToGrid/>
              <w:spacing w:line="440" w:lineRule="exact"/>
              <w:jc w:val="lef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center"/>
          </w:tcPr>
          <w:p w14:paraId="51595665">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nil"/>
              <w:left w:val="nil"/>
              <w:bottom w:val="nil"/>
              <w:right w:val="nil"/>
            </w:tcBorders>
            <w:shd w:val="clear" w:color="auto" w:fill="FFFFFF" w:themeFill="background1"/>
            <w:noWrap/>
            <w:vAlign w:val="center"/>
          </w:tcPr>
          <w:p w14:paraId="6B4F6C80">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center"/>
          </w:tcPr>
          <w:p w14:paraId="76CA4F4E">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nil"/>
              <w:left w:val="nil"/>
              <w:bottom w:val="nil"/>
              <w:right w:val="nil"/>
            </w:tcBorders>
            <w:shd w:val="clear" w:color="auto" w:fill="FFFFFF" w:themeFill="background1"/>
            <w:noWrap/>
            <w:vAlign w:val="center"/>
          </w:tcPr>
          <w:p w14:paraId="138A93EC">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nil"/>
              <w:left w:val="nil"/>
              <w:bottom w:val="nil"/>
              <w:right w:val="nil"/>
            </w:tcBorders>
            <w:shd w:val="clear" w:color="auto" w:fill="FFFFFF" w:themeFill="background1"/>
            <w:noWrap/>
            <w:vAlign w:val="center"/>
          </w:tcPr>
          <w:p w14:paraId="289D2BFE">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4F0C5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16CDBE70">
            <w:pPr>
              <w:keepNext w:val="0"/>
              <w:keepLines w:val="0"/>
              <w:pageBreakBefore w:val="0"/>
              <w:widowControl w:val="0"/>
              <w:kinsoku/>
              <w:wordWrap/>
              <w:overflowPunct/>
              <w:topLinePunct w:val="0"/>
              <w:autoSpaceDE/>
              <w:autoSpaceDN/>
              <w:bidi w:val="0"/>
              <w:adjustRightInd/>
              <w:snapToGrid/>
              <w:spacing w:line="440" w:lineRule="exact"/>
              <w:jc w:val="lef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center"/>
          </w:tcPr>
          <w:p w14:paraId="7E0C6C3F">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nil"/>
              <w:left w:val="nil"/>
              <w:bottom w:val="nil"/>
              <w:right w:val="nil"/>
            </w:tcBorders>
            <w:shd w:val="clear" w:color="auto" w:fill="FFFFFF" w:themeFill="background1"/>
            <w:noWrap/>
            <w:vAlign w:val="center"/>
          </w:tcPr>
          <w:p w14:paraId="1016D58D">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FFFFFF" w:themeFill="background1"/>
            <w:noWrap/>
            <w:vAlign w:val="center"/>
          </w:tcPr>
          <w:p w14:paraId="5F46CC42">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nil"/>
              <w:left w:val="nil"/>
              <w:bottom w:val="nil"/>
              <w:right w:val="nil"/>
            </w:tcBorders>
            <w:shd w:val="clear" w:color="auto" w:fill="FFFFFF" w:themeFill="background1"/>
            <w:noWrap/>
            <w:vAlign w:val="center"/>
          </w:tcPr>
          <w:p w14:paraId="1A48C2A4">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nil"/>
              <w:left w:val="nil"/>
              <w:bottom w:val="nil"/>
              <w:right w:val="nil"/>
            </w:tcBorders>
            <w:shd w:val="clear" w:color="auto" w:fill="FFFFFF" w:themeFill="background1"/>
            <w:noWrap/>
            <w:vAlign w:val="center"/>
          </w:tcPr>
          <w:p w14:paraId="2D65BA80">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11894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5328A0EF">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nil"/>
              <w:left w:val="nil"/>
              <w:bottom w:val="nil"/>
              <w:right w:val="nil"/>
            </w:tcBorders>
            <w:shd w:val="clear" w:color="auto" w:fill="FFFFFF" w:themeFill="background1"/>
            <w:noWrap/>
            <w:vAlign w:val="center"/>
          </w:tcPr>
          <w:p w14:paraId="358A2B7F">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nil"/>
              <w:left w:val="nil"/>
              <w:bottom w:val="nil"/>
              <w:right w:val="nil"/>
            </w:tcBorders>
            <w:shd w:val="clear" w:color="auto" w:fill="FFFFFF" w:themeFill="background1"/>
            <w:noWrap/>
            <w:vAlign w:val="center"/>
          </w:tcPr>
          <w:p w14:paraId="09D6FF61">
            <w:pPr>
              <w:keepNext w:val="0"/>
              <w:keepLines w:val="0"/>
              <w:pageBreakBefore w:val="0"/>
              <w:widowControl w:val="0"/>
              <w:suppressLineNumbers w:val="0"/>
              <w:kinsoku/>
              <w:wordWrap/>
              <w:overflowPunct/>
              <w:topLinePunct w:val="0"/>
              <w:autoSpaceDE/>
              <w:autoSpaceDN/>
              <w:bidi w:val="0"/>
              <w:adjustRightInd/>
              <w:snapToGrid/>
              <w:spacing w:line="44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415.78 </w:t>
            </w:r>
          </w:p>
        </w:tc>
        <w:tc>
          <w:tcPr>
            <w:tcW w:w="0" w:type="auto"/>
            <w:tcBorders>
              <w:top w:val="nil"/>
              <w:left w:val="nil"/>
              <w:bottom w:val="nil"/>
              <w:right w:val="nil"/>
            </w:tcBorders>
            <w:shd w:val="clear" w:color="auto" w:fill="FFFFFF" w:themeFill="background1"/>
            <w:noWrap/>
            <w:vAlign w:val="center"/>
          </w:tcPr>
          <w:p w14:paraId="5CB1DF3F">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nil"/>
              <w:left w:val="nil"/>
              <w:bottom w:val="nil"/>
              <w:right w:val="nil"/>
            </w:tcBorders>
            <w:shd w:val="clear" w:color="auto" w:fill="FFFFFF" w:themeFill="background1"/>
            <w:noWrap/>
            <w:vAlign w:val="center"/>
          </w:tcPr>
          <w:p w14:paraId="02E26EB4">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nil"/>
              <w:left w:val="nil"/>
              <w:bottom w:val="nil"/>
              <w:right w:val="nil"/>
            </w:tcBorders>
            <w:shd w:val="clear" w:color="auto" w:fill="FFFFFF" w:themeFill="background1"/>
            <w:noWrap/>
            <w:vAlign w:val="center"/>
          </w:tcPr>
          <w:p w14:paraId="2EE2E951">
            <w:pPr>
              <w:keepNext w:val="0"/>
              <w:keepLines w:val="0"/>
              <w:pageBreakBefore w:val="0"/>
              <w:widowControl w:val="0"/>
              <w:suppressLineNumbers w:val="0"/>
              <w:kinsoku/>
              <w:wordWrap/>
              <w:overflowPunct/>
              <w:topLinePunct w:val="0"/>
              <w:autoSpaceDE/>
              <w:autoSpaceDN/>
              <w:bidi w:val="0"/>
              <w:adjustRightInd/>
              <w:snapToGrid/>
              <w:spacing w:line="44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415.78 </w:t>
            </w:r>
          </w:p>
        </w:tc>
      </w:tr>
      <w:tr w14:paraId="4BDA8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19A49996">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使用非财政拨款结余（含专用结余）</w:t>
            </w:r>
          </w:p>
        </w:tc>
        <w:tc>
          <w:tcPr>
            <w:tcW w:w="0" w:type="auto"/>
            <w:tcBorders>
              <w:top w:val="nil"/>
              <w:left w:val="nil"/>
              <w:bottom w:val="nil"/>
              <w:right w:val="nil"/>
            </w:tcBorders>
            <w:shd w:val="clear" w:color="auto" w:fill="FFFFFF" w:themeFill="background1"/>
            <w:noWrap/>
            <w:vAlign w:val="center"/>
          </w:tcPr>
          <w:p w14:paraId="081BC4A6">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nil"/>
              <w:left w:val="nil"/>
              <w:bottom w:val="nil"/>
              <w:right w:val="nil"/>
            </w:tcBorders>
            <w:shd w:val="clear" w:color="auto" w:fill="FFFFFF" w:themeFill="background1"/>
            <w:noWrap/>
            <w:vAlign w:val="center"/>
          </w:tcPr>
          <w:p w14:paraId="46C2524C">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FFFFFF" w:themeFill="background1"/>
            <w:noWrap/>
            <w:vAlign w:val="center"/>
          </w:tcPr>
          <w:p w14:paraId="26A0C934">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结余分配</w:t>
            </w:r>
          </w:p>
        </w:tc>
        <w:tc>
          <w:tcPr>
            <w:tcW w:w="0" w:type="auto"/>
            <w:tcBorders>
              <w:top w:val="nil"/>
              <w:left w:val="nil"/>
              <w:bottom w:val="nil"/>
              <w:right w:val="nil"/>
            </w:tcBorders>
            <w:shd w:val="clear" w:color="auto" w:fill="FFFFFF" w:themeFill="background1"/>
            <w:noWrap/>
            <w:vAlign w:val="center"/>
          </w:tcPr>
          <w:p w14:paraId="69832A08">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nil"/>
              <w:left w:val="nil"/>
              <w:bottom w:val="nil"/>
              <w:right w:val="nil"/>
            </w:tcBorders>
            <w:shd w:val="clear" w:color="auto" w:fill="FFFFFF" w:themeFill="background1"/>
            <w:noWrap/>
            <w:vAlign w:val="center"/>
          </w:tcPr>
          <w:p w14:paraId="346B834E">
            <w:pPr>
              <w:keepNext w:val="0"/>
              <w:keepLines w:val="0"/>
              <w:pageBreakBefore w:val="0"/>
              <w:widowControl w:val="0"/>
              <w:kinsoku/>
              <w:wordWrap/>
              <w:overflowPunct/>
              <w:topLinePunct w:val="0"/>
              <w:autoSpaceDE/>
              <w:autoSpaceDN/>
              <w:bidi w:val="0"/>
              <w:adjustRightInd/>
              <w:snapToGrid/>
              <w:spacing w:line="440" w:lineRule="exact"/>
              <w:jc w:val="right"/>
              <w:rPr>
                <w:rFonts w:hint="eastAsia" w:ascii="宋体" w:hAnsi="宋体" w:eastAsia="宋体" w:cs="宋体"/>
                <w:i w:val="0"/>
                <w:iCs w:val="0"/>
                <w:color w:val="000000"/>
                <w:sz w:val="22"/>
                <w:szCs w:val="22"/>
                <w:u w:val="none"/>
              </w:rPr>
            </w:pPr>
          </w:p>
        </w:tc>
      </w:tr>
      <w:tr w14:paraId="0BEB6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7D444D03">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年初结转和结余</w:t>
            </w:r>
          </w:p>
        </w:tc>
        <w:tc>
          <w:tcPr>
            <w:tcW w:w="0" w:type="auto"/>
            <w:tcBorders>
              <w:top w:val="nil"/>
              <w:left w:val="nil"/>
              <w:bottom w:val="nil"/>
              <w:right w:val="nil"/>
            </w:tcBorders>
            <w:shd w:val="clear" w:color="auto" w:fill="FFFFFF" w:themeFill="background1"/>
            <w:noWrap/>
            <w:vAlign w:val="center"/>
          </w:tcPr>
          <w:p w14:paraId="71C4DA43">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nil"/>
              <w:left w:val="nil"/>
              <w:bottom w:val="nil"/>
              <w:right w:val="nil"/>
            </w:tcBorders>
            <w:shd w:val="clear" w:color="auto" w:fill="FFFFFF" w:themeFill="background1"/>
            <w:noWrap/>
            <w:vAlign w:val="center"/>
          </w:tcPr>
          <w:p w14:paraId="2CC802E1">
            <w:pPr>
              <w:keepNext w:val="0"/>
              <w:keepLines w:val="0"/>
              <w:pageBreakBefore w:val="0"/>
              <w:widowControl w:val="0"/>
              <w:suppressLineNumbers w:val="0"/>
              <w:kinsoku/>
              <w:wordWrap/>
              <w:overflowPunct/>
              <w:topLinePunct w:val="0"/>
              <w:autoSpaceDE/>
              <w:autoSpaceDN/>
              <w:bidi w:val="0"/>
              <w:adjustRightInd/>
              <w:snapToGrid/>
              <w:spacing w:line="44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nil"/>
              <w:left w:val="nil"/>
              <w:bottom w:val="nil"/>
              <w:right w:val="nil"/>
            </w:tcBorders>
            <w:shd w:val="clear" w:color="auto" w:fill="FFFFFF" w:themeFill="background1"/>
            <w:noWrap/>
            <w:vAlign w:val="center"/>
          </w:tcPr>
          <w:p w14:paraId="5CA009F0">
            <w:pPr>
              <w:keepNext w:val="0"/>
              <w:keepLines w:val="0"/>
              <w:pageBreakBefore w:val="0"/>
              <w:widowControl w:val="0"/>
              <w:suppressLineNumbers w:val="0"/>
              <w:kinsoku/>
              <w:wordWrap/>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年末结转和结余</w:t>
            </w:r>
          </w:p>
        </w:tc>
        <w:tc>
          <w:tcPr>
            <w:tcW w:w="0" w:type="auto"/>
            <w:tcBorders>
              <w:top w:val="nil"/>
              <w:left w:val="nil"/>
              <w:bottom w:val="nil"/>
              <w:right w:val="nil"/>
            </w:tcBorders>
            <w:shd w:val="clear" w:color="auto" w:fill="FFFFFF" w:themeFill="background1"/>
            <w:noWrap/>
            <w:vAlign w:val="center"/>
          </w:tcPr>
          <w:p w14:paraId="37B08044">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nil"/>
              <w:left w:val="nil"/>
              <w:bottom w:val="nil"/>
              <w:right w:val="nil"/>
            </w:tcBorders>
            <w:shd w:val="clear" w:color="auto" w:fill="FFFFFF" w:themeFill="background1"/>
            <w:noWrap/>
            <w:vAlign w:val="center"/>
          </w:tcPr>
          <w:p w14:paraId="0E2C9BEC">
            <w:pPr>
              <w:keepNext w:val="0"/>
              <w:keepLines w:val="0"/>
              <w:pageBreakBefore w:val="0"/>
              <w:widowControl w:val="0"/>
              <w:suppressLineNumbers w:val="0"/>
              <w:kinsoku/>
              <w:wordWrap/>
              <w:overflowPunct/>
              <w:topLinePunct w:val="0"/>
              <w:autoSpaceDE/>
              <w:autoSpaceDN/>
              <w:bidi w:val="0"/>
              <w:adjustRightInd/>
              <w:snapToGrid/>
              <w:spacing w:line="44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72FA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FFFFFF" w:themeFill="background1"/>
            <w:noWrap/>
            <w:vAlign w:val="center"/>
          </w:tcPr>
          <w:p w14:paraId="2B411D47">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nil"/>
              <w:left w:val="nil"/>
              <w:bottom w:val="nil"/>
              <w:right w:val="nil"/>
            </w:tcBorders>
            <w:shd w:val="clear" w:color="auto" w:fill="FFFFFF" w:themeFill="background1"/>
            <w:noWrap/>
            <w:vAlign w:val="center"/>
          </w:tcPr>
          <w:p w14:paraId="4F82EBD0">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nil"/>
              <w:left w:val="nil"/>
              <w:bottom w:val="nil"/>
              <w:right w:val="nil"/>
            </w:tcBorders>
            <w:shd w:val="clear" w:color="auto" w:fill="FFFFFF" w:themeFill="background1"/>
            <w:noWrap/>
            <w:vAlign w:val="center"/>
          </w:tcPr>
          <w:p w14:paraId="041AB1CC">
            <w:pPr>
              <w:keepNext w:val="0"/>
              <w:keepLines w:val="0"/>
              <w:pageBreakBefore w:val="0"/>
              <w:widowControl w:val="0"/>
              <w:suppressLineNumbers w:val="0"/>
              <w:kinsoku/>
              <w:wordWrap/>
              <w:overflowPunct/>
              <w:topLinePunct w:val="0"/>
              <w:autoSpaceDE/>
              <w:autoSpaceDN/>
              <w:bidi w:val="0"/>
              <w:adjustRightInd/>
              <w:snapToGrid/>
              <w:spacing w:line="44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415.78 </w:t>
            </w:r>
          </w:p>
        </w:tc>
        <w:tc>
          <w:tcPr>
            <w:tcW w:w="0" w:type="auto"/>
            <w:tcBorders>
              <w:top w:val="nil"/>
              <w:left w:val="nil"/>
              <w:bottom w:val="nil"/>
              <w:right w:val="nil"/>
            </w:tcBorders>
            <w:shd w:val="clear" w:color="auto" w:fill="FFFFFF" w:themeFill="background1"/>
            <w:noWrap/>
            <w:vAlign w:val="center"/>
          </w:tcPr>
          <w:p w14:paraId="2EA53F57">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nil"/>
              <w:left w:val="nil"/>
              <w:bottom w:val="nil"/>
              <w:right w:val="nil"/>
            </w:tcBorders>
            <w:shd w:val="clear" w:color="auto" w:fill="FFFFFF" w:themeFill="background1"/>
            <w:noWrap/>
            <w:vAlign w:val="center"/>
          </w:tcPr>
          <w:p w14:paraId="375261D0">
            <w:pPr>
              <w:keepNext w:val="0"/>
              <w:keepLines w:val="0"/>
              <w:pageBreakBefore w:val="0"/>
              <w:widowControl w:val="0"/>
              <w:suppressLineNumbers w:val="0"/>
              <w:kinsoku/>
              <w:wordWrap/>
              <w:overflowPunct/>
              <w:topLinePunct w:val="0"/>
              <w:autoSpaceDE/>
              <w:autoSpaceDN/>
              <w:bidi w:val="0"/>
              <w:adjustRightInd/>
              <w:snapToGrid/>
              <w:spacing w:line="4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nil"/>
              <w:left w:val="nil"/>
              <w:bottom w:val="nil"/>
              <w:right w:val="nil"/>
            </w:tcBorders>
            <w:shd w:val="clear" w:color="auto" w:fill="FFFFFF" w:themeFill="background1"/>
            <w:noWrap/>
            <w:vAlign w:val="center"/>
          </w:tcPr>
          <w:p w14:paraId="1F7FE97E">
            <w:pPr>
              <w:keepNext w:val="0"/>
              <w:keepLines w:val="0"/>
              <w:pageBreakBefore w:val="0"/>
              <w:widowControl w:val="0"/>
              <w:suppressLineNumbers w:val="0"/>
              <w:kinsoku/>
              <w:wordWrap/>
              <w:overflowPunct/>
              <w:topLinePunct w:val="0"/>
              <w:autoSpaceDE/>
              <w:autoSpaceDN/>
              <w:bidi w:val="0"/>
              <w:adjustRightInd/>
              <w:snapToGrid/>
              <w:spacing w:line="44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415.78 </w:t>
            </w:r>
          </w:p>
        </w:tc>
      </w:tr>
      <w:tr w14:paraId="55708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6"/>
            <w:tcBorders>
              <w:top w:val="nil"/>
              <w:left w:val="nil"/>
              <w:bottom w:val="nil"/>
              <w:right w:val="nil"/>
            </w:tcBorders>
            <w:shd w:val="clear" w:color="auto" w:fill="auto"/>
            <w:noWrap/>
            <w:vAlign w:val="center"/>
          </w:tcPr>
          <w:p w14:paraId="422BC0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注：1.本表反映部门本年度的总收支和年末结转结余情况。</w:t>
            </w:r>
          </w:p>
        </w:tc>
      </w:tr>
      <w:tr w14:paraId="36733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6"/>
            <w:tcBorders>
              <w:top w:val="nil"/>
              <w:left w:val="nil"/>
              <w:bottom w:val="nil"/>
              <w:right w:val="nil"/>
            </w:tcBorders>
            <w:shd w:val="clear" w:color="auto" w:fill="auto"/>
            <w:noWrap/>
            <w:vAlign w:val="center"/>
          </w:tcPr>
          <w:p w14:paraId="28B89F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2.本套报表金额单位转换时可能存在尾数误差。</w:t>
            </w:r>
          </w:p>
        </w:tc>
      </w:tr>
    </w:tbl>
    <w:p w14:paraId="2445F9D4">
      <w:pPr>
        <w:widowControl/>
        <w:jc w:val="left"/>
        <w:textAlignment w:val="center"/>
        <w:rPr>
          <w:rFonts w:ascii="Times New Roman" w:hAnsi="Times New Roman" w:eastAsia="仿宋_GB2312" w:cs="Times New Roman"/>
          <w:color w:val="000000"/>
          <w:sz w:val="24"/>
          <w:szCs w:val="24"/>
        </w:rPr>
      </w:pPr>
    </w:p>
    <w:p w14:paraId="5D8E8027">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5640F85">
      <w:pPr>
        <w:widowControl/>
        <w:spacing w:line="400" w:lineRule="exact"/>
        <w:jc w:val="center"/>
        <w:textAlignment w:val="center"/>
        <w:rPr>
          <w:rFonts w:ascii="Times New Roman" w:hAnsi="Times New Roman" w:eastAsia="黑体" w:cs="Times New Roman"/>
          <w:color w:val="000000"/>
          <w:kern w:val="0"/>
          <w:sz w:val="32"/>
          <w:szCs w:val="32"/>
          <w:lang w:bidi="ar"/>
        </w:rPr>
      </w:pPr>
    </w:p>
    <w:p w14:paraId="1C50E0E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47475C4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97A9F01">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val="en-US" w:eastAsia="zh-CN" w:bidi="ar"/>
        </w:rPr>
        <w:t>怀化市委市政府机关老干部休养所</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4666" w:type="dxa"/>
        <w:jc w:val="center"/>
        <w:tblLayout w:type="fixed"/>
        <w:tblCellMar>
          <w:top w:w="0" w:type="dxa"/>
          <w:left w:w="0" w:type="dxa"/>
          <w:bottom w:w="0" w:type="dxa"/>
          <w:right w:w="0" w:type="dxa"/>
        </w:tblCellMar>
      </w:tblPr>
      <w:tblGrid>
        <w:gridCol w:w="1623"/>
        <w:gridCol w:w="3825"/>
        <w:gridCol w:w="1350"/>
        <w:gridCol w:w="1332"/>
        <w:gridCol w:w="1518"/>
        <w:gridCol w:w="1294"/>
        <w:gridCol w:w="1256"/>
        <w:gridCol w:w="1350"/>
        <w:gridCol w:w="1118"/>
      </w:tblGrid>
      <w:tr w14:paraId="2BDA6E26">
        <w:tblPrEx>
          <w:tblCellMar>
            <w:top w:w="0" w:type="dxa"/>
            <w:left w:w="0" w:type="dxa"/>
            <w:bottom w:w="0" w:type="dxa"/>
            <w:right w:w="0" w:type="dxa"/>
          </w:tblCellMar>
        </w:tblPrEx>
        <w:trPr>
          <w:trHeight w:val="450" w:hRule="atLeast"/>
          <w:jc w:val="center"/>
        </w:trPr>
        <w:tc>
          <w:tcPr>
            <w:tcW w:w="544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E3A4F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3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5DA72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332"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6F97DE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51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FE6DA0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29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3167D5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25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47ECA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3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5A206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11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5495E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4338858">
        <w:tblPrEx>
          <w:tblCellMar>
            <w:top w:w="0" w:type="dxa"/>
            <w:left w:w="0" w:type="dxa"/>
            <w:bottom w:w="0" w:type="dxa"/>
            <w:right w:w="0" w:type="dxa"/>
          </w:tblCellMar>
        </w:tblPrEx>
        <w:trPr>
          <w:trHeight w:val="334" w:hRule="exact"/>
          <w:jc w:val="center"/>
        </w:trPr>
        <w:tc>
          <w:tcPr>
            <w:tcW w:w="162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74B5C6">
            <w:pPr>
              <w:jc w:val="center"/>
              <w:rPr>
                <w:rFonts w:ascii="Times New Roman" w:hAnsi="Times New Roman" w:eastAsia="仿宋_GB2312" w:cs="Times New Roman"/>
                <w:b/>
                <w:bCs/>
              </w:rPr>
            </w:pPr>
            <w:r>
              <w:rPr>
                <w:rFonts w:ascii="Times New Roman" w:hAnsi="Times New Roman" w:eastAsia="仿宋_GB2312" w:cs="Times New Roman"/>
                <w:b/>
                <w:bCs/>
              </w:rPr>
              <w:t>功能分类</w:t>
            </w:r>
          </w:p>
          <w:p w14:paraId="0A1F722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科目编码</w:t>
            </w:r>
          </w:p>
        </w:tc>
        <w:tc>
          <w:tcPr>
            <w:tcW w:w="382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48620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350" w:type="dxa"/>
            <w:vMerge w:val="continue"/>
            <w:tcBorders>
              <w:top w:val="single" w:color="auto" w:sz="4" w:space="0"/>
              <w:left w:val="single" w:color="auto" w:sz="4" w:space="0"/>
              <w:bottom w:val="single" w:color="auto" w:sz="4" w:space="0"/>
              <w:right w:val="single" w:color="auto" w:sz="4" w:space="0"/>
            </w:tcBorders>
            <w:vAlign w:val="center"/>
          </w:tcPr>
          <w:p w14:paraId="1D745213">
            <w:pPr>
              <w:rPr>
                <w:rFonts w:ascii="Times New Roman" w:hAnsi="Times New Roman" w:eastAsia="仿宋_GB2312" w:cs="Times New Roman"/>
                <w:sz w:val="24"/>
                <w:szCs w:val="24"/>
              </w:rPr>
            </w:pPr>
          </w:p>
        </w:tc>
        <w:tc>
          <w:tcPr>
            <w:tcW w:w="1332" w:type="dxa"/>
            <w:vMerge w:val="continue"/>
            <w:tcBorders>
              <w:top w:val="single" w:color="auto" w:sz="4" w:space="0"/>
              <w:left w:val="single" w:color="auto" w:sz="4" w:space="0"/>
              <w:bottom w:val="single" w:color="auto" w:sz="4" w:space="0"/>
              <w:right w:val="single" w:color="auto" w:sz="4" w:space="0"/>
            </w:tcBorders>
            <w:vAlign w:val="center"/>
          </w:tcPr>
          <w:p w14:paraId="49A2DDF3">
            <w:pPr>
              <w:rPr>
                <w:rFonts w:ascii="Times New Roman" w:hAnsi="Times New Roman" w:eastAsia="仿宋_GB2312" w:cs="Times New Roman"/>
                <w:sz w:val="24"/>
                <w:szCs w:val="24"/>
              </w:rPr>
            </w:pPr>
          </w:p>
        </w:tc>
        <w:tc>
          <w:tcPr>
            <w:tcW w:w="1518" w:type="dxa"/>
            <w:vMerge w:val="continue"/>
            <w:tcBorders>
              <w:top w:val="single" w:color="auto" w:sz="4" w:space="0"/>
              <w:left w:val="single" w:color="auto" w:sz="4" w:space="0"/>
              <w:bottom w:val="single" w:color="auto" w:sz="4" w:space="0"/>
              <w:right w:val="single" w:color="auto" w:sz="4" w:space="0"/>
            </w:tcBorders>
            <w:vAlign w:val="center"/>
          </w:tcPr>
          <w:p w14:paraId="32C7E7EC">
            <w:pPr>
              <w:rPr>
                <w:rFonts w:ascii="Times New Roman" w:hAnsi="Times New Roman" w:eastAsia="仿宋_GB2312" w:cs="Times New Roman"/>
                <w:sz w:val="24"/>
                <w:szCs w:val="24"/>
              </w:rPr>
            </w:pPr>
          </w:p>
        </w:tc>
        <w:tc>
          <w:tcPr>
            <w:tcW w:w="1294" w:type="dxa"/>
            <w:vMerge w:val="continue"/>
            <w:tcBorders>
              <w:top w:val="single" w:color="auto" w:sz="4" w:space="0"/>
              <w:left w:val="single" w:color="auto" w:sz="4" w:space="0"/>
              <w:bottom w:val="single" w:color="auto" w:sz="4" w:space="0"/>
              <w:right w:val="single" w:color="auto" w:sz="4" w:space="0"/>
            </w:tcBorders>
            <w:vAlign w:val="center"/>
          </w:tcPr>
          <w:p w14:paraId="23439442">
            <w:pPr>
              <w:rPr>
                <w:rFonts w:ascii="Times New Roman" w:hAnsi="Times New Roman" w:eastAsia="仿宋_GB2312" w:cs="Times New Roman"/>
                <w:sz w:val="24"/>
                <w:szCs w:val="24"/>
              </w:rPr>
            </w:pPr>
          </w:p>
        </w:tc>
        <w:tc>
          <w:tcPr>
            <w:tcW w:w="1256" w:type="dxa"/>
            <w:vMerge w:val="continue"/>
            <w:tcBorders>
              <w:top w:val="single" w:color="auto" w:sz="4" w:space="0"/>
              <w:left w:val="single" w:color="auto" w:sz="4" w:space="0"/>
              <w:bottom w:val="single" w:color="auto" w:sz="4" w:space="0"/>
              <w:right w:val="single" w:color="auto" w:sz="4" w:space="0"/>
            </w:tcBorders>
            <w:vAlign w:val="center"/>
          </w:tcPr>
          <w:p w14:paraId="1A017784">
            <w:pPr>
              <w:rPr>
                <w:rFonts w:ascii="Times New Roman" w:hAnsi="Times New Roman" w:eastAsia="仿宋_GB2312" w:cs="Times New Roman"/>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14:paraId="402C072B">
            <w:pPr>
              <w:rPr>
                <w:rFonts w:ascii="Times New Roman" w:hAnsi="Times New Roman" w:eastAsia="仿宋_GB2312" w:cs="Times New Roman"/>
                <w:sz w:val="24"/>
                <w:szCs w:val="24"/>
              </w:rPr>
            </w:pPr>
          </w:p>
        </w:tc>
        <w:tc>
          <w:tcPr>
            <w:tcW w:w="1118" w:type="dxa"/>
            <w:vMerge w:val="continue"/>
            <w:tcBorders>
              <w:top w:val="single" w:color="auto" w:sz="4" w:space="0"/>
              <w:left w:val="single" w:color="auto" w:sz="4" w:space="0"/>
              <w:bottom w:val="single" w:color="auto" w:sz="4" w:space="0"/>
              <w:right w:val="single" w:color="auto" w:sz="4" w:space="0"/>
            </w:tcBorders>
            <w:vAlign w:val="center"/>
          </w:tcPr>
          <w:p w14:paraId="69BECDD5">
            <w:pPr>
              <w:rPr>
                <w:rFonts w:ascii="Times New Roman" w:hAnsi="Times New Roman" w:eastAsia="仿宋_GB2312" w:cs="Times New Roman"/>
                <w:sz w:val="24"/>
                <w:szCs w:val="24"/>
              </w:rPr>
            </w:pPr>
          </w:p>
        </w:tc>
      </w:tr>
      <w:tr w14:paraId="71EA22C7">
        <w:tblPrEx>
          <w:tblCellMar>
            <w:top w:w="0" w:type="dxa"/>
            <w:left w:w="0" w:type="dxa"/>
            <w:bottom w:w="0" w:type="dxa"/>
            <w:right w:w="0" w:type="dxa"/>
          </w:tblCellMar>
        </w:tblPrEx>
        <w:trPr>
          <w:trHeight w:val="312" w:hRule="atLeast"/>
          <w:jc w:val="center"/>
        </w:trPr>
        <w:tc>
          <w:tcPr>
            <w:tcW w:w="1623" w:type="dxa"/>
            <w:vMerge w:val="continue"/>
            <w:tcBorders>
              <w:top w:val="single" w:color="auto" w:sz="4" w:space="0"/>
              <w:left w:val="single" w:color="auto" w:sz="4" w:space="0"/>
              <w:bottom w:val="single" w:color="auto" w:sz="4" w:space="0"/>
              <w:right w:val="single" w:color="auto" w:sz="4" w:space="0"/>
            </w:tcBorders>
            <w:vAlign w:val="center"/>
          </w:tcPr>
          <w:p w14:paraId="6132BCD7">
            <w:pPr>
              <w:rPr>
                <w:rFonts w:ascii="Times New Roman" w:hAnsi="Times New Roman" w:eastAsia="仿宋_GB2312" w:cs="Times New Roman"/>
                <w:sz w:val="24"/>
                <w:szCs w:val="24"/>
              </w:rPr>
            </w:pPr>
          </w:p>
        </w:tc>
        <w:tc>
          <w:tcPr>
            <w:tcW w:w="3825" w:type="dxa"/>
            <w:vMerge w:val="continue"/>
            <w:tcBorders>
              <w:top w:val="nil"/>
              <w:left w:val="single" w:color="auto" w:sz="4" w:space="0"/>
              <w:bottom w:val="single" w:color="auto" w:sz="4" w:space="0"/>
              <w:right w:val="single" w:color="auto" w:sz="4" w:space="0"/>
            </w:tcBorders>
            <w:vAlign w:val="center"/>
          </w:tcPr>
          <w:p w14:paraId="245EE89B">
            <w:pPr>
              <w:rPr>
                <w:rFonts w:ascii="Times New Roman" w:hAnsi="Times New Roman" w:eastAsia="仿宋_GB2312" w:cs="Times New Roman"/>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14:paraId="6D74FFBC">
            <w:pPr>
              <w:rPr>
                <w:rFonts w:ascii="Times New Roman" w:hAnsi="Times New Roman" w:eastAsia="仿宋_GB2312" w:cs="Times New Roman"/>
                <w:sz w:val="24"/>
                <w:szCs w:val="24"/>
              </w:rPr>
            </w:pPr>
          </w:p>
        </w:tc>
        <w:tc>
          <w:tcPr>
            <w:tcW w:w="1332" w:type="dxa"/>
            <w:vMerge w:val="continue"/>
            <w:tcBorders>
              <w:top w:val="single" w:color="auto" w:sz="4" w:space="0"/>
              <w:left w:val="single" w:color="auto" w:sz="4" w:space="0"/>
              <w:bottom w:val="single" w:color="auto" w:sz="4" w:space="0"/>
              <w:right w:val="single" w:color="auto" w:sz="4" w:space="0"/>
            </w:tcBorders>
            <w:vAlign w:val="center"/>
          </w:tcPr>
          <w:p w14:paraId="48E4AC71">
            <w:pPr>
              <w:rPr>
                <w:rFonts w:ascii="Times New Roman" w:hAnsi="Times New Roman" w:eastAsia="仿宋_GB2312" w:cs="Times New Roman"/>
                <w:sz w:val="24"/>
                <w:szCs w:val="24"/>
              </w:rPr>
            </w:pPr>
          </w:p>
        </w:tc>
        <w:tc>
          <w:tcPr>
            <w:tcW w:w="1518" w:type="dxa"/>
            <w:vMerge w:val="continue"/>
            <w:tcBorders>
              <w:top w:val="single" w:color="auto" w:sz="4" w:space="0"/>
              <w:left w:val="single" w:color="auto" w:sz="4" w:space="0"/>
              <w:bottom w:val="single" w:color="auto" w:sz="4" w:space="0"/>
              <w:right w:val="single" w:color="auto" w:sz="4" w:space="0"/>
            </w:tcBorders>
            <w:vAlign w:val="center"/>
          </w:tcPr>
          <w:p w14:paraId="13560555">
            <w:pPr>
              <w:rPr>
                <w:rFonts w:ascii="Times New Roman" w:hAnsi="Times New Roman" w:eastAsia="仿宋_GB2312" w:cs="Times New Roman"/>
                <w:sz w:val="24"/>
                <w:szCs w:val="24"/>
              </w:rPr>
            </w:pPr>
          </w:p>
        </w:tc>
        <w:tc>
          <w:tcPr>
            <w:tcW w:w="1294" w:type="dxa"/>
            <w:vMerge w:val="continue"/>
            <w:tcBorders>
              <w:top w:val="single" w:color="auto" w:sz="4" w:space="0"/>
              <w:left w:val="single" w:color="auto" w:sz="4" w:space="0"/>
              <w:bottom w:val="single" w:color="auto" w:sz="4" w:space="0"/>
              <w:right w:val="single" w:color="auto" w:sz="4" w:space="0"/>
            </w:tcBorders>
            <w:vAlign w:val="center"/>
          </w:tcPr>
          <w:p w14:paraId="7505C782">
            <w:pPr>
              <w:rPr>
                <w:rFonts w:ascii="Times New Roman" w:hAnsi="Times New Roman" w:eastAsia="仿宋_GB2312" w:cs="Times New Roman"/>
                <w:sz w:val="24"/>
                <w:szCs w:val="24"/>
              </w:rPr>
            </w:pPr>
          </w:p>
        </w:tc>
        <w:tc>
          <w:tcPr>
            <w:tcW w:w="1256" w:type="dxa"/>
            <w:vMerge w:val="continue"/>
            <w:tcBorders>
              <w:top w:val="single" w:color="auto" w:sz="4" w:space="0"/>
              <w:left w:val="single" w:color="auto" w:sz="4" w:space="0"/>
              <w:bottom w:val="single" w:color="auto" w:sz="4" w:space="0"/>
              <w:right w:val="single" w:color="auto" w:sz="4" w:space="0"/>
            </w:tcBorders>
            <w:vAlign w:val="center"/>
          </w:tcPr>
          <w:p w14:paraId="34893E1C">
            <w:pPr>
              <w:rPr>
                <w:rFonts w:ascii="Times New Roman" w:hAnsi="Times New Roman" w:eastAsia="仿宋_GB2312" w:cs="Times New Roman"/>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14:paraId="0A51C8DF">
            <w:pPr>
              <w:rPr>
                <w:rFonts w:ascii="Times New Roman" w:hAnsi="Times New Roman" w:eastAsia="仿宋_GB2312" w:cs="Times New Roman"/>
                <w:sz w:val="24"/>
                <w:szCs w:val="24"/>
              </w:rPr>
            </w:pPr>
          </w:p>
        </w:tc>
        <w:tc>
          <w:tcPr>
            <w:tcW w:w="1118" w:type="dxa"/>
            <w:vMerge w:val="continue"/>
            <w:tcBorders>
              <w:top w:val="single" w:color="auto" w:sz="4" w:space="0"/>
              <w:left w:val="single" w:color="auto" w:sz="4" w:space="0"/>
              <w:bottom w:val="single" w:color="auto" w:sz="4" w:space="0"/>
              <w:right w:val="single" w:color="auto" w:sz="4" w:space="0"/>
            </w:tcBorders>
            <w:vAlign w:val="center"/>
          </w:tcPr>
          <w:p w14:paraId="43A6B58E">
            <w:pPr>
              <w:rPr>
                <w:rFonts w:ascii="Times New Roman" w:hAnsi="Times New Roman" w:eastAsia="仿宋_GB2312" w:cs="Times New Roman"/>
                <w:sz w:val="24"/>
                <w:szCs w:val="24"/>
              </w:rPr>
            </w:pPr>
          </w:p>
        </w:tc>
      </w:tr>
      <w:tr w14:paraId="19FAC1E5">
        <w:tblPrEx>
          <w:tblCellMar>
            <w:top w:w="0" w:type="dxa"/>
            <w:left w:w="0" w:type="dxa"/>
            <w:bottom w:w="0" w:type="dxa"/>
            <w:right w:w="0" w:type="dxa"/>
          </w:tblCellMar>
        </w:tblPrEx>
        <w:trPr>
          <w:trHeight w:val="450" w:hRule="atLeast"/>
          <w:jc w:val="center"/>
        </w:trPr>
        <w:tc>
          <w:tcPr>
            <w:tcW w:w="544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C53C33">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3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AE6D80">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33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CF0E31">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51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7C974D">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29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CF620C">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25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A697177">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3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57B6B5">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11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F4E9AE7">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1846893F">
        <w:tblPrEx>
          <w:tblCellMar>
            <w:top w:w="0" w:type="dxa"/>
            <w:left w:w="0" w:type="dxa"/>
            <w:bottom w:w="0" w:type="dxa"/>
            <w:right w:w="0" w:type="dxa"/>
          </w:tblCellMar>
        </w:tblPrEx>
        <w:trPr>
          <w:trHeight w:val="450" w:hRule="atLeast"/>
          <w:jc w:val="center"/>
        </w:trPr>
        <w:tc>
          <w:tcPr>
            <w:tcW w:w="544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9405BB">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59B1C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415.78 </w:t>
            </w:r>
          </w:p>
        </w:tc>
        <w:tc>
          <w:tcPr>
            <w:tcW w:w="13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D7627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415.78 </w:t>
            </w:r>
          </w:p>
        </w:tc>
        <w:tc>
          <w:tcPr>
            <w:tcW w:w="15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881F7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EC2FC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5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6B363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BE3AE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56AB7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A89A53E">
        <w:tblPrEx>
          <w:tblCellMar>
            <w:top w:w="0" w:type="dxa"/>
            <w:left w:w="0" w:type="dxa"/>
            <w:bottom w:w="0" w:type="dxa"/>
            <w:right w:w="0" w:type="dxa"/>
          </w:tblCellMar>
        </w:tblPrEx>
        <w:trPr>
          <w:trHeight w:val="450" w:hRule="atLeast"/>
          <w:jc w:val="center"/>
        </w:trPr>
        <w:tc>
          <w:tcPr>
            <w:tcW w:w="16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5EF78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38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DEDE1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BB212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13.40 </w:t>
            </w:r>
          </w:p>
        </w:tc>
        <w:tc>
          <w:tcPr>
            <w:tcW w:w="13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70901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13.40 </w:t>
            </w:r>
          </w:p>
        </w:tc>
        <w:tc>
          <w:tcPr>
            <w:tcW w:w="15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042CD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6056A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5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9EA8D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28B28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D8E1B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2D12E9B">
        <w:tblPrEx>
          <w:tblCellMar>
            <w:top w:w="0" w:type="dxa"/>
            <w:left w:w="0" w:type="dxa"/>
            <w:bottom w:w="0" w:type="dxa"/>
            <w:right w:w="0" w:type="dxa"/>
          </w:tblCellMar>
        </w:tblPrEx>
        <w:trPr>
          <w:trHeight w:val="450" w:hRule="atLeast"/>
          <w:jc w:val="center"/>
        </w:trPr>
        <w:tc>
          <w:tcPr>
            <w:tcW w:w="16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CD3A3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2080501</w:t>
            </w:r>
          </w:p>
        </w:tc>
        <w:tc>
          <w:tcPr>
            <w:tcW w:w="38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7C0EC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行政单位离退休</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B4065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26.64 </w:t>
            </w:r>
          </w:p>
        </w:tc>
        <w:tc>
          <w:tcPr>
            <w:tcW w:w="13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52618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26.64 </w:t>
            </w:r>
          </w:p>
        </w:tc>
        <w:tc>
          <w:tcPr>
            <w:tcW w:w="15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7ADA8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9A84E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5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52832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CB2F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3824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AE311AF">
        <w:tblPrEx>
          <w:tblCellMar>
            <w:top w:w="0" w:type="dxa"/>
            <w:left w:w="0" w:type="dxa"/>
            <w:bottom w:w="0" w:type="dxa"/>
            <w:right w:w="0" w:type="dxa"/>
          </w:tblCellMar>
        </w:tblPrEx>
        <w:trPr>
          <w:trHeight w:val="450" w:hRule="atLeast"/>
          <w:jc w:val="center"/>
        </w:trPr>
        <w:tc>
          <w:tcPr>
            <w:tcW w:w="16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4AFF5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2080503</w:t>
            </w:r>
          </w:p>
        </w:tc>
        <w:tc>
          <w:tcPr>
            <w:tcW w:w="38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BB4E4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离退休人员管理机构</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65FD0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282.77 </w:t>
            </w:r>
          </w:p>
        </w:tc>
        <w:tc>
          <w:tcPr>
            <w:tcW w:w="13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44182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282.77 </w:t>
            </w:r>
          </w:p>
        </w:tc>
        <w:tc>
          <w:tcPr>
            <w:tcW w:w="15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E6CCF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C6224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5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A2650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865D5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C03EF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2C5E881">
        <w:tblPrEx>
          <w:tblCellMar>
            <w:top w:w="0" w:type="dxa"/>
            <w:left w:w="0" w:type="dxa"/>
            <w:bottom w:w="0" w:type="dxa"/>
            <w:right w:w="0" w:type="dxa"/>
          </w:tblCellMar>
        </w:tblPrEx>
        <w:trPr>
          <w:trHeight w:val="450" w:hRule="atLeast"/>
          <w:jc w:val="center"/>
        </w:trPr>
        <w:tc>
          <w:tcPr>
            <w:tcW w:w="16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55F8C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38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406A6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C26FB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12.48 </w:t>
            </w:r>
          </w:p>
        </w:tc>
        <w:tc>
          <w:tcPr>
            <w:tcW w:w="13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91334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12.48 </w:t>
            </w:r>
          </w:p>
        </w:tc>
        <w:tc>
          <w:tcPr>
            <w:tcW w:w="15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E6CB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4BEA0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5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BF77B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2D3F0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D6419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820EBA4">
        <w:tblPrEx>
          <w:tblCellMar>
            <w:top w:w="0" w:type="dxa"/>
            <w:left w:w="0" w:type="dxa"/>
            <w:bottom w:w="0" w:type="dxa"/>
            <w:right w:w="0" w:type="dxa"/>
          </w:tblCellMar>
        </w:tblPrEx>
        <w:trPr>
          <w:trHeight w:val="450" w:hRule="atLeast"/>
          <w:jc w:val="center"/>
        </w:trPr>
        <w:tc>
          <w:tcPr>
            <w:tcW w:w="16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B08F8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2080599</w:t>
            </w:r>
          </w:p>
        </w:tc>
        <w:tc>
          <w:tcPr>
            <w:tcW w:w="38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3203C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其他行政事业单位养老支出</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D3DD5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73.58 </w:t>
            </w:r>
          </w:p>
        </w:tc>
        <w:tc>
          <w:tcPr>
            <w:tcW w:w="13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CA3BA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73.58 </w:t>
            </w:r>
          </w:p>
        </w:tc>
        <w:tc>
          <w:tcPr>
            <w:tcW w:w="15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81D34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7A2A5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5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EE04A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36A56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258EB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B2CC6C3">
        <w:tblPrEx>
          <w:tblCellMar>
            <w:top w:w="0" w:type="dxa"/>
            <w:left w:w="0" w:type="dxa"/>
            <w:bottom w:w="0" w:type="dxa"/>
            <w:right w:w="0" w:type="dxa"/>
          </w:tblCellMar>
        </w:tblPrEx>
        <w:trPr>
          <w:trHeight w:val="450" w:hRule="atLeast"/>
          <w:jc w:val="center"/>
        </w:trPr>
        <w:tc>
          <w:tcPr>
            <w:tcW w:w="16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D31B8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38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9E27B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A1B9F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5.37 </w:t>
            </w:r>
          </w:p>
        </w:tc>
        <w:tc>
          <w:tcPr>
            <w:tcW w:w="133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CDED5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5.37 </w:t>
            </w:r>
          </w:p>
        </w:tc>
        <w:tc>
          <w:tcPr>
            <w:tcW w:w="15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533E3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8B6F3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1ED2A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C6C5D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EDB07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813C1BC">
        <w:tblPrEx>
          <w:tblCellMar>
            <w:top w:w="0" w:type="dxa"/>
            <w:left w:w="0" w:type="dxa"/>
            <w:bottom w:w="0" w:type="dxa"/>
            <w:right w:w="0" w:type="dxa"/>
          </w:tblCellMar>
        </w:tblPrEx>
        <w:trPr>
          <w:trHeight w:val="450" w:hRule="atLeast"/>
          <w:jc w:val="center"/>
        </w:trPr>
        <w:tc>
          <w:tcPr>
            <w:tcW w:w="16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6C3F7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2210201</w:t>
            </w:r>
          </w:p>
        </w:tc>
        <w:tc>
          <w:tcPr>
            <w:tcW w:w="382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06417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住房公积金</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2BA7C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1.55 </w:t>
            </w:r>
          </w:p>
        </w:tc>
        <w:tc>
          <w:tcPr>
            <w:tcW w:w="133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0093F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1.55 </w:t>
            </w:r>
          </w:p>
        </w:tc>
        <w:tc>
          <w:tcPr>
            <w:tcW w:w="15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580364">
            <w:pPr>
              <w:jc w:val="right"/>
              <w:rPr>
                <w:rFonts w:ascii="Times New Roman" w:hAnsi="Times New Roman" w:eastAsia="仿宋_GB2312" w:cs="Times New Roman"/>
              </w:rPr>
            </w:pPr>
          </w:p>
        </w:tc>
        <w:tc>
          <w:tcPr>
            <w:tcW w:w="12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964D9D">
            <w:pPr>
              <w:jc w:val="right"/>
              <w:rPr>
                <w:rFonts w:ascii="Times New Roman" w:hAnsi="Times New Roman" w:eastAsia="仿宋_GB2312" w:cs="Times New Roman"/>
              </w:rPr>
            </w:pPr>
          </w:p>
        </w:tc>
        <w:tc>
          <w:tcPr>
            <w:tcW w:w="125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500840">
            <w:pPr>
              <w:jc w:val="right"/>
              <w:rPr>
                <w:rFonts w:ascii="Times New Roman" w:hAnsi="Times New Roman" w:eastAsia="仿宋_GB2312" w:cs="Times New Roman"/>
              </w:rPr>
            </w:pP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0B68D6">
            <w:pPr>
              <w:jc w:val="right"/>
              <w:rPr>
                <w:rFonts w:ascii="Times New Roman" w:hAnsi="Times New Roman" w:eastAsia="仿宋_GB2312" w:cs="Times New Roman"/>
              </w:rPr>
            </w:pPr>
          </w:p>
        </w:tc>
        <w:tc>
          <w:tcPr>
            <w:tcW w:w="111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B6A34B">
            <w:pPr>
              <w:jc w:val="right"/>
              <w:rPr>
                <w:rFonts w:ascii="Times New Roman" w:hAnsi="Times New Roman" w:eastAsia="仿宋_GB2312" w:cs="Times New Roman"/>
              </w:rPr>
            </w:pPr>
          </w:p>
        </w:tc>
      </w:tr>
    </w:tbl>
    <w:p w14:paraId="490E8128">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2DC7EA4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C556FD7">
      <w:pPr>
        <w:keepNext w:val="0"/>
        <w:keepLines w:val="0"/>
        <w:pageBreakBefore w:val="0"/>
        <w:widowControl w:val="0"/>
        <w:kinsoku/>
        <w:wordWrap/>
        <w:overflowPunct/>
        <w:topLinePunct w:val="0"/>
        <w:autoSpaceDE/>
        <w:autoSpaceDN/>
        <w:bidi w:val="0"/>
        <w:adjustRightInd/>
        <w:snapToGrid/>
        <w:spacing w:line="240" w:lineRule="exact"/>
        <w:jc w:val="center"/>
        <w:textAlignment w:val="center"/>
        <w:rPr>
          <w:rFonts w:ascii="Times New Roman" w:hAnsi="Times New Roman" w:eastAsia="黑体" w:cs="Times New Roman"/>
          <w:color w:val="000000"/>
          <w:kern w:val="0"/>
          <w:sz w:val="32"/>
          <w:szCs w:val="32"/>
          <w:lang w:bidi="ar"/>
        </w:rPr>
      </w:pPr>
    </w:p>
    <w:p w14:paraId="7C3BAB7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0ED64062">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4B01FE7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怀化市委市政府机关老干部休养所</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4996" w:type="pct"/>
        <w:jc w:val="center"/>
        <w:tblLayout w:type="fixed"/>
        <w:tblCellMar>
          <w:top w:w="0" w:type="dxa"/>
          <w:left w:w="108" w:type="dxa"/>
          <w:bottom w:w="0" w:type="dxa"/>
          <w:right w:w="108" w:type="dxa"/>
        </w:tblCellMar>
      </w:tblPr>
      <w:tblGrid>
        <w:gridCol w:w="1490"/>
        <w:gridCol w:w="4143"/>
        <w:gridCol w:w="1181"/>
        <w:gridCol w:w="1275"/>
        <w:gridCol w:w="1406"/>
        <w:gridCol w:w="1425"/>
        <w:gridCol w:w="1365"/>
        <w:gridCol w:w="1925"/>
      </w:tblGrid>
      <w:tr w14:paraId="3C74E70C">
        <w:tblPrEx>
          <w:tblCellMar>
            <w:top w:w="0" w:type="dxa"/>
            <w:left w:w="108" w:type="dxa"/>
            <w:bottom w:w="0" w:type="dxa"/>
            <w:right w:w="108" w:type="dxa"/>
          </w:tblCellMar>
        </w:tblPrEx>
        <w:trPr>
          <w:trHeight w:val="595" w:hRule="atLeast"/>
          <w:jc w:val="center"/>
        </w:trPr>
        <w:tc>
          <w:tcPr>
            <w:tcW w:w="198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206761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41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C27B47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16121C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9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FD8302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0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2C88FB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8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01EB7B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67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9AB8C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77C3582D">
        <w:tblPrEx>
          <w:tblCellMar>
            <w:top w:w="0" w:type="dxa"/>
            <w:left w:w="108" w:type="dxa"/>
            <w:bottom w:w="0" w:type="dxa"/>
            <w:right w:w="108" w:type="dxa"/>
          </w:tblCellMar>
        </w:tblPrEx>
        <w:trPr>
          <w:trHeight w:val="312" w:hRule="exact"/>
          <w:jc w:val="center"/>
        </w:trPr>
        <w:tc>
          <w:tcPr>
            <w:tcW w:w="52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196FE5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457" w:type="pct"/>
            <w:vMerge w:val="restart"/>
            <w:tcBorders>
              <w:top w:val="nil"/>
              <w:left w:val="single" w:color="auto" w:sz="4" w:space="0"/>
              <w:bottom w:val="single" w:color="auto" w:sz="4" w:space="0"/>
              <w:right w:val="single" w:color="auto" w:sz="4" w:space="0"/>
            </w:tcBorders>
            <w:shd w:val="clear" w:color="000000" w:fill="FFFFFF"/>
            <w:vAlign w:val="center"/>
          </w:tcPr>
          <w:p w14:paraId="0CAA7A0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415" w:type="pct"/>
            <w:vMerge w:val="continue"/>
            <w:tcBorders>
              <w:top w:val="single" w:color="auto" w:sz="4" w:space="0"/>
              <w:left w:val="single" w:color="auto" w:sz="4" w:space="0"/>
              <w:bottom w:val="single" w:color="auto" w:sz="4" w:space="0"/>
              <w:right w:val="single" w:color="auto" w:sz="4" w:space="0"/>
            </w:tcBorders>
            <w:vAlign w:val="center"/>
          </w:tcPr>
          <w:p w14:paraId="628701F5">
            <w:pPr>
              <w:widowControl/>
              <w:jc w:val="left"/>
              <w:rPr>
                <w:rFonts w:ascii="Times New Roman" w:hAnsi="Times New Roman" w:eastAsia="仿宋_GB2312" w:cs="Times New Roman"/>
                <w:b/>
                <w:bCs/>
                <w:kern w:val="0"/>
                <w:sz w:val="24"/>
                <w:szCs w:val="24"/>
              </w:rPr>
            </w:pPr>
          </w:p>
        </w:tc>
        <w:tc>
          <w:tcPr>
            <w:tcW w:w="448" w:type="pct"/>
            <w:vMerge w:val="continue"/>
            <w:tcBorders>
              <w:top w:val="single" w:color="auto" w:sz="4" w:space="0"/>
              <w:left w:val="single" w:color="auto" w:sz="4" w:space="0"/>
              <w:bottom w:val="single" w:color="auto" w:sz="4" w:space="0"/>
              <w:right w:val="single" w:color="auto" w:sz="4" w:space="0"/>
            </w:tcBorders>
            <w:vAlign w:val="center"/>
          </w:tcPr>
          <w:p w14:paraId="040397DA">
            <w:pPr>
              <w:widowControl/>
              <w:jc w:val="left"/>
              <w:rPr>
                <w:rFonts w:ascii="Times New Roman" w:hAnsi="Times New Roman" w:eastAsia="仿宋_GB2312" w:cs="Times New Roman"/>
                <w:b/>
                <w:bCs/>
                <w:kern w:val="0"/>
                <w:sz w:val="24"/>
                <w:szCs w:val="24"/>
              </w:rPr>
            </w:pPr>
          </w:p>
        </w:tc>
        <w:tc>
          <w:tcPr>
            <w:tcW w:w="494" w:type="pct"/>
            <w:vMerge w:val="continue"/>
            <w:tcBorders>
              <w:top w:val="single" w:color="auto" w:sz="4" w:space="0"/>
              <w:left w:val="single" w:color="auto" w:sz="4" w:space="0"/>
              <w:bottom w:val="single" w:color="auto" w:sz="4" w:space="0"/>
              <w:right w:val="single" w:color="auto" w:sz="4" w:space="0"/>
            </w:tcBorders>
            <w:vAlign w:val="center"/>
          </w:tcPr>
          <w:p w14:paraId="09B82FC8">
            <w:pPr>
              <w:widowControl/>
              <w:jc w:val="left"/>
              <w:rPr>
                <w:rFonts w:ascii="Times New Roman" w:hAnsi="Times New Roman" w:eastAsia="仿宋_GB2312" w:cs="Times New Roman"/>
                <w:b/>
                <w:bCs/>
                <w:kern w:val="0"/>
                <w:sz w:val="24"/>
                <w:szCs w:val="24"/>
              </w:rPr>
            </w:pPr>
          </w:p>
        </w:tc>
        <w:tc>
          <w:tcPr>
            <w:tcW w:w="501" w:type="pct"/>
            <w:vMerge w:val="continue"/>
            <w:tcBorders>
              <w:top w:val="single" w:color="auto" w:sz="4" w:space="0"/>
              <w:left w:val="single" w:color="auto" w:sz="4" w:space="0"/>
              <w:bottom w:val="single" w:color="auto" w:sz="4" w:space="0"/>
              <w:right w:val="single" w:color="auto" w:sz="4" w:space="0"/>
            </w:tcBorders>
            <w:vAlign w:val="center"/>
          </w:tcPr>
          <w:p w14:paraId="5BFA83A4">
            <w:pPr>
              <w:widowControl/>
              <w:jc w:val="left"/>
              <w:rPr>
                <w:rFonts w:ascii="Times New Roman" w:hAnsi="Times New Roman" w:eastAsia="仿宋_GB2312" w:cs="Times New Roman"/>
                <w:b/>
                <w:bCs/>
                <w:kern w:val="0"/>
                <w:sz w:val="24"/>
                <w:szCs w:val="24"/>
              </w:rPr>
            </w:pPr>
          </w:p>
        </w:tc>
        <w:tc>
          <w:tcPr>
            <w:tcW w:w="480" w:type="pct"/>
            <w:vMerge w:val="continue"/>
            <w:tcBorders>
              <w:top w:val="single" w:color="auto" w:sz="4" w:space="0"/>
              <w:left w:val="single" w:color="auto" w:sz="4" w:space="0"/>
              <w:bottom w:val="single" w:color="auto" w:sz="4" w:space="0"/>
              <w:right w:val="single" w:color="auto" w:sz="4" w:space="0"/>
            </w:tcBorders>
            <w:vAlign w:val="center"/>
          </w:tcPr>
          <w:p w14:paraId="18B856BF">
            <w:pPr>
              <w:widowControl/>
              <w:jc w:val="left"/>
              <w:rPr>
                <w:rFonts w:ascii="Times New Roman" w:hAnsi="Times New Roman" w:eastAsia="仿宋_GB2312" w:cs="Times New Roman"/>
                <w:b/>
                <w:bCs/>
                <w:kern w:val="0"/>
                <w:sz w:val="24"/>
                <w:szCs w:val="24"/>
              </w:rPr>
            </w:pPr>
          </w:p>
        </w:tc>
        <w:tc>
          <w:tcPr>
            <w:tcW w:w="677" w:type="pct"/>
            <w:vMerge w:val="continue"/>
            <w:tcBorders>
              <w:top w:val="single" w:color="auto" w:sz="4" w:space="0"/>
              <w:left w:val="single" w:color="auto" w:sz="4" w:space="0"/>
              <w:bottom w:val="single" w:color="auto" w:sz="4" w:space="0"/>
              <w:right w:val="single" w:color="auto" w:sz="4" w:space="0"/>
            </w:tcBorders>
            <w:vAlign w:val="center"/>
          </w:tcPr>
          <w:p w14:paraId="615F3557">
            <w:pPr>
              <w:widowControl/>
              <w:jc w:val="left"/>
              <w:rPr>
                <w:rFonts w:ascii="Times New Roman" w:hAnsi="Times New Roman" w:eastAsia="仿宋_GB2312" w:cs="Times New Roman"/>
                <w:b/>
                <w:bCs/>
                <w:kern w:val="0"/>
                <w:sz w:val="24"/>
                <w:szCs w:val="24"/>
              </w:rPr>
            </w:pPr>
          </w:p>
        </w:tc>
      </w:tr>
      <w:tr w14:paraId="244665F4">
        <w:tblPrEx>
          <w:tblCellMar>
            <w:top w:w="0" w:type="dxa"/>
            <w:left w:w="108" w:type="dxa"/>
            <w:bottom w:w="0" w:type="dxa"/>
            <w:right w:w="108" w:type="dxa"/>
          </w:tblCellMar>
        </w:tblPrEx>
        <w:trPr>
          <w:trHeight w:val="595" w:hRule="atLeast"/>
          <w:jc w:val="center"/>
        </w:trPr>
        <w:tc>
          <w:tcPr>
            <w:tcW w:w="524" w:type="pct"/>
            <w:vMerge w:val="continue"/>
            <w:tcBorders>
              <w:top w:val="single" w:color="auto" w:sz="4" w:space="0"/>
              <w:left w:val="single" w:color="auto" w:sz="4" w:space="0"/>
              <w:bottom w:val="single" w:color="auto" w:sz="4" w:space="0"/>
              <w:right w:val="single" w:color="auto" w:sz="4" w:space="0"/>
            </w:tcBorders>
            <w:vAlign w:val="center"/>
          </w:tcPr>
          <w:p w14:paraId="58F0EA98">
            <w:pPr>
              <w:widowControl/>
              <w:jc w:val="left"/>
              <w:rPr>
                <w:rFonts w:ascii="Times New Roman" w:hAnsi="Times New Roman" w:eastAsia="仿宋_GB2312" w:cs="Times New Roman"/>
                <w:kern w:val="0"/>
                <w:sz w:val="24"/>
                <w:szCs w:val="24"/>
              </w:rPr>
            </w:pPr>
          </w:p>
        </w:tc>
        <w:tc>
          <w:tcPr>
            <w:tcW w:w="1457" w:type="pct"/>
            <w:vMerge w:val="continue"/>
            <w:tcBorders>
              <w:top w:val="nil"/>
              <w:left w:val="single" w:color="auto" w:sz="4" w:space="0"/>
              <w:bottom w:val="single" w:color="auto" w:sz="4" w:space="0"/>
              <w:right w:val="single" w:color="auto" w:sz="4" w:space="0"/>
            </w:tcBorders>
            <w:vAlign w:val="center"/>
          </w:tcPr>
          <w:p w14:paraId="7A29AA01">
            <w:pPr>
              <w:widowControl/>
              <w:jc w:val="left"/>
              <w:rPr>
                <w:rFonts w:ascii="Times New Roman" w:hAnsi="Times New Roman" w:eastAsia="仿宋_GB2312" w:cs="Times New Roman"/>
                <w:kern w:val="0"/>
                <w:sz w:val="24"/>
                <w:szCs w:val="24"/>
              </w:rPr>
            </w:pPr>
          </w:p>
        </w:tc>
        <w:tc>
          <w:tcPr>
            <w:tcW w:w="415" w:type="pct"/>
            <w:vMerge w:val="continue"/>
            <w:tcBorders>
              <w:top w:val="single" w:color="auto" w:sz="4" w:space="0"/>
              <w:left w:val="single" w:color="auto" w:sz="4" w:space="0"/>
              <w:bottom w:val="single" w:color="auto" w:sz="4" w:space="0"/>
              <w:right w:val="single" w:color="auto" w:sz="4" w:space="0"/>
            </w:tcBorders>
            <w:vAlign w:val="center"/>
          </w:tcPr>
          <w:p w14:paraId="77F7EA63">
            <w:pPr>
              <w:widowControl/>
              <w:jc w:val="left"/>
              <w:rPr>
                <w:rFonts w:ascii="Times New Roman" w:hAnsi="Times New Roman" w:eastAsia="仿宋_GB2312" w:cs="Times New Roman"/>
                <w:kern w:val="0"/>
                <w:sz w:val="24"/>
                <w:szCs w:val="24"/>
              </w:rPr>
            </w:pPr>
          </w:p>
        </w:tc>
        <w:tc>
          <w:tcPr>
            <w:tcW w:w="448" w:type="pct"/>
            <w:vMerge w:val="continue"/>
            <w:tcBorders>
              <w:top w:val="single" w:color="auto" w:sz="4" w:space="0"/>
              <w:left w:val="single" w:color="auto" w:sz="4" w:space="0"/>
              <w:bottom w:val="single" w:color="auto" w:sz="4" w:space="0"/>
              <w:right w:val="single" w:color="auto" w:sz="4" w:space="0"/>
            </w:tcBorders>
            <w:vAlign w:val="center"/>
          </w:tcPr>
          <w:p w14:paraId="4DDFE605">
            <w:pPr>
              <w:widowControl/>
              <w:jc w:val="left"/>
              <w:rPr>
                <w:rFonts w:ascii="Times New Roman" w:hAnsi="Times New Roman" w:eastAsia="仿宋_GB2312" w:cs="Times New Roman"/>
                <w:kern w:val="0"/>
                <w:sz w:val="24"/>
                <w:szCs w:val="24"/>
              </w:rPr>
            </w:pPr>
          </w:p>
        </w:tc>
        <w:tc>
          <w:tcPr>
            <w:tcW w:w="494" w:type="pct"/>
            <w:vMerge w:val="continue"/>
            <w:tcBorders>
              <w:top w:val="single" w:color="auto" w:sz="4" w:space="0"/>
              <w:left w:val="single" w:color="auto" w:sz="4" w:space="0"/>
              <w:bottom w:val="single" w:color="auto" w:sz="4" w:space="0"/>
              <w:right w:val="single" w:color="auto" w:sz="4" w:space="0"/>
            </w:tcBorders>
            <w:vAlign w:val="center"/>
          </w:tcPr>
          <w:p w14:paraId="0F0EC535">
            <w:pPr>
              <w:widowControl/>
              <w:jc w:val="left"/>
              <w:rPr>
                <w:rFonts w:ascii="Times New Roman" w:hAnsi="Times New Roman" w:eastAsia="仿宋_GB2312" w:cs="Times New Roman"/>
                <w:kern w:val="0"/>
                <w:sz w:val="24"/>
                <w:szCs w:val="24"/>
              </w:rPr>
            </w:pPr>
          </w:p>
        </w:tc>
        <w:tc>
          <w:tcPr>
            <w:tcW w:w="501" w:type="pct"/>
            <w:vMerge w:val="continue"/>
            <w:tcBorders>
              <w:top w:val="single" w:color="auto" w:sz="4" w:space="0"/>
              <w:left w:val="single" w:color="auto" w:sz="4" w:space="0"/>
              <w:bottom w:val="single" w:color="auto" w:sz="4" w:space="0"/>
              <w:right w:val="single" w:color="auto" w:sz="4" w:space="0"/>
            </w:tcBorders>
            <w:vAlign w:val="center"/>
          </w:tcPr>
          <w:p w14:paraId="6C14D925">
            <w:pPr>
              <w:widowControl/>
              <w:jc w:val="left"/>
              <w:rPr>
                <w:rFonts w:ascii="Times New Roman" w:hAnsi="Times New Roman" w:eastAsia="仿宋_GB2312" w:cs="Times New Roman"/>
                <w:kern w:val="0"/>
                <w:sz w:val="24"/>
                <w:szCs w:val="24"/>
              </w:rPr>
            </w:pPr>
          </w:p>
        </w:tc>
        <w:tc>
          <w:tcPr>
            <w:tcW w:w="480" w:type="pct"/>
            <w:vMerge w:val="continue"/>
            <w:tcBorders>
              <w:top w:val="single" w:color="auto" w:sz="4" w:space="0"/>
              <w:left w:val="single" w:color="auto" w:sz="4" w:space="0"/>
              <w:bottom w:val="single" w:color="auto" w:sz="4" w:space="0"/>
              <w:right w:val="single" w:color="auto" w:sz="4" w:space="0"/>
            </w:tcBorders>
            <w:vAlign w:val="center"/>
          </w:tcPr>
          <w:p w14:paraId="5DE0977B">
            <w:pPr>
              <w:widowControl/>
              <w:jc w:val="left"/>
              <w:rPr>
                <w:rFonts w:ascii="Times New Roman" w:hAnsi="Times New Roman" w:eastAsia="仿宋_GB2312" w:cs="Times New Roman"/>
                <w:kern w:val="0"/>
                <w:sz w:val="24"/>
                <w:szCs w:val="24"/>
              </w:rPr>
            </w:pPr>
          </w:p>
        </w:tc>
        <w:tc>
          <w:tcPr>
            <w:tcW w:w="677" w:type="pct"/>
            <w:vMerge w:val="continue"/>
            <w:tcBorders>
              <w:top w:val="single" w:color="auto" w:sz="4" w:space="0"/>
              <w:left w:val="single" w:color="auto" w:sz="4" w:space="0"/>
              <w:bottom w:val="single" w:color="auto" w:sz="4" w:space="0"/>
              <w:right w:val="single" w:color="auto" w:sz="4" w:space="0"/>
            </w:tcBorders>
            <w:vAlign w:val="center"/>
          </w:tcPr>
          <w:p w14:paraId="36F186A7">
            <w:pPr>
              <w:widowControl/>
              <w:jc w:val="left"/>
              <w:rPr>
                <w:rFonts w:ascii="Times New Roman" w:hAnsi="Times New Roman" w:eastAsia="仿宋_GB2312" w:cs="Times New Roman"/>
                <w:kern w:val="0"/>
                <w:sz w:val="24"/>
                <w:szCs w:val="24"/>
              </w:rPr>
            </w:pPr>
          </w:p>
        </w:tc>
      </w:tr>
      <w:tr w14:paraId="009F7A9A">
        <w:tblPrEx>
          <w:tblCellMar>
            <w:top w:w="0" w:type="dxa"/>
            <w:left w:w="108" w:type="dxa"/>
            <w:bottom w:w="0" w:type="dxa"/>
            <w:right w:w="108" w:type="dxa"/>
          </w:tblCellMar>
        </w:tblPrEx>
        <w:trPr>
          <w:trHeight w:val="595" w:hRule="atLeast"/>
          <w:jc w:val="center"/>
        </w:trPr>
        <w:tc>
          <w:tcPr>
            <w:tcW w:w="198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C18298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415" w:type="pct"/>
            <w:tcBorders>
              <w:top w:val="nil"/>
              <w:left w:val="nil"/>
              <w:bottom w:val="single" w:color="auto" w:sz="4" w:space="0"/>
              <w:right w:val="single" w:color="auto" w:sz="4" w:space="0"/>
            </w:tcBorders>
            <w:shd w:val="clear" w:color="000000" w:fill="FFFFFF"/>
            <w:noWrap/>
            <w:vAlign w:val="center"/>
          </w:tcPr>
          <w:p w14:paraId="20AD994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48" w:type="pct"/>
            <w:tcBorders>
              <w:top w:val="nil"/>
              <w:left w:val="nil"/>
              <w:bottom w:val="single" w:color="auto" w:sz="4" w:space="0"/>
              <w:right w:val="single" w:color="auto" w:sz="4" w:space="0"/>
            </w:tcBorders>
            <w:shd w:val="clear" w:color="000000" w:fill="FFFFFF"/>
            <w:noWrap/>
            <w:vAlign w:val="center"/>
          </w:tcPr>
          <w:p w14:paraId="00E7C2D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94" w:type="pct"/>
            <w:tcBorders>
              <w:top w:val="nil"/>
              <w:left w:val="nil"/>
              <w:bottom w:val="single" w:color="auto" w:sz="4" w:space="0"/>
              <w:right w:val="single" w:color="auto" w:sz="4" w:space="0"/>
            </w:tcBorders>
            <w:shd w:val="clear" w:color="000000" w:fill="FFFFFF"/>
            <w:noWrap/>
            <w:vAlign w:val="center"/>
          </w:tcPr>
          <w:p w14:paraId="34F17B4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01" w:type="pct"/>
            <w:tcBorders>
              <w:top w:val="nil"/>
              <w:left w:val="nil"/>
              <w:bottom w:val="single" w:color="auto" w:sz="4" w:space="0"/>
              <w:right w:val="single" w:color="auto" w:sz="4" w:space="0"/>
            </w:tcBorders>
            <w:shd w:val="clear" w:color="000000" w:fill="FFFFFF"/>
            <w:noWrap/>
            <w:vAlign w:val="center"/>
          </w:tcPr>
          <w:p w14:paraId="123ADA8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80" w:type="pct"/>
            <w:tcBorders>
              <w:top w:val="nil"/>
              <w:left w:val="nil"/>
              <w:bottom w:val="single" w:color="auto" w:sz="4" w:space="0"/>
              <w:right w:val="single" w:color="auto" w:sz="4" w:space="0"/>
            </w:tcBorders>
            <w:shd w:val="clear" w:color="000000" w:fill="FFFFFF"/>
            <w:noWrap/>
            <w:vAlign w:val="center"/>
          </w:tcPr>
          <w:p w14:paraId="65BDC19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677" w:type="pct"/>
            <w:tcBorders>
              <w:top w:val="nil"/>
              <w:left w:val="nil"/>
              <w:bottom w:val="single" w:color="auto" w:sz="4" w:space="0"/>
              <w:right w:val="single" w:color="auto" w:sz="4" w:space="0"/>
            </w:tcBorders>
            <w:shd w:val="clear" w:color="000000" w:fill="FFFFFF"/>
            <w:noWrap/>
            <w:vAlign w:val="center"/>
          </w:tcPr>
          <w:p w14:paraId="14A16DF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4234E2C">
        <w:tblPrEx>
          <w:tblCellMar>
            <w:top w:w="0" w:type="dxa"/>
            <w:left w:w="108" w:type="dxa"/>
            <w:bottom w:w="0" w:type="dxa"/>
            <w:right w:w="108" w:type="dxa"/>
          </w:tblCellMar>
        </w:tblPrEx>
        <w:trPr>
          <w:trHeight w:val="595" w:hRule="atLeast"/>
          <w:jc w:val="center"/>
        </w:trPr>
        <w:tc>
          <w:tcPr>
            <w:tcW w:w="198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99B78DE">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415" w:type="pct"/>
            <w:tcBorders>
              <w:top w:val="nil"/>
              <w:left w:val="nil"/>
              <w:bottom w:val="single" w:color="auto" w:sz="4" w:space="0"/>
              <w:right w:val="single" w:color="auto" w:sz="4" w:space="0"/>
            </w:tcBorders>
            <w:shd w:val="clear" w:color="auto" w:fill="auto"/>
            <w:noWrap/>
            <w:vAlign w:val="center"/>
          </w:tcPr>
          <w:p w14:paraId="0448C34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415.78 </w:t>
            </w:r>
          </w:p>
        </w:tc>
        <w:tc>
          <w:tcPr>
            <w:tcW w:w="448" w:type="pct"/>
            <w:tcBorders>
              <w:top w:val="nil"/>
              <w:left w:val="nil"/>
              <w:bottom w:val="single" w:color="auto" w:sz="4" w:space="0"/>
              <w:right w:val="single" w:color="auto" w:sz="4" w:space="0"/>
            </w:tcBorders>
            <w:shd w:val="clear" w:color="auto" w:fill="auto"/>
            <w:noWrap/>
            <w:vAlign w:val="center"/>
          </w:tcPr>
          <w:p w14:paraId="06C7987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353.64 </w:t>
            </w:r>
          </w:p>
        </w:tc>
        <w:tc>
          <w:tcPr>
            <w:tcW w:w="494" w:type="pct"/>
            <w:tcBorders>
              <w:top w:val="nil"/>
              <w:left w:val="nil"/>
              <w:bottom w:val="single" w:color="auto" w:sz="4" w:space="0"/>
              <w:right w:val="single" w:color="auto" w:sz="4" w:space="0"/>
            </w:tcBorders>
            <w:shd w:val="clear" w:color="auto" w:fill="auto"/>
            <w:noWrap/>
            <w:vAlign w:val="center"/>
          </w:tcPr>
          <w:p w14:paraId="0731D7E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62.14 </w:t>
            </w:r>
          </w:p>
        </w:tc>
        <w:tc>
          <w:tcPr>
            <w:tcW w:w="501" w:type="pct"/>
            <w:tcBorders>
              <w:top w:val="nil"/>
              <w:left w:val="nil"/>
              <w:bottom w:val="single" w:color="auto" w:sz="4" w:space="0"/>
              <w:right w:val="single" w:color="auto" w:sz="4" w:space="0"/>
            </w:tcBorders>
            <w:shd w:val="clear" w:color="auto" w:fill="auto"/>
            <w:noWrap/>
            <w:vAlign w:val="center"/>
          </w:tcPr>
          <w:p w14:paraId="7C41B19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0" w:type="pct"/>
            <w:tcBorders>
              <w:top w:val="nil"/>
              <w:left w:val="nil"/>
              <w:bottom w:val="single" w:color="auto" w:sz="4" w:space="0"/>
              <w:right w:val="single" w:color="auto" w:sz="4" w:space="0"/>
            </w:tcBorders>
            <w:shd w:val="clear" w:color="auto" w:fill="auto"/>
            <w:noWrap/>
            <w:vAlign w:val="center"/>
          </w:tcPr>
          <w:p w14:paraId="0AEA522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7" w:type="pct"/>
            <w:tcBorders>
              <w:top w:val="nil"/>
              <w:left w:val="nil"/>
              <w:bottom w:val="single" w:color="auto" w:sz="4" w:space="0"/>
              <w:right w:val="single" w:color="auto" w:sz="4" w:space="0"/>
            </w:tcBorders>
            <w:shd w:val="clear" w:color="auto" w:fill="auto"/>
            <w:noWrap/>
            <w:vAlign w:val="center"/>
          </w:tcPr>
          <w:p w14:paraId="3748D81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0891A4D">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0FF481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1457" w:type="pct"/>
            <w:tcBorders>
              <w:top w:val="nil"/>
              <w:left w:val="nil"/>
              <w:bottom w:val="single" w:color="auto" w:sz="4" w:space="0"/>
              <w:right w:val="single" w:color="auto" w:sz="4" w:space="0"/>
            </w:tcBorders>
            <w:shd w:val="clear" w:color="000000" w:fill="FFFFFF"/>
            <w:noWrap/>
            <w:vAlign w:val="center"/>
          </w:tcPr>
          <w:p w14:paraId="6ECA415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415" w:type="pct"/>
            <w:tcBorders>
              <w:top w:val="nil"/>
              <w:left w:val="nil"/>
              <w:bottom w:val="single" w:color="auto" w:sz="4" w:space="0"/>
              <w:right w:val="single" w:color="auto" w:sz="4" w:space="0"/>
            </w:tcBorders>
            <w:shd w:val="clear" w:color="auto" w:fill="auto"/>
            <w:noWrap/>
            <w:vAlign w:val="center"/>
          </w:tcPr>
          <w:p w14:paraId="1A59730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13.40 </w:t>
            </w:r>
          </w:p>
        </w:tc>
        <w:tc>
          <w:tcPr>
            <w:tcW w:w="448" w:type="pct"/>
            <w:tcBorders>
              <w:top w:val="nil"/>
              <w:left w:val="nil"/>
              <w:bottom w:val="single" w:color="auto" w:sz="4" w:space="0"/>
              <w:right w:val="single" w:color="auto" w:sz="4" w:space="0"/>
            </w:tcBorders>
            <w:shd w:val="clear" w:color="auto" w:fill="auto"/>
            <w:noWrap/>
            <w:vAlign w:val="center"/>
          </w:tcPr>
          <w:p w14:paraId="38499A83">
            <w:pPr>
              <w:jc w:val="right"/>
              <w:rPr>
                <w:rFonts w:ascii="Times New Roman" w:hAnsi="Times New Roman" w:eastAsia="仿宋_GB2312" w:cs="Times New Roman"/>
                <w:kern w:val="0"/>
                <w:sz w:val="24"/>
                <w:szCs w:val="24"/>
              </w:rPr>
            </w:pPr>
          </w:p>
        </w:tc>
        <w:tc>
          <w:tcPr>
            <w:tcW w:w="494" w:type="pct"/>
            <w:tcBorders>
              <w:top w:val="nil"/>
              <w:left w:val="nil"/>
              <w:bottom w:val="single" w:color="auto" w:sz="4" w:space="0"/>
              <w:right w:val="single" w:color="auto" w:sz="4" w:space="0"/>
            </w:tcBorders>
            <w:shd w:val="clear" w:color="auto" w:fill="auto"/>
            <w:noWrap/>
            <w:vAlign w:val="center"/>
          </w:tcPr>
          <w:p w14:paraId="5C8F3DA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13.40 </w:t>
            </w:r>
          </w:p>
        </w:tc>
        <w:tc>
          <w:tcPr>
            <w:tcW w:w="501" w:type="pct"/>
            <w:tcBorders>
              <w:top w:val="nil"/>
              <w:left w:val="nil"/>
              <w:bottom w:val="single" w:color="auto" w:sz="4" w:space="0"/>
              <w:right w:val="single" w:color="auto" w:sz="4" w:space="0"/>
            </w:tcBorders>
            <w:shd w:val="clear" w:color="auto" w:fill="auto"/>
            <w:noWrap/>
            <w:vAlign w:val="center"/>
          </w:tcPr>
          <w:p w14:paraId="16D10EF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0" w:type="pct"/>
            <w:tcBorders>
              <w:top w:val="nil"/>
              <w:left w:val="nil"/>
              <w:bottom w:val="single" w:color="auto" w:sz="4" w:space="0"/>
              <w:right w:val="single" w:color="auto" w:sz="4" w:space="0"/>
            </w:tcBorders>
            <w:shd w:val="clear" w:color="auto" w:fill="auto"/>
            <w:noWrap/>
            <w:vAlign w:val="center"/>
          </w:tcPr>
          <w:p w14:paraId="646DAD7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7" w:type="pct"/>
            <w:tcBorders>
              <w:top w:val="nil"/>
              <w:left w:val="nil"/>
              <w:bottom w:val="single" w:color="auto" w:sz="4" w:space="0"/>
              <w:right w:val="single" w:color="auto" w:sz="4" w:space="0"/>
            </w:tcBorders>
            <w:shd w:val="clear" w:color="auto" w:fill="auto"/>
            <w:noWrap/>
            <w:vAlign w:val="center"/>
          </w:tcPr>
          <w:p w14:paraId="08965A4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EAE9FD4">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00E88D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2080501</w:t>
            </w:r>
          </w:p>
        </w:tc>
        <w:tc>
          <w:tcPr>
            <w:tcW w:w="1457" w:type="pct"/>
            <w:tcBorders>
              <w:top w:val="nil"/>
              <w:left w:val="nil"/>
              <w:bottom w:val="single" w:color="auto" w:sz="4" w:space="0"/>
              <w:right w:val="single" w:color="auto" w:sz="4" w:space="0"/>
            </w:tcBorders>
            <w:shd w:val="clear" w:color="000000" w:fill="FFFFFF"/>
            <w:noWrap/>
            <w:vAlign w:val="center"/>
          </w:tcPr>
          <w:p w14:paraId="49076F9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行政单位离退休</w:t>
            </w:r>
          </w:p>
        </w:tc>
        <w:tc>
          <w:tcPr>
            <w:tcW w:w="415" w:type="pct"/>
            <w:tcBorders>
              <w:top w:val="nil"/>
              <w:left w:val="nil"/>
              <w:bottom w:val="single" w:color="auto" w:sz="4" w:space="0"/>
              <w:right w:val="single" w:color="auto" w:sz="4" w:space="0"/>
            </w:tcBorders>
            <w:shd w:val="clear" w:color="auto" w:fill="auto"/>
            <w:noWrap/>
            <w:vAlign w:val="center"/>
          </w:tcPr>
          <w:p w14:paraId="0E3756F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26.64 </w:t>
            </w:r>
          </w:p>
        </w:tc>
        <w:tc>
          <w:tcPr>
            <w:tcW w:w="448" w:type="pct"/>
            <w:tcBorders>
              <w:top w:val="nil"/>
              <w:left w:val="nil"/>
              <w:bottom w:val="single" w:color="auto" w:sz="4" w:space="0"/>
              <w:right w:val="single" w:color="auto" w:sz="4" w:space="0"/>
            </w:tcBorders>
            <w:shd w:val="clear" w:color="auto" w:fill="auto"/>
            <w:noWrap/>
            <w:vAlign w:val="center"/>
          </w:tcPr>
          <w:p w14:paraId="7BF8B86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16.34 </w:t>
            </w:r>
          </w:p>
        </w:tc>
        <w:tc>
          <w:tcPr>
            <w:tcW w:w="494" w:type="pct"/>
            <w:tcBorders>
              <w:top w:val="nil"/>
              <w:left w:val="nil"/>
              <w:bottom w:val="single" w:color="auto" w:sz="4" w:space="0"/>
              <w:right w:val="single" w:color="auto" w:sz="4" w:space="0"/>
            </w:tcBorders>
            <w:shd w:val="clear" w:color="auto" w:fill="auto"/>
            <w:noWrap/>
            <w:vAlign w:val="center"/>
          </w:tcPr>
          <w:p w14:paraId="60B538F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10.29 </w:t>
            </w:r>
          </w:p>
        </w:tc>
        <w:tc>
          <w:tcPr>
            <w:tcW w:w="501" w:type="pct"/>
            <w:tcBorders>
              <w:top w:val="nil"/>
              <w:left w:val="nil"/>
              <w:bottom w:val="single" w:color="auto" w:sz="4" w:space="0"/>
              <w:right w:val="single" w:color="auto" w:sz="4" w:space="0"/>
            </w:tcBorders>
            <w:shd w:val="clear" w:color="auto" w:fill="auto"/>
            <w:noWrap/>
            <w:vAlign w:val="center"/>
          </w:tcPr>
          <w:p w14:paraId="2F5EB22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0" w:type="pct"/>
            <w:tcBorders>
              <w:top w:val="nil"/>
              <w:left w:val="nil"/>
              <w:bottom w:val="single" w:color="auto" w:sz="4" w:space="0"/>
              <w:right w:val="single" w:color="auto" w:sz="4" w:space="0"/>
            </w:tcBorders>
            <w:shd w:val="clear" w:color="auto" w:fill="auto"/>
            <w:noWrap/>
            <w:vAlign w:val="center"/>
          </w:tcPr>
          <w:p w14:paraId="40E6552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7" w:type="pct"/>
            <w:tcBorders>
              <w:top w:val="nil"/>
              <w:left w:val="nil"/>
              <w:bottom w:val="single" w:color="auto" w:sz="4" w:space="0"/>
              <w:right w:val="single" w:color="auto" w:sz="4" w:space="0"/>
            </w:tcBorders>
            <w:shd w:val="clear" w:color="auto" w:fill="auto"/>
            <w:noWrap/>
            <w:vAlign w:val="center"/>
          </w:tcPr>
          <w:p w14:paraId="57426B4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135843B">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1B4C39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2080503</w:t>
            </w:r>
          </w:p>
        </w:tc>
        <w:tc>
          <w:tcPr>
            <w:tcW w:w="1457" w:type="pct"/>
            <w:tcBorders>
              <w:top w:val="nil"/>
              <w:left w:val="nil"/>
              <w:bottom w:val="single" w:color="auto" w:sz="4" w:space="0"/>
              <w:right w:val="single" w:color="auto" w:sz="4" w:space="0"/>
            </w:tcBorders>
            <w:shd w:val="clear" w:color="000000" w:fill="FFFFFF"/>
            <w:noWrap/>
            <w:vAlign w:val="center"/>
          </w:tcPr>
          <w:p w14:paraId="3B763A7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离退休人员管理机构</w:t>
            </w:r>
          </w:p>
        </w:tc>
        <w:tc>
          <w:tcPr>
            <w:tcW w:w="415" w:type="pct"/>
            <w:tcBorders>
              <w:top w:val="nil"/>
              <w:left w:val="nil"/>
              <w:bottom w:val="single" w:color="auto" w:sz="4" w:space="0"/>
              <w:right w:val="single" w:color="auto" w:sz="4" w:space="0"/>
            </w:tcBorders>
            <w:shd w:val="clear" w:color="auto" w:fill="auto"/>
            <w:noWrap/>
            <w:vAlign w:val="center"/>
          </w:tcPr>
          <w:p w14:paraId="00FE311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282.77 </w:t>
            </w:r>
          </w:p>
        </w:tc>
        <w:tc>
          <w:tcPr>
            <w:tcW w:w="448" w:type="pct"/>
            <w:tcBorders>
              <w:top w:val="nil"/>
              <w:left w:val="nil"/>
              <w:bottom w:val="single" w:color="auto" w:sz="4" w:space="0"/>
              <w:right w:val="single" w:color="auto" w:sz="4" w:space="0"/>
            </w:tcBorders>
            <w:shd w:val="clear" w:color="auto" w:fill="auto"/>
            <w:noWrap/>
            <w:vAlign w:val="center"/>
          </w:tcPr>
          <w:p w14:paraId="2FA9861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261.66 </w:t>
            </w:r>
          </w:p>
        </w:tc>
        <w:tc>
          <w:tcPr>
            <w:tcW w:w="494" w:type="pct"/>
            <w:tcBorders>
              <w:top w:val="nil"/>
              <w:left w:val="nil"/>
              <w:bottom w:val="single" w:color="auto" w:sz="4" w:space="0"/>
              <w:right w:val="single" w:color="auto" w:sz="4" w:space="0"/>
            </w:tcBorders>
            <w:shd w:val="clear" w:color="auto" w:fill="auto"/>
            <w:noWrap/>
            <w:vAlign w:val="center"/>
          </w:tcPr>
          <w:p w14:paraId="4154AD5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21.11 </w:t>
            </w:r>
          </w:p>
        </w:tc>
        <w:tc>
          <w:tcPr>
            <w:tcW w:w="501" w:type="pct"/>
            <w:tcBorders>
              <w:top w:val="nil"/>
              <w:left w:val="nil"/>
              <w:bottom w:val="single" w:color="auto" w:sz="4" w:space="0"/>
              <w:right w:val="single" w:color="auto" w:sz="4" w:space="0"/>
            </w:tcBorders>
            <w:shd w:val="clear" w:color="auto" w:fill="auto"/>
            <w:noWrap/>
            <w:vAlign w:val="center"/>
          </w:tcPr>
          <w:p w14:paraId="43F0868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0" w:type="pct"/>
            <w:tcBorders>
              <w:top w:val="nil"/>
              <w:left w:val="nil"/>
              <w:bottom w:val="single" w:color="auto" w:sz="4" w:space="0"/>
              <w:right w:val="single" w:color="auto" w:sz="4" w:space="0"/>
            </w:tcBorders>
            <w:shd w:val="clear" w:color="auto" w:fill="auto"/>
            <w:noWrap/>
            <w:vAlign w:val="center"/>
          </w:tcPr>
          <w:p w14:paraId="3ADEB3E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7" w:type="pct"/>
            <w:tcBorders>
              <w:top w:val="nil"/>
              <w:left w:val="nil"/>
              <w:bottom w:val="single" w:color="auto" w:sz="4" w:space="0"/>
              <w:right w:val="single" w:color="auto" w:sz="4" w:space="0"/>
            </w:tcBorders>
            <w:shd w:val="clear" w:color="auto" w:fill="auto"/>
            <w:noWrap/>
            <w:vAlign w:val="center"/>
          </w:tcPr>
          <w:p w14:paraId="1DC220D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E647A99">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969DE4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457" w:type="pct"/>
            <w:tcBorders>
              <w:top w:val="nil"/>
              <w:left w:val="nil"/>
              <w:bottom w:val="single" w:color="auto" w:sz="4" w:space="0"/>
              <w:right w:val="single" w:color="auto" w:sz="4" w:space="0"/>
            </w:tcBorders>
            <w:shd w:val="clear" w:color="000000" w:fill="FFFFFF"/>
            <w:noWrap/>
            <w:vAlign w:val="center"/>
          </w:tcPr>
          <w:p w14:paraId="68D0EC2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415" w:type="pct"/>
            <w:tcBorders>
              <w:top w:val="nil"/>
              <w:left w:val="nil"/>
              <w:bottom w:val="single" w:color="auto" w:sz="4" w:space="0"/>
              <w:right w:val="single" w:color="auto" w:sz="4" w:space="0"/>
            </w:tcBorders>
            <w:shd w:val="clear" w:color="auto" w:fill="auto"/>
            <w:noWrap/>
            <w:vAlign w:val="center"/>
          </w:tcPr>
          <w:p w14:paraId="3492150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12.48 </w:t>
            </w:r>
          </w:p>
        </w:tc>
        <w:tc>
          <w:tcPr>
            <w:tcW w:w="448" w:type="pct"/>
            <w:tcBorders>
              <w:top w:val="nil"/>
              <w:left w:val="nil"/>
              <w:bottom w:val="single" w:color="auto" w:sz="4" w:space="0"/>
              <w:right w:val="single" w:color="auto" w:sz="4" w:space="0"/>
            </w:tcBorders>
            <w:shd w:val="clear" w:color="auto" w:fill="auto"/>
            <w:noWrap/>
            <w:vAlign w:val="center"/>
          </w:tcPr>
          <w:p w14:paraId="3D38F14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12.48 </w:t>
            </w:r>
          </w:p>
        </w:tc>
        <w:tc>
          <w:tcPr>
            <w:tcW w:w="494" w:type="pct"/>
            <w:tcBorders>
              <w:top w:val="nil"/>
              <w:left w:val="nil"/>
              <w:bottom w:val="single" w:color="auto" w:sz="4" w:space="0"/>
              <w:right w:val="single" w:color="auto" w:sz="4" w:space="0"/>
            </w:tcBorders>
            <w:shd w:val="clear" w:color="auto" w:fill="auto"/>
            <w:noWrap/>
            <w:vAlign w:val="center"/>
          </w:tcPr>
          <w:p w14:paraId="0939962B">
            <w:pPr>
              <w:jc w:val="right"/>
              <w:rPr>
                <w:rFonts w:ascii="Times New Roman" w:hAnsi="Times New Roman" w:eastAsia="仿宋_GB2312" w:cs="Times New Roman"/>
                <w:kern w:val="0"/>
                <w:sz w:val="24"/>
                <w:szCs w:val="24"/>
              </w:rPr>
            </w:pPr>
          </w:p>
        </w:tc>
        <w:tc>
          <w:tcPr>
            <w:tcW w:w="501" w:type="pct"/>
            <w:tcBorders>
              <w:top w:val="nil"/>
              <w:left w:val="nil"/>
              <w:bottom w:val="single" w:color="auto" w:sz="4" w:space="0"/>
              <w:right w:val="single" w:color="auto" w:sz="4" w:space="0"/>
            </w:tcBorders>
            <w:shd w:val="clear" w:color="auto" w:fill="auto"/>
            <w:noWrap/>
            <w:vAlign w:val="center"/>
          </w:tcPr>
          <w:p w14:paraId="20D42BCE">
            <w:pPr>
              <w:widowControl/>
              <w:jc w:val="right"/>
              <w:rPr>
                <w:rFonts w:ascii="Times New Roman" w:hAnsi="Times New Roman" w:eastAsia="仿宋_GB2312" w:cs="Times New Roman"/>
                <w:kern w:val="0"/>
                <w:sz w:val="24"/>
                <w:szCs w:val="24"/>
              </w:rPr>
            </w:pPr>
          </w:p>
        </w:tc>
        <w:tc>
          <w:tcPr>
            <w:tcW w:w="480" w:type="pct"/>
            <w:tcBorders>
              <w:top w:val="nil"/>
              <w:left w:val="nil"/>
              <w:bottom w:val="single" w:color="auto" w:sz="4" w:space="0"/>
              <w:right w:val="single" w:color="auto" w:sz="4" w:space="0"/>
            </w:tcBorders>
            <w:shd w:val="clear" w:color="auto" w:fill="auto"/>
            <w:noWrap/>
            <w:vAlign w:val="center"/>
          </w:tcPr>
          <w:p w14:paraId="50D84E6F">
            <w:pPr>
              <w:widowControl/>
              <w:jc w:val="right"/>
              <w:rPr>
                <w:rFonts w:ascii="Times New Roman" w:hAnsi="Times New Roman" w:eastAsia="仿宋_GB2312" w:cs="Times New Roman"/>
                <w:kern w:val="0"/>
                <w:sz w:val="24"/>
                <w:szCs w:val="24"/>
              </w:rPr>
            </w:pPr>
          </w:p>
        </w:tc>
        <w:tc>
          <w:tcPr>
            <w:tcW w:w="677" w:type="pct"/>
            <w:tcBorders>
              <w:top w:val="nil"/>
              <w:left w:val="nil"/>
              <w:bottom w:val="single" w:color="auto" w:sz="4" w:space="0"/>
              <w:right w:val="single" w:color="auto" w:sz="4" w:space="0"/>
            </w:tcBorders>
            <w:shd w:val="clear" w:color="auto" w:fill="auto"/>
            <w:noWrap/>
            <w:vAlign w:val="center"/>
          </w:tcPr>
          <w:p w14:paraId="7C7AD28A">
            <w:pPr>
              <w:widowControl/>
              <w:jc w:val="right"/>
              <w:rPr>
                <w:rFonts w:ascii="Times New Roman" w:hAnsi="Times New Roman" w:eastAsia="仿宋_GB2312" w:cs="Times New Roman"/>
                <w:kern w:val="0"/>
                <w:sz w:val="24"/>
                <w:szCs w:val="24"/>
              </w:rPr>
            </w:pPr>
          </w:p>
        </w:tc>
      </w:tr>
      <w:tr w14:paraId="01DB5AAB">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FF6B73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2080599</w:t>
            </w:r>
          </w:p>
        </w:tc>
        <w:tc>
          <w:tcPr>
            <w:tcW w:w="1457" w:type="pct"/>
            <w:tcBorders>
              <w:top w:val="nil"/>
              <w:left w:val="nil"/>
              <w:bottom w:val="single" w:color="auto" w:sz="4" w:space="0"/>
              <w:right w:val="single" w:color="auto" w:sz="4" w:space="0"/>
            </w:tcBorders>
            <w:shd w:val="clear" w:color="000000" w:fill="FFFFFF"/>
            <w:noWrap/>
            <w:vAlign w:val="center"/>
          </w:tcPr>
          <w:p w14:paraId="7612EC5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其他行政事业单位养老支出</w:t>
            </w:r>
          </w:p>
        </w:tc>
        <w:tc>
          <w:tcPr>
            <w:tcW w:w="415" w:type="pct"/>
            <w:tcBorders>
              <w:top w:val="nil"/>
              <w:left w:val="nil"/>
              <w:bottom w:val="single" w:color="auto" w:sz="4" w:space="0"/>
              <w:right w:val="single" w:color="auto" w:sz="4" w:space="0"/>
            </w:tcBorders>
            <w:shd w:val="clear" w:color="auto" w:fill="auto"/>
            <w:noWrap/>
            <w:vAlign w:val="center"/>
          </w:tcPr>
          <w:p w14:paraId="26B6EE0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73.58 </w:t>
            </w:r>
          </w:p>
        </w:tc>
        <w:tc>
          <w:tcPr>
            <w:tcW w:w="448" w:type="pct"/>
            <w:tcBorders>
              <w:top w:val="nil"/>
              <w:left w:val="nil"/>
              <w:bottom w:val="single" w:color="auto" w:sz="4" w:space="0"/>
              <w:right w:val="single" w:color="auto" w:sz="4" w:space="0"/>
            </w:tcBorders>
            <w:shd w:val="clear" w:color="auto" w:fill="auto"/>
            <w:noWrap/>
            <w:vAlign w:val="center"/>
          </w:tcPr>
          <w:p w14:paraId="0A14F84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56.24 </w:t>
            </w:r>
          </w:p>
        </w:tc>
        <w:tc>
          <w:tcPr>
            <w:tcW w:w="494" w:type="pct"/>
            <w:tcBorders>
              <w:top w:val="nil"/>
              <w:left w:val="nil"/>
              <w:bottom w:val="single" w:color="auto" w:sz="4" w:space="0"/>
              <w:right w:val="single" w:color="auto" w:sz="4" w:space="0"/>
            </w:tcBorders>
            <w:shd w:val="clear" w:color="auto" w:fill="auto"/>
            <w:noWrap/>
            <w:vAlign w:val="center"/>
          </w:tcPr>
          <w:p w14:paraId="2B84B28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17.34 </w:t>
            </w:r>
          </w:p>
        </w:tc>
        <w:tc>
          <w:tcPr>
            <w:tcW w:w="501" w:type="pct"/>
            <w:tcBorders>
              <w:top w:val="nil"/>
              <w:left w:val="nil"/>
              <w:bottom w:val="single" w:color="auto" w:sz="4" w:space="0"/>
              <w:right w:val="single" w:color="auto" w:sz="4" w:space="0"/>
            </w:tcBorders>
            <w:shd w:val="clear" w:color="auto" w:fill="auto"/>
            <w:noWrap/>
            <w:vAlign w:val="center"/>
          </w:tcPr>
          <w:p w14:paraId="6D8FB53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0" w:type="pct"/>
            <w:tcBorders>
              <w:top w:val="nil"/>
              <w:left w:val="nil"/>
              <w:bottom w:val="single" w:color="auto" w:sz="4" w:space="0"/>
              <w:right w:val="single" w:color="auto" w:sz="4" w:space="0"/>
            </w:tcBorders>
            <w:shd w:val="clear" w:color="auto" w:fill="auto"/>
            <w:noWrap/>
            <w:vAlign w:val="center"/>
          </w:tcPr>
          <w:p w14:paraId="0F1415D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7" w:type="pct"/>
            <w:tcBorders>
              <w:top w:val="nil"/>
              <w:left w:val="nil"/>
              <w:bottom w:val="single" w:color="auto" w:sz="4" w:space="0"/>
              <w:right w:val="single" w:color="auto" w:sz="4" w:space="0"/>
            </w:tcBorders>
            <w:shd w:val="clear" w:color="auto" w:fill="auto"/>
            <w:noWrap/>
            <w:vAlign w:val="center"/>
          </w:tcPr>
          <w:p w14:paraId="6E6EB0F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71DBA81">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D3354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1457" w:type="pct"/>
            <w:tcBorders>
              <w:top w:val="nil"/>
              <w:left w:val="nil"/>
              <w:bottom w:val="single" w:color="auto" w:sz="4" w:space="0"/>
              <w:right w:val="single" w:color="auto" w:sz="4" w:space="0"/>
            </w:tcBorders>
            <w:shd w:val="clear" w:color="000000" w:fill="FFFFFF"/>
            <w:noWrap/>
            <w:vAlign w:val="center"/>
          </w:tcPr>
          <w:p w14:paraId="7077375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415" w:type="pct"/>
            <w:tcBorders>
              <w:top w:val="nil"/>
              <w:left w:val="nil"/>
              <w:bottom w:val="single" w:color="auto" w:sz="4" w:space="0"/>
              <w:right w:val="single" w:color="auto" w:sz="4" w:space="0"/>
            </w:tcBorders>
            <w:shd w:val="clear" w:color="auto" w:fill="auto"/>
            <w:noWrap/>
            <w:vAlign w:val="center"/>
          </w:tcPr>
          <w:p w14:paraId="6CC5B3E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5.37 </w:t>
            </w:r>
          </w:p>
        </w:tc>
        <w:tc>
          <w:tcPr>
            <w:tcW w:w="448" w:type="pct"/>
            <w:tcBorders>
              <w:top w:val="nil"/>
              <w:left w:val="nil"/>
              <w:bottom w:val="single" w:color="auto" w:sz="4" w:space="0"/>
              <w:right w:val="single" w:color="auto" w:sz="4" w:space="0"/>
            </w:tcBorders>
            <w:shd w:val="clear" w:color="auto" w:fill="auto"/>
            <w:noWrap/>
            <w:vAlign w:val="center"/>
          </w:tcPr>
          <w:p w14:paraId="1C33FDB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5.37 </w:t>
            </w:r>
          </w:p>
        </w:tc>
        <w:tc>
          <w:tcPr>
            <w:tcW w:w="494" w:type="pct"/>
            <w:tcBorders>
              <w:top w:val="nil"/>
              <w:left w:val="nil"/>
              <w:bottom w:val="single" w:color="auto" w:sz="4" w:space="0"/>
              <w:right w:val="single" w:color="auto" w:sz="4" w:space="0"/>
            </w:tcBorders>
            <w:shd w:val="clear" w:color="auto" w:fill="auto"/>
            <w:noWrap/>
            <w:vAlign w:val="center"/>
          </w:tcPr>
          <w:p w14:paraId="2E6F6293">
            <w:pPr>
              <w:jc w:val="right"/>
              <w:rPr>
                <w:rFonts w:ascii="Times New Roman" w:hAnsi="Times New Roman" w:eastAsia="仿宋_GB2312" w:cs="Times New Roman"/>
                <w:kern w:val="0"/>
                <w:sz w:val="24"/>
                <w:szCs w:val="24"/>
              </w:rPr>
            </w:pPr>
          </w:p>
        </w:tc>
        <w:tc>
          <w:tcPr>
            <w:tcW w:w="501" w:type="pct"/>
            <w:tcBorders>
              <w:top w:val="nil"/>
              <w:left w:val="nil"/>
              <w:bottom w:val="single" w:color="auto" w:sz="4" w:space="0"/>
              <w:right w:val="single" w:color="auto" w:sz="4" w:space="0"/>
            </w:tcBorders>
            <w:shd w:val="clear" w:color="auto" w:fill="auto"/>
            <w:noWrap/>
            <w:vAlign w:val="center"/>
          </w:tcPr>
          <w:p w14:paraId="7A1F376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0" w:type="pct"/>
            <w:tcBorders>
              <w:top w:val="nil"/>
              <w:left w:val="nil"/>
              <w:bottom w:val="single" w:color="auto" w:sz="4" w:space="0"/>
              <w:right w:val="single" w:color="auto" w:sz="4" w:space="0"/>
            </w:tcBorders>
            <w:shd w:val="clear" w:color="auto" w:fill="auto"/>
            <w:noWrap/>
            <w:vAlign w:val="center"/>
          </w:tcPr>
          <w:p w14:paraId="664A302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7" w:type="pct"/>
            <w:tcBorders>
              <w:top w:val="nil"/>
              <w:left w:val="nil"/>
              <w:bottom w:val="single" w:color="auto" w:sz="4" w:space="0"/>
              <w:right w:val="single" w:color="auto" w:sz="4" w:space="0"/>
            </w:tcBorders>
            <w:shd w:val="clear" w:color="auto" w:fill="auto"/>
            <w:noWrap/>
            <w:vAlign w:val="center"/>
          </w:tcPr>
          <w:p w14:paraId="39194A0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011B832">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843323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1457" w:type="pct"/>
            <w:tcBorders>
              <w:top w:val="nil"/>
              <w:left w:val="nil"/>
              <w:bottom w:val="single" w:color="auto" w:sz="4" w:space="0"/>
              <w:right w:val="single" w:color="auto" w:sz="4" w:space="0"/>
            </w:tcBorders>
            <w:shd w:val="clear" w:color="000000" w:fill="FFFFFF"/>
            <w:noWrap/>
            <w:vAlign w:val="center"/>
          </w:tcPr>
          <w:p w14:paraId="0AD3D7A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住房公积金</w:t>
            </w:r>
          </w:p>
        </w:tc>
        <w:tc>
          <w:tcPr>
            <w:tcW w:w="415" w:type="pct"/>
            <w:tcBorders>
              <w:top w:val="nil"/>
              <w:left w:val="nil"/>
              <w:bottom w:val="single" w:color="auto" w:sz="4" w:space="0"/>
              <w:right w:val="single" w:color="auto" w:sz="4" w:space="0"/>
            </w:tcBorders>
            <w:shd w:val="clear" w:color="auto" w:fill="auto"/>
            <w:noWrap/>
            <w:vAlign w:val="center"/>
          </w:tcPr>
          <w:p w14:paraId="48CB288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1.55 </w:t>
            </w:r>
          </w:p>
        </w:tc>
        <w:tc>
          <w:tcPr>
            <w:tcW w:w="448" w:type="pct"/>
            <w:tcBorders>
              <w:top w:val="nil"/>
              <w:left w:val="nil"/>
              <w:bottom w:val="single" w:color="auto" w:sz="4" w:space="0"/>
              <w:right w:val="single" w:color="auto" w:sz="4" w:space="0"/>
            </w:tcBorders>
            <w:shd w:val="clear" w:color="auto" w:fill="auto"/>
            <w:noWrap/>
            <w:vAlign w:val="center"/>
          </w:tcPr>
          <w:p w14:paraId="52D240A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1.55 </w:t>
            </w:r>
          </w:p>
        </w:tc>
        <w:tc>
          <w:tcPr>
            <w:tcW w:w="494" w:type="pct"/>
            <w:tcBorders>
              <w:top w:val="nil"/>
              <w:left w:val="nil"/>
              <w:bottom w:val="single" w:color="auto" w:sz="4" w:space="0"/>
              <w:right w:val="single" w:color="auto" w:sz="4" w:space="0"/>
            </w:tcBorders>
            <w:shd w:val="clear" w:color="auto" w:fill="auto"/>
            <w:noWrap/>
            <w:vAlign w:val="center"/>
          </w:tcPr>
          <w:p w14:paraId="51E445DD">
            <w:pPr>
              <w:jc w:val="right"/>
              <w:rPr>
                <w:rFonts w:ascii="Times New Roman" w:hAnsi="Times New Roman" w:eastAsia="仿宋_GB2312" w:cs="Times New Roman"/>
                <w:kern w:val="0"/>
                <w:sz w:val="24"/>
                <w:szCs w:val="24"/>
              </w:rPr>
            </w:pPr>
          </w:p>
        </w:tc>
        <w:tc>
          <w:tcPr>
            <w:tcW w:w="501" w:type="pct"/>
            <w:tcBorders>
              <w:top w:val="nil"/>
              <w:left w:val="nil"/>
              <w:bottom w:val="single" w:color="auto" w:sz="4" w:space="0"/>
              <w:right w:val="single" w:color="auto" w:sz="4" w:space="0"/>
            </w:tcBorders>
            <w:shd w:val="clear" w:color="auto" w:fill="auto"/>
            <w:noWrap/>
            <w:vAlign w:val="center"/>
          </w:tcPr>
          <w:p w14:paraId="212E5D4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0" w:type="pct"/>
            <w:tcBorders>
              <w:top w:val="nil"/>
              <w:left w:val="nil"/>
              <w:bottom w:val="single" w:color="auto" w:sz="4" w:space="0"/>
              <w:right w:val="single" w:color="auto" w:sz="4" w:space="0"/>
            </w:tcBorders>
            <w:shd w:val="clear" w:color="auto" w:fill="auto"/>
            <w:noWrap/>
            <w:vAlign w:val="center"/>
          </w:tcPr>
          <w:p w14:paraId="4CE39C1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7" w:type="pct"/>
            <w:tcBorders>
              <w:top w:val="nil"/>
              <w:left w:val="nil"/>
              <w:bottom w:val="single" w:color="auto" w:sz="4" w:space="0"/>
              <w:right w:val="single" w:color="auto" w:sz="4" w:space="0"/>
            </w:tcBorders>
            <w:shd w:val="clear" w:color="auto" w:fill="auto"/>
            <w:noWrap/>
            <w:vAlign w:val="center"/>
          </w:tcPr>
          <w:p w14:paraId="3E93AAA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467CFF6F">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FD17661">
      <w:pPr>
        <w:widowControl/>
        <w:spacing w:after="156" w:afterLines="50"/>
        <w:jc w:val="center"/>
        <w:textAlignment w:val="center"/>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p>
    <w:p w14:paraId="40C89E3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0400737">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35DD3D4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 xml:space="preserve">怀化市委市政府机关老干部休养所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11"/>
        <w:tblW w:w="0" w:type="auto"/>
        <w:jc w:val="center"/>
        <w:tblLayout w:type="fixed"/>
        <w:tblCellMar>
          <w:top w:w="0" w:type="dxa"/>
          <w:left w:w="108" w:type="dxa"/>
          <w:bottom w:w="0" w:type="dxa"/>
          <w:right w:w="108" w:type="dxa"/>
        </w:tblCellMar>
      </w:tblPr>
      <w:tblGrid>
        <w:gridCol w:w="3516"/>
        <w:gridCol w:w="616"/>
        <w:gridCol w:w="821"/>
        <w:gridCol w:w="2982"/>
        <w:gridCol w:w="500"/>
        <w:gridCol w:w="900"/>
        <w:gridCol w:w="1450"/>
        <w:gridCol w:w="1750"/>
        <w:gridCol w:w="1685"/>
      </w:tblGrid>
      <w:tr w14:paraId="6943C191">
        <w:tblPrEx>
          <w:tblCellMar>
            <w:top w:w="0" w:type="dxa"/>
            <w:left w:w="108" w:type="dxa"/>
            <w:bottom w:w="0" w:type="dxa"/>
            <w:right w:w="108" w:type="dxa"/>
          </w:tblCellMar>
        </w:tblPrEx>
        <w:trPr>
          <w:trHeight w:val="402" w:hRule="atLeast"/>
          <w:jc w:val="center"/>
        </w:trPr>
        <w:tc>
          <w:tcPr>
            <w:tcW w:w="495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CD24CD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67" w:type="dxa"/>
            <w:gridSpan w:val="6"/>
            <w:tcBorders>
              <w:top w:val="single" w:color="auto" w:sz="4" w:space="0"/>
              <w:left w:val="nil"/>
              <w:bottom w:val="single" w:color="auto" w:sz="4" w:space="0"/>
              <w:right w:val="single" w:color="auto" w:sz="4" w:space="0"/>
            </w:tcBorders>
            <w:shd w:val="clear" w:color="000000" w:fill="FFFFFF"/>
            <w:noWrap/>
            <w:vAlign w:val="center"/>
          </w:tcPr>
          <w:p w14:paraId="2055282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5B0A289B">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84F512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726177F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21" w:type="dxa"/>
            <w:tcBorders>
              <w:top w:val="nil"/>
              <w:left w:val="nil"/>
              <w:bottom w:val="single" w:color="auto" w:sz="4" w:space="0"/>
              <w:right w:val="single" w:color="auto" w:sz="4" w:space="0"/>
            </w:tcBorders>
            <w:shd w:val="clear" w:color="auto" w:fill="auto"/>
            <w:noWrap/>
            <w:vAlign w:val="center"/>
          </w:tcPr>
          <w:p w14:paraId="57E2DF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982" w:type="dxa"/>
            <w:tcBorders>
              <w:top w:val="nil"/>
              <w:left w:val="nil"/>
              <w:bottom w:val="single" w:color="auto" w:sz="4" w:space="0"/>
              <w:right w:val="single" w:color="auto" w:sz="4" w:space="0"/>
            </w:tcBorders>
            <w:shd w:val="clear" w:color="auto" w:fill="auto"/>
            <w:noWrap/>
            <w:vAlign w:val="center"/>
          </w:tcPr>
          <w:p w14:paraId="065E87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00" w:type="dxa"/>
            <w:tcBorders>
              <w:top w:val="nil"/>
              <w:left w:val="nil"/>
              <w:bottom w:val="single" w:color="auto" w:sz="4" w:space="0"/>
              <w:right w:val="single" w:color="auto" w:sz="4" w:space="0"/>
            </w:tcBorders>
            <w:shd w:val="clear" w:color="auto" w:fill="auto"/>
            <w:noWrap/>
            <w:vAlign w:val="center"/>
          </w:tcPr>
          <w:p w14:paraId="3F2E940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00" w:type="dxa"/>
            <w:tcBorders>
              <w:top w:val="nil"/>
              <w:left w:val="nil"/>
              <w:bottom w:val="single" w:color="auto" w:sz="4" w:space="0"/>
              <w:right w:val="single" w:color="auto" w:sz="4" w:space="0"/>
            </w:tcBorders>
            <w:shd w:val="clear" w:color="auto" w:fill="auto"/>
            <w:noWrap/>
            <w:vAlign w:val="center"/>
          </w:tcPr>
          <w:p w14:paraId="256046B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50" w:type="dxa"/>
            <w:tcBorders>
              <w:top w:val="nil"/>
              <w:left w:val="nil"/>
              <w:bottom w:val="single" w:color="auto" w:sz="4" w:space="0"/>
              <w:right w:val="single" w:color="auto" w:sz="4" w:space="0"/>
            </w:tcBorders>
            <w:shd w:val="clear" w:color="auto" w:fill="auto"/>
            <w:vAlign w:val="center"/>
          </w:tcPr>
          <w:p w14:paraId="3B4DD44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50" w:type="dxa"/>
            <w:tcBorders>
              <w:top w:val="nil"/>
              <w:left w:val="nil"/>
              <w:bottom w:val="single" w:color="auto" w:sz="4" w:space="0"/>
              <w:right w:val="single" w:color="auto" w:sz="4" w:space="0"/>
            </w:tcBorders>
            <w:shd w:val="clear" w:color="auto" w:fill="auto"/>
            <w:vAlign w:val="center"/>
          </w:tcPr>
          <w:p w14:paraId="31A81B3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685" w:type="dxa"/>
            <w:tcBorders>
              <w:top w:val="nil"/>
              <w:left w:val="nil"/>
              <w:bottom w:val="single" w:color="auto" w:sz="4" w:space="0"/>
              <w:right w:val="single" w:color="auto" w:sz="4" w:space="0"/>
            </w:tcBorders>
            <w:shd w:val="clear" w:color="auto" w:fill="auto"/>
            <w:vAlign w:val="center"/>
          </w:tcPr>
          <w:p w14:paraId="3856ACC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2F0517A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EB7552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623DA17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1" w:type="dxa"/>
            <w:tcBorders>
              <w:top w:val="nil"/>
              <w:left w:val="nil"/>
              <w:bottom w:val="single" w:color="auto" w:sz="4" w:space="0"/>
              <w:right w:val="single" w:color="auto" w:sz="4" w:space="0"/>
            </w:tcBorders>
            <w:shd w:val="clear" w:color="auto" w:fill="auto"/>
            <w:noWrap/>
            <w:vAlign w:val="center"/>
          </w:tcPr>
          <w:p w14:paraId="704FE38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982" w:type="dxa"/>
            <w:tcBorders>
              <w:top w:val="nil"/>
              <w:left w:val="nil"/>
              <w:bottom w:val="single" w:color="auto" w:sz="4" w:space="0"/>
              <w:right w:val="single" w:color="auto" w:sz="4" w:space="0"/>
            </w:tcBorders>
            <w:shd w:val="clear" w:color="auto" w:fill="auto"/>
            <w:noWrap/>
            <w:vAlign w:val="center"/>
          </w:tcPr>
          <w:p w14:paraId="5B854C1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00" w:type="dxa"/>
            <w:tcBorders>
              <w:top w:val="nil"/>
              <w:left w:val="nil"/>
              <w:bottom w:val="single" w:color="auto" w:sz="4" w:space="0"/>
              <w:right w:val="single" w:color="auto" w:sz="4" w:space="0"/>
            </w:tcBorders>
            <w:shd w:val="clear" w:color="auto" w:fill="auto"/>
            <w:noWrap/>
            <w:vAlign w:val="center"/>
          </w:tcPr>
          <w:p w14:paraId="3501AA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00" w:type="dxa"/>
            <w:tcBorders>
              <w:top w:val="nil"/>
              <w:left w:val="nil"/>
              <w:bottom w:val="single" w:color="auto" w:sz="4" w:space="0"/>
              <w:right w:val="single" w:color="auto" w:sz="4" w:space="0"/>
            </w:tcBorders>
            <w:shd w:val="clear" w:color="auto" w:fill="auto"/>
            <w:noWrap/>
            <w:vAlign w:val="center"/>
          </w:tcPr>
          <w:p w14:paraId="7639474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50" w:type="dxa"/>
            <w:tcBorders>
              <w:top w:val="nil"/>
              <w:left w:val="nil"/>
              <w:bottom w:val="single" w:color="auto" w:sz="4" w:space="0"/>
              <w:right w:val="single" w:color="auto" w:sz="4" w:space="0"/>
            </w:tcBorders>
            <w:shd w:val="clear" w:color="auto" w:fill="auto"/>
            <w:noWrap/>
            <w:vAlign w:val="center"/>
          </w:tcPr>
          <w:p w14:paraId="55160E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50" w:type="dxa"/>
            <w:tcBorders>
              <w:top w:val="nil"/>
              <w:left w:val="nil"/>
              <w:bottom w:val="single" w:color="auto" w:sz="4" w:space="0"/>
              <w:right w:val="single" w:color="auto" w:sz="4" w:space="0"/>
            </w:tcBorders>
            <w:shd w:val="clear" w:color="auto" w:fill="auto"/>
            <w:noWrap/>
            <w:vAlign w:val="center"/>
          </w:tcPr>
          <w:p w14:paraId="639A733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685" w:type="dxa"/>
            <w:tcBorders>
              <w:top w:val="nil"/>
              <w:left w:val="nil"/>
              <w:bottom w:val="single" w:color="auto" w:sz="4" w:space="0"/>
              <w:right w:val="single" w:color="auto" w:sz="4" w:space="0"/>
            </w:tcBorders>
            <w:shd w:val="clear" w:color="auto" w:fill="auto"/>
            <w:noWrap/>
            <w:vAlign w:val="center"/>
          </w:tcPr>
          <w:p w14:paraId="22CE007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B35F9B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EC4CBD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592095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821" w:type="dxa"/>
            <w:tcBorders>
              <w:top w:val="nil"/>
              <w:left w:val="nil"/>
              <w:bottom w:val="single" w:color="auto" w:sz="4" w:space="0"/>
              <w:right w:val="single" w:color="auto" w:sz="4" w:space="0"/>
            </w:tcBorders>
            <w:shd w:val="clear" w:color="auto" w:fill="auto"/>
            <w:noWrap/>
            <w:vAlign w:val="center"/>
          </w:tcPr>
          <w:p w14:paraId="56D0E2F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415.78 </w:t>
            </w:r>
          </w:p>
        </w:tc>
        <w:tc>
          <w:tcPr>
            <w:tcW w:w="2982" w:type="dxa"/>
            <w:tcBorders>
              <w:top w:val="nil"/>
              <w:left w:val="nil"/>
              <w:bottom w:val="single" w:color="auto" w:sz="4" w:space="0"/>
              <w:right w:val="single" w:color="auto" w:sz="4" w:space="0"/>
            </w:tcBorders>
            <w:shd w:val="clear" w:color="auto" w:fill="auto"/>
            <w:noWrap/>
            <w:vAlign w:val="center"/>
          </w:tcPr>
          <w:p w14:paraId="6C5C530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500" w:type="dxa"/>
            <w:tcBorders>
              <w:top w:val="nil"/>
              <w:left w:val="nil"/>
              <w:bottom w:val="single" w:color="auto" w:sz="4" w:space="0"/>
              <w:right w:val="single" w:color="auto" w:sz="4" w:space="0"/>
            </w:tcBorders>
            <w:shd w:val="clear" w:color="auto" w:fill="auto"/>
            <w:noWrap/>
            <w:vAlign w:val="center"/>
          </w:tcPr>
          <w:p w14:paraId="33C571C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33</w:t>
            </w:r>
          </w:p>
        </w:tc>
        <w:tc>
          <w:tcPr>
            <w:tcW w:w="900" w:type="dxa"/>
            <w:tcBorders>
              <w:top w:val="nil"/>
              <w:left w:val="nil"/>
              <w:bottom w:val="single" w:color="auto" w:sz="4" w:space="0"/>
              <w:right w:val="single" w:color="auto" w:sz="4" w:space="0"/>
            </w:tcBorders>
            <w:shd w:val="clear" w:color="auto" w:fill="auto"/>
            <w:noWrap/>
            <w:vAlign w:val="center"/>
          </w:tcPr>
          <w:p w14:paraId="4DA99BA0">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13.40 </w:t>
            </w:r>
          </w:p>
        </w:tc>
        <w:tc>
          <w:tcPr>
            <w:tcW w:w="1450" w:type="dxa"/>
            <w:tcBorders>
              <w:top w:val="nil"/>
              <w:left w:val="nil"/>
              <w:bottom w:val="single" w:color="auto" w:sz="4" w:space="0"/>
              <w:right w:val="single" w:color="auto" w:sz="4" w:space="0"/>
            </w:tcBorders>
            <w:shd w:val="clear" w:color="auto" w:fill="auto"/>
            <w:noWrap/>
            <w:vAlign w:val="center"/>
          </w:tcPr>
          <w:p w14:paraId="0D1DFDF8">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13.40 </w:t>
            </w:r>
          </w:p>
        </w:tc>
        <w:tc>
          <w:tcPr>
            <w:tcW w:w="1750" w:type="dxa"/>
            <w:tcBorders>
              <w:top w:val="nil"/>
              <w:left w:val="nil"/>
              <w:bottom w:val="single" w:color="auto" w:sz="4" w:space="0"/>
              <w:right w:val="single" w:color="auto" w:sz="4" w:space="0"/>
            </w:tcBorders>
            <w:shd w:val="clear" w:color="auto" w:fill="auto"/>
            <w:noWrap/>
            <w:vAlign w:val="center"/>
          </w:tcPr>
          <w:p w14:paraId="2DCE0F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5" w:type="dxa"/>
            <w:tcBorders>
              <w:top w:val="nil"/>
              <w:left w:val="nil"/>
              <w:bottom w:val="single" w:color="auto" w:sz="4" w:space="0"/>
              <w:right w:val="single" w:color="auto" w:sz="4" w:space="0"/>
            </w:tcBorders>
            <w:shd w:val="clear" w:color="auto" w:fill="auto"/>
            <w:noWrap/>
            <w:vAlign w:val="center"/>
          </w:tcPr>
          <w:p w14:paraId="6048E31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E9898F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C9D768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5D4A42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821" w:type="dxa"/>
            <w:tcBorders>
              <w:top w:val="nil"/>
              <w:left w:val="nil"/>
              <w:bottom w:val="single" w:color="auto" w:sz="4" w:space="0"/>
              <w:right w:val="single" w:color="auto" w:sz="4" w:space="0"/>
            </w:tcBorders>
            <w:shd w:val="clear" w:color="auto" w:fill="auto"/>
            <w:noWrap/>
            <w:vAlign w:val="center"/>
          </w:tcPr>
          <w:p w14:paraId="0BC7FCE8">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00B8D01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500" w:type="dxa"/>
            <w:tcBorders>
              <w:top w:val="nil"/>
              <w:left w:val="nil"/>
              <w:bottom w:val="single" w:color="auto" w:sz="4" w:space="0"/>
              <w:right w:val="single" w:color="auto" w:sz="4" w:space="0"/>
            </w:tcBorders>
            <w:shd w:val="clear" w:color="auto" w:fill="auto"/>
            <w:noWrap/>
            <w:vAlign w:val="center"/>
          </w:tcPr>
          <w:p w14:paraId="3B183F0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34</w:t>
            </w:r>
          </w:p>
        </w:tc>
        <w:tc>
          <w:tcPr>
            <w:tcW w:w="900" w:type="dxa"/>
            <w:tcBorders>
              <w:top w:val="nil"/>
              <w:left w:val="nil"/>
              <w:bottom w:val="single" w:color="auto" w:sz="4" w:space="0"/>
              <w:right w:val="single" w:color="auto" w:sz="4" w:space="0"/>
            </w:tcBorders>
            <w:shd w:val="clear" w:color="auto" w:fill="auto"/>
            <w:noWrap/>
            <w:vAlign w:val="center"/>
          </w:tcPr>
          <w:p w14:paraId="44929504">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6EB86D58">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10DDEF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5" w:type="dxa"/>
            <w:tcBorders>
              <w:top w:val="nil"/>
              <w:left w:val="nil"/>
              <w:bottom w:val="single" w:color="auto" w:sz="4" w:space="0"/>
              <w:right w:val="single" w:color="auto" w:sz="4" w:space="0"/>
            </w:tcBorders>
            <w:shd w:val="clear" w:color="auto" w:fill="auto"/>
            <w:noWrap/>
            <w:vAlign w:val="center"/>
          </w:tcPr>
          <w:p w14:paraId="179898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8B10FA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EFD9A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36C5DB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821" w:type="dxa"/>
            <w:tcBorders>
              <w:top w:val="nil"/>
              <w:left w:val="nil"/>
              <w:bottom w:val="single" w:color="auto" w:sz="4" w:space="0"/>
              <w:right w:val="single" w:color="auto" w:sz="4" w:space="0"/>
            </w:tcBorders>
            <w:shd w:val="clear" w:color="auto" w:fill="auto"/>
            <w:noWrap/>
            <w:vAlign w:val="center"/>
          </w:tcPr>
          <w:p w14:paraId="786B4E3E">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0F44CB7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500" w:type="dxa"/>
            <w:tcBorders>
              <w:top w:val="nil"/>
              <w:left w:val="nil"/>
              <w:bottom w:val="single" w:color="auto" w:sz="4" w:space="0"/>
              <w:right w:val="single" w:color="auto" w:sz="4" w:space="0"/>
            </w:tcBorders>
            <w:shd w:val="clear" w:color="auto" w:fill="auto"/>
            <w:noWrap/>
            <w:vAlign w:val="center"/>
          </w:tcPr>
          <w:p w14:paraId="6AF3DA4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35</w:t>
            </w:r>
          </w:p>
        </w:tc>
        <w:tc>
          <w:tcPr>
            <w:tcW w:w="900" w:type="dxa"/>
            <w:tcBorders>
              <w:top w:val="nil"/>
              <w:left w:val="nil"/>
              <w:bottom w:val="single" w:color="auto" w:sz="4" w:space="0"/>
              <w:right w:val="single" w:color="auto" w:sz="4" w:space="0"/>
            </w:tcBorders>
            <w:shd w:val="clear" w:color="auto" w:fill="auto"/>
            <w:noWrap/>
            <w:vAlign w:val="center"/>
          </w:tcPr>
          <w:p w14:paraId="7409C8DC">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28CB3441">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64B17D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5" w:type="dxa"/>
            <w:tcBorders>
              <w:top w:val="nil"/>
              <w:left w:val="nil"/>
              <w:bottom w:val="single" w:color="auto" w:sz="4" w:space="0"/>
              <w:right w:val="single" w:color="auto" w:sz="4" w:space="0"/>
            </w:tcBorders>
            <w:shd w:val="clear" w:color="auto" w:fill="auto"/>
            <w:noWrap/>
            <w:vAlign w:val="center"/>
          </w:tcPr>
          <w:p w14:paraId="1A7150D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434601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845BE0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CAD86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821" w:type="dxa"/>
            <w:tcBorders>
              <w:top w:val="nil"/>
              <w:left w:val="nil"/>
              <w:bottom w:val="single" w:color="auto" w:sz="4" w:space="0"/>
              <w:right w:val="single" w:color="auto" w:sz="4" w:space="0"/>
            </w:tcBorders>
            <w:shd w:val="clear" w:color="auto" w:fill="auto"/>
            <w:noWrap/>
            <w:vAlign w:val="center"/>
          </w:tcPr>
          <w:p w14:paraId="4521B73C">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5D815C9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500" w:type="dxa"/>
            <w:tcBorders>
              <w:top w:val="nil"/>
              <w:left w:val="nil"/>
              <w:bottom w:val="single" w:color="auto" w:sz="4" w:space="0"/>
              <w:right w:val="single" w:color="auto" w:sz="4" w:space="0"/>
            </w:tcBorders>
            <w:shd w:val="clear" w:color="auto" w:fill="auto"/>
            <w:noWrap/>
            <w:vAlign w:val="center"/>
          </w:tcPr>
          <w:p w14:paraId="3DB4662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36</w:t>
            </w:r>
          </w:p>
        </w:tc>
        <w:tc>
          <w:tcPr>
            <w:tcW w:w="900" w:type="dxa"/>
            <w:tcBorders>
              <w:top w:val="nil"/>
              <w:left w:val="nil"/>
              <w:bottom w:val="single" w:color="auto" w:sz="4" w:space="0"/>
              <w:right w:val="single" w:color="auto" w:sz="4" w:space="0"/>
            </w:tcBorders>
            <w:shd w:val="clear" w:color="auto" w:fill="auto"/>
            <w:noWrap/>
            <w:vAlign w:val="center"/>
          </w:tcPr>
          <w:p w14:paraId="5AA60DAE">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4FFB835E">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40EC38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5" w:type="dxa"/>
            <w:tcBorders>
              <w:top w:val="nil"/>
              <w:left w:val="nil"/>
              <w:bottom w:val="single" w:color="auto" w:sz="4" w:space="0"/>
              <w:right w:val="single" w:color="auto" w:sz="4" w:space="0"/>
            </w:tcBorders>
            <w:shd w:val="clear" w:color="auto" w:fill="auto"/>
            <w:noWrap/>
            <w:vAlign w:val="center"/>
          </w:tcPr>
          <w:p w14:paraId="088DA53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F6ECCC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2A9755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5D0E42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821" w:type="dxa"/>
            <w:tcBorders>
              <w:top w:val="nil"/>
              <w:left w:val="nil"/>
              <w:bottom w:val="single" w:color="auto" w:sz="4" w:space="0"/>
              <w:right w:val="single" w:color="auto" w:sz="4" w:space="0"/>
            </w:tcBorders>
            <w:shd w:val="clear" w:color="auto" w:fill="auto"/>
            <w:noWrap/>
            <w:vAlign w:val="center"/>
          </w:tcPr>
          <w:p w14:paraId="2D7A811F">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53517D0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500" w:type="dxa"/>
            <w:tcBorders>
              <w:top w:val="nil"/>
              <w:left w:val="nil"/>
              <w:bottom w:val="single" w:color="auto" w:sz="4" w:space="0"/>
              <w:right w:val="single" w:color="auto" w:sz="4" w:space="0"/>
            </w:tcBorders>
            <w:shd w:val="clear" w:color="auto" w:fill="auto"/>
            <w:noWrap/>
            <w:vAlign w:val="center"/>
          </w:tcPr>
          <w:p w14:paraId="5EB2043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37</w:t>
            </w:r>
          </w:p>
        </w:tc>
        <w:tc>
          <w:tcPr>
            <w:tcW w:w="900" w:type="dxa"/>
            <w:tcBorders>
              <w:top w:val="nil"/>
              <w:left w:val="nil"/>
              <w:bottom w:val="single" w:color="auto" w:sz="4" w:space="0"/>
              <w:right w:val="single" w:color="auto" w:sz="4" w:space="0"/>
            </w:tcBorders>
            <w:shd w:val="clear" w:color="auto" w:fill="auto"/>
            <w:noWrap/>
            <w:vAlign w:val="center"/>
          </w:tcPr>
          <w:p w14:paraId="59AF9C02">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3750B056">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124324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5" w:type="dxa"/>
            <w:tcBorders>
              <w:top w:val="nil"/>
              <w:left w:val="nil"/>
              <w:bottom w:val="single" w:color="auto" w:sz="4" w:space="0"/>
              <w:right w:val="single" w:color="auto" w:sz="4" w:space="0"/>
            </w:tcBorders>
            <w:shd w:val="clear" w:color="auto" w:fill="auto"/>
            <w:noWrap/>
            <w:vAlign w:val="center"/>
          </w:tcPr>
          <w:p w14:paraId="0B9DBCA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C19BD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1BB698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689BA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821" w:type="dxa"/>
            <w:tcBorders>
              <w:top w:val="nil"/>
              <w:left w:val="nil"/>
              <w:bottom w:val="single" w:color="auto" w:sz="4" w:space="0"/>
              <w:right w:val="single" w:color="auto" w:sz="4" w:space="0"/>
            </w:tcBorders>
            <w:shd w:val="clear" w:color="auto" w:fill="auto"/>
            <w:noWrap/>
            <w:vAlign w:val="center"/>
          </w:tcPr>
          <w:p w14:paraId="3C68C5CF">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437BA5E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500" w:type="dxa"/>
            <w:tcBorders>
              <w:top w:val="nil"/>
              <w:left w:val="nil"/>
              <w:bottom w:val="single" w:color="auto" w:sz="4" w:space="0"/>
              <w:right w:val="single" w:color="auto" w:sz="4" w:space="0"/>
            </w:tcBorders>
            <w:shd w:val="clear" w:color="auto" w:fill="auto"/>
            <w:noWrap/>
            <w:vAlign w:val="center"/>
          </w:tcPr>
          <w:p w14:paraId="2848642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38</w:t>
            </w:r>
          </w:p>
        </w:tc>
        <w:tc>
          <w:tcPr>
            <w:tcW w:w="900" w:type="dxa"/>
            <w:tcBorders>
              <w:top w:val="nil"/>
              <w:left w:val="nil"/>
              <w:bottom w:val="single" w:color="auto" w:sz="4" w:space="0"/>
              <w:right w:val="single" w:color="auto" w:sz="4" w:space="0"/>
            </w:tcBorders>
            <w:shd w:val="clear" w:color="auto" w:fill="auto"/>
            <w:noWrap/>
            <w:vAlign w:val="center"/>
          </w:tcPr>
          <w:p w14:paraId="3A6C5F10">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2CAD4E4D">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3B8E4B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5" w:type="dxa"/>
            <w:tcBorders>
              <w:top w:val="nil"/>
              <w:left w:val="nil"/>
              <w:bottom w:val="single" w:color="auto" w:sz="4" w:space="0"/>
              <w:right w:val="single" w:color="auto" w:sz="4" w:space="0"/>
            </w:tcBorders>
            <w:shd w:val="clear" w:color="auto" w:fill="auto"/>
            <w:noWrap/>
            <w:vAlign w:val="center"/>
          </w:tcPr>
          <w:p w14:paraId="785FF72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64A374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5927462">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369ACDDF">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7</w:t>
            </w:r>
          </w:p>
        </w:tc>
        <w:tc>
          <w:tcPr>
            <w:tcW w:w="821" w:type="dxa"/>
            <w:tcBorders>
              <w:top w:val="nil"/>
              <w:left w:val="nil"/>
              <w:bottom w:val="single" w:color="auto" w:sz="4" w:space="0"/>
              <w:right w:val="single" w:color="auto" w:sz="4" w:space="0"/>
            </w:tcBorders>
            <w:shd w:val="clear" w:color="auto" w:fill="auto"/>
            <w:noWrap/>
            <w:vAlign w:val="center"/>
          </w:tcPr>
          <w:p w14:paraId="5F49BDB4">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2E18E1D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七、文化旅游体育与传媒支出</w:t>
            </w:r>
          </w:p>
        </w:tc>
        <w:tc>
          <w:tcPr>
            <w:tcW w:w="500" w:type="dxa"/>
            <w:tcBorders>
              <w:top w:val="nil"/>
              <w:left w:val="nil"/>
              <w:bottom w:val="single" w:color="auto" w:sz="4" w:space="0"/>
              <w:right w:val="single" w:color="auto" w:sz="4" w:space="0"/>
            </w:tcBorders>
            <w:shd w:val="clear" w:color="auto" w:fill="auto"/>
            <w:noWrap/>
            <w:vAlign w:val="center"/>
          </w:tcPr>
          <w:p w14:paraId="3E36B12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39</w:t>
            </w:r>
          </w:p>
        </w:tc>
        <w:tc>
          <w:tcPr>
            <w:tcW w:w="900" w:type="dxa"/>
            <w:tcBorders>
              <w:top w:val="nil"/>
              <w:left w:val="nil"/>
              <w:bottom w:val="single" w:color="auto" w:sz="4" w:space="0"/>
              <w:right w:val="single" w:color="auto" w:sz="4" w:space="0"/>
            </w:tcBorders>
            <w:shd w:val="clear" w:color="auto" w:fill="auto"/>
            <w:noWrap/>
            <w:vAlign w:val="center"/>
          </w:tcPr>
          <w:p w14:paraId="62173E7B">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5E009E6E">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09B61FCE">
            <w:pPr>
              <w:widowControl/>
              <w:jc w:val="center"/>
              <w:rPr>
                <w:rFonts w:ascii="Times New Roman" w:hAnsi="Times New Roman" w:eastAsia="仿宋_GB2312" w:cs="Times New Roman"/>
                <w:kern w:val="0"/>
                <w:sz w:val="22"/>
              </w:rPr>
            </w:pPr>
          </w:p>
        </w:tc>
        <w:tc>
          <w:tcPr>
            <w:tcW w:w="1685" w:type="dxa"/>
            <w:tcBorders>
              <w:top w:val="nil"/>
              <w:left w:val="nil"/>
              <w:bottom w:val="single" w:color="auto" w:sz="4" w:space="0"/>
              <w:right w:val="single" w:color="auto" w:sz="4" w:space="0"/>
            </w:tcBorders>
            <w:shd w:val="clear" w:color="auto" w:fill="auto"/>
            <w:noWrap/>
            <w:vAlign w:val="center"/>
          </w:tcPr>
          <w:p w14:paraId="45DA3ECD">
            <w:pPr>
              <w:widowControl/>
              <w:jc w:val="right"/>
              <w:rPr>
                <w:rFonts w:ascii="Times New Roman" w:hAnsi="Times New Roman" w:eastAsia="仿宋_GB2312" w:cs="Times New Roman"/>
                <w:kern w:val="0"/>
                <w:sz w:val="22"/>
              </w:rPr>
            </w:pPr>
          </w:p>
        </w:tc>
      </w:tr>
      <w:tr w14:paraId="38BB182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BAF4B4C">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33DDF6CE">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8</w:t>
            </w:r>
          </w:p>
        </w:tc>
        <w:tc>
          <w:tcPr>
            <w:tcW w:w="821" w:type="dxa"/>
            <w:tcBorders>
              <w:top w:val="nil"/>
              <w:left w:val="nil"/>
              <w:bottom w:val="single" w:color="auto" w:sz="4" w:space="0"/>
              <w:right w:val="single" w:color="auto" w:sz="4" w:space="0"/>
            </w:tcBorders>
            <w:shd w:val="clear" w:color="auto" w:fill="auto"/>
            <w:noWrap/>
            <w:vAlign w:val="center"/>
          </w:tcPr>
          <w:p w14:paraId="390A4C18">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1BF6815D">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500" w:type="dxa"/>
            <w:tcBorders>
              <w:top w:val="nil"/>
              <w:left w:val="nil"/>
              <w:bottom w:val="single" w:color="auto" w:sz="4" w:space="0"/>
              <w:right w:val="single" w:color="auto" w:sz="4" w:space="0"/>
            </w:tcBorders>
            <w:shd w:val="clear" w:color="auto" w:fill="auto"/>
            <w:noWrap/>
            <w:vAlign w:val="center"/>
          </w:tcPr>
          <w:p w14:paraId="4853B1E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40</w:t>
            </w:r>
          </w:p>
        </w:tc>
        <w:tc>
          <w:tcPr>
            <w:tcW w:w="900" w:type="dxa"/>
            <w:tcBorders>
              <w:top w:val="nil"/>
              <w:left w:val="nil"/>
              <w:bottom w:val="single" w:color="auto" w:sz="4" w:space="0"/>
              <w:right w:val="single" w:color="auto" w:sz="4" w:space="0"/>
            </w:tcBorders>
            <w:shd w:val="clear" w:color="auto" w:fill="auto"/>
            <w:noWrap/>
            <w:vAlign w:val="center"/>
          </w:tcPr>
          <w:p w14:paraId="58CA3438">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395.47 </w:t>
            </w:r>
          </w:p>
        </w:tc>
        <w:tc>
          <w:tcPr>
            <w:tcW w:w="1450" w:type="dxa"/>
            <w:tcBorders>
              <w:top w:val="nil"/>
              <w:left w:val="nil"/>
              <w:bottom w:val="single" w:color="auto" w:sz="4" w:space="0"/>
              <w:right w:val="single" w:color="auto" w:sz="4" w:space="0"/>
            </w:tcBorders>
            <w:shd w:val="clear" w:color="auto" w:fill="auto"/>
            <w:noWrap/>
            <w:vAlign w:val="center"/>
          </w:tcPr>
          <w:p w14:paraId="2B4F774D">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395.47 </w:t>
            </w:r>
          </w:p>
        </w:tc>
        <w:tc>
          <w:tcPr>
            <w:tcW w:w="1750" w:type="dxa"/>
            <w:tcBorders>
              <w:top w:val="nil"/>
              <w:left w:val="nil"/>
              <w:bottom w:val="single" w:color="auto" w:sz="4" w:space="0"/>
              <w:right w:val="single" w:color="auto" w:sz="4" w:space="0"/>
            </w:tcBorders>
            <w:shd w:val="clear" w:color="auto" w:fill="auto"/>
            <w:noWrap/>
            <w:vAlign w:val="center"/>
          </w:tcPr>
          <w:p w14:paraId="2B608A53">
            <w:pPr>
              <w:widowControl/>
              <w:jc w:val="center"/>
              <w:rPr>
                <w:rFonts w:ascii="Times New Roman" w:hAnsi="Times New Roman" w:eastAsia="仿宋_GB2312" w:cs="Times New Roman"/>
                <w:kern w:val="0"/>
                <w:sz w:val="22"/>
              </w:rPr>
            </w:pPr>
          </w:p>
        </w:tc>
        <w:tc>
          <w:tcPr>
            <w:tcW w:w="1685" w:type="dxa"/>
            <w:tcBorders>
              <w:top w:val="nil"/>
              <w:left w:val="nil"/>
              <w:bottom w:val="single" w:color="auto" w:sz="4" w:space="0"/>
              <w:right w:val="single" w:color="auto" w:sz="4" w:space="0"/>
            </w:tcBorders>
            <w:shd w:val="clear" w:color="auto" w:fill="auto"/>
            <w:noWrap/>
            <w:vAlign w:val="center"/>
          </w:tcPr>
          <w:p w14:paraId="63BAE748">
            <w:pPr>
              <w:widowControl/>
              <w:jc w:val="right"/>
              <w:rPr>
                <w:rFonts w:ascii="Times New Roman" w:hAnsi="Times New Roman" w:eastAsia="仿宋_GB2312" w:cs="Times New Roman"/>
                <w:kern w:val="0"/>
                <w:sz w:val="22"/>
              </w:rPr>
            </w:pPr>
          </w:p>
        </w:tc>
      </w:tr>
      <w:tr w14:paraId="3EFC487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7476B8B">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15602632">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9</w:t>
            </w:r>
          </w:p>
        </w:tc>
        <w:tc>
          <w:tcPr>
            <w:tcW w:w="821" w:type="dxa"/>
            <w:tcBorders>
              <w:top w:val="nil"/>
              <w:left w:val="nil"/>
              <w:bottom w:val="single" w:color="auto" w:sz="4" w:space="0"/>
              <w:right w:val="single" w:color="auto" w:sz="4" w:space="0"/>
            </w:tcBorders>
            <w:shd w:val="clear" w:color="auto" w:fill="auto"/>
            <w:noWrap/>
            <w:vAlign w:val="center"/>
          </w:tcPr>
          <w:p w14:paraId="79578013">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72CE433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九、卫生健康支出</w:t>
            </w:r>
          </w:p>
        </w:tc>
        <w:tc>
          <w:tcPr>
            <w:tcW w:w="500" w:type="dxa"/>
            <w:tcBorders>
              <w:top w:val="nil"/>
              <w:left w:val="nil"/>
              <w:bottom w:val="single" w:color="auto" w:sz="4" w:space="0"/>
              <w:right w:val="single" w:color="auto" w:sz="4" w:space="0"/>
            </w:tcBorders>
            <w:shd w:val="clear" w:color="auto" w:fill="auto"/>
            <w:noWrap/>
            <w:vAlign w:val="center"/>
          </w:tcPr>
          <w:p w14:paraId="79EB320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41</w:t>
            </w:r>
          </w:p>
        </w:tc>
        <w:tc>
          <w:tcPr>
            <w:tcW w:w="900" w:type="dxa"/>
            <w:tcBorders>
              <w:top w:val="nil"/>
              <w:left w:val="nil"/>
              <w:bottom w:val="single" w:color="auto" w:sz="4" w:space="0"/>
              <w:right w:val="single" w:color="auto" w:sz="4" w:space="0"/>
            </w:tcBorders>
            <w:shd w:val="clear" w:color="auto" w:fill="auto"/>
            <w:noWrap/>
            <w:vAlign w:val="center"/>
          </w:tcPr>
          <w:p w14:paraId="1510B58C">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5.37 </w:t>
            </w:r>
          </w:p>
        </w:tc>
        <w:tc>
          <w:tcPr>
            <w:tcW w:w="1450" w:type="dxa"/>
            <w:tcBorders>
              <w:top w:val="nil"/>
              <w:left w:val="nil"/>
              <w:bottom w:val="single" w:color="auto" w:sz="4" w:space="0"/>
              <w:right w:val="single" w:color="auto" w:sz="4" w:space="0"/>
            </w:tcBorders>
            <w:shd w:val="clear" w:color="auto" w:fill="auto"/>
            <w:noWrap/>
            <w:vAlign w:val="center"/>
          </w:tcPr>
          <w:p w14:paraId="351380CC">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5.37 </w:t>
            </w:r>
          </w:p>
        </w:tc>
        <w:tc>
          <w:tcPr>
            <w:tcW w:w="1750" w:type="dxa"/>
            <w:tcBorders>
              <w:top w:val="nil"/>
              <w:left w:val="nil"/>
              <w:bottom w:val="single" w:color="auto" w:sz="4" w:space="0"/>
              <w:right w:val="single" w:color="auto" w:sz="4" w:space="0"/>
            </w:tcBorders>
            <w:shd w:val="clear" w:color="auto" w:fill="auto"/>
            <w:noWrap/>
            <w:vAlign w:val="center"/>
          </w:tcPr>
          <w:p w14:paraId="58BD06A6">
            <w:pPr>
              <w:widowControl/>
              <w:jc w:val="center"/>
              <w:rPr>
                <w:rFonts w:ascii="Times New Roman" w:hAnsi="Times New Roman" w:eastAsia="仿宋_GB2312" w:cs="Times New Roman"/>
                <w:kern w:val="0"/>
                <w:sz w:val="22"/>
              </w:rPr>
            </w:pPr>
          </w:p>
        </w:tc>
        <w:tc>
          <w:tcPr>
            <w:tcW w:w="1685" w:type="dxa"/>
            <w:tcBorders>
              <w:top w:val="nil"/>
              <w:left w:val="nil"/>
              <w:bottom w:val="single" w:color="auto" w:sz="4" w:space="0"/>
              <w:right w:val="single" w:color="auto" w:sz="4" w:space="0"/>
            </w:tcBorders>
            <w:shd w:val="clear" w:color="auto" w:fill="auto"/>
            <w:noWrap/>
            <w:vAlign w:val="center"/>
          </w:tcPr>
          <w:p w14:paraId="1CBA3EB0">
            <w:pPr>
              <w:widowControl/>
              <w:jc w:val="right"/>
              <w:rPr>
                <w:rFonts w:ascii="Times New Roman" w:hAnsi="Times New Roman" w:eastAsia="仿宋_GB2312" w:cs="Times New Roman"/>
                <w:kern w:val="0"/>
                <w:sz w:val="22"/>
              </w:rPr>
            </w:pPr>
          </w:p>
        </w:tc>
      </w:tr>
      <w:tr w14:paraId="07BEE6D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4636C9E">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59F2800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10</w:t>
            </w:r>
          </w:p>
        </w:tc>
        <w:tc>
          <w:tcPr>
            <w:tcW w:w="821" w:type="dxa"/>
            <w:tcBorders>
              <w:top w:val="nil"/>
              <w:left w:val="nil"/>
              <w:bottom w:val="single" w:color="auto" w:sz="4" w:space="0"/>
              <w:right w:val="single" w:color="auto" w:sz="4" w:space="0"/>
            </w:tcBorders>
            <w:shd w:val="clear" w:color="auto" w:fill="auto"/>
            <w:noWrap/>
            <w:vAlign w:val="center"/>
          </w:tcPr>
          <w:p w14:paraId="59F10E86">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234F75BE">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十、节能环保支出</w:t>
            </w:r>
          </w:p>
        </w:tc>
        <w:tc>
          <w:tcPr>
            <w:tcW w:w="500" w:type="dxa"/>
            <w:tcBorders>
              <w:top w:val="nil"/>
              <w:left w:val="nil"/>
              <w:bottom w:val="single" w:color="auto" w:sz="4" w:space="0"/>
              <w:right w:val="single" w:color="auto" w:sz="4" w:space="0"/>
            </w:tcBorders>
            <w:shd w:val="clear" w:color="auto" w:fill="auto"/>
            <w:noWrap/>
            <w:vAlign w:val="center"/>
          </w:tcPr>
          <w:p w14:paraId="1B0336B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w:t>
            </w:r>
          </w:p>
        </w:tc>
        <w:tc>
          <w:tcPr>
            <w:tcW w:w="900" w:type="dxa"/>
            <w:tcBorders>
              <w:top w:val="nil"/>
              <w:left w:val="nil"/>
              <w:bottom w:val="single" w:color="auto" w:sz="4" w:space="0"/>
              <w:right w:val="single" w:color="auto" w:sz="4" w:space="0"/>
            </w:tcBorders>
            <w:shd w:val="clear" w:color="auto" w:fill="auto"/>
            <w:noWrap/>
            <w:vAlign w:val="center"/>
          </w:tcPr>
          <w:p w14:paraId="65E2A9FE">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01404A17">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72F5CC54">
            <w:pPr>
              <w:widowControl/>
              <w:jc w:val="center"/>
              <w:rPr>
                <w:rFonts w:ascii="Times New Roman" w:hAnsi="Times New Roman" w:eastAsia="仿宋_GB2312" w:cs="Times New Roman"/>
                <w:kern w:val="0"/>
                <w:sz w:val="22"/>
              </w:rPr>
            </w:pPr>
          </w:p>
        </w:tc>
        <w:tc>
          <w:tcPr>
            <w:tcW w:w="1685" w:type="dxa"/>
            <w:tcBorders>
              <w:top w:val="nil"/>
              <w:left w:val="nil"/>
              <w:bottom w:val="single" w:color="auto" w:sz="4" w:space="0"/>
              <w:right w:val="single" w:color="auto" w:sz="4" w:space="0"/>
            </w:tcBorders>
            <w:shd w:val="clear" w:color="auto" w:fill="auto"/>
            <w:noWrap/>
            <w:vAlign w:val="center"/>
          </w:tcPr>
          <w:p w14:paraId="40AB49A2">
            <w:pPr>
              <w:widowControl/>
              <w:jc w:val="right"/>
              <w:rPr>
                <w:rFonts w:ascii="Times New Roman" w:hAnsi="Times New Roman" w:eastAsia="仿宋_GB2312" w:cs="Times New Roman"/>
                <w:kern w:val="0"/>
                <w:sz w:val="22"/>
              </w:rPr>
            </w:pPr>
          </w:p>
        </w:tc>
      </w:tr>
      <w:tr w14:paraId="325E730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DC1AB5D">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2A93670B">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11</w:t>
            </w:r>
          </w:p>
        </w:tc>
        <w:tc>
          <w:tcPr>
            <w:tcW w:w="821" w:type="dxa"/>
            <w:tcBorders>
              <w:top w:val="nil"/>
              <w:left w:val="nil"/>
              <w:bottom w:val="single" w:color="auto" w:sz="4" w:space="0"/>
              <w:right w:val="single" w:color="auto" w:sz="4" w:space="0"/>
            </w:tcBorders>
            <w:shd w:val="clear" w:color="auto" w:fill="auto"/>
            <w:noWrap/>
            <w:vAlign w:val="center"/>
          </w:tcPr>
          <w:p w14:paraId="5AE9D319">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11EA011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十一、城乡社区支出</w:t>
            </w:r>
          </w:p>
        </w:tc>
        <w:tc>
          <w:tcPr>
            <w:tcW w:w="500" w:type="dxa"/>
            <w:tcBorders>
              <w:top w:val="nil"/>
              <w:left w:val="nil"/>
              <w:bottom w:val="single" w:color="auto" w:sz="4" w:space="0"/>
              <w:right w:val="single" w:color="auto" w:sz="4" w:space="0"/>
            </w:tcBorders>
            <w:shd w:val="clear" w:color="auto" w:fill="auto"/>
            <w:noWrap/>
            <w:vAlign w:val="center"/>
          </w:tcPr>
          <w:p w14:paraId="4FFE2DD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43</w:t>
            </w:r>
          </w:p>
        </w:tc>
        <w:tc>
          <w:tcPr>
            <w:tcW w:w="900" w:type="dxa"/>
            <w:tcBorders>
              <w:top w:val="nil"/>
              <w:left w:val="nil"/>
              <w:bottom w:val="single" w:color="auto" w:sz="4" w:space="0"/>
              <w:right w:val="single" w:color="auto" w:sz="4" w:space="0"/>
            </w:tcBorders>
            <w:shd w:val="clear" w:color="auto" w:fill="auto"/>
            <w:noWrap/>
            <w:vAlign w:val="center"/>
          </w:tcPr>
          <w:p w14:paraId="0FCB6281">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60AF0A9E">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1DC87BEB">
            <w:pPr>
              <w:widowControl/>
              <w:jc w:val="center"/>
              <w:rPr>
                <w:rFonts w:ascii="Times New Roman" w:hAnsi="Times New Roman" w:eastAsia="仿宋_GB2312" w:cs="Times New Roman"/>
                <w:kern w:val="0"/>
                <w:sz w:val="22"/>
              </w:rPr>
            </w:pPr>
          </w:p>
        </w:tc>
        <w:tc>
          <w:tcPr>
            <w:tcW w:w="1685" w:type="dxa"/>
            <w:tcBorders>
              <w:top w:val="nil"/>
              <w:left w:val="nil"/>
              <w:bottom w:val="single" w:color="auto" w:sz="4" w:space="0"/>
              <w:right w:val="single" w:color="auto" w:sz="4" w:space="0"/>
            </w:tcBorders>
            <w:shd w:val="clear" w:color="auto" w:fill="auto"/>
            <w:noWrap/>
            <w:vAlign w:val="center"/>
          </w:tcPr>
          <w:p w14:paraId="68F50080">
            <w:pPr>
              <w:widowControl/>
              <w:jc w:val="right"/>
              <w:rPr>
                <w:rFonts w:ascii="Times New Roman" w:hAnsi="Times New Roman" w:eastAsia="仿宋_GB2312" w:cs="Times New Roman"/>
                <w:kern w:val="0"/>
                <w:sz w:val="22"/>
              </w:rPr>
            </w:pPr>
          </w:p>
        </w:tc>
      </w:tr>
      <w:tr w14:paraId="1169AB7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562ADAE">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77C9253A">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12</w:t>
            </w:r>
          </w:p>
        </w:tc>
        <w:tc>
          <w:tcPr>
            <w:tcW w:w="821" w:type="dxa"/>
            <w:tcBorders>
              <w:top w:val="nil"/>
              <w:left w:val="nil"/>
              <w:bottom w:val="single" w:color="auto" w:sz="4" w:space="0"/>
              <w:right w:val="single" w:color="auto" w:sz="4" w:space="0"/>
            </w:tcBorders>
            <w:shd w:val="clear" w:color="auto" w:fill="auto"/>
            <w:noWrap/>
            <w:vAlign w:val="center"/>
          </w:tcPr>
          <w:p w14:paraId="5F5FAE39">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68543270">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十二、农林水支出</w:t>
            </w:r>
          </w:p>
        </w:tc>
        <w:tc>
          <w:tcPr>
            <w:tcW w:w="500" w:type="dxa"/>
            <w:tcBorders>
              <w:top w:val="nil"/>
              <w:left w:val="nil"/>
              <w:bottom w:val="single" w:color="auto" w:sz="4" w:space="0"/>
              <w:right w:val="single" w:color="auto" w:sz="4" w:space="0"/>
            </w:tcBorders>
            <w:shd w:val="clear" w:color="auto" w:fill="auto"/>
            <w:noWrap/>
            <w:vAlign w:val="center"/>
          </w:tcPr>
          <w:p w14:paraId="4E639AE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44</w:t>
            </w:r>
          </w:p>
        </w:tc>
        <w:tc>
          <w:tcPr>
            <w:tcW w:w="900" w:type="dxa"/>
            <w:tcBorders>
              <w:top w:val="nil"/>
              <w:left w:val="nil"/>
              <w:bottom w:val="single" w:color="auto" w:sz="4" w:space="0"/>
              <w:right w:val="single" w:color="auto" w:sz="4" w:space="0"/>
            </w:tcBorders>
            <w:shd w:val="clear" w:color="auto" w:fill="auto"/>
            <w:noWrap/>
            <w:vAlign w:val="center"/>
          </w:tcPr>
          <w:p w14:paraId="337EAFBE">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5322DA57">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03B9067E">
            <w:pPr>
              <w:widowControl/>
              <w:jc w:val="center"/>
              <w:rPr>
                <w:rFonts w:ascii="Times New Roman" w:hAnsi="Times New Roman" w:eastAsia="仿宋_GB2312" w:cs="Times New Roman"/>
                <w:kern w:val="0"/>
                <w:sz w:val="22"/>
              </w:rPr>
            </w:pPr>
          </w:p>
        </w:tc>
        <w:tc>
          <w:tcPr>
            <w:tcW w:w="1685" w:type="dxa"/>
            <w:tcBorders>
              <w:top w:val="nil"/>
              <w:left w:val="nil"/>
              <w:bottom w:val="single" w:color="auto" w:sz="4" w:space="0"/>
              <w:right w:val="single" w:color="auto" w:sz="4" w:space="0"/>
            </w:tcBorders>
            <w:shd w:val="clear" w:color="auto" w:fill="auto"/>
            <w:noWrap/>
            <w:vAlign w:val="center"/>
          </w:tcPr>
          <w:p w14:paraId="1DD7A8B1">
            <w:pPr>
              <w:widowControl/>
              <w:jc w:val="right"/>
              <w:rPr>
                <w:rFonts w:ascii="Times New Roman" w:hAnsi="Times New Roman" w:eastAsia="仿宋_GB2312" w:cs="Times New Roman"/>
                <w:kern w:val="0"/>
                <w:sz w:val="22"/>
              </w:rPr>
            </w:pPr>
          </w:p>
        </w:tc>
      </w:tr>
      <w:tr w14:paraId="4217423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B82B1B2">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24360C9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13</w:t>
            </w:r>
          </w:p>
        </w:tc>
        <w:tc>
          <w:tcPr>
            <w:tcW w:w="821" w:type="dxa"/>
            <w:tcBorders>
              <w:top w:val="nil"/>
              <w:left w:val="nil"/>
              <w:bottom w:val="single" w:color="auto" w:sz="4" w:space="0"/>
              <w:right w:val="single" w:color="auto" w:sz="4" w:space="0"/>
            </w:tcBorders>
            <w:shd w:val="clear" w:color="auto" w:fill="auto"/>
            <w:noWrap/>
            <w:vAlign w:val="center"/>
          </w:tcPr>
          <w:p w14:paraId="1CA2808B">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6FC6CD4F">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十三、交通运输支出</w:t>
            </w:r>
          </w:p>
        </w:tc>
        <w:tc>
          <w:tcPr>
            <w:tcW w:w="500" w:type="dxa"/>
            <w:tcBorders>
              <w:top w:val="nil"/>
              <w:left w:val="nil"/>
              <w:bottom w:val="single" w:color="auto" w:sz="4" w:space="0"/>
              <w:right w:val="single" w:color="auto" w:sz="4" w:space="0"/>
            </w:tcBorders>
            <w:shd w:val="clear" w:color="auto" w:fill="auto"/>
            <w:noWrap/>
            <w:vAlign w:val="center"/>
          </w:tcPr>
          <w:p w14:paraId="6503065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45</w:t>
            </w:r>
          </w:p>
        </w:tc>
        <w:tc>
          <w:tcPr>
            <w:tcW w:w="900" w:type="dxa"/>
            <w:tcBorders>
              <w:top w:val="nil"/>
              <w:left w:val="nil"/>
              <w:bottom w:val="single" w:color="auto" w:sz="4" w:space="0"/>
              <w:right w:val="single" w:color="auto" w:sz="4" w:space="0"/>
            </w:tcBorders>
            <w:shd w:val="clear" w:color="auto" w:fill="auto"/>
            <w:noWrap/>
            <w:vAlign w:val="center"/>
          </w:tcPr>
          <w:p w14:paraId="00CCC6AB">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1F59EC6C">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042A9DBD">
            <w:pPr>
              <w:widowControl/>
              <w:jc w:val="center"/>
              <w:rPr>
                <w:rFonts w:ascii="Times New Roman" w:hAnsi="Times New Roman" w:eastAsia="仿宋_GB2312" w:cs="Times New Roman"/>
                <w:kern w:val="0"/>
                <w:sz w:val="22"/>
              </w:rPr>
            </w:pPr>
          </w:p>
        </w:tc>
        <w:tc>
          <w:tcPr>
            <w:tcW w:w="1685" w:type="dxa"/>
            <w:tcBorders>
              <w:top w:val="nil"/>
              <w:left w:val="nil"/>
              <w:bottom w:val="single" w:color="auto" w:sz="4" w:space="0"/>
              <w:right w:val="single" w:color="auto" w:sz="4" w:space="0"/>
            </w:tcBorders>
            <w:shd w:val="clear" w:color="auto" w:fill="auto"/>
            <w:noWrap/>
            <w:vAlign w:val="center"/>
          </w:tcPr>
          <w:p w14:paraId="2AF46157">
            <w:pPr>
              <w:widowControl/>
              <w:jc w:val="right"/>
              <w:rPr>
                <w:rFonts w:ascii="Times New Roman" w:hAnsi="Times New Roman" w:eastAsia="仿宋_GB2312" w:cs="Times New Roman"/>
                <w:kern w:val="0"/>
                <w:sz w:val="22"/>
              </w:rPr>
            </w:pPr>
          </w:p>
        </w:tc>
      </w:tr>
      <w:tr w14:paraId="5D1BC4B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C12CC83">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000000" w:fill="FFFFFF"/>
            <w:noWrap/>
            <w:vAlign w:val="center"/>
          </w:tcPr>
          <w:p w14:paraId="09ABEA22">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14</w:t>
            </w:r>
          </w:p>
        </w:tc>
        <w:tc>
          <w:tcPr>
            <w:tcW w:w="821" w:type="dxa"/>
            <w:tcBorders>
              <w:top w:val="nil"/>
              <w:left w:val="nil"/>
              <w:bottom w:val="single" w:color="auto" w:sz="4" w:space="0"/>
              <w:right w:val="single" w:color="auto" w:sz="4" w:space="0"/>
            </w:tcBorders>
            <w:shd w:val="clear" w:color="auto" w:fill="auto"/>
            <w:noWrap/>
            <w:vAlign w:val="center"/>
          </w:tcPr>
          <w:p w14:paraId="1A1FB51F">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4620DE70">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十四、资源勘探工业信息等支出</w:t>
            </w:r>
          </w:p>
        </w:tc>
        <w:tc>
          <w:tcPr>
            <w:tcW w:w="500" w:type="dxa"/>
            <w:tcBorders>
              <w:top w:val="nil"/>
              <w:left w:val="nil"/>
              <w:bottom w:val="single" w:color="auto" w:sz="4" w:space="0"/>
              <w:right w:val="single" w:color="auto" w:sz="4" w:space="0"/>
            </w:tcBorders>
            <w:shd w:val="clear" w:color="auto" w:fill="auto"/>
            <w:noWrap/>
            <w:vAlign w:val="center"/>
          </w:tcPr>
          <w:p w14:paraId="4420313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46</w:t>
            </w:r>
          </w:p>
        </w:tc>
        <w:tc>
          <w:tcPr>
            <w:tcW w:w="900" w:type="dxa"/>
            <w:tcBorders>
              <w:top w:val="nil"/>
              <w:left w:val="nil"/>
              <w:bottom w:val="single" w:color="auto" w:sz="4" w:space="0"/>
              <w:right w:val="single" w:color="auto" w:sz="4" w:space="0"/>
            </w:tcBorders>
            <w:shd w:val="clear" w:color="auto" w:fill="auto"/>
            <w:noWrap/>
            <w:vAlign w:val="center"/>
          </w:tcPr>
          <w:p w14:paraId="70AE6B65">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003D304F">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77BDC528">
            <w:pPr>
              <w:widowControl/>
              <w:jc w:val="center"/>
              <w:rPr>
                <w:rFonts w:ascii="Times New Roman" w:hAnsi="Times New Roman" w:eastAsia="仿宋_GB2312" w:cs="Times New Roman"/>
                <w:kern w:val="0"/>
                <w:sz w:val="22"/>
              </w:rPr>
            </w:pPr>
          </w:p>
        </w:tc>
        <w:tc>
          <w:tcPr>
            <w:tcW w:w="1685" w:type="dxa"/>
            <w:tcBorders>
              <w:top w:val="nil"/>
              <w:left w:val="nil"/>
              <w:bottom w:val="single" w:color="auto" w:sz="4" w:space="0"/>
              <w:right w:val="single" w:color="auto" w:sz="4" w:space="0"/>
            </w:tcBorders>
            <w:shd w:val="clear" w:color="auto" w:fill="auto"/>
            <w:noWrap/>
            <w:vAlign w:val="center"/>
          </w:tcPr>
          <w:p w14:paraId="62CE2BCC">
            <w:pPr>
              <w:widowControl/>
              <w:jc w:val="right"/>
              <w:rPr>
                <w:rFonts w:ascii="Times New Roman" w:hAnsi="Times New Roman" w:eastAsia="仿宋_GB2312" w:cs="Times New Roman"/>
                <w:kern w:val="0"/>
                <w:sz w:val="22"/>
              </w:rPr>
            </w:pPr>
          </w:p>
        </w:tc>
      </w:tr>
      <w:tr w14:paraId="2B11CCE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563D15F">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0ED0D9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821" w:type="dxa"/>
            <w:tcBorders>
              <w:top w:val="nil"/>
              <w:left w:val="nil"/>
              <w:bottom w:val="single" w:color="auto" w:sz="4" w:space="0"/>
              <w:right w:val="single" w:color="auto" w:sz="4" w:space="0"/>
            </w:tcBorders>
            <w:shd w:val="clear" w:color="auto" w:fill="auto"/>
            <w:noWrap/>
            <w:vAlign w:val="center"/>
          </w:tcPr>
          <w:p w14:paraId="42DCC626">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6CDC48CA">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十五、商业服务业等支出</w:t>
            </w:r>
          </w:p>
        </w:tc>
        <w:tc>
          <w:tcPr>
            <w:tcW w:w="500" w:type="dxa"/>
            <w:tcBorders>
              <w:top w:val="nil"/>
              <w:left w:val="nil"/>
              <w:bottom w:val="single" w:color="auto" w:sz="4" w:space="0"/>
              <w:right w:val="single" w:color="auto" w:sz="4" w:space="0"/>
            </w:tcBorders>
            <w:shd w:val="clear" w:color="auto" w:fill="auto"/>
            <w:noWrap/>
            <w:vAlign w:val="center"/>
          </w:tcPr>
          <w:p w14:paraId="26CA9DB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47</w:t>
            </w:r>
          </w:p>
        </w:tc>
        <w:tc>
          <w:tcPr>
            <w:tcW w:w="900" w:type="dxa"/>
            <w:tcBorders>
              <w:top w:val="nil"/>
              <w:left w:val="nil"/>
              <w:bottom w:val="single" w:color="auto" w:sz="4" w:space="0"/>
              <w:right w:val="single" w:color="auto" w:sz="4" w:space="0"/>
            </w:tcBorders>
            <w:shd w:val="clear" w:color="auto" w:fill="auto"/>
            <w:noWrap/>
            <w:vAlign w:val="center"/>
          </w:tcPr>
          <w:p w14:paraId="02507DD3">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2DD2AA94">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4E241636">
            <w:pPr>
              <w:widowControl/>
              <w:jc w:val="center"/>
              <w:rPr>
                <w:rFonts w:ascii="Times New Roman" w:hAnsi="Times New Roman" w:eastAsia="仿宋_GB2312" w:cs="Times New Roman"/>
                <w:kern w:val="0"/>
                <w:sz w:val="22"/>
              </w:rPr>
            </w:pPr>
          </w:p>
        </w:tc>
        <w:tc>
          <w:tcPr>
            <w:tcW w:w="1685" w:type="dxa"/>
            <w:tcBorders>
              <w:top w:val="nil"/>
              <w:left w:val="nil"/>
              <w:bottom w:val="single" w:color="auto" w:sz="4" w:space="0"/>
              <w:right w:val="single" w:color="auto" w:sz="4" w:space="0"/>
            </w:tcBorders>
            <w:shd w:val="clear" w:color="auto" w:fill="auto"/>
            <w:noWrap/>
            <w:vAlign w:val="center"/>
          </w:tcPr>
          <w:p w14:paraId="7DB8F4C5">
            <w:pPr>
              <w:widowControl/>
              <w:jc w:val="right"/>
              <w:rPr>
                <w:rFonts w:ascii="Times New Roman" w:hAnsi="Times New Roman" w:eastAsia="仿宋_GB2312" w:cs="Times New Roman"/>
                <w:kern w:val="0"/>
                <w:sz w:val="22"/>
              </w:rPr>
            </w:pPr>
          </w:p>
        </w:tc>
      </w:tr>
      <w:tr w14:paraId="1B1CB4C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D51262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4B1C063F">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16</w:t>
            </w:r>
          </w:p>
        </w:tc>
        <w:tc>
          <w:tcPr>
            <w:tcW w:w="821" w:type="dxa"/>
            <w:tcBorders>
              <w:top w:val="nil"/>
              <w:left w:val="nil"/>
              <w:bottom w:val="single" w:color="auto" w:sz="4" w:space="0"/>
              <w:right w:val="single" w:color="auto" w:sz="4" w:space="0"/>
            </w:tcBorders>
            <w:shd w:val="clear" w:color="auto" w:fill="auto"/>
            <w:noWrap/>
            <w:vAlign w:val="center"/>
          </w:tcPr>
          <w:p w14:paraId="10274CDB">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031D7454">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十六、金融支出</w:t>
            </w:r>
          </w:p>
        </w:tc>
        <w:tc>
          <w:tcPr>
            <w:tcW w:w="500" w:type="dxa"/>
            <w:tcBorders>
              <w:top w:val="nil"/>
              <w:left w:val="nil"/>
              <w:bottom w:val="single" w:color="auto" w:sz="4" w:space="0"/>
              <w:right w:val="single" w:color="auto" w:sz="4" w:space="0"/>
            </w:tcBorders>
            <w:shd w:val="clear" w:color="auto" w:fill="auto"/>
            <w:noWrap/>
            <w:vAlign w:val="center"/>
          </w:tcPr>
          <w:p w14:paraId="1E9D95F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48</w:t>
            </w:r>
          </w:p>
        </w:tc>
        <w:tc>
          <w:tcPr>
            <w:tcW w:w="900" w:type="dxa"/>
            <w:tcBorders>
              <w:top w:val="nil"/>
              <w:left w:val="nil"/>
              <w:bottom w:val="single" w:color="auto" w:sz="4" w:space="0"/>
              <w:right w:val="single" w:color="auto" w:sz="4" w:space="0"/>
            </w:tcBorders>
            <w:shd w:val="clear" w:color="auto" w:fill="auto"/>
            <w:noWrap/>
            <w:vAlign w:val="center"/>
          </w:tcPr>
          <w:p w14:paraId="0D4F5E3F">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7E510003">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158DFD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5" w:type="dxa"/>
            <w:tcBorders>
              <w:top w:val="nil"/>
              <w:left w:val="nil"/>
              <w:bottom w:val="single" w:color="auto" w:sz="4" w:space="0"/>
              <w:right w:val="single" w:color="auto" w:sz="4" w:space="0"/>
            </w:tcBorders>
            <w:shd w:val="clear" w:color="auto" w:fill="auto"/>
            <w:noWrap/>
            <w:vAlign w:val="center"/>
          </w:tcPr>
          <w:p w14:paraId="4C7F98D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32E08D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08DD3CE">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099A41B5">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17</w:t>
            </w:r>
          </w:p>
        </w:tc>
        <w:tc>
          <w:tcPr>
            <w:tcW w:w="821" w:type="dxa"/>
            <w:tcBorders>
              <w:top w:val="nil"/>
              <w:left w:val="nil"/>
              <w:bottom w:val="single" w:color="auto" w:sz="4" w:space="0"/>
              <w:right w:val="single" w:color="auto" w:sz="4" w:space="0"/>
            </w:tcBorders>
            <w:shd w:val="clear" w:color="auto" w:fill="auto"/>
            <w:noWrap/>
            <w:vAlign w:val="center"/>
          </w:tcPr>
          <w:p w14:paraId="2D71F00F">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3E3B47B2">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十七、援助其他地区支出</w:t>
            </w:r>
          </w:p>
        </w:tc>
        <w:tc>
          <w:tcPr>
            <w:tcW w:w="500" w:type="dxa"/>
            <w:tcBorders>
              <w:top w:val="nil"/>
              <w:left w:val="nil"/>
              <w:bottom w:val="single" w:color="auto" w:sz="4" w:space="0"/>
              <w:right w:val="single" w:color="auto" w:sz="4" w:space="0"/>
            </w:tcBorders>
            <w:shd w:val="clear" w:color="auto" w:fill="auto"/>
            <w:noWrap/>
            <w:vAlign w:val="center"/>
          </w:tcPr>
          <w:p w14:paraId="3243603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49</w:t>
            </w:r>
          </w:p>
        </w:tc>
        <w:tc>
          <w:tcPr>
            <w:tcW w:w="900" w:type="dxa"/>
            <w:tcBorders>
              <w:top w:val="nil"/>
              <w:left w:val="nil"/>
              <w:bottom w:val="single" w:color="auto" w:sz="4" w:space="0"/>
              <w:right w:val="single" w:color="auto" w:sz="4" w:space="0"/>
            </w:tcBorders>
            <w:shd w:val="clear" w:color="auto" w:fill="auto"/>
            <w:noWrap/>
            <w:vAlign w:val="center"/>
          </w:tcPr>
          <w:p w14:paraId="4E88BA26">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451430D2">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75DD96AB">
            <w:pPr>
              <w:widowControl/>
              <w:jc w:val="center"/>
              <w:rPr>
                <w:rFonts w:ascii="Times New Roman" w:hAnsi="Times New Roman" w:eastAsia="仿宋_GB2312" w:cs="Times New Roman"/>
                <w:kern w:val="0"/>
                <w:sz w:val="22"/>
              </w:rPr>
            </w:pPr>
          </w:p>
        </w:tc>
        <w:tc>
          <w:tcPr>
            <w:tcW w:w="1685" w:type="dxa"/>
            <w:tcBorders>
              <w:top w:val="nil"/>
              <w:left w:val="nil"/>
              <w:bottom w:val="single" w:color="auto" w:sz="4" w:space="0"/>
              <w:right w:val="single" w:color="auto" w:sz="4" w:space="0"/>
            </w:tcBorders>
            <w:shd w:val="clear" w:color="auto" w:fill="auto"/>
            <w:noWrap/>
            <w:vAlign w:val="center"/>
          </w:tcPr>
          <w:p w14:paraId="0E55C91F">
            <w:pPr>
              <w:widowControl/>
              <w:jc w:val="right"/>
              <w:rPr>
                <w:rFonts w:ascii="Times New Roman" w:hAnsi="Times New Roman" w:eastAsia="仿宋_GB2312" w:cs="Times New Roman"/>
                <w:kern w:val="0"/>
                <w:sz w:val="22"/>
              </w:rPr>
            </w:pPr>
          </w:p>
        </w:tc>
      </w:tr>
      <w:tr w14:paraId="232B6C1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3AB2363">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2F5866B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18</w:t>
            </w:r>
          </w:p>
        </w:tc>
        <w:tc>
          <w:tcPr>
            <w:tcW w:w="821" w:type="dxa"/>
            <w:tcBorders>
              <w:top w:val="nil"/>
              <w:left w:val="nil"/>
              <w:bottom w:val="single" w:color="auto" w:sz="4" w:space="0"/>
              <w:right w:val="single" w:color="auto" w:sz="4" w:space="0"/>
            </w:tcBorders>
            <w:shd w:val="clear" w:color="auto" w:fill="auto"/>
            <w:noWrap/>
            <w:vAlign w:val="center"/>
          </w:tcPr>
          <w:p w14:paraId="04C5CF34">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6BC5297D">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十八、自然资源海洋气象等支出</w:t>
            </w:r>
          </w:p>
        </w:tc>
        <w:tc>
          <w:tcPr>
            <w:tcW w:w="500" w:type="dxa"/>
            <w:tcBorders>
              <w:top w:val="nil"/>
              <w:left w:val="nil"/>
              <w:bottom w:val="single" w:color="auto" w:sz="4" w:space="0"/>
              <w:right w:val="single" w:color="auto" w:sz="4" w:space="0"/>
            </w:tcBorders>
            <w:shd w:val="clear" w:color="auto" w:fill="auto"/>
            <w:noWrap/>
            <w:vAlign w:val="center"/>
          </w:tcPr>
          <w:p w14:paraId="2E584AD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50</w:t>
            </w:r>
          </w:p>
        </w:tc>
        <w:tc>
          <w:tcPr>
            <w:tcW w:w="900" w:type="dxa"/>
            <w:tcBorders>
              <w:top w:val="nil"/>
              <w:left w:val="nil"/>
              <w:bottom w:val="single" w:color="auto" w:sz="4" w:space="0"/>
              <w:right w:val="single" w:color="auto" w:sz="4" w:space="0"/>
            </w:tcBorders>
            <w:shd w:val="clear" w:color="auto" w:fill="auto"/>
            <w:noWrap/>
            <w:vAlign w:val="center"/>
          </w:tcPr>
          <w:p w14:paraId="71319C77">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6987D0EC">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778C1C01">
            <w:pPr>
              <w:widowControl/>
              <w:jc w:val="center"/>
              <w:rPr>
                <w:rFonts w:ascii="Times New Roman" w:hAnsi="Times New Roman" w:eastAsia="仿宋_GB2312" w:cs="Times New Roman"/>
                <w:kern w:val="0"/>
                <w:sz w:val="22"/>
              </w:rPr>
            </w:pPr>
          </w:p>
        </w:tc>
        <w:tc>
          <w:tcPr>
            <w:tcW w:w="1685" w:type="dxa"/>
            <w:tcBorders>
              <w:top w:val="nil"/>
              <w:left w:val="nil"/>
              <w:bottom w:val="single" w:color="auto" w:sz="4" w:space="0"/>
              <w:right w:val="single" w:color="auto" w:sz="4" w:space="0"/>
            </w:tcBorders>
            <w:shd w:val="clear" w:color="auto" w:fill="auto"/>
            <w:noWrap/>
            <w:vAlign w:val="center"/>
          </w:tcPr>
          <w:p w14:paraId="287C5D90">
            <w:pPr>
              <w:widowControl/>
              <w:jc w:val="right"/>
              <w:rPr>
                <w:rFonts w:ascii="Times New Roman" w:hAnsi="Times New Roman" w:eastAsia="仿宋_GB2312" w:cs="Times New Roman"/>
                <w:kern w:val="0"/>
                <w:sz w:val="22"/>
              </w:rPr>
            </w:pPr>
          </w:p>
        </w:tc>
      </w:tr>
      <w:tr w14:paraId="58BCEBA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6285E4D">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087FC52C">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19</w:t>
            </w:r>
          </w:p>
        </w:tc>
        <w:tc>
          <w:tcPr>
            <w:tcW w:w="821" w:type="dxa"/>
            <w:tcBorders>
              <w:top w:val="nil"/>
              <w:left w:val="nil"/>
              <w:bottom w:val="single" w:color="auto" w:sz="4" w:space="0"/>
              <w:right w:val="single" w:color="auto" w:sz="4" w:space="0"/>
            </w:tcBorders>
            <w:shd w:val="clear" w:color="auto" w:fill="auto"/>
            <w:noWrap/>
            <w:vAlign w:val="center"/>
          </w:tcPr>
          <w:p w14:paraId="58DA2371">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54771065">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十九、住房保障支出</w:t>
            </w:r>
          </w:p>
        </w:tc>
        <w:tc>
          <w:tcPr>
            <w:tcW w:w="500" w:type="dxa"/>
            <w:tcBorders>
              <w:top w:val="nil"/>
              <w:left w:val="nil"/>
              <w:bottom w:val="single" w:color="auto" w:sz="4" w:space="0"/>
              <w:right w:val="single" w:color="auto" w:sz="4" w:space="0"/>
            </w:tcBorders>
            <w:shd w:val="clear" w:color="auto" w:fill="auto"/>
            <w:noWrap/>
            <w:vAlign w:val="center"/>
          </w:tcPr>
          <w:p w14:paraId="3C42547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51</w:t>
            </w:r>
          </w:p>
        </w:tc>
        <w:tc>
          <w:tcPr>
            <w:tcW w:w="900" w:type="dxa"/>
            <w:tcBorders>
              <w:top w:val="nil"/>
              <w:left w:val="nil"/>
              <w:bottom w:val="single" w:color="auto" w:sz="4" w:space="0"/>
              <w:right w:val="single" w:color="auto" w:sz="4" w:space="0"/>
            </w:tcBorders>
            <w:shd w:val="clear" w:color="auto" w:fill="auto"/>
            <w:noWrap/>
            <w:vAlign w:val="center"/>
          </w:tcPr>
          <w:p w14:paraId="50C97844">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1.55 </w:t>
            </w:r>
          </w:p>
        </w:tc>
        <w:tc>
          <w:tcPr>
            <w:tcW w:w="1450" w:type="dxa"/>
            <w:tcBorders>
              <w:top w:val="nil"/>
              <w:left w:val="nil"/>
              <w:bottom w:val="single" w:color="auto" w:sz="4" w:space="0"/>
              <w:right w:val="single" w:color="auto" w:sz="4" w:space="0"/>
            </w:tcBorders>
            <w:shd w:val="clear" w:color="auto" w:fill="auto"/>
            <w:noWrap/>
            <w:vAlign w:val="center"/>
          </w:tcPr>
          <w:p w14:paraId="4BEB0173">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1.55 </w:t>
            </w:r>
          </w:p>
        </w:tc>
        <w:tc>
          <w:tcPr>
            <w:tcW w:w="1750" w:type="dxa"/>
            <w:tcBorders>
              <w:top w:val="nil"/>
              <w:left w:val="nil"/>
              <w:bottom w:val="single" w:color="auto" w:sz="4" w:space="0"/>
              <w:right w:val="single" w:color="auto" w:sz="4" w:space="0"/>
            </w:tcBorders>
            <w:shd w:val="clear" w:color="auto" w:fill="auto"/>
            <w:noWrap/>
            <w:vAlign w:val="center"/>
          </w:tcPr>
          <w:p w14:paraId="123C304F">
            <w:pPr>
              <w:widowControl/>
              <w:jc w:val="center"/>
              <w:rPr>
                <w:rFonts w:ascii="Times New Roman" w:hAnsi="Times New Roman" w:eastAsia="仿宋_GB2312" w:cs="Times New Roman"/>
                <w:kern w:val="0"/>
                <w:sz w:val="22"/>
              </w:rPr>
            </w:pPr>
          </w:p>
        </w:tc>
        <w:tc>
          <w:tcPr>
            <w:tcW w:w="1685" w:type="dxa"/>
            <w:tcBorders>
              <w:top w:val="nil"/>
              <w:left w:val="nil"/>
              <w:bottom w:val="single" w:color="auto" w:sz="4" w:space="0"/>
              <w:right w:val="single" w:color="auto" w:sz="4" w:space="0"/>
            </w:tcBorders>
            <w:shd w:val="clear" w:color="auto" w:fill="auto"/>
            <w:noWrap/>
            <w:vAlign w:val="center"/>
          </w:tcPr>
          <w:p w14:paraId="3CB94A3D">
            <w:pPr>
              <w:widowControl/>
              <w:jc w:val="right"/>
              <w:rPr>
                <w:rFonts w:ascii="Times New Roman" w:hAnsi="Times New Roman" w:eastAsia="仿宋_GB2312" w:cs="Times New Roman"/>
                <w:kern w:val="0"/>
                <w:sz w:val="22"/>
              </w:rPr>
            </w:pPr>
          </w:p>
        </w:tc>
      </w:tr>
      <w:tr w14:paraId="4167017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EBAE7E2">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5D127538">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20</w:t>
            </w:r>
          </w:p>
        </w:tc>
        <w:tc>
          <w:tcPr>
            <w:tcW w:w="821" w:type="dxa"/>
            <w:tcBorders>
              <w:top w:val="nil"/>
              <w:left w:val="nil"/>
              <w:bottom w:val="single" w:color="auto" w:sz="4" w:space="0"/>
              <w:right w:val="single" w:color="auto" w:sz="4" w:space="0"/>
            </w:tcBorders>
            <w:shd w:val="clear" w:color="auto" w:fill="auto"/>
            <w:noWrap/>
            <w:vAlign w:val="center"/>
          </w:tcPr>
          <w:p w14:paraId="3315E49C">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0C1FD6AE">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二十、粮油物资储备支出</w:t>
            </w:r>
          </w:p>
        </w:tc>
        <w:tc>
          <w:tcPr>
            <w:tcW w:w="500" w:type="dxa"/>
            <w:tcBorders>
              <w:top w:val="nil"/>
              <w:left w:val="nil"/>
              <w:bottom w:val="single" w:color="auto" w:sz="4" w:space="0"/>
              <w:right w:val="single" w:color="auto" w:sz="4" w:space="0"/>
            </w:tcBorders>
            <w:shd w:val="clear" w:color="auto" w:fill="auto"/>
            <w:noWrap/>
            <w:vAlign w:val="center"/>
          </w:tcPr>
          <w:p w14:paraId="5B084BD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w:t>
            </w:r>
          </w:p>
        </w:tc>
        <w:tc>
          <w:tcPr>
            <w:tcW w:w="900" w:type="dxa"/>
            <w:tcBorders>
              <w:top w:val="nil"/>
              <w:left w:val="nil"/>
              <w:bottom w:val="single" w:color="auto" w:sz="4" w:space="0"/>
              <w:right w:val="single" w:color="auto" w:sz="4" w:space="0"/>
            </w:tcBorders>
            <w:shd w:val="clear" w:color="auto" w:fill="auto"/>
            <w:noWrap/>
            <w:vAlign w:val="center"/>
          </w:tcPr>
          <w:p w14:paraId="41AC4B93">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37F871F8">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5B498289">
            <w:pPr>
              <w:widowControl/>
              <w:jc w:val="center"/>
              <w:rPr>
                <w:rFonts w:ascii="Times New Roman" w:hAnsi="Times New Roman" w:eastAsia="仿宋_GB2312" w:cs="Times New Roman"/>
                <w:kern w:val="0"/>
                <w:sz w:val="22"/>
              </w:rPr>
            </w:pPr>
          </w:p>
        </w:tc>
        <w:tc>
          <w:tcPr>
            <w:tcW w:w="1685" w:type="dxa"/>
            <w:tcBorders>
              <w:top w:val="nil"/>
              <w:left w:val="nil"/>
              <w:bottom w:val="single" w:color="auto" w:sz="4" w:space="0"/>
              <w:right w:val="single" w:color="auto" w:sz="4" w:space="0"/>
            </w:tcBorders>
            <w:shd w:val="clear" w:color="auto" w:fill="auto"/>
            <w:noWrap/>
            <w:vAlign w:val="center"/>
          </w:tcPr>
          <w:p w14:paraId="03C616B9">
            <w:pPr>
              <w:widowControl/>
              <w:jc w:val="right"/>
              <w:rPr>
                <w:rFonts w:ascii="Times New Roman" w:hAnsi="Times New Roman" w:eastAsia="仿宋_GB2312" w:cs="Times New Roman"/>
                <w:kern w:val="0"/>
                <w:sz w:val="22"/>
              </w:rPr>
            </w:pPr>
          </w:p>
        </w:tc>
      </w:tr>
      <w:tr w14:paraId="07DAD14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03D146F">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6A614F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821" w:type="dxa"/>
            <w:tcBorders>
              <w:top w:val="nil"/>
              <w:left w:val="nil"/>
              <w:bottom w:val="single" w:color="auto" w:sz="4" w:space="0"/>
              <w:right w:val="single" w:color="auto" w:sz="4" w:space="0"/>
            </w:tcBorders>
            <w:shd w:val="clear" w:color="auto" w:fill="auto"/>
            <w:noWrap/>
            <w:vAlign w:val="center"/>
          </w:tcPr>
          <w:p w14:paraId="43C08A47">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240C9217">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二十一、国有资本经营预算支出</w:t>
            </w:r>
          </w:p>
        </w:tc>
        <w:tc>
          <w:tcPr>
            <w:tcW w:w="500" w:type="dxa"/>
            <w:tcBorders>
              <w:top w:val="nil"/>
              <w:left w:val="nil"/>
              <w:bottom w:val="single" w:color="auto" w:sz="4" w:space="0"/>
              <w:right w:val="single" w:color="auto" w:sz="4" w:space="0"/>
            </w:tcBorders>
            <w:shd w:val="clear" w:color="auto" w:fill="auto"/>
            <w:noWrap/>
            <w:vAlign w:val="center"/>
          </w:tcPr>
          <w:p w14:paraId="7C569E1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53</w:t>
            </w:r>
          </w:p>
        </w:tc>
        <w:tc>
          <w:tcPr>
            <w:tcW w:w="900" w:type="dxa"/>
            <w:tcBorders>
              <w:top w:val="nil"/>
              <w:left w:val="nil"/>
              <w:bottom w:val="single" w:color="auto" w:sz="4" w:space="0"/>
              <w:right w:val="single" w:color="auto" w:sz="4" w:space="0"/>
            </w:tcBorders>
            <w:shd w:val="clear" w:color="auto" w:fill="auto"/>
            <w:noWrap/>
            <w:vAlign w:val="center"/>
          </w:tcPr>
          <w:p w14:paraId="72BCAE8F">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1F897E82">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4435C358">
            <w:pPr>
              <w:widowControl/>
              <w:jc w:val="center"/>
              <w:rPr>
                <w:rFonts w:ascii="Times New Roman" w:hAnsi="Times New Roman" w:eastAsia="仿宋_GB2312" w:cs="Times New Roman"/>
                <w:kern w:val="0"/>
                <w:sz w:val="22"/>
              </w:rPr>
            </w:pPr>
          </w:p>
        </w:tc>
        <w:tc>
          <w:tcPr>
            <w:tcW w:w="1685" w:type="dxa"/>
            <w:tcBorders>
              <w:top w:val="nil"/>
              <w:left w:val="nil"/>
              <w:bottom w:val="single" w:color="auto" w:sz="4" w:space="0"/>
              <w:right w:val="single" w:color="auto" w:sz="4" w:space="0"/>
            </w:tcBorders>
            <w:shd w:val="clear" w:color="auto" w:fill="auto"/>
            <w:noWrap/>
            <w:vAlign w:val="center"/>
          </w:tcPr>
          <w:p w14:paraId="55F75E66">
            <w:pPr>
              <w:widowControl/>
              <w:jc w:val="right"/>
              <w:rPr>
                <w:rFonts w:ascii="Times New Roman" w:hAnsi="Times New Roman" w:eastAsia="仿宋_GB2312" w:cs="Times New Roman"/>
                <w:kern w:val="0"/>
                <w:sz w:val="22"/>
              </w:rPr>
            </w:pPr>
          </w:p>
        </w:tc>
      </w:tr>
      <w:tr w14:paraId="17EF1F4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ED15734">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7B2048F1">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22</w:t>
            </w:r>
          </w:p>
        </w:tc>
        <w:tc>
          <w:tcPr>
            <w:tcW w:w="821" w:type="dxa"/>
            <w:tcBorders>
              <w:top w:val="nil"/>
              <w:left w:val="nil"/>
              <w:bottom w:val="single" w:color="auto" w:sz="4" w:space="0"/>
              <w:right w:val="single" w:color="auto" w:sz="4" w:space="0"/>
            </w:tcBorders>
            <w:shd w:val="clear" w:color="auto" w:fill="auto"/>
            <w:noWrap/>
            <w:vAlign w:val="center"/>
          </w:tcPr>
          <w:p w14:paraId="007DA243">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1C7F71F3">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二十二、灾害防治及应急管理支出</w:t>
            </w:r>
          </w:p>
        </w:tc>
        <w:tc>
          <w:tcPr>
            <w:tcW w:w="500" w:type="dxa"/>
            <w:tcBorders>
              <w:top w:val="nil"/>
              <w:left w:val="nil"/>
              <w:bottom w:val="single" w:color="auto" w:sz="4" w:space="0"/>
              <w:right w:val="single" w:color="auto" w:sz="4" w:space="0"/>
            </w:tcBorders>
            <w:shd w:val="clear" w:color="auto" w:fill="auto"/>
            <w:noWrap/>
            <w:vAlign w:val="center"/>
          </w:tcPr>
          <w:p w14:paraId="6221A64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54</w:t>
            </w:r>
          </w:p>
        </w:tc>
        <w:tc>
          <w:tcPr>
            <w:tcW w:w="900" w:type="dxa"/>
            <w:tcBorders>
              <w:top w:val="nil"/>
              <w:left w:val="nil"/>
              <w:bottom w:val="single" w:color="auto" w:sz="4" w:space="0"/>
              <w:right w:val="single" w:color="auto" w:sz="4" w:space="0"/>
            </w:tcBorders>
            <w:shd w:val="clear" w:color="auto" w:fill="auto"/>
            <w:noWrap/>
            <w:vAlign w:val="center"/>
          </w:tcPr>
          <w:p w14:paraId="2143949E">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3DCE10AF">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62027F9C">
            <w:pPr>
              <w:widowControl/>
              <w:jc w:val="center"/>
              <w:rPr>
                <w:rFonts w:ascii="Times New Roman" w:hAnsi="Times New Roman" w:eastAsia="仿宋_GB2312" w:cs="Times New Roman"/>
                <w:kern w:val="0"/>
                <w:sz w:val="22"/>
              </w:rPr>
            </w:pPr>
          </w:p>
        </w:tc>
        <w:tc>
          <w:tcPr>
            <w:tcW w:w="1685" w:type="dxa"/>
            <w:tcBorders>
              <w:top w:val="nil"/>
              <w:left w:val="nil"/>
              <w:bottom w:val="single" w:color="auto" w:sz="4" w:space="0"/>
              <w:right w:val="single" w:color="auto" w:sz="4" w:space="0"/>
            </w:tcBorders>
            <w:shd w:val="clear" w:color="auto" w:fill="auto"/>
            <w:noWrap/>
            <w:vAlign w:val="center"/>
          </w:tcPr>
          <w:p w14:paraId="5F677786">
            <w:pPr>
              <w:widowControl/>
              <w:jc w:val="right"/>
              <w:rPr>
                <w:rFonts w:ascii="Times New Roman" w:hAnsi="Times New Roman" w:eastAsia="仿宋_GB2312" w:cs="Times New Roman"/>
                <w:kern w:val="0"/>
                <w:sz w:val="22"/>
              </w:rPr>
            </w:pPr>
          </w:p>
        </w:tc>
      </w:tr>
      <w:tr w14:paraId="1CAC65E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4843F13">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6C44DC61">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23</w:t>
            </w:r>
          </w:p>
        </w:tc>
        <w:tc>
          <w:tcPr>
            <w:tcW w:w="821" w:type="dxa"/>
            <w:tcBorders>
              <w:top w:val="nil"/>
              <w:left w:val="nil"/>
              <w:bottom w:val="single" w:color="auto" w:sz="4" w:space="0"/>
              <w:right w:val="single" w:color="auto" w:sz="4" w:space="0"/>
            </w:tcBorders>
            <w:shd w:val="clear" w:color="auto" w:fill="auto"/>
            <w:noWrap/>
            <w:vAlign w:val="center"/>
          </w:tcPr>
          <w:p w14:paraId="5C8659C4">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46F418C2">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二十三、其他支出</w:t>
            </w:r>
          </w:p>
        </w:tc>
        <w:tc>
          <w:tcPr>
            <w:tcW w:w="500" w:type="dxa"/>
            <w:tcBorders>
              <w:top w:val="nil"/>
              <w:left w:val="nil"/>
              <w:bottom w:val="single" w:color="auto" w:sz="4" w:space="0"/>
              <w:right w:val="single" w:color="auto" w:sz="4" w:space="0"/>
            </w:tcBorders>
            <w:shd w:val="clear" w:color="auto" w:fill="auto"/>
            <w:noWrap/>
            <w:vAlign w:val="center"/>
          </w:tcPr>
          <w:p w14:paraId="091D006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55</w:t>
            </w:r>
          </w:p>
        </w:tc>
        <w:tc>
          <w:tcPr>
            <w:tcW w:w="900" w:type="dxa"/>
            <w:tcBorders>
              <w:top w:val="nil"/>
              <w:left w:val="nil"/>
              <w:bottom w:val="single" w:color="auto" w:sz="4" w:space="0"/>
              <w:right w:val="single" w:color="auto" w:sz="4" w:space="0"/>
            </w:tcBorders>
            <w:shd w:val="clear" w:color="auto" w:fill="auto"/>
            <w:noWrap/>
            <w:vAlign w:val="center"/>
          </w:tcPr>
          <w:p w14:paraId="668801C0">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50E1BA2B">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0D6D20A1">
            <w:pPr>
              <w:widowControl/>
              <w:jc w:val="center"/>
              <w:rPr>
                <w:rFonts w:ascii="Times New Roman" w:hAnsi="Times New Roman" w:eastAsia="仿宋_GB2312" w:cs="Times New Roman"/>
                <w:kern w:val="0"/>
                <w:sz w:val="22"/>
              </w:rPr>
            </w:pPr>
          </w:p>
        </w:tc>
        <w:tc>
          <w:tcPr>
            <w:tcW w:w="1685" w:type="dxa"/>
            <w:tcBorders>
              <w:top w:val="nil"/>
              <w:left w:val="nil"/>
              <w:bottom w:val="single" w:color="auto" w:sz="4" w:space="0"/>
              <w:right w:val="single" w:color="auto" w:sz="4" w:space="0"/>
            </w:tcBorders>
            <w:shd w:val="clear" w:color="auto" w:fill="auto"/>
            <w:noWrap/>
            <w:vAlign w:val="center"/>
          </w:tcPr>
          <w:p w14:paraId="09B3C994">
            <w:pPr>
              <w:widowControl/>
              <w:jc w:val="right"/>
              <w:rPr>
                <w:rFonts w:ascii="Times New Roman" w:hAnsi="Times New Roman" w:eastAsia="仿宋_GB2312" w:cs="Times New Roman"/>
                <w:kern w:val="0"/>
                <w:sz w:val="22"/>
              </w:rPr>
            </w:pPr>
          </w:p>
        </w:tc>
      </w:tr>
      <w:tr w14:paraId="5DB6454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0AD951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51113DB4">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24</w:t>
            </w:r>
          </w:p>
        </w:tc>
        <w:tc>
          <w:tcPr>
            <w:tcW w:w="821" w:type="dxa"/>
            <w:tcBorders>
              <w:top w:val="nil"/>
              <w:left w:val="nil"/>
              <w:bottom w:val="single" w:color="auto" w:sz="4" w:space="0"/>
              <w:right w:val="single" w:color="auto" w:sz="4" w:space="0"/>
            </w:tcBorders>
            <w:shd w:val="clear" w:color="auto" w:fill="auto"/>
            <w:noWrap/>
            <w:vAlign w:val="center"/>
          </w:tcPr>
          <w:p w14:paraId="409C6F55">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217E9FE6">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二十四、债务还本支出</w:t>
            </w:r>
          </w:p>
        </w:tc>
        <w:tc>
          <w:tcPr>
            <w:tcW w:w="500" w:type="dxa"/>
            <w:tcBorders>
              <w:top w:val="nil"/>
              <w:left w:val="nil"/>
              <w:bottom w:val="single" w:color="auto" w:sz="4" w:space="0"/>
              <w:right w:val="single" w:color="auto" w:sz="4" w:space="0"/>
            </w:tcBorders>
            <w:shd w:val="clear" w:color="auto" w:fill="auto"/>
            <w:noWrap/>
            <w:vAlign w:val="center"/>
          </w:tcPr>
          <w:p w14:paraId="5BC7FCB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56</w:t>
            </w:r>
          </w:p>
        </w:tc>
        <w:tc>
          <w:tcPr>
            <w:tcW w:w="900" w:type="dxa"/>
            <w:tcBorders>
              <w:top w:val="nil"/>
              <w:left w:val="nil"/>
              <w:bottom w:val="single" w:color="auto" w:sz="4" w:space="0"/>
              <w:right w:val="single" w:color="auto" w:sz="4" w:space="0"/>
            </w:tcBorders>
            <w:shd w:val="clear" w:color="auto" w:fill="auto"/>
            <w:noWrap/>
            <w:vAlign w:val="center"/>
          </w:tcPr>
          <w:p w14:paraId="1624E5EA">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4845D88B">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21060C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5" w:type="dxa"/>
            <w:tcBorders>
              <w:top w:val="nil"/>
              <w:left w:val="nil"/>
              <w:bottom w:val="single" w:color="auto" w:sz="4" w:space="0"/>
              <w:right w:val="single" w:color="auto" w:sz="4" w:space="0"/>
            </w:tcBorders>
            <w:shd w:val="clear" w:color="auto" w:fill="auto"/>
            <w:noWrap/>
            <w:vAlign w:val="center"/>
          </w:tcPr>
          <w:p w14:paraId="1990C9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78751A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EBF1874">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79AC68E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w:t>
            </w:r>
          </w:p>
        </w:tc>
        <w:tc>
          <w:tcPr>
            <w:tcW w:w="821" w:type="dxa"/>
            <w:tcBorders>
              <w:top w:val="nil"/>
              <w:left w:val="nil"/>
              <w:bottom w:val="single" w:color="auto" w:sz="4" w:space="0"/>
              <w:right w:val="single" w:color="auto" w:sz="4" w:space="0"/>
            </w:tcBorders>
            <w:shd w:val="clear" w:color="auto" w:fill="auto"/>
            <w:noWrap/>
            <w:vAlign w:val="center"/>
          </w:tcPr>
          <w:p w14:paraId="1A8FC9ED">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75FAC2DF">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二十五、债务付息支出</w:t>
            </w:r>
          </w:p>
        </w:tc>
        <w:tc>
          <w:tcPr>
            <w:tcW w:w="500" w:type="dxa"/>
            <w:tcBorders>
              <w:top w:val="nil"/>
              <w:left w:val="nil"/>
              <w:bottom w:val="single" w:color="auto" w:sz="4" w:space="0"/>
              <w:right w:val="single" w:color="auto" w:sz="4" w:space="0"/>
            </w:tcBorders>
            <w:shd w:val="clear" w:color="auto" w:fill="auto"/>
            <w:noWrap/>
            <w:vAlign w:val="center"/>
          </w:tcPr>
          <w:p w14:paraId="062AD53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57</w:t>
            </w:r>
          </w:p>
        </w:tc>
        <w:tc>
          <w:tcPr>
            <w:tcW w:w="900" w:type="dxa"/>
            <w:tcBorders>
              <w:top w:val="nil"/>
              <w:left w:val="nil"/>
              <w:bottom w:val="single" w:color="auto" w:sz="4" w:space="0"/>
              <w:right w:val="single" w:color="auto" w:sz="4" w:space="0"/>
            </w:tcBorders>
            <w:shd w:val="clear" w:color="auto" w:fill="auto"/>
            <w:noWrap/>
            <w:vAlign w:val="center"/>
          </w:tcPr>
          <w:p w14:paraId="5D92966D">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3A9D8E52">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7FB2ADBB">
            <w:pPr>
              <w:widowControl/>
              <w:jc w:val="center"/>
              <w:rPr>
                <w:rFonts w:ascii="Times New Roman" w:hAnsi="Times New Roman" w:eastAsia="仿宋_GB2312" w:cs="Times New Roman"/>
                <w:kern w:val="0"/>
                <w:sz w:val="22"/>
              </w:rPr>
            </w:pPr>
          </w:p>
        </w:tc>
        <w:tc>
          <w:tcPr>
            <w:tcW w:w="1685" w:type="dxa"/>
            <w:tcBorders>
              <w:top w:val="nil"/>
              <w:left w:val="nil"/>
              <w:bottom w:val="single" w:color="auto" w:sz="4" w:space="0"/>
              <w:right w:val="single" w:color="auto" w:sz="4" w:space="0"/>
            </w:tcBorders>
            <w:shd w:val="clear" w:color="auto" w:fill="auto"/>
            <w:noWrap/>
            <w:vAlign w:val="center"/>
          </w:tcPr>
          <w:p w14:paraId="797DD1EE">
            <w:pPr>
              <w:widowControl/>
              <w:jc w:val="center"/>
              <w:rPr>
                <w:rFonts w:ascii="Times New Roman" w:hAnsi="Times New Roman" w:eastAsia="仿宋_GB2312" w:cs="Times New Roman"/>
                <w:kern w:val="0"/>
                <w:sz w:val="22"/>
              </w:rPr>
            </w:pPr>
          </w:p>
        </w:tc>
      </w:tr>
      <w:tr w14:paraId="44CF294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7EE8AFB">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7CBAE1C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26</w:t>
            </w:r>
          </w:p>
        </w:tc>
        <w:tc>
          <w:tcPr>
            <w:tcW w:w="821" w:type="dxa"/>
            <w:tcBorders>
              <w:top w:val="nil"/>
              <w:left w:val="nil"/>
              <w:bottom w:val="single" w:color="auto" w:sz="4" w:space="0"/>
              <w:right w:val="single" w:color="auto" w:sz="4" w:space="0"/>
            </w:tcBorders>
            <w:shd w:val="clear" w:color="auto" w:fill="auto"/>
            <w:noWrap/>
            <w:vAlign w:val="center"/>
          </w:tcPr>
          <w:p w14:paraId="4EC62461">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4F9DDB67">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二十六、抗疫特别国债安排的支出</w:t>
            </w:r>
          </w:p>
        </w:tc>
        <w:tc>
          <w:tcPr>
            <w:tcW w:w="500" w:type="dxa"/>
            <w:tcBorders>
              <w:top w:val="nil"/>
              <w:left w:val="nil"/>
              <w:bottom w:val="single" w:color="auto" w:sz="4" w:space="0"/>
              <w:right w:val="single" w:color="auto" w:sz="4" w:space="0"/>
            </w:tcBorders>
            <w:shd w:val="clear" w:color="auto" w:fill="auto"/>
            <w:noWrap/>
            <w:vAlign w:val="center"/>
          </w:tcPr>
          <w:p w14:paraId="645C69D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58</w:t>
            </w:r>
          </w:p>
        </w:tc>
        <w:tc>
          <w:tcPr>
            <w:tcW w:w="900" w:type="dxa"/>
            <w:tcBorders>
              <w:top w:val="nil"/>
              <w:left w:val="nil"/>
              <w:bottom w:val="single" w:color="auto" w:sz="4" w:space="0"/>
              <w:right w:val="single" w:color="auto" w:sz="4" w:space="0"/>
            </w:tcBorders>
            <w:shd w:val="clear" w:color="auto" w:fill="auto"/>
            <w:noWrap/>
            <w:vAlign w:val="center"/>
          </w:tcPr>
          <w:p w14:paraId="7538FD39">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61864D24">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46DA47E4">
            <w:pPr>
              <w:widowControl/>
              <w:jc w:val="center"/>
              <w:rPr>
                <w:rFonts w:ascii="Times New Roman" w:hAnsi="Times New Roman" w:eastAsia="仿宋_GB2312" w:cs="Times New Roman"/>
                <w:kern w:val="0"/>
                <w:sz w:val="22"/>
              </w:rPr>
            </w:pPr>
          </w:p>
        </w:tc>
        <w:tc>
          <w:tcPr>
            <w:tcW w:w="1685" w:type="dxa"/>
            <w:tcBorders>
              <w:top w:val="nil"/>
              <w:left w:val="nil"/>
              <w:bottom w:val="single" w:color="auto" w:sz="4" w:space="0"/>
              <w:right w:val="single" w:color="auto" w:sz="4" w:space="0"/>
            </w:tcBorders>
            <w:shd w:val="clear" w:color="auto" w:fill="auto"/>
            <w:noWrap/>
            <w:vAlign w:val="center"/>
          </w:tcPr>
          <w:p w14:paraId="6D008A08">
            <w:pPr>
              <w:widowControl/>
              <w:jc w:val="center"/>
              <w:rPr>
                <w:rFonts w:ascii="Times New Roman" w:hAnsi="Times New Roman" w:eastAsia="仿宋_GB2312" w:cs="Times New Roman"/>
                <w:kern w:val="0"/>
                <w:sz w:val="22"/>
              </w:rPr>
            </w:pPr>
          </w:p>
        </w:tc>
      </w:tr>
      <w:tr w14:paraId="6630722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A90193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776D33DB">
            <w:pPr>
              <w:widowControl/>
              <w:jc w:val="center"/>
              <w:rPr>
                <w:rFonts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27</w:t>
            </w:r>
          </w:p>
        </w:tc>
        <w:tc>
          <w:tcPr>
            <w:tcW w:w="821" w:type="dxa"/>
            <w:tcBorders>
              <w:top w:val="nil"/>
              <w:left w:val="nil"/>
              <w:bottom w:val="single" w:color="auto" w:sz="4" w:space="0"/>
              <w:right w:val="single" w:color="auto" w:sz="4" w:space="0"/>
            </w:tcBorders>
            <w:shd w:val="clear" w:color="auto" w:fill="auto"/>
            <w:noWrap/>
            <w:vAlign w:val="center"/>
          </w:tcPr>
          <w:p w14:paraId="60C0BF2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415.78 </w:t>
            </w:r>
          </w:p>
        </w:tc>
        <w:tc>
          <w:tcPr>
            <w:tcW w:w="2982" w:type="dxa"/>
            <w:tcBorders>
              <w:top w:val="nil"/>
              <w:left w:val="nil"/>
              <w:bottom w:val="single" w:color="auto" w:sz="4" w:space="0"/>
              <w:right w:val="single" w:color="auto" w:sz="4" w:space="0"/>
            </w:tcBorders>
            <w:shd w:val="clear" w:color="auto" w:fill="auto"/>
            <w:noWrap/>
            <w:vAlign w:val="center"/>
          </w:tcPr>
          <w:p w14:paraId="7D5BD09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500" w:type="dxa"/>
            <w:tcBorders>
              <w:top w:val="nil"/>
              <w:left w:val="nil"/>
              <w:bottom w:val="single" w:color="auto" w:sz="4" w:space="0"/>
              <w:right w:val="single" w:color="auto" w:sz="4" w:space="0"/>
            </w:tcBorders>
            <w:shd w:val="clear" w:color="auto" w:fill="auto"/>
            <w:noWrap/>
            <w:vAlign w:val="center"/>
          </w:tcPr>
          <w:p w14:paraId="0DBF99F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59</w:t>
            </w:r>
          </w:p>
        </w:tc>
        <w:tc>
          <w:tcPr>
            <w:tcW w:w="900" w:type="dxa"/>
            <w:tcBorders>
              <w:top w:val="nil"/>
              <w:left w:val="nil"/>
              <w:bottom w:val="single" w:color="auto" w:sz="4" w:space="0"/>
              <w:right w:val="single" w:color="auto" w:sz="4" w:space="0"/>
            </w:tcBorders>
            <w:shd w:val="clear" w:color="auto" w:fill="auto"/>
            <w:noWrap/>
            <w:vAlign w:val="center"/>
          </w:tcPr>
          <w:p w14:paraId="02D7CC47">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415.78 </w:t>
            </w:r>
          </w:p>
        </w:tc>
        <w:tc>
          <w:tcPr>
            <w:tcW w:w="1450" w:type="dxa"/>
            <w:tcBorders>
              <w:top w:val="nil"/>
              <w:left w:val="nil"/>
              <w:bottom w:val="single" w:color="auto" w:sz="4" w:space="0"/>
              <w:right w:val="single" w:color="auto" w:sz="4" w:space="0"/>
            </w:tcBorders>
            <w:shd w:val="clear" w:color="auto" w:fill="auto"/>
            <w:noWrap/>
            <w:vAlign w:val="center"/>
          </w:tcPr>
          <w:p w14:paraId="546A1F5C">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415.78 </w:t>
            </w:r>
          </w:p>
        </w:tc>
        <w:tc>
          <w:tcPr>
            <w:tcW w:w="1750" w:type="dxa"/>
            <w:tcBorders>
              <w:top w:val="nil"/>
              <w:left w:val="nil"/>
              <w:bottom w:val="single" w:color="auto" w:sz="4" w:space="0"/>
              <w:right w:val="single" w:color="auto" w:sz="4" w:space="0"/>
            </w:tcBorders>
            <w:shd w:val="clear" w:color="auto" w:fill="auto"/>
            <w:noWrap/>
            <w:vAlign w:val="center"/>
          </w:tcPr>
          <w:p w14:paraId="758029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5" w:type="dxa"/>
            <w:tcBorders>
              <w:top w:val="nil"/>
              <w:left w:val="nil"/>
              <w:bottom w:val="single" w:color="auto" w:sz="4" w:space="0"/>
              <w:right w:val="single" w:color="auto" w:sz="4" w:space="0"/>
            </w:tcBorders>
            <w:shd w:val="clear" w:color="auto" w:fill="auto"/>
            <w:noWrap/>
            <w:vAlign w:val="center"/>
          </w:tcPr>
          <w:p w14:paraId="2411D9D7">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23935E4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0EAF5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69A40D6D">
            <w:pPr>
              <w:widowControl/>
              <w:jc w:val="center"/>
              <w:rPr>
                <w:rFonts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28</w:t>
            </w:r>
          </w:p>
        </w:tc>
        <w:tc>
          <w:tcPr>
            <w:tcW w:w="821" w:type="dxa"/>
            <w:tcBorders>
              <w:top w:val="nil"/>
              <w:left w:val="nil"/>
              <w:bottom w:val="single" w:color="auto" w:sz="4" w:space="0"/>
              <w:right w:val="single" w:color="auto" w:sz="4" w:space="0"/>
            </w:tcBorders>
            <w:shd w:val="clear" w:color="auto" w:fill="auto"/>
            <w:noWrap/>
            <w:vAlign w:val="center"/>
          </w:tcPr>
          <w:p w14:paraId="58CC620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0.00 </w:t>
            </w:r>
          </w:p>
        </w:tc>
        <w:tc>
          <w:tcPr>
            <w:tcW w:w="2982" w:type="dxa"/>
            <w:tcBorders>
              <w:top w:val="nil"/>
              <w:left w:val="nil"/>
              <w:bottom w:val="single" w:color="auto" w:sz="4" w:space="0"/>
              <w:right w:val="single" w:color="auto" w:sz="4" w:space="0"/>
            </w:tcBorders>
            <w:shd w:val="clear" w:color="auto" w:fill="auto"/>
            <w:noWrap/>
            <w:vAlign w:val="center"/>
          </w:tcPr>
          <w:p w14:paraId="10AB13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500" w:type="dxa"/>
            <w:tcBorders>
              <w:top w:val="nil"/>
              <w:left w:val="nil"/>
              <w:bottom w:val="single" w:color="auto" w:sz="4" w:space="0"/>
              <w:right w:val="single" w:color="auto" w:sz="4" w:space="0"/>
            </w:tcBorders>
            <w:shd w:val="clear" w:color="auto" w:fill="auto"/>
            <w:noWrap/>
            <w:vAlign w:val="center"/>
          </w:tcPr>
          <w:p w14:paraId="046B5C3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60</w:t>
            </w:r>
          </w:p>
        </w:tc>
        <w:tc>
          <w:tcPr>
            <w:tcW w:w="900" w:type="dxa"/>
            <w:tcBorders>
              <w:top w:val="nil"/>
              <w:left w:val="nil"/>
              <w:bottom w:val="single" w:color="auto" w:sz="4" w:space="0"/>
              <w:right w:val="single" w:color="auto" w:sz="4" w:space="0"/>
            </w:tcBorders>
            <w:shd w:val="clear" w:color="auto" w:fill="auto"/>
            <w:noWrap/>
            <w:vAlign w:val="center"/>
          </w:tcPr>
          <w:p w14:paraId="40B173B7">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0.00 </w:t>
            </w:r>
          </w:p>
        </w:tc>
        <w:tc>
          <w:tcPr>
            <w:tcW w:w="1450" w:type="dxa"/>
            <w:tcBorders>
              <w:top w:val="nil"/>
              <w:left w:val="nil"/>
              <w:bottom w:val="single" w:color="auto" w:sz="4" w:space="0"/>
              <w:right w:val="single" w:color="auto" w:sz="4" w:space="0"/>
            </w:tcBorders>
            <w:shd w:val="clear" w:color="auto" w:fill="auto"/>
            <w:noWrap/>
            <w:vAlign w:val="center"/>
          </w:tcPr>
          <w:p w14:paraId="201C3E75">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0.00 </w:t>
            </w:r>
          </w:p>
        </w:tc>
        <w:tc>
          <w:tcPr>
            <w:tcW w:w="1750" w:type="dxa"/>
            <w:tcBorders>
              <w:top w:val="nil"/>
              <w:left w:val="nil"/>
              <w:bottom w:val="single" w:color="auto" w:sz="4" w:space="0"/>
              <w:right w:val="single" w:color="auto" w:sz="4" w:space="0"/>
            </w:tcBorders>
            <w:shd w:val="clear" w:color="auto" w:fill="auto"/>
            <w:noWrap/>
            <w:vAlign w:val="center"/>
          </w:tcPr>
          <w:p w14:paraId="574C20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5" w:type="dxa"/>
            <w:tcBorders>
              <w:top w:val="nil"/>
              <w:left w:val="nil"/>
              <w:bottom w:val="single" w:color="auto" w:sz="4" w:space="0"/>
              <w:right w:val="single" w:color="auto" w:sz="4" w:space="0"/>
            </w:tcBorders>
            <w:shd w:val="clear" w:color="auto" w:fill="auto"/>
            <w:noWrap/>
            <w:vAlign w:val="center"/>
          </w:tcPr>
          <w:p w14:paraId="7BADB67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DD5035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D03D0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7AD840B9">
            <w:pPr>
              <w:widowControl/>
              <w:jc w:val="center"/>
              <w:rPr>
                <w:rFonts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821" w:type="dxa"/>
            <w:tcBorders>
              <w:top w:val="nil"/>
              <w:left w:val="nil"/>
              <w:bottom w:val="single" w:color="auto" w:sz="4" w:space="0"/>
              <w:right w:val="single" w:color="auto" w:sz="4" w:space="0"/>
            </w:tcBorders>
            <w:shd w:val="clear" w:color="auto" w:fill="auto"/>
            <w:noWrap/>
            <w:vAlign w:val="center"/>
          </w:tcPr>
          <w:p w14:paraId="0F944DC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0.00 </w:t>
            </w:r>
          </w:p>
        </w:tc>
        <w:tc>
          <w:tcPr>
            <w:tcW w:w="2982" w:type="dxa"/>
            <w:tcBorders>
              <w:top w:val="nil"/>
              <w:left w:val="nil"/>
              <w:bottom w:val="single" w:color="auto" w:sz="4" w:space="0"/>
              <w:right w:val="single" w:color="auto" w:sz="4" w:space="0"/>
            </w:tcBorders>
            <w:shd w:val="clear" w:color="auto" w:fill="auto"/>
            <w:noWrap/>
            <w:vAlign w:val="center"/>
          </w:tcPr>
          <w:p w14:paraId="166900F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00" w:type="dxa"/>
            <w:tcBorders>
              <w:top w:val="nil"/>
              <w:left w:val="nil"/>
              <w:bottom w:val="single" w:color="auto" w:sz="4" w:space="0"/>
              <w:right w:val="single" w:color="auto" w:sz="4" w:space="0"/>
            </w:tcBorders>
            <w:shd w:val="clear" w:color="auto" w:fill="auto"/>
            <w:noWrap/>
            <w:vAlign w:val="center"/>
          </w:tcPr>
          <w:p w14:paraId="772E29F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61</w:t>
            </w:r>
          </w:p>
        </w:tc>
        <w:tc>
          <w:tcPr>
            <w:tcW w:w="900" w:type="dxa"/>
            <w:tcBorders>
              <w:top w:val="nil"/>
              <w:left w:val="nil"/>
              <w:bottom w:val="single" w:color="auto" w:sz="4" w:space="0"/>
              <w:right w:val="single" w:color="auto" w:sz="4" w:space="0"/>
            </w:tcBorders>
            <w:shd w:val="clear" w:color="auto" w:fill="auto"/>
            <w:noWrap/>
            <w:vAlign w:val="center"/>
          </w:tcPr>
          <w:p w14:paraId="3CE9F6C3">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7AA8C39D">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3449E8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5" w:type="dxa"/>
            <w:tcBorders>
              <w:top w:val="nil"/>
              <w:left w:val="nil"/>
              <w:bottom w:val="single" w:color="auto" w:sz="4" w:space="0"/>
              <w:right w:val="single" w:color="auto" w:sz="4" w:space="0"/>
            </w:tcBorders>
            <w:shd w:val="clear" w:color="auto" w:fill="auto"/>
            <w:noWrap/>
            <w:vAlign w:val="center"/>
          </w:tcPr>
          <w:p w14:paraId="0B8694F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DFCCDB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D0F14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000000" w:fill="FFFFFF"/>
            <w:noWrap/>
            <w:vAlign w:val="center"/>
          </w:tcPr>
          <w:p w14:paraId="29162754">
            <w:pPr>
              <w:widowControl/>
              <w:jc w:val="center"/>
              <w:rPr>
                <w:rFonts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821" w:type="dxa"/>
            <w:tcBorders>
              <w:top w:val="nil"/>
              <w:left w:val="nil"/>
              <w:bottom w:val="single" w:color="auto" w:sz="4" w:space="0"/>
              <w:right w:val="single" w:color="auto" w:sz="4" w:space="0"/>
            </w:tcBorders>
            <w:shd w:val="clear" w:color="auto" w:fill="auto"/>
            <w:noWrap/>
            <w:vAlign w:val="center"/>
          </w:tcPr>
          <w:p w14:paraId="0964E2BD">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3A4E2DD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00" w:type="dxa"/>
            <w:tcBorders>
              <w:top w:val="nil"/>
              <w:left w:val="nil"/>
              <w:bottom w:val="single" w:color="auto" w:sz="4" w:space="0"/>
              <w:right w:val="single" w:color="auto" w:sz="4" w:space="0"/>
            </w:tcBorders>
            <w:shd w:val="clear" w:color="auto" w:fill="auto"/>
            <w:noWrap/>
            <w:vAlign w:val="center"/>
          </w:tcPr>
          <w:p w14:paraId="2E3F0F7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62</w:t>
            </w:r>
          </w:p>
        </w:tc>
        <w:tc>
          <w:tcPr>
            <w:tcW w:w="900" w:type="dxa"/>
            <w:tcBorders>
              <w:top w:val="nil"/>
              <w:left w:val="nil"/>
              <w:bottom w:val="single" w:color="auto" w:sz="4" w:space="0"/>
              <w:right w:val="single" w:color="auto" w:sz="4" w:space="0"/>
            </w:tcBorders>
            <w:shd w:val="clear" w:color="auto" w:fill="auto"/>
            <w:noWrap/>
            <w:vAlign w:val="center"/>
          </w:tcPr>
          <w:p w14:paraId="5649C51E">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0FECCC29">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1BF436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5" w:type="dxa"/>
            <w:tcBorders>
              <w:top w:val="nil"/>
              <w:left w:val="nil"/>
              <w:bottom w:val="single" w:color="auto" w:sz="4" w:space="0"/>
              <w:right w:val="single" w:color="auto" w:sz="4" w:space="0"/>
            </w:tcBorders>
            <w:shd w:val="clear" w:color="auto" w:fill="auto"/>
            <w:noWrap/>
            <w:vAlign w:val="center"/>
          </w:tcPr>
          <w:p w14:paraId="38D76CB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BFC739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1B2F5A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6EA6BA0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31</w:t>
            </w:r>
          </w:p>
        </w:tc>
        <w:tc>
          <w:tcPr>
            <w:tcW w:w="821" w:type="dxa"/>
            <w:tcBorders>
              <w:top w:val="nil"/>
              <w:left w:val="nil"/>
              <w:bottom w:val="single" w:color="auto" w:sz="4" w:space="0"/>
              <w:right w:val="single" w:color="auto" w:sz="4" w:space="0"/>
            </w:tcBorders>
            <w:shd w:val="clear" w:color="auto" w:fill="auto"/>
            <w:noWrap/>
            <w:vAlign w:val="center"/>
          </w:tcPr>
          <w:p w14:paraId="3CC6442F">
            <w:pPr>
              <w:widowControl/>
              <w:jc w:val="center"/>
              <w:rPr>
                <w:rFonts w:ascii="Times New Roman" w:hAnsi="Times New Roman" w:eastAsia="仿宋_GB2312" w:cs="Times New Roman"/>
                <w:kern w:val="0"/>
                <w:sz w:val="22"/>
              </w:rPr>
            </w:pPr>
          </w:p>
        </w:tc>
        <w:tc>
          <w:tcPr>
            <w:tcW w:w="2982" w:type="dxa"/>
            <w:tcBorders>
              <w:top w:val="nil"/>
              <w:left w:val="nil"/>
              <w:bottom w:val="single" w:color="auto" w:sz="4" w:space="0"/>
              <w:right w:val="single" w:color="auto" w:sz="4" w:space="0"/>
            </w:tcBorders>
            <w:shd w:val="clear" w:color="auto" w:fill="auto"/>
            <w:noWrap/>
            <w:vAlign w:val="center"/>
          </w:tcPr>
          <w:p w14:paraId="127216E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00" w:type="dxa"/>
            <w:tcBorders>
              <w:top w:val="nil"/>
              <w:left w:val="nil"/>
              <w:bottom w:val="single" w:color="auto" w:sz="4" w:space="0"/>
              <w:right w:val="single" w:color="auto" w:sz="4" w:space="0"/>
            </w:tcBorders>
            <w:shd w:val="clear" w:color="auto" w:fill="auto"/>
            <w:noWrap/>
            <w:vAlign w:val="center"/>
          </w:tcPr>
          <w:p w14:paraId="7749166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63</w:t>
            </w:r>
          </w:p>
        </w:tc>
        <w:tc>
          <w:tcPr>
            <w:tcW w:w="900" w:type="dxa"/>
            <w:tcBorders>
              <w:top w:val="nil"/>
              <w:left w:val="nil"/>
              <w:bottom w:val="single" w:color="auto" w:sz="4" w:space="0"/>
              <w:right w:val="single" w:color="auto" w:sz="4" w:space="0"/>
            </w:tcBorders>
            <w:shd w:val="clear" w:color="auto" w:fill="auto"/>
            <w:noWrap/>
            <w:vAlign w:val="center"/>
          </w:tcPr>
          <w:p w14:paraId="16129CC2">
            <w:pPr>
              <w:widowControl/>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14:paraId="3D7E79F4">
            <w:pPr>
              <w:widowControl/>
              <w:jc w:val="center"/>
              <w:rPr>
                <w:rFonts w:hint="eastAsia" w:ascii="Times New Roman" w:hAnsi="Times New Roman" w:eastAsia="仿宋_GB2312" w:cs="Times New Roman"/>
                <w:kern w:val="0"/>
                <w:sz w:val="22"/>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14:paraId="15F2423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85" w:type="dxa"/>
            <w:tcBorders>
              <w:top w:val="nil"/>
              <w:left w:val="nil"/>
              <w:bottom w:val="single" w:color="auto" w:sz="4" w:space="0"/>
              <w:right w:val="single" w:color="auto" w:sz="4" w:space="0"/>
            </w:tcBorders>
            <w:shd w:val="clear" w:color="auto" w:fill="auto"/>
            <w:noWrap/>
            <w:vAlign w:val="center"/>
          </w:tcPr>
          <w:p w14:paraId="152D7D4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965DB9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715DBB1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3289C6F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w:t>
            </w:r>
          </w:p>
        </w:tc>
        <w:tc>
          <w:tcPr>
            <w:tcW w:w="821" w:type="dxa"/>
            <w:tcBorders>
              <w:top w:val="nil"/>
              <w:left w:val="nil"/>
              <w:bottom w:val="single" w:color="auto" w:sz="4" w:space="0"/>
              <w:right w:val="single" w:color="auto" w:sz="4" w:space="0"/>
            </w:tcBorders>
            <w:shd w:val="clear" w:color="auto" w:fill="auto"/>
            <w:noWrap/>
            <w:vAlign w:val="center"/>
          </w:tcPr>
          <w:p w14:paraId="5662355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415.78 </w:t>
            </w:r>
          </w:p>
        </w:tc>
        <w:tc>
          <w:tcPr>
            <w:tcW w:w="2982" w:type="dxa"/>
            <w:tcBorders>
              <w:top w:val="nil"/>
              <w:left w:val="nil"/>
              <w:bottom w:val="single" w:color="auto" w:sz="4" w:space="0"/>
              <w:right w:val="single" w:color="auto" w:sz="4" w:space="0"/>
            </w:tcBorders>
            <w:shd w:val="clear" w:color="000000" w:fill="FFFFFF"/>
            <w:noWrap/>
            <w:vAlign w:val="center"/>
          </w:tcPr>
          <w:p w14:paraId="2E44089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00" w:type="dxa"/>
            <w:tcBorders>
              <w:top w:val="nil"/>
              <w:left w:val="nil"/>
              <w:bottom w:val="single" w:color="auto" w:sz="4" w:space="0"/>
              <w:right w:val="single" w:color="auto" w:sz="4" w:space="0"/>
            </w:tcBorders>
            <w:shd w:val="clear" w:color="000000" w:fill="FFFFFF"/>
            <w:noWrap/>
            <w:vAlign w:val="center"/>
          </w:tcPr>
          <w:p w14:paraId="7C38F37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64</w:t>
            </w:r>
          </w:p>
        </w:tc>
        <w:tc>
          <w:tcPr>
            <w:tcW w:w="900" w:type="dxa"/>
            <w:tcBorders>
              <w:top w:val="nil"/>
              <w:left w:val="nil"/>
              <w:bottom w:val="single" w:color="auto" w:sz="4" w:space="0"/>
              <w:right w:val="single" w:color="auto" w:sz="4" w:space="0"/>
            </w:tcBorders>
            <w:shd w:val="clear" w:color="000000" w:fill="FFFFFF"/>
            <w:noWrap/>
            <w:vAlign w:val="center"/>
          </w:tcPr>
          <w:p w14:paraId="68100D88">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415.78 </w:t>
            </w:r>
          </w:p>
        </w:tc>
        <w:tc>
          <w:tcPr>
            <w:tcW w:w="1450" w:type="dxa"/>
            <w:tcBorders>
              <w:top w:val="nil"/>
              <w:left w:val="nil"/>
              <w:bottom w:val="single" w:color="auto" w:sz="4" w:space="0"/>
              <w:right w:val="single" w:color="auto" w:sz="4" w:space="0"/>
            </w:tcBorders>
            <w:shd w:val="clear" w:color="000000" w:fill="FFFFFF"/>
            <w:noWrap/>
            <w:vAlign w:val="center"/>
          </w:tcPr>
          <w:p w14:paraId="30B72B31">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415.78 </w:t>
            </w:r>
          </w:p>
        </w:tc>
        <w:tc>
          <w:tcPr>
            <w:tcW w:w="1750" w:type="dxa"/>
            <w:tcBorders>
              <w:top w:val="nil"/>
              <w:left w:val="nil"/>
              <w:bottom w:val="single" w:color="auto" w:sz="4" w:space="0"/>
              <w:right w:val="single" w:color="auto" w:sz="4" w:space="0"/>
            </w:tcBorders>
            <w:shd w:val="clear" w:color="auto" w:fill="auto"/>
            <w:noWrap/>
            <w:vAlign w:val="center"/>
          </w:tcPr>
          <w:p w14:paraId="21AA073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685" w:type="dxa"/>
            <w:tcBorders>
              <w:top w:val="nil"/>
              <w:left w:val="nil"/>
              <w:bottom w:val="single" w:color="auto" w:sz="4" w:space="0"/>
              <w:right w:val="single" w:color="auto" w:sz="4" w:space="0"/>
            </w:tcBorders>
            <w:shd w:val="clear" w:color="auto" w:fill="auto"/>
            <w:noWrap/>
            <w:vAlign w:val="center"/>
          </w:tcPr>
          <w:p w14:paraId="76B0954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30A8D9F1">
      <w:pPr>
        <w:widowControl/>
        <w:jc w:val="left"/>
        <w:rPr>
          <w:rFonts w:ascii="Times New Roman" w:hAnsi="Times New Roman" w:eastAsia="仿宋_GB2312" w:cs="Times New Roman"/>
          <w:kern w:val="0"/>
          <w:sz w:val="24"/>
          <w:szCs w:val="24"/>
        </w:rPr>
      </w:pPr>
    </w:p>
    <w:p w14:paraId="61A82DB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7B0DF767">
      <w:pPr>
        <w:widowControl/>
        <w:jc w:val="center"/>
        <w:rPr>
          <w:rFonts w:ascii="Times New Roman" w:hAnsi="Times New Roman" w:eastAsia="方正小标宋_GBK" w:cs="Times New Roman"/>
          <w:kern w:val="0"/>
          <w:sz w:val="36"/>
          <w:szCs w:val="36"/>
        </w:rPr>
      </w:pPr>
    </w:p>
    <w:p w14:paraId="61ECC5FE">
      <w:pPr>
        <w:pStyle w:val="8"/>
        <w:rPr>
          <w:rFonts w:ascii="Times New Roman" w:hAnsi="Times New Roman" w:eastAsia="方正小标宋_GBK" w:cs="Times New Roman"/>
          <w:kern w:val="0"/>
          <w:sz w:val="36"/>
          <w:szCs w:val="36"/>
        </w:rPr>
      </w:pPr>
    </w:p>
    <w:p w14:paraId="6E51A4E5"/>
    <w:p w14:paraId="2C068A52">
      <w:pPr>
        <w:pStyle w:val="8"/>
      </w:pPr>
    </w:p>
    <w:p w14:paraId="16BC9EC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647EC524">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bidi="ar"/>
        </w:rPr>
        <w:t xml:space="preserve">怀化市委市政府机关老干部休养所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3460EDD4">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913"/>
        <w:gridCol w:w="2614"/>
        <w:gridCol w:w="3492"/>
        <w:gridCol w:w="3000"/>
      </w:tblGrid>
      <w:tr w14:paraId="622F410A">
        <w:tblPrEx>
          <w:tblCellMar>
            <w:top w:w="0" w:type="dxa"/>
            <w:left w:w="108" w:type="dxa"/>
            <w:bottom w:w="0" w:type="dxa"/>
            <w:right w:w="108" w:type="dxa"/>
          </w:tblCellMar>
        </w:tblPrEx>
        <w:trPr>
          <w:trHeight w:val="545" w:hRule="atLeast"/>
          <w:jc w:val="center"/>
        </w:trPr>
        <w:tc>
          <w:tcPr>
            <w:tcW w:w="5113"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56DDB57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106" w:type="dxa"/>
            <w:gridSpan w:val="3"/>
            <w:tcBorders>
              <w:top w:val="single" w:color="auto" w:sz="8" w:space="0"/>
              <w:left w:val="nil"/>
              <w:bottom w:val="single" w:color="auto" w:sz="4" w:space="0"/>
              <w:right w:val="single" w:color="000000" w:sz="8" w:space="0"/>
            </w:tcBorders>
            <w:shd w:val="clear" w:color="auto" w:fill="auto"/>
            <w:vAlign w:val="center"/>
          </w:tcPr>
          <w:p w14:paraId="4187238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9B84E17">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171CC2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913" w:type="dxa"/>
            <w:vMerge w:val="restart"/>
            <w:tcBorders>
              <w:top w:val="nil"/>
              <w:left w:val="single" w:color="auto" w:sz="4" w:space="0"/>
              <w:bottom w:val="single" w:color="auto" w:sz="4" w:space="0"/>
              <w:right w:val="single" w:color="auto" w:sz="4" w:space="0"/>
            </w:tcBorders>
            <w:shd w:val="clear" w:color="auto" w:fill="auto"/>
            <w:vAlign w:val="center"/>
          </w:tcPr>
          <w:p w14:paraId="44E5073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614" w:type="dxa"/>
            <w:vMerge w:val="restart"/>
            <w:tcBorders>
              <w:top w:val="nil"/>
              <w:left w:val="single" w:color="auto" w:sz="4" w:space="0"/>
              <w:bottom w:val="single" w:color="000000" w:sz="4" w:space="0"/>
              <w:right w:val="single" w:color="auto" w:sz="4" w:space="0"/>
            </w:tcBorders>
            <w:shd w:val="clear" w:color="auto" w:fill="auto"/>
            <w:vAlign w:val="center"/>
          </w:tcPr>
          <w:p w14:paraId="3D6A4C6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5927795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214540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109D526">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3A374C6">
            <w:pPr>
              <w:widowControl/>
              <w:jc w:val="left"/>
              <w:rPr>
                <w:rFonts w:ascii="Times New Roman" w:hAnsi="Times New Roman" w:eastAsia="仿宋_GB2312" w:cs="Times New Roman"/>
                <w:kern w:val="0"/>
                <w:szCs w:val="21"/>
              </w:rPr>
            </w:pPr>
          </w:p>
        </w:tc>
        <w:tc>
          <w:tcPr>
            <w:tcW w:w="3913" w:type="dxa"/>
            <w:vMerge w:val="continue"/>
            <w:tcBorders>
              <w:top w:val="nil"/>
              <w:left w:val="single" w:color="auto" w:sz="4" w:space="0"/>
              <w:bottom w:val="single" w:color="auto" w:sz="4" w:space="0"/>
              <w:right w:val="single" w:color="auto" w:sz="4" w:space="0"/>
            </w:tcBorders>
            <w:vAlign w:val="center"/>
          </w:tcPr>
          <w:p w14:paraId="01E29965">
            <w:pPr>
              <w:widowControl/>
              <w:jc w:val="left"/>
              <w:rPr>
                <w:rFonts w:ascii="Times New Roman" w:hAnsi="Times New Roman" w:eastAsia="仿宋_GB2312" w:cs="Times New Roman"/>
                <w:kern w:val="0"/>
                <w:szCs w:val="21"/>
              </w:rPr>
            </w:pPr>
          </w:p>
        </w:tc>
        <w:tc>
          <w:tcPr>
            <w:tcW w:w="2614" w:type="dxa"/>
            <w:vMerge w:val="continue"/>
            <w:tcBorders>
              <w:top w:val="nil"/>
              <w:left w:val="single" w:color="auto" w:sz="4" w:space="0"/>
              <w:bottom w:val="single" w:color="000000" w:sz="4" w:space="0"/>
              <w:right w:val="single" w:color="auto" w:sz="4" w:space="0"/>
            </w:tcBorders>
            <w:vAlign w:val="center"/>
          </w:tcPr>
          <w:p w14:paraId="1AFEA91B">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43B9A9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BD93C0C">
            <w:pPr>
              <w:widowControl/>
              <w:jc w:val="left"/>
              <w:rPr>
                <w:rFonts w:ascii="Times New Roman" w:hAnsi="Times New Roman" w:eastAsia="仿宋_GB2312" w:cs="Times New Roman"/>
                <w:kern w:val="0"/>
                <w:szCs w:val="21"/>
              </w:rPr>
            </w:pPr>
          </w:p>
        </w:tc>
      </w:tr>
      <w:tr w14:paraId="4FC95965">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C894210">
            <w:pPr>
              <w:widowControl/>
              <w:jc w:val="left"/>
              <w:rPr>
                <w:rFonts w:ascii="Times New Roman" w:hAnsi="Times New Roman" w:eastAsia="仿宋_GB2312" w:cs="Times New Roman"/>
                <w:kern w:val="0"/>
                <w:szCs w:val="21"/>
              </w:rPr>
            </w:pPr>
          </w:p>
        </w:tc>
        <w:tc>
          <w:tcPr>
            <w:tcW w:w="3913" w:type="dxa"/>
            <w:vMerge w:val="continue"/>
            <w:tcBorders>
              <w:top w:val="nil"/>
              <w:left w:val="single" w:color="auto" w:sz="4" w:space="0"/>
              <w:bottom w:val="single" w:color="auto" w:sz="4" w:space="0"/>
              <w:right w:val="single" w:color="auto" w:sz="4" w:space="0"/>
            </w:tcBorders>
            <w:vAlign w:val="center"/>
          </w:tcPr>
          <w:p w14:paraId="65E9BB99">
            <w:pPr>
              <w:widowControl/>
              <w:jc w:val="left"/>
              <w:rPr>
                <w:rFonts w:ascii="Times New Roman" w:hAnsi="Times New Roman" w:eastAsia="仿宋_GB2312" w:cs="Times New Roman"/>
                <w:kern w:val="0"/>
                <w:szCs w:val="21"/>
              </w:rPr>
            </w:pPr>
          </w:p>
        </w:tc>
        <w:tc>
          <w:tcPr>
            <w:tcW w:w="2614" w:type="dxa"/>
            <w:vMerge w:val="continue"/>
            <w:tcBorders>
              <w:top w:val="nil"/>
              <w:left w:val="single" w:color="auto" w:sz="4" w:space="0"/>
              <w:bottom w:val="single" w:color="000000" w:sz="4" w:space="0"/>
              <w:right w:val="single" w:color="auto" w:sz="4" w:space="0"/>
            </w:tcBorders>
            <w:vAlign w:val="center"/>
          </w:tcPr>
          <w:p w14:paraId="1826F38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AB746B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C80D6F1">
            <w:pPr>
              <w:widowControl/>
              <w:jc w:val="left"/>
              <w:rPr>
                <w:rFonts w:ascii="Times New Roman" w:hAnsi="Times New Roman" w:eastAsia="仿宋_GB2312" w:cs="Times New Roman"/>
                <w:kern w:val="0"/>
                <w:szCs w:val="21"/>
              </w:rPr>
            </w:pPr>
          </w:p>
        </w:tc>
      </w:tr>
      <w:tr w14:paraId="3B919E0D">
        <w:tblPrEx>
          <w:tblCellMar>
            <w:top w:w="0" w:type="dxa"/>
            <w:left w:w="108" w:type="dxa"/>
            <w:bottom w:w="0" w:type="dxa"/>
            <w:right w:w="108" w:type="dxa"/>
          </w:tblCellMar>
        </w:tblPrEx>
        <w:trPr>
          <w:trHeight w:val="450" w:hRule="atLeast"/>
          <w:jc w:val="center"/>
        </w:trPr>
        <w:tc>
          <w:tcPr>
            <w:tcW w:w="511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ADF52B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614" w:type="dxa"/>
            <w:tcBorders>
              <w:top w:val="nil"/>
              <w:left w:val="nil"/>
              <w:bottom w:val="single" w:color="auto" w:sz="4" w:space="0"/>
              <w:right w:val="single" w:color="auto" w:sz="4" w:space="0"/>
            </w:tcBorders>
            <w:shd w:val="clear" w:color="auto" w:fill="auto"/>
            <w:vAlign w:val="center"/>
          </w:tcPr>
          <w:p w14:paraId="76600F6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C9381D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44DAFBC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2B1A736C">
        <w:tblPrEx>
          <w:tblCellMar>
            <w:top w:w="0" w:type="dxa"/>
            <w:left w:w="108" w:type="dxa"/>
            <w:bottom w:w="0" w:type="dxa"/>
            <w:right w:w="108" w:type="dxa"/>
          </w:tblCellMar>
        </w:tblPrEx>
        <w:trPr>
          <w:trHeight w:val="450" w:hRule="atLeast"/>
          <w:jc w:val="center"/>
        </w:trPr>
        <w:tc>
          <w:tcPr>
            <w:tcW w:w="511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9D9047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614" w:type="dxa"/>
            <w:tcBorders>
              <w:top w:val="nil"/>
              <w:left w:val="nil"/>
              <w:bottom w:val="single" w:color="auto" w:sz="4" w:space="0"/>
              <w:right w:val="single" w:color="auto" w:sz="4" w:space="0"/>
            </w:tcBorders>
            <w:shd w:val="clear" w:color="auto" w:fill="auto"/>
            <w:vAlign w:val="center"/>
          </w:tcPr>
          <w:p w14:paraId="6428123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415.78 </w:t>
            </w:r>
          </w:p>
        </w:tc>
        <w:tc>
          <w:tcPr>
            <w:tcW w:w="3492" w:type="dxa"/>
            <w:tcBorders>
              <w:top w:val="nil"/>
              <w:left w:val="nil"/>
              <w:bottom w:val="single" w:color="auto" w:sz="4" w:space="0"/>
              <w:right w:val="single" w:color="auto" w:sz="4" w:space="0"/>
            </w:tcBorders>
            <w:shd w:val="clear" w:color="auto" w:fill="auto"/>
            <w:vAlign w:val="center"/>
          </w:tcPr>
          <w:p w14:paraId="1095A1D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353.64 </w:t>
            </w:r>
          </w:p>
        </w:tc>
        <w:tc>
          <w:tcPr>
            <w:tcW w:w="3000" w:type="dxa"/>
            <w:tcBorders>
              <w:top w:val="nil"/>
              <w:left w:val="nil"/>
              <w:bottom w:val="single" w:color="auto" w:sz="4" w:space="0"/>
              <w:right w:val="single" w:color="auto" w:sz="8" w:space="0"/>
            </w:tcBorders>
            <w:shd w:val="clear" w:color="auto" w:fill="auto"/>
            <w:vAlign w:val="center"/>
          </w:tcPr>
          <w:p w14:paraId="06CE2F9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62.14 </w:t>
            </w:r>
          </w:p>
        </w:tc>
      </w:tr>
      <w:tr w14:paraId="4BA36FA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0C3531E">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3913" w:type="dxa"/>
            <w:tcBorders>
              <w:top w:val="nil"/>
              <w:left w:val="nil"/>
              <w:bottom w:val="single" w:color="auto" w:sz="4" w:space="0"/>
              <w:right w:val="single" w:color="auto" w:sz="4" w:space="0"/>
            </w:tcBorders>
            <w:shd w:val="clear" w:color="auto" w:fill="auto"/>
            <w:vAlign w:val="center"/>
          </w:tcPr>
          <w:p w14:paraId="39D5082E">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2614" w:type="dxa"/>
            <w:tcBorders>
              <w:top w:val="nil"/>
              <w:left w:val="nil"/>
              <w:bottom w:val="single" w:color="auto" w:sz="4" w:space="0"/>
              <w:right w:val="single" w:color="auto" w:sz="4" w:space="0"/>
            </w:tcBorders>
            <w:shd w:val="clear" w:color="auto" w:fill="auto"/>
            <w:vAlign w:val="center"/>
          </w:tcPr>
          <w:p w14:paraId="65A69F2A">
            <w:pPr>
              <w:keepNext w:val="0"/>
              <w:keepLines w:val="0"/>
              <w:pageBreakBefore w:val="0"/>
              <w:widowControl w:val="0"/>
              <w:suppressLineNumbers w:val="0"/>
              <w:kinsoku/>
              <w:wordWrap/>
              <w:overflowPunct/>
              <w:topLinePunct w:val="0"/>
              <w:autoSpaceDE/>
              <w:autoSpaceDN/>
              <w:bidi w:val="0"/>
              <w:adjustRightInd/>
              <w:snapToGrid/>
              <w:spacing w:line="400" w:lineRule="exact"/>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13.40 </w:t>
            </w:r>
          </w:p>
        </w:tc>
        <w:tc>
          <w:tcPr>
            <w:tcW w:w="3492" w:type="dxa"/>
            <w:tcBorders>
              <w:top w:val="nil"/>
              <w:left w:val="nil"/>
              <w:bottom w:val="single" w:color="auto" w:sz="4" w:space="0"/>
              <w:right w:val="single" w:color="auto" w:sz="4" w:space="0"/>
            </w:tcBorders>
            <w:shd w:val="clear" w:color="auto" w:fill="auto"/>
            <w:vAlign w:val="center"/>
          </w:tcPr>
          <w:p w14:paraId="2BB4A663">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09327E84">
            <w:pPr>
              <w:keepNext w:val="0"/>
              <w:keepLines w:val="0"/>
              <w:pageBreakBefore w:val="0"/>
              <w:widowControl w:val="0"/>
              <w:suppressLineNumbers w:val="0"/>
              <w:kinsoku/>
              <w:wordWrap/>
              <w:overflowPunct/>
              <w:topLinePunct w:val="0"/>
              <w:autoSpaceDE/>
              <w:autoSpaceDN/>
              <w:bidi w:val="0"/>
              <w:adjustRightInd/>
              <w:snapToGrid/>
              <w:spacing w:line="400" w:lineRule="exact"/>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13.40 </w:t>
            </w:r>
          </w:p>
        </w:tc>
      </w:tr>
      <w:tr w14:paraId="3EA6B95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71A5981">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2080501</w:t>
            </w:r>
          </w:p>
        </w:tc>
        <w:tc>
          <w:tcPr>
            <w:tcW w:w="3913" w:type="dxa"/>
            <w:tcBorders>
              <w:top w:val="nil"/>
              <w:left w:val="nil"/>
              <w:bottom w:val="single" w:color="auto" w:sz="4" w:space="0"/>
              <w:right w:val="single" w:color="auto" w:sz="4" w:space="0"/>
            </w:tcBorders>
            <w:shd w:val="clear" w:color="auto" w:fill="auto"/>
            <w:vAlign w:val="center"/>
          </w:tcPr>
          <w:p w14:paraId="1170E65F">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行政单位离退休</w:t>
            </w:r>
          </w:p>
        </w:tc>
        <w:tc>
          <w:tcPr>
            <w:tcW w:w="2614" w:type="dxa"/>
            <w:tcBorders>
              <w:top w:val="nil"/>
              <w:left w:val="nil"/>
              <w:bottom w:val="single" w:color="auto" w:sz="4" w:space="0"/>
              <w:right w:val="single" w:color="auto" w:sz="4" w:space="0"/>
            </w:tcBorders>
            <w:shd w:val="clear" w:color="auto" w:fill="auto"/>
            <w:vAlign w:val="center"/>
          </w:tcPr>
          <w:p w14:paraId="4FC5101F">
            <w:pPr>
              <w:keepNext w:val="0"/>
              <w:keepLines w:val="0"/>
              <w:pageBreakBefore w:val="0"/>
              <w:widowControl w:val="0"/>
              <w:suppressLineNumbers w:val="0"/>
              <w:kinsoku/>
              <w:wordWrap/>
              <w:overflowPunct/>
              <w:topLinePunct w:val="0"/>
              <w:autoSpaceDE/>
              <w:autoSpaceDN/>
              <w:bidi w:val="0"/>
              <w:adjustRightInd/>
              <w:snapToGrid/>
              <w:spacing w:line="400" w:lineRule="exact"/>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26.64 </w:t>
            </w:r>
          </w:p>
        </w:tc>
        <w:tc>
          <w:tcPr>
            <w:tcW w:w="3492" w:type="dxa"/>
            <w:tcBorders>
              <w:top w:val="nil"/>
              <w:left w:val="nil"/>
              <w:bottom w:val="single" w:color="auto" w:sz="4" w:space="0"/>
              <w:right w:val="single" w:color="auto" w:sz="4" w:space="0"/>
            </w:tcBorders>
            <w:shd w:val="clear" w:color="auto" w:fill="auto"/>
            <w:vAlign w:val="center"/>
          </w:tcPr>
          <w:p w14:paraId="68D33DEE">
            <w:pPr>
              <w:keepNext w:val="0"/>
              <w:keepLines w:val="0"/>
              <w:pageBreakBefore w:val="0"/>
              <w:widowControl w:val="0"/>
              <w:suppressLineNumbers w:val="0"/>
              <w:kinsoku/>
              <w:wordWrap/>
              <w:overflowPunct/>
              <w:topLinePunct w:val="0"/>
              <w:autoSpaceDE/>
              <w:autoSpaceDN/>
              <w:bidi w:val="0"/>
              <w:adjustRightInd/>
              <w:snapToGrid/>
              <w:spacing w:line="400" w:lineRule="exact"/>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16.34 </w:t>
            </w:r>
          </w:p>
        </w:tc>
        <w:tc>
          <w:tcPr>
            <w:tcW w:w="3000" w:type="dxa"/>
            <w:tcBorders>
              <w:top w:val="nil"/>
              <w:left w:val="nil"/>
              <w:bottom w:val="single" w:color="auto" w:sz="4" w:space="0"/>
              <w:right w:val="single" w:color="auto" w:sz="8" w:space="0"/>
            </w:tcBorders>
            <w:shd w:val="clear" w:color="auto" w:fill="auto"/>
            <w:vAlign w:val="center"/>
          </w:tcPr>
          <w:p w14:paraId="7F5A9B36">
            <w:pPr>
              <w:keepNext w:val="0"/>
              <w:keepLines w:val="0"/>
              <w:pageBreakBefore w:val="0"/>
              <w:widowControl w:val="0"/>
              <w:suppressLineNumbers w:val="0"/>
              <w:kinsoku/>
              <w:wordWrap/>
              <w:overflowPunct/>
              <w:topLinePunct w:val="0"/>
              <w:autoSpaceDE/>
              <w:autoSpaceDN/>
              <w:bidi w:val="0"/>
              <w:adjustRightInd/>
              <w:snapToGrid/>
              <w:spacing w:line="400" w:lineRule="exact"/>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10.29 </w:t>
            </w:r>
          </w:p>
        </w:tc>
      </w:tr>
      <w:tr w14:paraId="4C9E53E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84F20DA">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2080503</w:t>
            </w:r>
          </w:p>
        </w:tc>
        <w:tc>
          <w:tcPr>
            <w:tcW w:w="3913" w:type="dxa"/>
            <w:tcBorders>
              <w:top w:val="nil"/>
              <w:left w:val="nil"/>
              <w:bottom w:val="single" w:color="auto" w:sz="4" w:space="0"/>
              <w:right w:val="single" w:color="auto" w:sz="4" w:space="0"/>
            </w:tcBorders>
            <w:shd w:val="clear" w:color="auto" w:fill="auto"/>
            <w:vAlign w:val="center"/>
          </w:tcPr>
          <w:p w14:paraId="5AD16780">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离退休人员管理机构</w:t>
            </w:r>
          </w:p>
        </w:tc>
        <w:tc>
          <w:tcPr>
            <w:tcW w:w="2614" w:type="dxa"/>
            <w:tcBorders>
              <w:top w:val="nil"/>
              <w:left w:val="nil"/>
              <w:bottom w:val="single" w:color="auto" w:sz="4" w:space="0"/>
              <w:right w:val="single" w:color="auto" w:sz="4" w:space="0"/>
            </w:tcBorders>
            <w:shd w:val="clear" w:color="auto" w:fill="auto"/>
            <w:vAlign w:val="center"/>
          </w:tcPr>
          <w:p w14:paraId="5AF877D9">
            <w:pPr>
              <w:keepNext w:val="0"/>
              <w:keepLines w:val="0"/>
              <w:pageBreakBefore w:val="0"/>
              <w:widowControl w:val="0"/>
              <w:suppressLineNumbers w:val="0"/>
              <w:kinsoku/>
              <w:wordWrap/>
              <w:overflowPunct/>
              <w:topLinePunct w:val="0"/>
              <w:autoSpaceDE/>
              <w:autoSpaceDN/>
              <w:bidi w:val="0"/>
              <w:adjustRightInd/>
              <w:snapToGrid/>
              <w:spacing w:line="400" w:lineRule="exact"/>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282.77 </w:t>
            </w:r>
          </w:p>
        </w:tc>
        <w:tc>
          <w:tcPr>
            <w:tcW w:w="3492" w:type="dxa"/>
            <w:tcBorders>
              <w:top w:val="nil"/>
              <w:left w:val="nil"/>
              <w:bottom w:val="single" w:color="auto" w:sz="4" w:space="0"/>
              <w:right w:val="single" w:color="auto" w:sz="4" w:space="0"/>
            </w:tcBorders>
            <w:shd w:val="clear" w:color="auto" w:fill="auto"/>
            <w:vAlign w:val="center"/>
          </w:tcPr>
          <w:p w14:paraId="68C39139">
            <w:pPr>
              <w:keepNext w:val="0"/>
              <w:keepLines w:val="0"/>
              <w:pageBreakBefore w:val="0"/>
              <w:widowControl w:val="0"/>
              <w:suppressLineNumbers w:val="0"/>
              <w:kinsoku/>
              <w:wordWrap/>
              <w:overflowPunct/>
              <w:topLinePunct w:val="0"/>
              <w:autoSpaceDE/>
              <w:autoSpaceDN/>
              <w:bidi w:val="0"/>
              <w:adjustRightInd/>
              <w:snapToGrid/>
              <w:spacing w:line="400" w:lineRule="exact"/>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261.66 </w:t>
            </w:r>
          </w:p>
        </w:tc>
        <w:tc>
          <w:tcPr>
            <w:tcW w:w="3000" w:type="dxa"/>
            <w:tcBorders>
              <w:top w:val="nil"/>
              <w:left w:val="nil"/>
              <w:bottom w:val="single" w:color="auto" w:sz="4" w:space="0"/>
              <w:right w:val="single" w:color="auto" w:sz="8" w:space="0"/>
            </w:tcBorders>
            <w:shd w:val="clear" w:color="auto" w:fill="auto"/>
            <w:vAlign w:val="center"/>
          </w:tcPr>
          <w:p w14:paraId="6EF992C2">
            <w:pPr>
              <w:keepNext w:val="0"/>
              <w:keepLines w:val="0"/>
              <w:pageBreakBefore w:val="0"/>
              <w:widowControl w:val="0"/>
              <w:suppressLineNumbers w:val="0"/>
              <w:kinsoku/>
              <w:wordWrap/>
              <w:overflowPunct/>
              <w:topLinePunct w:val="0"/>
              <w:autoSpaceDE/>
              <w:autoSpaceDN/>
              <w:bidi w:val="0"/>
              <w:adjustRightInd/>
              <w:snapToGrid/>
              <w:spacing w:line="400" w:lineRule="exact"/>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21.11 </w:t>
            </w:r>
          </w:p>
        </w:tc>
      </w:tr>
      <w:tr w14:paraId="1F8DB00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96317CC">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913" w:type="dxa"/>
            <w:tcBorders>
              <w:top w:val="nil"/>
              <w:left w:val="nil"/>
              <w:bottom w:val="single" w:color="auto" w:sz="4" w:space="0"/>
              <w:right w:val="single" w:color="auto" w:sz="4" w:space="0"/>
            </w:tcBorders>
            <w:shd w:val="clear" w:color="auto" w:fill="auto"/>
            <w:vAlign w:val="center"/>
          </w:tcPr>
          <w:p w14:paraId="59D7B636">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614" w:type="dxa"/>
            <w:tcBorders>
              <w:top w:val="nil"/>
              <w:left w:val="nil"/>
              <w:bottom w:val="single" w:color="auto" w:sz="4" w:space="0"/>
              <w:right w:val="single" w:color="auto" w:sz="4" w:space="0"/>
            </w:tcBorders>
            <w:shd w:val="clear" w:color="auto" w:fill="auto"/>
            <w:vAlign w:val="center"/>
          </w:tcPr>
          <w:p w14:paraId="41D5DBC6">
            <w:pPr>
              <w:keepNext w:val="0"/>
              <w:keepLines w:val="0"/>
              <w:pageBreakBefore w:val="0"/>
              <w:widowControl w:val="0"/>
              <w:suppressLineNumbers w:val="0"/>
              <w:kinsoku/>
              <w:wordWrap/>
              <w:overflowPunct/>
              <w:topLinePunct w:val="0"/>
              <w:autoSpaceDE/>
              <w:autoSpaceDN/>
              <w:bidi w:val="0"/>
              <w:adjustRightInd/>
              <w:snapToGrid/>
              <w:spacing w:line="400" w:lineRule="exact"/>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12.48 </w:t>
            </w:r>
          </w:p>
        </w:tc>
        <w:tc>
          <w:tcPr>
            <w:tcW w:w="3492" w:type="dxa"/>
            <w:tcBorders>
              <w:top w:val="nil"/>
              <w:left w:val="nil"/>
              <w:bottom w:val="single" w:color="auto" w:sz="4" w:space="0"/>
              <w:right w:val="single" w:color="auto" w:sz="4" w:space="0"/>
            </w:tcBorders>
            <w:shd w:val="clear" w:color="auto" w:fill="auto"/>
            <w:vAlign w:val="center"/>
          </w:tcPr>
          <w:p w14:paraId="4B54533D">
            <w:pPr>
              <w:keepNext w:val="0"/>
              <w:keepLines w:val="0"/>
              <w:pageBreakBefore w:val="0"/>
              <w:widowControl w:val="0"/>
              <w:suppressLineNumbers w:val="0"/>
              <w:kinsoku/>
              <w:wordWrap/>
              <w:overflowPunct/>
              <w:topLinePunct w:val="0"/>
              <w:autoSpaceDE/>
              <w:autoSpaceDN/>
              <w:bidi w:val="0"/>
              <w:adjustRightInd/>
              <w:snapToGrid/>
              <w:spacing w:line="400" w:lineRule="exact"/>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12.48 </w:t>
            </w:r>
          </w:p>
        </w:tc>
        <w:tc>
          <w:tcPr>
            <w:tcW w:w="3000" w:type="dxa"/>
            <w:tcBorders>
              <w:top w:val="nil"/>
              <w:left w:val="nil"/>
              <w:bottom w:val="single" w:color="auto" w:sz="4" w:space="0"/>
              <w:right w:val="single" w:color="auto" w:sz="8" w:space="0"/>
            </w:tcBorders>
            <w:shd w:val="clear" w:color="auto" w:fill="auto"/>
            <w:vAlign w:val="center"/>
          </w:tcPr>
          <w:p w14:paraId="4B4D10F5">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Cs w:val="21"/>
              </w:rPr>
            </w:pPr>
          </w:p>
        </w:tc>
      </w:tr>
      <w:tr w14:paraId="7A437E8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0F04AA2">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2080599</w:t>
            </w:r>
          </w:p>
        </w:tc>
        <w:tc>
          <w:tcPr>
            <w:tcW w:w="3913" w:type="dxa"/>
            <w:tcBorders>
              <w:top w:val="nil"/>
              <w:left w:val="nil"/>
              <w:bottom w:val="single" w:color="auto" w:sz="4" w:space="0"/>
              <w:right w:val="single" w:color="auto" w:sz="4" w:space="0"/>
            </w:tcBorders>
            <w:shd w:val="clear" w:color="auto" w:fill="auto"/>
            <w:vAlign w:val="center"/>
          </w:tcPr>
          <w:p w14:paraId="7CC121AA">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其他行政事业单位养老支出</w:t>
            </w:r>
          </w:p>
        </w:tc>
        <w:tc>
          <w:tcPr>
            <w:tcW w:w="2614" w:type="dxa"/>
            <w:tcBorders>
              <w:top w:val="nil"/>
              <w:left w:val="nil"/>
              <w:bottom w:val="single" w:color="auto" w:sz="4" w:space="0"/>
              <w:right w:val="single" w:color="auto" w:sz="4" w:space="0"/>
            </w:tcBorders>
            <w:shd w:val="clear" w:color="auto" w:fill="auto"/>
            <w:vAlign w:val="center"/>
          </w:tcPr>
          <w:p w14:paraId="2BA02F5C">
            <w:pPr>
              <w:keepNext w:val="0"/>
              <w:keepLines w:val="0"/>
              <w:pageBreakBefore w:val="0"/>
              <w:widowControl w:val="0"/>
              <w:suppressLineNumbers w:val="0"/>
              <w:kinsoku/>
              <w:wordWrap/>
              <w:overflowPunct/>
              <w:topLinePunct w:val="0"/>
              <w:autoSpaceDE/>
              <w:autoSpaceDN/>
              <w:bidi w:val="0"/>
              <w:adjustRightInd/>
              <w:snapToGrid/>
              <w:spacing w:line="400" w:lineRule="exact"/>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73.58 </w:t>
            </w:r>
          </w:p>
        </w:tc>
        <w:tc>
          <w:tcPr>
            <w:tcW w:w="3492" w:type="dxa"/>
            <w:tcBorders>
              <w:top w:val="nil"/>
              <w:left w:val="nil"/>
              <w:bottom w:val="single" w:color="auto" w:sz="4" w:space="0"/>
              <w:right w:val="single" w:color="auto" w:sz="4" w:space="0"/>
            </w:tcBorders>
            <w:shd w:val="clear" w:color="auto" w:fill="auto"/>
            <w:vAlign w:val="center"/>
          </w:tcPr>
          <w:p w14:paraId="5E6FBBB2">
            <w:pPr>
              <w:keepNext w:val="0"/>
              <w:keepLines w:val="0"/>
              <w:pageBreakBefore w:val="0"/>
              <w:widowControl w:val="0"/>
              <w:suppressLineNumbers w:val="0"/>
              <w:kinsoku/>
              <w:wordWrap/>
              <w:overflowPunct/>
              <w:topLinePunct w:val="0"/>
              <w:autoSpaceDE/>
              <w:autoSpaceDN/>
              <w:bidi w:val="0"/>
              <w:adjustRightInd/>
              <w:snapToGrid/>
              <w:spacing w:line="400" w:lineRule="exact"/>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56.24 </w:t>
            </w:r>
          </w:p>
        </w:tc>
        <w:tc>
          <w:tcPr>
            <w:tcW w:w="3000" w:type="dxa"/>
            <w:tcBorders>
              <w:top w:val="nil"/>
              <w:left w:val="nil"/>
              <w:bottom w:val="single" w:color="auto" w:sz="4" w:space="0"/>
              <w:right w:val="single" w:color="auto" w:sz="8" w:space="0"/>
            </w:tcBorders>
            <w:shd w:val="clear" w:color="auto" w:fill="auto"/>
            <w:vAlign w:val="center"/>
          </w:tcPr>
          <w:p w14:paraId="30F745E6">
            <w:pPr>
              <w:keepNext w:val="0"/>
              <w:keepLines w:val="0"/>
              <w:pageBreakBefore w:val="0"/>
              <w:widowControl w:val="0"/>
              <w:suppressLineNumbers w:val="0"/>
              <w:kinsoku/>
              <w:wordWrap/>
              <w:overflowPunct/>
              <w:topLinePunct w:val="0"/>
              <w:autoSpaceDE/>
              <w:autoSpaceDN/>
              <w:bidi w:val="0"/>
              <w:adjustRightInd/>
              <w:snapToGrid/>
              <w:spacing w:line="400" w:lineRule="exact"/>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17.34 </w:t>
            </w:r>
          </w:p>
        </w:tc>
      </w:tr>
      <w:tr w14:paraId="1ECD964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A36809C">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913" w:type="dxa"/>
            <w:tcBorders>
              <w:top w:val="nil"/>
              <w:left w:val="nil"/>
              <w:bottom w:val="single" w:color="auto" w:sz="4" w:space="0"/>
              <w:right w:val="single" w:color="auto" w:sz="4" w:space="0"/>
            </w:tcBorders>
            <w:shd w:val="clear" w:color="auto" w:fill="auto"/>
            <w:vAlign w:val="center"/>
          </w:tcPr>
          <w:p w14:paraId="6AB56566">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2614" w:type="dxa"/>
            <w:tcBorders>
              <w:top w:val="nil"/>
              <w:left w:val="nil"/>
              <w:bottom w:val="single" w:color="auto" w:sz="4" w:space="0"/>
              <w:right w:val="single" w:color="auto" w:sz="4" w:space="0"/>
            </w:tcBorders>
            <w:shd w:val="clear" w:color="auto" w:fill="auto"/>
            <w:vAlign w:val="center"/>
          </w:tcPr>
          <w:p w14:paraId="7C9CEDAC">
            <w:pPr>
              <w:keepNext w:val="0"/>
              <w:keepLines w:val="0"/>
              <w:pageBreakBefore w:val="0"/>
              <w:widowControl w:val="0"/>
              <w:suppressLineNumbers w:val="0"/>
              <w:kinsoku/>
              <w:wordWrap/>
              <w:overflowPunct/>
              <w:topLinePunct w:val="0"/>
              <w:autoSpaceDE/>
              <w:autoSpaceDN/>
              <w:bidi w:val="0"/>
              <w:adjustRightInd/>
              <w:snapToGrid/>
              <w:spacing w:line="400" w:lineRule="exact"/>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5.37 </w:t>
            </w:r>
          </w:p>
        </w:tc>
        <w:tc>
          <w:tcPr>
            <w:tcW w:w="3492" w:type="dxa"/>
            <w:tcBorders>
              <w:top w:val="nil"/>
              <w:left w:val="nil"/>
              <w:bottom w:val="single" w:color="auto" w:sz="4" w:space="0"/>
              <w:right w:val="single" w:color="auto" w:sz="4" w:space="0"/>
            </w:tcBorders>
            <w:shd w:val="clear" w:color="auto" w:fill="auto"/>
            <w:vAlign w:val="center"/>
          </w:tcPr>
          <w:p w14:paraId="7AFA7226">
            <w:pPr>
              <w:keepNext w:val="0"/>
              <w:keepLines w:val="0"/>
              <w:pageBreakBefore w:val="0"/>
              <w:widowControl w:val="0"/>
              <w:suppressLineNumbers w:val="0"/>
              <w:kinsoku/>
              <w:wordWrap/>
              <w:overflowPunct/>
              <w:topLinePunct w:val="0"/>
              <w:autoSpaceDE/>
              <w:autoSpaceDN/>
              <w:bidi w:val="0"/>
              <w:adjustRightInd/>
              <w:snapToGrid/>
              <w:spacing w:line="400" w:lineRule="exact"/>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5.37 </w:t>
            </w:r>
          </w:p>
        </w:tc>
        <w:tc>
          <w:tcPr>
            <w:tcW w:w="3000" w:type="dxa"/>
            <w:tcBorders>
              <w:top w:val="nil"/>
              <w:left w:val="nil"/>
              <w:bottom w:val="single" w:color="auto" w:sz="4" w:space="0"/>
              <w:right w:val="single" w:color="auto" w:sz="8" w:space="0"/>
            </w:tcBorders>
            <w:shd w:val="clear" w:color="auto" w:fill="auto"/>
            <w:vAlign w:val="center"/>
          </w:tcPr>
          <w:p w14:paraId="68CDDD1F">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Cs w:val="21"/>
              </w:rPr>
            </w:pPr>
          </w:p>
        </w:tc>
      </w:tr>
      <w:tr w14:paraId="6014B92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9AD94E9">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3913" w:type="dxa"/>
            <w:tcBorders>
              <w:top w:val="nil"/>
              <w:left w:val="nil"/>
              <w:bottom w:val="single" w:color="auto" w:sz="8" w:space="0"/>
              <w:right w:val="single" w:color="auto" w:sz="4" w:space="0"/>
            </w:tcBorders>
            <w:shd w:val="clear" w:color="auto" w:fill="auto"/>
            <w:vAlign w:val="center"/>
          </w:tcPr>
          <w:p w14:paraId="065D4D74">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住房公积金</w:t>
            </w:r>
          </w:p>
        </w:tc>
        <w:tc>
          <w:tcPr>
            <w:tcW w:w="2614" w:type="dxa"/>
            <w:tcBorders>
              <w:top w:val="nil"/>
              <w:left w:val="nil"/>
              <w:bottom w:val="single" w:color="auto" w:sz="8" w:space="0"/>
              <w:right w:val="single" w:color="auto" w:sz="4" w:space="0"/>
            </w:tcBorders>
            <w:shd w:val="clear" w:color="auto" w:fill="auto"/>
            <w:vAlign w:val="center"/>
          </w:tcPr>
          <w:p w14:paraId="43C92734">
            <w:pPr>
              <w:keepNext w:val="0"/>
              <w:keepLines w:val="0"/>
              <w:pageBreakBefore w:val="0"/>
              <w:widowControl w:val="0"/>
              <w:suppressLineNumbers w:val="0"/>
              <w:kinsoku/>
              <w:wordWrap/>
              <w:overflowPunct/>
              <w:topLinePunct w:val="0"/>
              <w:autoSpaceDE/>
              <w:autoSpaceDN/>
              <w:bidi w:val="0"/>
              <w:adjustRightInd/>
              <w:snapToGrid/>
              <w:spacing w:line="400" w:lineRule="exact"/>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1.55 </w:t>
            </w:r>
          </w:p>
        </w:tc>
        <w:tc>
          <w:tcPr>
            <w:tcW w:w="3492" w:type="dxa"/>
            <w:tcBorders>
              <w:top w:val="nil"/>
              <w:left w:val="nil"/>
              <w:bottom w:val="single" w:color="auto" w:sz="8" w:space="0"/>
              <w:right w:val="single" w:color="auto" w:sz="4" w:space="0"/>
            </w:tcBorders>
            <w:shd w:val="clear" w:color="auto" w:fill="auto"/>
            <w:vAlign w:val="center"/>
          </w:tcPr>
          <w:p w14:paraId="098FDCC0">
            <w:pPr>
              <w:keepNext w:val="0"/>
              <w:keepLines w:val="0"/>
              <w:pageBreakBefore w:val="0"/>
              <w:widowControl w:val="0"/>
              <w:suppressLineNumbers w:val="0"/>
              <w:kinsoku/>
              <w:wordWrap/>
              <w:overflowPunct/>
              <w:topLinePunct w:val="0"/>
              <w:autoSpaceDE/>
              <w:autoSpaceDN/>
              <w:bidi w:val="0"/>
              <w:adjustRightInd/>
              <w:snapToGrid/>
              <w:spacing w:line="400" w:lineRule="exact"/>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1.55 </w:t>
            </w:r>
          </w:p>
        </w:tc>
        <w:tc>
          <w:tcPr>
            <w:tcW w:w="3000" w:type="dxa"/>
            <w:tcBorders>
              <w:top w:val="nil"/>
              <w:left w:val="nil"/>
              <w:bottom w:val="single" w:color="auto" w:sz="8" w:space="0"/>
              <w:right w:val="single" w:color="auto" w:sz="8" w:space="0"/>
            </w:tcBorders>
            <w:shd w:val="clear" w:color="auto" w:fill="auto"/>
            <w:vAlign w:val="center"/>
          </w:tcPr>
          <w:p w14:paraId="068603CD">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Cs w:val="21"/>
              </w:rPr>
            </w:pPr>
          </w:p>
        </w:tc>
      </w:tr>
    </w:tbl>
    <w:p w14:paraId="51A2F8B2">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0B6BB98E">
      <w:pPr>
        <w:widowControl/>
        <w:jc w:val="left"/>
        <w:rPr>
          <w:rFonts w:ascii="Times New Roman" w:hAnsi="Times New Roman" w:eastAsia="仿宋_GB2312" w:cs="Times New Roman"/>
          <w:bCs/>
          <w:kern w:val="0"/>
          <w:szCs w:val="21"/>
        </w:rPr>
      </w:pPr>
    </w:p>
    <w:p w14:paraId="55045B9C">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C187EDC">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31F27B2D">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bidi="ar"/>
        </w:rPr>
        <w:t xml:space="preserve">怀化市委市政府机关老干部休养所 </w:t>
      </w:r>
      <w:r>
        <w:rPr>
          <w:rFonts w:ascii="Times New Roman" w:hAnsi="Times New Roman" w:eastAsia="仿宋_GB2312" w:cs="Times New Roman"/>
          <w:color w:val="000000"/>
          <w:kern w:val="0"/>
          <w:szCs w:val="21"/>
        </w:rPr>
        <w:t xml:space="preserve">                                                                                      公开06表</w:t>
      </w:r>
    </w:p>
    <w:p w14:paraId="36FDA5C2">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1"/>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1F8A413E">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1E14E4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308CCDE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5E713EC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3DA9D4D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5FF75C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412C287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1A4FD56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6A4C7B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F65A60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58A930A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7758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460B59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6B8C4868">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135.88</w:t>
            </w:r>
          </w:p>
        </w:tc>
        <w:tc>
          <w:tcPr>
            <w:tcW w:w="1116" w:type="dxa"/>
            <w:tcBorders>
              <w:top w:val="nil"/>
              <w:left w:val="nil"/>
              <w:bottom w:val="single" w:color="auto" w:sz="4" w:space="0"/>
              <w:right w:val="single" w:color="auto" w:sz="4" w:space="0"/>
            </w:tcBorders>
            <w:shd w:val="clear" w:color="auto" w:fill="auto"/>
            <w:noWrap/>
            <w:vAlign w:val="center"/>
          </w:tcPr>
          <w:p w14:paraId="020193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16F856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8CF1706">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27.05 </w:t>
            </w:r>
          </w:p>
        </w:tc>
        <w:tc>
          <w:tcPr>
            <w:tcW w:w="1217" w:type="dxa"/>
            <w:tcBorders>
              <w:top w:val="nil"/>
              <w:left w:val="nil"/>
              <w:bottom w:val="single" w:color="auto" w:sz="4" w:space="0"/>
              <w:right w:val="single" w:color="auto" w:sz="4" w:space="0"/>
            </w:tcBorders>
            <w:shd w:val="clear" w:color="auto" w:fill="auto"/>
            <w:noWrap/>
            <w:vAlign w:val="center"/>
          </w:tcPr>
          <w:p w14:paraId="3F5600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284EBA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66D695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00AEC87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0B45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3FE689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2902DF9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56.41</w:t>
            </w:r>
          </w:p>
        </w:tc>
        <w:tc>
          <w:tcPr>
            <w:tcW w:w="1116" w:type="dxa"/>
            <w:tcBorders>
              <w:top w:val="nil"/>
              <w:left w:val="nil"/>
              <w:bottom w:val="single" w:color="auto" w:sz="4" w:space="0"/>
              <w:right w:val="single" w:color="auto" w:sz="4" w:space="0"/>
            </w:tcBorders>
            <w:shd w:val="clear" w:color="auto" w:fill="auto"/>
            <w:noWrap/>
            <w:vAlign w:val="center"/>
          </w:tcPr>
          <w:p w14:paraId="0D1823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482203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32785C3A">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3.32 </w:t>
            </w:r>
          </w:p>
        </w:tc>
        <w:tc>
          <w:tcPr>
            <w:tcW w:w="1217" w:type="dxa"/>
            <w:tcBorders>
              <w:top w:val="nil"/>
              <w:left w:val="nil"/>
              <w:bottom w:val="single" w:color="auto" w:sz="4" w:space="0"/>
              <w:right w:val="single" w:color="auto" w:sz="4" w:space="0"/>
            </w:tcBorders>
            <w:shd w:val="clear" w:color="auto" w:fill="auto"/>
            <w:noWrap/>
            <w:vAlign w:val="center"/>
          </w:tcPr>
          <w:p w14:paraId="31A532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0D820B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1580CF6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7EEEC4A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0A42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32ADD1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6C20ADFF">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20.17</w:t>
            </w:r>
          </w:p>
        </w:tc>
        <w:tc>
          <w:tcPr>
            <w:tcW w:w="1116" w:type="dxa"/>
            <w:tcBorders>
              <w:top w:val="nil"/>
              <w:left w:val="nil"/>
              <w:bottom w:val="single" w:color="auto" w:sz="4" w:space="0"/>
              <w:right w:val="single" w:color="auto" w:sz="4" w:space="0"/>
            </w:tcBorders>
            <w:shd w:val="clear" w:color="auto" w:fill="auto"/>
            <w:noWrap/>
            <w:vAlign w:val="center"/>
          </w:tcPr>
          <w:p w14:paraId="29E0C6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8F13B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2B557782">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0.35 </w:t>
            </w:r>
          </w:p>
        </w:tc>
        <w:tc>
          <w:tcPr>
            <w:tcW w:w="1217" w:type="dxa"/>
            <w:tcBorders>
              <w:top w:val="nil"/>
              <w:left w:val="nil"/>
              <w:bottom w:val="single" w:color="auto" w:sz="4" w:space="0"/>
              <w:right w:val="single" w:color="auto" w:sz="4" w:space="0"/>
            </w:tcBorders>
            <w:shd w:val="clear" w:color="auto" w:fill="auto"/>
            <w:noWrap/>
            <w:vAlign w:val="center"/>
          </w:tcPr>
          <w:p w14:paraId="390EA9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7EE6A9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3C91C2C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7B48519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9AED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74E3D8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1D0965C6">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29.50</w:t>
            </w:r>
          </w:p>
        </w:tc>
        <w:tc>
          <w:tcPr>
            <w:tcW w:w="1116" w:type="dxa"/>
            <w:tcBorders>
              <w:top w:val="nil"/>
              <w:left w:val="nil"/>
              <w:bottom w:val="single" w:color="auto" w:sz="4" w:space="0"/>
              <w:right w:val="single" w:color="auto" w:sz="4" w:space="0"/>
            </w:tcBorders>
            <w:shd w:val="clear" w:color="auto" w:fill="auto"/>
            <w:noWrap/>
            <w:vAlign w:val="center"/>
          </w:tcPr>
          <w:p w14:paraId="5D6F3A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0D451C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264BBC9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652D41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00434A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4CAC6BC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63A96DB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C8AE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B90D5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59BA11D6">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3A59FD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834FF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543FF661">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3A6009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583147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4F6C19D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623C025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AECE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760D05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6DF14D48">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234D2F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773A06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54D0FC8A">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7C7C4C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0C84E6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57D8AC3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319DC83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4B09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5D3907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7FE2C997">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12.48</w:t>
            </w:r>
          </w:p>
        </w:tc>
        <w:tc>
          <w:tcPr>
            <w:tcW w:w="1116" w:type="dxa"/>
            <w:tcBorders>
              <w:top w:val="nil"/>
              <w:left w:val="nil"/>
              <w:bottom w:val="single" w:color="auto" w:sz="4" w:space="0"/>
              <w:right w:val="single" w:color="auto" w:sz="4" w:space="0"/>
            </w:tcBorders>
            <w:shd w:val="clear" w:color="auto" w:fill="auto"/>
            <w:noWrap/>
            <w:vAlign w:val="center"/>
          </w:tcPr>
          <w:p w14:paraId="0AE2F5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52A689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995C43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0ACF1F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4755F2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7C9C43D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4DA323C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057F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3ED047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73A123E4">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4454BA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30C462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2D83CC3D">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7B8C23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5D21E6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70A3376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3DE4FA1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71BD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BC5C7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60FA890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5.37</w:t>
            </w:r>
          </w:p>
        </w:tc>
        <w:tc>
          <w:tcPr>
            <w:tcW w:w="1116" w:type="dxa"/>
            <w:tcBorders>
              <w:top w:val="nil"/>
              <w:left w:val="nil"/>
              <w:bottom w:val="single" w:color="auto" w:sz="4" w:space="0"/>
              <w:right w:val="single" w:color="auto" w:sz="4" w:space="0"/>
            </w:tcBorders>
            <w:shd w:val="clear" w:color="auto" w:fill="auto"/>
            <w:noWrap/>
            <w:vAlign w:val="center"/>
          </w:tcPr>
          <w:p w14:paraId="7D8903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37259F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1BC33CB5">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FECED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1FA86E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5A7E176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3AC5F05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F829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709F7A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40E557C0">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729C3D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0BE4C0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6979D999">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5C50B8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694C20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260624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0183282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B13F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73A049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2BEB0346">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1.12</w:t>
            </w:r>
          </w:p>
        </w:tc>
        <w:tc>
          <w:tcPr>
            <w:tcW w:w="1116" w:type="dxa"/>
            <w:tcBorders>
              <w:top w:val="nil"/>
              <w:left w:val="nil"/>
              <w:bottom w:val="single" w:color="auto" w:sz="4" w:space="0"/>
              <w:right w:val="single" w:color="auto" w:sz="4" w:space="0"/>
            </w:tcBorders>
            <w:shd w:val="clear" w:color="auto" w:fill="auto"/>
            <w:noWrap/>
            <w:vAlign w:val="center"/>
          </w:tcPr>
          <w:p w14:paraId="09B224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6A2693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7A2BC5F5">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2.64 </w:t>
            </w:r>
          </w:p>
        </w:tc>
        <w:tc>
          <w:tcPr>
            <w:tcW w:w="1217" w:type="dxa"/>
            <w:tcBorders>
              <w:top w:val="nil"/>
              <w:left w:val="nil"/>
              <w:bottom w:val="single" w:color="auto" w:sz="4" w:space="0"/>
              <w:right w:val="single" w:color="auto" w:sz="4" w:space="0"/>
            </w:tcBorders>
            <w:shd w:val="clear" w:color="auto" w:fill="auto"/>
            <w:noWrap/>
            <w:vAlign w:val="center"/>
          </w:tcPr>
          <w:p w14:paraId="76CC0D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27FEC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0616F96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6BFFF0F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BED2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559982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0A3FE0B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10.83</w:t>
            </w:r>
          </w:p>
        </w:tc>
        <w:tc>
          <w:tcPr>
            <w:tcW w:w="1116" w:type="dxa"/>
            <w:tcBorders>
              <w:top w:val="nil"/>
              <w:left w:val="nil"/>
              <w:bottom w:val="single" w:color="auto" w:sz="4" w:space="0"/>
              <w:right w:val="single" w:color="auto" w:sz="4" w:space="0"/>
            </w:tcBorders>
            <w:shd w:val="clear" w:color="auto" w:fill="auto"/>
            <w:noWrap/>
            <w:vAlign w:val="center"/>
          </w:tcPr>
          <w:p w14:paraId="1DCF60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34C5CD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02D85207">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0CF72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44E944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3241B20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4F0301C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8CE6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3E5BB3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75665174">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3DD696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D4233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0D2F0BBD">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0.20 </w:t>
            </w:r>
          </w:p>
        </w:tc>
        <w:tc>
          <w:tcPr>
            <w:tcW w:w="1217" w:type="dxa"/>
            <w:tcBorders>
              <w:top w:val="nil"/>
              <w:left w:val="nil"/>
              <w:bottom w:val="single" w:color="auto" w:sz="4" w:space="0"/>
              <w:right w:val="single" w:color="auto" w:sz="4" w:space="0"/>
            </w:tcBorders>
            <w:shd w:val="clear" w:color="auto" w:fill="auto"/>
            <w:noWrap/>
            <w:vAlign w:val="center"/>
          </w:tcPr>
          <w:p w14:paraId="2ABF78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7B69CC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3024586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04D570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0D24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28711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666AA8A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4C9863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0E9F61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6E71C6EB">
            <w:pPr>
              <w:widowControl/>
              <w:jc w:val="center"/>
              <w:rPr>
                <w:rFonts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5765E4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7E899D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52B979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12AD260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FC70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4741FB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BA11DA0">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190.72</w:t>
            </w:r>
          </w:p>
        </w:tc>
        <w:tc>
          <w:tcPr>
            <w:tcW w:w="1116" w:type="dxa"/>
            <w:tcBorders>
              <w:top w:val="nil"/>
              <w:left w:val="nil"/>
              <w:bottom w:val="single" w:color="auto" w:sz="4" w:space="0"/>
              <w:right w:val="single" w:color="auto" w:sz="4" w:space="0"/>
            </w:tcBorders>
            <w:shd w:val="clear" w:color="auto" w:fill="auto"/>
            <w:noWrap/>
            <w:vAlign w:val="center"/>
          </w:tcPr>
          <w:p w14:paraId="36DE23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4C78EB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33FC37BB">
            <w:pPr>
              <w:widowControl/>
              <w:jc w:val="center"/>
              <w:rPr>
                <w:rFonts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83908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4608ED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617C991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1D0F4EF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387B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15DE04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306BFB87">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124.85</w:t>
            </w:r>
          </w:p>
        </w:tc>
        <w:tc>
          <w:tcPr>
            <w:tcW w:w="1116" w:type="dxa"/>
            <w:tcBorders>
              <w:top w:val="nil"/>
              <w:left w:val="nil"/>
              <w:bottom w:val="single" w:color="auto" w:sz="4" w:space="0"/>
              <w:right w:val="single" w:color="auto" w:sz="4" w:space="0"/>
            </w:tcBorders>
            <w:shd w:val="clear" w:color="auto" w:fill="auto"/>
            <w:noWrap/>
            <w:vAlign w:val="center"/>
          </w:tcPr>
          <w:p w14:paraId="7B048E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2998AE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47B44A16">
            <w:pPr>
              <w:widowControl/>
              <w:jc w:val="center"/>
              <w:rPr>
                <w:rFonts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1A6256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5BFF7F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680BF3A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728C7F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A42B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22EF73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5919F49C">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2F9C6D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702BC1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4C6D72F3">
            <w:pPr>
              <w:widowControl/>
              <w:jc w:val="center"/>
              <w:rPr>
                <w:rFonts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78FEFC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79C49D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7371FC5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67F32E2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754C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3B84B1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2FF7F375">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3FADD9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A7FE4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31B7A7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0.40 </w:t>
            </w:r>
          </w:p>
        </w:tc>
        <w:tc>
          <w:tcPr>
            <w:tcW w:w="1217" w:type="dxa"/>
            <w:tcBorders>
              <w:top w:val="nil"/>
              <w:left w:val="nil"/>
              <w:bottom w:val="single" w:color="auto" w:sz="4" w:space="0"/>
              <w:right w:val="single" w:color="auto" w:sz="4" w:space="0"/>
            </w:tcBorders>
            <w:shd w:val="clear" w:color="auto" w:fill="auto"/>
            <w:noWrap/>
            <w:vAlign w:val="center"/>
          </w:tcPr>
          <w:p w14:paraId="2F67C3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5CD131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63E5C9A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244ED0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D19D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6C59DE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0E2944F7">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0.70</w:t>
            </w:r>
          </w:p>
        </w:tc>
        <w:tc>
          <w:tcPr>
            <w:tcW w:w="1116" w:type="dxa"/>
            <w:tcBorders>
              <w:top w:val="nil"/>
              <w:left w:val="nil"/>
              <w:bottom w:val="single" w:color="auto" w:sz="4" w:space="0"/>
              <w:right w:val="single" w:color="auto" w:sz="4" w:space="0"/>
            </w:tcBorders>
            <w:shd w:val="clear" w:color="auto" w:fill="auto"/>
            <w:noWrap/>
            <w:vAlign w:val="center"/>
          </w:tcPr>
          <w:p w14:paraId="57D351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49E6BA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6DCBAB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77D5F0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83AAD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72826E5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0318FF8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CE93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4034E8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1A6DF621">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64.56</w:t>
            </w:r>
          </w:p>
        </w:tc>
        <w:tc>
          <w:tcPr>
            <w:tcW w:w="1116" w:type="dxa"/>
            <w:tcBorders>
              <w:top w:val="nil"/>
              <w:left w:val="nil"/>
              <w:bottom w:val="single" w:color="auto" w:sz="4" w:space="0"/>
              <w:right w:val="single" w:color="auto" w:sz="4" w:space="0"/>
            </w:tcBorders>
            <w:shd w:val="clear" w:color="auto" w:fill="auto"/>
            <w:noWrap/>
            <w:vAlign w:val="center"/>
          </w:tcPr>
          <w:p w14:paraId="63C1F6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4EA857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534A881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43E5C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760CAD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47F59D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0C26189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23DA6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245219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216A0CBF">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227B8B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494091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2AE7278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2BBFE0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68A2DE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060B90D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301ECB8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CC74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0A2BE7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20C35210">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0.16</w:t>
            </w:r>
          </w:p>
        </w:tc>
        <w:tc>
          <w:tcPr>
            <w:tcW w:w="1116" w:type="dxa"/>
            <w:tcBorders>
              <w:top w:val="nil"/>
              <w:left w:val="nil"/>
              <w:bottom w:val="single" w:color="auto" w:sz="4" w:space="0"/>
              <w:right w:val="single" w:color="auto" w:sz="4" w:space="0"/>
            </w:tcBorders>
            <w:shd w:val="clear" w:color="auto" w:fill="auto"/>
            <w:noWrap/>
            <w:vAlign w:val="center"/>
          </w:tcPr>
          <w:p w14:paraId="0855D7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2EEAFE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1603D64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AC8E9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7C4EA7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FA6583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3AE9152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B2FE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48AABA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18E669BC">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151459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5B2DC0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64288CA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7.38 </w:t>
            </w:r>
          </w:p>
        </w:tc>
        <w:tc>
          <w:tcPr>
            <w:tcW w:w="1217" w:type="dxa"/>
            <w:tcBorders>
              <w:top w:val="nil"/>
              <w:left w:val="nil"/>
              <w:bottom w:val="single" w:color="auto" w:sz="4" w:space="0"/>
              <w:right w:val="single" w:color="auto" w:sz="4" w:space="0"/>
            </w:tcBorders>
            <w:shd w:val="clear" w:color="auto" w:fill="auto"/>
            <w:noWrap/>
            <w:vAlign w:val="center"/>
          </w:tcPr>
          <w:p w14:paraId="03C34F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3F04D7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2185E55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37535ED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C95C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02A3E2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4E799B38">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44103B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516899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09FC8D8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1.86 </w:t>
            </w:r>
          </w:p>
        </w:tc>
        <w:tc>
          <w:tcPr>
            <w:tcW w:w="1217" w:type="dxa"/>
            <w:tcBorders>
              <w:top w:val="nil"/>
              <w:left w:val="nil"/>
              <w:bottom w:val="single" w:color="auto" w:sz="4" w:space="0"/>
              <w:right w:val="single" w:color="auto" w:sz="4" w:space="0"/>
            </w:tcBorders>
            <w:shd w:val="clear" w:color="auto" w:fill="auto"/>
            <w:noWrap/>
            <w:vAlign w:val="center"/>
          </w:tcPr>
          <w:p w14:paraId="7E0091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1FDD3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75BCC0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2BC197B2">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67B7A51C">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FC32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B8C54CD">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6422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3041E9B">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79BD0B6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D717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67039D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AC50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E8D2CD1">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3BBE7FE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67EDE8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AD77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72FD4E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228F8540">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100DDC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4DD1D8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2802FC9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7DCD8E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684D6C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0A068B4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054F432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1147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6A9C0F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46AE348C">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678935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790FE1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B30879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6.47 </w:t>
            </w:r>
          </w:p>
        </w:tc>
        <w:tc>
          <w:tcPr>
            <w:tcW w:w="1217" w:type="dxa"/>
            <w:tcBorders>
              <w:top w:val="nil"/>
              <w:left w:val="nil"/>
              <w:bottom w:val="single" w:color="auto" w:sz="4" w:space="0"/>
              <w:right w:val="single" w:color="auto" w:sz="4" w:space="0"/>
            </w:tcBorders>
            <w:shd w:val="clear" w:color="auto" w:fill="auto"/>
            <w:noWrap/>
            <w:vAlign w:val="center"/>
          </w:tcPr>
          <w:p w14:paraId="1B45F4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2EA743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2916C7AB">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4887FBD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2714A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02C10C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CA0D7D6">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0.43</w:t>
            </w:r>
          </w:p>
        </w:tc>
        <w:tc>
          <w:tcPr>
            <w:tcW w:w="1116" w:type="dxa"/>
            <w:tcBorders>
              <w:top w:val="nil"/>
              <w:left w:val="nil"/>
              <w:bottom w:val="single" w:color="auto" w:sz="4" w:space="0"/>
              <w:right w:val="single" w:color="auto" w:sz="4" w:space="0"/>
            </w:tcBorders>
            <w:shd w:val="clear" w:color="auto" w:fill="auto"/>
            <w:noWrap/>
            <w:vAlign w:val="center"/>
          </w:tcPr>
          <w:p w14:paraId="66D364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5C3072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45B8F8A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20B16FF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A75840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A77E65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 </w:t>
            </w:r>
          </w:p>
        </w:tc>
      </w:tr>
      <w:tr w14:paraId="19BA3EA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DD92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5C0E8F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1CB656C3">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37BDA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547512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D1ABD16">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4.42 </w:t>
            </w:r>
          </w:p>
        </w:tc>
        <w:tc>
          <w:tcPr>
            <w:tcW w:w="1217" w:type="dxa"/>
            <w:tcBorders>
              <w:top w:val="nil"/>
              <w:left w:val="nil"/>
              <w:bottom w:val="single" w:color="auto" w:sz="4" w:space="0"/>
              <w:right w:val="single" w:color="auto" w:sz="4" w:space="0"/>
            </w:tcBorders>
            <w:shd w:val="clear" w:color="auto" w:fill="auto"/>
            <w:noWrap/>
            <w:vAlign w:val="center"/>
          </w:tcPr>
          <w:p w14:paraId="75F8A4C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74504D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3D874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B6FC25">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20D8C4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66C2FC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0452024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C678592">
            <w:pPr>
              <w:widowControl/>
              <w:jc w:val="left"/>
              <w:rPr>
                <w:rFonts w:hint="default" w:ascii="Times New Roman" w:hAnsi="Times New Roman" w:eastAsia="仿宋_GB2312" w:cs="Times New Roman"/>
                <w:color w:val="000000"/>
                <w:kern w:val="0"/>
                <w:szCs w:val="18"/>
                <w:lang w:val="en-US"/>
              </w:rPr>
            </w:pPr>
            <w:r>
              <w:rPr>
                <w:rFonts w:ascii="Times New Roman" w:hAnsi="Times New Roman" w:eastAsia="仿宋_GB2312" w:cs="Times New Roman"/>
                <w:color w:val="000000"/>
                <w:kern w:val="0"/>
                <w:szCs w:val="18"/>
              </w:rPr>
              <w:t>　</w:t>
            </w:r>
            <w:r>
              <w:rPr>
                <w:rFonts w:hint="default" w:ascii="Times New Roman" w:hAnsi="Times New Roman" w:eastAsia="仿宋_GB2312" w:cs="Times New Roman"/>
                <w:color w:val="000000"/>
                <w:kern w:val="0"/>
                <w:szCs w:val="18"/>
                <w:lang w:val="en-US"/>
              </w:rPr>
              <w:t>27.05</w:t>
            </w:r>
          </w:p>
        </w:tc>
      </w:tr>
    </w:tbl>
    <w:p w14:paraId="508DB608">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51BA560">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6A54B69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7152803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0D5322F4">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怀化市委市政府机关老干部休养所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4A0A595">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EACA2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8"/>
                <w:rFonts w:hint="default" w:ascii="Times New Roman" w:hAnsi="Times New Roman" w:eastAsia="仿宋_GB2312" w:cs="Times New Roman"/>
                <w:b/>
                <w:bCs/>
                <w:lang w:bidi="ar"/>
              </w:rPr>
              <w:t xml:space="preserve">   </w:t>
            </w:r>
            <w:r>
              <w:rPr>
                <w:rStyle w:val="19"/>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9B980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14D0A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DF7A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F048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266ABC1D">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847E4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BC81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EE3DF">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A06A0">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DB300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D0AB4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84538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D7480">
            <w:pPr>
              <w:widowControl/>
              <w:jc w:val="center"/>
              <w:rPr>
                <w:rFonts w:ascii="Times New Roman" w:hAnsi="Times New Roman" w:eastAsia="仿宋_GB2312" w:cs="Times New Roman"/>
                <w:color w:val="000000"/>
                <w:sz w:val="24"/>
                <w:szCs w:val="24"/>
              </w:rPr>
            </w:pPr>
          </w:p>
        </w:tc>
      </w:tr>
      <w:tr w14:paraId="723EE7BF">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DE4A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2DEF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B80CB">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2506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956A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CF00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4F22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9DB53">
            <w:pPr>
              <w:jc w:val="center"/>
              <w:rPr>
                <w:rFonts w:ascii="Times New Roman" w:hAnsi="Times New Roman" w:eastAsia="仿宋_GB2312" w:cs="Times New Roman"/>
                <w:color w:val="000000"/>
                <w:sz w:val="24"/>
                <w:szCs w:val="24"/>
              </w:rPr>
            </w:pPr>
          </w:p>
        </w:tc>
      </w:tr>
      <w:tr w14:paraId="0A27A604">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7761F">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28CA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FED6D">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C656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B8D1C">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CFBA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FEA3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F7E39">
            <w:pPr>
              <w:jc w:val="center"/>
              <w:rPr>
                <w:rFonts w:ascii="Times New Roman" w:hAnsi="Times New Roman" w:eastAsia="仿宋_GB2312" w:cs="Times New Roman"/>
                <w:color w:val="000000"/>
                <w:sz w:val="24"/>
                <w:szCs w:val="24"/>
              </w:rPr>
            </w:pPr>
          </w:p>
        </w:tc>
      </w:tr>
      <w:tr w14:paraId="37ED98E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B09E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9038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977C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C05B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7A4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3192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64D4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240602A2">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00591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B28B6">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91FD0">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D50EF">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B4B5F">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BB02F">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EAA3F">
            <w:pPr>
              <w:jc w:val="center"/>
              <w:rPr>
                <w:rFonts w:ascii="Times New Roman" w:hAnsi="Times New Roman" w:eastAsia="仿宋_GB2312" w:cs="Times New Roman"/>
                <w:color w:val="000000"/>
                <w:sz w:val="24"/>
                <w:szCs w:val="24"/>
              </w:rPr>
            </w:pPr>
          </w:p>
        </w:tc>
      </w:tr>
      <w:tr w14:paraId="04BB572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1D05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3CDB4">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A168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B1A6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71C7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A5A5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0292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F5A10">
            <w:pPr>
              <w:rPr>
                <w:rFonts w:ascii="Times New Roman" w:hAnsi="Times New Roman" w:eastAsia="仿宋_GB2312" w:cs="Times New Roman"/>
                <w:color w:val="000000"/>
                <w:sz w:val="24"/>
                <w:szCs w:val="24"/>
              </w:rPr>
            </w:pPr>
          </w:p>
        </w:tc>
      </w:tr>
      <w:tr w14:paraId="2A26CB8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0D55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5674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0675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FE63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FB33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E81E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03C0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B8E07">
            <w:pPr>
              <w:rPr>
                <w:rFonts w:ascii="Times New Roman" w:hAnsi="Times New Roman" w:eastAsia="仿宋_GB2312" w:cs="Times New Roman"/>
                <w:color w:val="000000"/>
                <w:sz w:val="24"/>
                <w:szCs w:val="24"/>
              </w:rPr>
            </w:pPr>
          </w:p>
        </w:tc>
      </w:tr>
      <w:tr w14:paraId="0DAEA12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3549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238A3">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D5E5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9315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62E8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4551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F843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201F">
            <w:pPr>
              <w:rPr>
                <w:rFonts w:ascii="Times New Roman" w:hAnsi="Times New Roman" w:eastAsia="仿宋_GB2312" w:cs="Times New Roman"/>
                <w:color w:val="000000"/>
                <w:sz w:val="24"/>
                <w:szCs w:val="24"/>
              </w:rPr>
            </w:pPr>
          </w:p>
        </w:tc>
      </w:tr>
      <w:tr w14:paraId="6497EF7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59A5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5B5C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A545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9665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DCD9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4B6C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28D5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9F8B4">
            <w:pPr>
              <w:rPr>
                <w:rFonts w:ascii="Times New Roman" w:hAnsi="Times New Roman" w:eastAsia="仿宋_GB2312" w:cs="Times New Roman"/>
                <w:color w:val="000000"/>
                <w:sz w:val="24"/>
                <w:szCs w:val="24"/>
              </w:rPr>
            </w:pPr>
          </w:p>
        </w:tc>
      </w:tr>
      <w:tr w14:paraId="714E71B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C941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E0F6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A911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C070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17CD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49DA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7EB9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1C10F">
            <w:pPr>
              <w:rPr>
                <w:rFonts w:ascii="Times New Roman" w:hAnsi="Times New Roman" w:eastAsia="仿宋_GB2312" w:cs="Times New Roman"/>
                <w:color w:val="000000"/>
                <w:sz w:val="24"/>
                <w:szCs w:val="24"/>
              </w:rPr>
            </w:pPr>
          </w:p>
        </w:tc>
      </w:tr>
      <w:tr w14:paraId="1974F54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501C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D874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20DB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04B7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01E4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1167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62B2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931A4">
            <w:pPr>
              <w:rPr>
                <w:rFonts w:ascii="Times New Roman" w:hAnsi="Times New Roman" w:eastAsia="仿宋_GB2312" w:cs="Times New Roman"/>
                <w:color w:val="000000"/>
                <w:sz w:val="24"/>
                <w:szCs w:val="24"/>
              </w:rPr>
            </w:pPr>
          </w:p>
        </w:tc>
      </w:tr>
    </w:tbl>
    <w:p w14:paraId="36BED275">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35338E20">
      <w:pPr>
        <w:widowControl/>
        <w:jc w:val="left"/>
        <w:textAlignment w:val="center"/>
        <w:rPr>
          <w:rFonts w:ascii="Times New Roman" w:hAnsi="Times New Roman" w:eastAsia="仿宋_GB2312" w:cs="Times New Roman"/>
          <w:color w:val="000000"/>
          <w:kern w:val="0"/>
          <w:sz w:val="24"/>
          <w:szCs w:val="24"/>
          <w:lang w:bidi="ar"/>
        </w:rPr>
      </w:pPr>
    </w:p>
    <w:p w14:paraId="7D93DEF6">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245B10F1">
      <w:pPr>
        <w:widowControl/>
        <w:jc w:val="center"/>
        <w:rPr>
          <w:rFonts w:ascii="Times New Roman" w:hAnsi="Times New Roman" w:eastAsia="方正小标宋_GBK" w:cs="Times New Roman"/>
          <w:color w:val="000000"/>
          <w:kern w:val="0"/>
          <w:sz w:val="36"/>
          <w:szCs w:val="36"/>
        </w:rPr>
      </w:pPr>
    </w:p>
    <w:p w14:paraId="215DCFAD">
      <w:pPr>
        <w:widowControl/>
        <w:spacing w:line="400" w:lineRule="exact"/>
        <w:textAlignment w:val="center"/>
        <w:rPr>
          <w:rFonts w:ascii="Times New Roman" w:hAnsi="Times New Roman" w:eastAsia="黑体" w:cs="Times New Roman"/>
          <w:color w:val="000000"/>
          <w:kern w:val="0"/>
          <w:sz w:val="36"/>
          <w:szCs w:val="36"/>
          <w:lang w:bidi="ar"/>
        </w:rPr>
      </w:pPr>
    </w:p>
    <w:p w14:paraId="6574198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711F38D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7AC994B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怀化市委市政府机关老干部休养所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396630A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D8994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0"/>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359A9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43CA1759">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9B1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6AAD8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502F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FF2CF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24DDA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108202F7">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F3D5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B85A7">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F4C8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9B8B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E367D">
            <w:pPr>
              <w:jc w:val="center"/>
              <w:rPr>
                <w:rFonts w:ascii="Times New Roman" w:hAnsi="Times New Roman" w:eastAsia="仿宋_GB2312" w:cs="Times New Roman"/>
                <w:color w:val="000000"/>
                <w:sz w:val="24"/>
                <w:szCs w:val="24"/>
              </w:rPr>
            </w:pPr>
          </w:p>
        </w:tc>
      </w:tr>
      <w:tr w14:paraId="5C6F5871">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38F4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CD625">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E5DB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B08E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C12D3">
            <w:pPr>
              <w:jc w:val="center"/>
              <w:rPr>
                <w:rFonts w:ascii="Times New Roman" w:hAnsi="Times New Roman" w:eastAsia="仿宋_GB2312" w:cs="Times New Roman"/>
                <w:color w:val="000000"/>
                <w:sz w:val="24"/>
                <w:szCs w:val="24"/>
              </w:rPr>
            </w:pPr>
          </w:p>
        </w:tc>
      </w:tr>
      <w:tr w14:paraId="6DDB45B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C5FA4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3EA0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C46D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4105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3AB754C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B9879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7CAA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9726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19F85">
            <w:pPr>
              <w:jc w:val="center"/>
              <w:rPr>
                <w:rFonts w:ascii="Times New Roman" w:hAnsi="Times New Roman" w:eastAsia="仿宋_GB2312" w:cs="Times New Roman"/>
                <w:color w:val="000000"/>
                <w:sz w:val="24"/>
                <w:szCs w:val="24"/>
              </w:rPr>
            </w:pPr>
          </w:p>
        </w:tc>
      </w:tr>
      <w:tr w14:paraId="0B294C7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E6AA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E7999">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B1B3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AA01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A49E1">
            <w:pPr>
              <w:rPr>
                <w:rFonts w:ascii="Times New Roman" w:hAnsi="Times New Roman" w:eastAsia="仿宋_GB2312" w:cs="Times New Roman"/>
                <w:color w:val="000000"/>
                <w:sz w:val="24"/>
                <w:szCs w:val="24"/>
              </w:rPr>
            </w:pPr>
          </w:p>
        </w:tc>
      </w:tr>
      <w:tr w14:paraId="712EF57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0735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1EC65">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D559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AE2D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8E427">
            <w:pPr>
              <w:rPr>
                <w:rFonts w:ascii="Times New Roman" w:hAnsi="Times New Roman" w:eastAsia="仿宋_GB2312" w:cs="Times New Roman"/>
                <w:color w:val="000000"/>
                <w:sz w:val="24"/>
                <w:szCs w:val="24"/>
              </w:rPr>
            </w:pPr>
          </w:p>
        </w:tc>
      </w:tr>
      <w:tr w14:paraId="7318ADE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E6BC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80FA7">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47DB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CA87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E1873">
            <w:pPr>
              <w:rPr>
                <w:rFonts w:ascii="Times New Roman" w:hAnsi="Times New Roman" w:eastAsia="宋体" w:cs="Times New Roman"/>
                <w:color w:val="000000"/>
                <w:sz w:val="24"/>
                <w:szCs w:val="24"/>
              </w:rPr>
            </w:pPr>
          </w:p>
        </w:tc>
      </w:tr>
      <w:tr w14:paraId="5624B41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0181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DF0B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CD2C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811E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8C6B6">
            <w:pPr>
              <w:rPr>
                <w:rFonts w:ascii="Times New Roman" w:hAnsi="Times New Roman" w:eastAsia="宋体" w:cs="Times New Roman"/>
                <w:color w:val="000000"/>
                <w:sz w:val="24"/>
                <w:szCs w:val="24"/>
              </w:rPr>
            </w:pPr>
          </w:p>
        </w:tc>
      </w:tr>
      <w:tr w14:paraId="5275FCB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31DB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2A91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EE56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B3AE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9F36B">
            <w:pPr>
              <w:rPr>
                <w:rFonts w:ascii="Times New Roman" w:hAnsi="Times New Roman" w:eastAsia="宋体" w:cs="Times New Roman"/>
                <w:color w:val="000000"/>
                <w:sz w:val="24"/>
                <w:szCs w:val="24"/>
              </w:rPr>
            </w:pPr>
          </w:p>
        </w:tc>
      </w:tr>
      <w:tr w14:paraId="3711CFE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69BF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F9A1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FF62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1CA1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C61FA">
            <w:pPr>
              <w:rPr>
                <w:rFonts w:ascii="Times New Roman" w:hAnsi="Times New Roman" w:eastAsia="宋体" w:cs="Times New Roman"/>
                <w:color w:val="000000"/>
                <w:sz w:val="24"/>
                <w:szCs w:val="24"/>
              </w:rPr>
            </w:pPr>
          </w:p>
        </w:tc>
      </w:tr>
    </w:tbl>
    <w:p w14:paraId="12EDD2A3">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191CE342">
      <w:pPr>
        <w:widowControl/>
        <w:jc w:val="left"/>
        <w:textAlignment w:val="center"/>
        <w:rPr>
          <w:rFonts w:ascii="Times New Roman" w:hAnsi="Times New Roman" w:eastAsia="宋体" w:cs="Times New Roman"/>
          <w:color w:val="000000"/>
          <w:kern w:val="0"/>
          <w:sz w:val="24"/>
          <w:szCs w:val="24"/>
          <w:lang w:bidi="ar"/>
        </w:rPr>
      </w:pPr>
    </w:p>
    <w:p w14:paraId="49A6EAD6">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28300702">
      <w:pPr>
        <w:widowControl/>
        <w:jc w:val="center"/>
        <w:rPr>
          <w:rFonts w:ascii="Times New Roman" w:hAnsi="Times New Roman" w:eastAsia="方正小标宋_GBK" w:cs="Times New Roman"/>
          <w:color w:val="000000"/>
          <w:kern w:val="0"/>
          <w:sz w:val="36"/>
          <w:szCs w:val="36"/>
        </w:rPr>
      </w:pPr>
    </w:p>
    <w:p w14:paraId="5D06FFDD">
      <w:pPr>
        <w:pStyle w:val="8"/>
        <w:spacing w:line="400" w:lineRule="exact"/>
        <w:rPr>
          <w:rFonts w:ascii="Times New Roman" w:hAnsi="Times New Roman" w:eastAsia="华文中宋" w:cs="Times New Roman"/>
          <w:color w:val="000000"/>
          <w:kern w:val="0"/>
          <w:sz w:val="32"/>
          <w:szCs w:val="32"/>
          <w:lang w:bidi="ar"/>
        </w:rPr>
      </w:pPr>
    </w:p>
    <w:p w14:paraId="1561B5A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428F06C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1FF55F49">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怀化市委市政府机关老干部休养所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465FCCA2">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B0FC2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DA85D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0815A58E">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85441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AA74C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BC2F9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91670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9AF8D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977B4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32D0E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6FE96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50170324">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16AF9">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32919">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F11B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5A0D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F47C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457F5">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460F2">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77DF9">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115A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F99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D23E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E94AA">
            <w:pPr>
              <w:jc w:val="center"/>
              <w:rPr>
                <w:rFonts w:ascii="Times New Roman" w:hAnsi="Times New Roman" w:eastAsia="仿宋_GB2312" w:cs="Times New Roman"/>
                <w:color w:val="000000"/>
                <w:sz w:val="22"/>
              </w:rPr>
            </w:pPr>
          </w:p>
        </w:tc>
      </w:tr>
      <w:tr w14:paraId="314C8A90">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3A4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636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123E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51A1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614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38C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EC0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F325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4A8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804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511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EF9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1FDFC509">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240D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8.98 </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D6309">
            <w:pPr>
              <w:jc w:val="right"/>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2A97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8.98 </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08FC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7CBC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8.98 </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D1E25">
            <w:pPr>
              <w:jc w:val="right"/>
              <w:rPr>
                <w:rFonts w:ascii="Times New Roman" w:hAnsi="Times New Roman" w:eastAsia="仿宋_GB2312" w:cs="Times New Roman"/>
                <w:color w:val="000000"/>
                <w:sz w:val="22"/>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BB9E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8.98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4792D">
            <w:pPr>
              <w:jc w:val="right"/>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751D">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8.98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40D09">
            <w:pPr>
              <w:jc w:val="right"/>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0089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8.98 </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A9AD8">
            <w:pPr>
              <w:jc w:val="right"/>
              <w:rPr>
                <w:rFonts w:ascii="Times New Roman" w:hAnsi="Times New Roman" w:eastAsia="仿宋_GB2312" w:cs="Times New Roman"/>
                <w:color w:val="000000"/>
                <w:sz w:val="22"/>
              </w:rPr>
            </w:pPr>
          </w:p>
        </w:tc>
      </w:tr>
    </w:tbl>
    <w:p w14:paraId="1D26661D">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7ECE5D64">
      <w:pPr>
        <w:autoSpaceDE w:val="0"/>
        <w:autoSpaceDN w:val="0"/>
        <w:adjustRightInd w:val="0"/>
        <w:ind w:left="315" w:leftChars="150"/>
        <w:jc w:val="left"/>
        <w:rPr>
          <w:rFonts w:ascii="Times New Roman" w:hAnsi="Times New Roman" w:eastAsia="宋体" w:cs="Times New Roman"/>
          <w:kern w:val="0"/>
          <w:sz w:val="24"/>
          <w:szCs w:val="24"/>
        </w:rPr>
      </w:pPr>
    </w:p>
    <w:p w14:paraId="051FE8C1">
      <w:pPr>
        <w:autoSpaceDE w:val="0"/>
        <w:autoSpaceDN w:val="0"/>
        <w:adjustRightInd w:val="0"/>
        <w:ind w:left="315" w:leftChars="150"/>
        <w:jc w:val="left"/>
        <w:rPr>
          <w:rFonts w:ascii="Times New Roman" w:hAnsi="Times New Roman" w:eastAsia="宋体" w:cs="Times New Roman"/>
          <w:kern w:val="0"/>
          <w:sz w:val="24"/>
          <w:szCs w:val="24"/>
        </w:rPr>
      </w:pPr>
    </w:p>
    <w:p w14:paraId="040801B8">
      <w:pPr>
        <w:autoSpaceDE w:val="0"/>
        <w:autoSpaceDN w:val="0"/>
        <w:adjustRightInd w:val="0"/>
        <w:ind w:left="315" w:leftChars="150"/>
        <w:jc w:val="left"/>
        <w:rPr>
          <w:rFonts w:ascii="Times New Roman" w:hAnsi="Times New Roman" w:eastAsia="宋体" w:cs="Times New Roman"/>
          <w:kern w:val="0"/>
          <w:sz w:val="24"/>
          <w:szCs w:val="24"/>
        </w:rPr>
      </w:pPr>
    </w:p>
    <w:p w14:paraId="512FB700">
      <w:pPr>
        <w:autoSpaceDE w:val="0"/>
        <w:autoSpaceDN w:val="0"/>
        <w:adjustRightInd w:val="0"/>
        <w:ind w:left="315" w:leftChars="150"/>
        <w:jc w:val="left"/>
        <w:rPr>
          <w:rFonts w:ascii="Times New Roman" w:hAnsi="Times New Roman" w:eastAsia="宋体" w:cs="Times New Roman"/>
          <w:kern w:val="0"/>
          <w:sz w:val="24"/>
          <w:szCs w:val="24"/>
        </w:rPr>
      </w:pPr>
    </w:p>
    <w:p w14:paraId="62E37A47">
      <w:pPr>
        <w:autoSpaceDE w:val="0"/>
        <w:autoSpaceDN w:val="0"/>
        <w:adjustRightInd w:val="0"/>
        <w:ind w:left="315" w:leftChars="150"/>
        <w:jc w:val="left"/>
        <w:rPr>
          <w:rFonts w:ascii="Times New Roman" w:hAnsi="Times New Roman" w:eastAsia="宋体" w:cs="Times New Roman"/>
          <w:kern w:val="0"/>
          <w:sz w:val="24"/>
          <w:szCs w:val="24"/>
        </w:rPr>
      </w:pPr>
    </w:p>
    <w:p w14:paraId="6BEE6EAB">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14:paraId="50EE423D">
      <w:pPr>
        <w:pStyle w:val="15"/>
        <w:rPr>
          <w:rFonts w:ascii="Times New Roman" w:hAnsi="Times New Roman" w:cs="Times New Roman"/>
          <w:sz w:val="72"/>
          <w:szCs w:val="72"/>
        </w:rPr>
      </w:pPr>
    </w:p>
    <w:p w14:paraId="211446DE">
      <w:pPr>
        <w:pStyle w:val="15"/>
        <w:rPr>
          <w:rFonts w:ascii="Times New Roman" w:hAnsi="Times New Roman" w:cs="Times New Roman"/>
          <w:sz w:val="72"/>
          <w:szCs w:val="72"/>
        </w:rPr>
      </w:pPr>
    </w:p>
    <w:p w14:paraId="360C1136">
      <w:pPr>
        <w:pStyle w:val="15"/>
        <w:rPr>
          <w:rFonts w:ascii="Times New Roman" w:hAnsi="Times New Roman" w:cs="Times New Roman"/>
          <w:sz w:val="72"/>
          <w:szCs w:val="72"/>
        </w:rPr>
      </w:pPr>
    </w:p>
    <w:p w14:paraId="1846E21F">
      <w:pPr>
        <w:pStyle w:val="15"/>
        <w:jc w:val="center"/>
        <w:rPr>
          <w:rFonts w:ascii="Times New Roman" w:hAnsi="Times New Roman" w:cs="Times New Roman"/>
          <w:sz w:val="72"/>
          <w:szCs w:val="72"/>
        </w:rPr>
      </w:pPr>
    </w:p>
    <w:p w14:paraId="1B4D527D">
      <w:pPr>
        <w:pStyle w:val="15"/>
        <w:jc w:val="center"/>
        <w:rPr>
          <w:rFonts w:ascii="Times New Roman" w:hAnsi="Times New Roman" w:eastAsia="方正小标宋_GBK" w:cs="Times New Roman"/>
          <w:sz w:val="72"/>
          <w:szCs w:val="72"/>
        </w:rPr>
      </w:pPr>
    </w:p>
    <w:p w14:paraId="5DD29636">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7C1AC87">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1C6EFBFC">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A5EF364">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FB35E1C">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415.78</w:t>
      </w:r>
      <w:r>
        <w:rPr>
          <w:rFonts w:ascii="Times New Roman" w:hAnsi="Times New Roman" w:eastAsia="仿宋_GB2312" w:cs="Times New Roman"/>
          <w:sz w:val="32"/>
          <w:szCs w:val="32"/>
        </w:rPr>
        <w:t>万元。与上年相比，减少</w:t>
      </w:r>
      <w:r>
        <w:rPr>
          <w:rFonts w:hint="default" w:ascii="Times New Roman" w:hAnsi="Times New Roman" w:eastAsia="仿宋_GB2312" w:cs="Times New Roman"/>
          <w:sz w:val="32"/>
          <w:szCs w:val="32"/>
          <w:lang w:val="en-US"/>
        </w:rPr>
        <w:t>12.19</w:t>
      </w:r>
      <w:r>
        <w:rPr>
          <w:rFonts w:ascii="Times New Roman" w:hAnsi="Times New Roman" w:eastAsia="仿宋_GB2312" w:cs="Times New Roman"/>
          <w:sz w:val="32"/>
          <w:szCs w:val="32"/>
        </w:rPr>
        <w:t>万元，降低</w:t>
      </w:r>
      <w:r>
        <w:rPr>
          <w:rFonts w:hint="default" w:ascii="Times New Roman" w:hAnsi="Times New Roman" w:eastAsia="仿宋_GB2312" w:cs="Times New Roman"/>
          <w:sz w:val="32"/>
          <w:szCs w:val="32"/>
          <w:lang w:val="en-US"/>
        </w:rPr>
        <w:t>2.85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贯彻落实党政机关坚持过紧日子有关要求，厉行节约办一切事业，严控一般性支出，进一步优化支出结构，持续压降办公经费、会议培训等行政开支。同时坚持有保有压，优化支出结构，提高资金使用效率。</w:t>
      </w:r>
    </w:p>
    <w:p w14:paraId="60EE31C7">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F5AE2C2">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415.78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415.78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445C155">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152F38F">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415.78</w:t>
      </w:r>
      <w:r>
        <w:rPr>
          <w:rFonts w:ascii="Times New Roman" w:hAnsi="Times New Roman" w:eastAsia="仿宋_GB2312" w:cs="Times New Roman"/>
          <w:sz w:val="32"/>
          <w:szCs w:val="32"/>
        </w:rPr>
        <w:t>万元，其中：基本支出</w:t>
      </w:r>
      <w:r>
        <w:rPr>
          <w:rFonts w:hint="default" w:ascii="Times New Roman" w:hAnsi="Times New Roman" w:eastAsia="仿宋_GB2312" w:cs="Times New Roman"/>
          <w:sz w:val="32"/>
          <w:szCs w:val="32"/>
          <w:lang w:val="en-US"/>
        </w:rPr>
        <w:t>353.64</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rPr>
        <w:t>85.06</w:t>
      </w:r>
      <w:r>
        <w:rPr>
          <w:rFonts w:ascii="Times New Roman" w:hAnsi="Times New Roman" w:eastAsia="仿宋_GB2312" w:cs="Times New Roman"/>
          <w:sz w:val="32"/>
          <w:szCs w:val="32"/>
        </w:rPr>
        <w:t>%；项目支出</w:t>
      </w:r>
      <w:r>
        <w:rPr>
          <w:rFonts w:hint="default" w:ascii="Times New Roman" w:hAnsi="Times New Roman" w:eastAsia="仿宋_GB2312" w:cs="Times New Roman"/>
          <w:sz w:val="32"/>
          <w:szCs w:val="32"/>
          <w:lang w:val="en-US"/>
        </w:rPr>
        <w:t>62.14</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rPr>
        <w:t>14.94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BCB9CB2">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E22CDE8">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415.78</w:t>
      </w:r>
      <w:r>
        <w:rPr>
          <w:rFonts w:ascii="Times New Roman" w:hAnsi="Times New Roman" w:eastAsia="仿宋_GB2312" w:cs="Times New Roman"/>
          <w:sz w:val="32"/>
          <w:szCs w:val="32"/>
        </w:rPr>
        <w:t>万元，与上年相比，减少</w:t>
      </w:r>
      <w:r>
        <w:rPr>
          <w:rFonts w:hint="default" w:ascii="Times New Roman" w:hAnsi="Times New Roman" w:eastAsia="仿宋_GB2312" w:cs="Times New Roman"/>
          <w:sz w:val="32"/>
          <w:szCs w:val="32"/>
          <w:lang w:val="en-US"/>
        </w:rPr>
        <w:t>12.19</w:t>
      </w:r>
      <w:r>
        <w:rPr>
          <w:rFonts w:ascii="Times New Roman" w:hAnsi="Times New Roman" w:eastAsia="仿宋_GB2312" w:cs="Times New Roman"/>
          <w:sz w:val="32"/>
          <w:szCs w:val="32"/>
        </w:rPr>
        <w:t>万元，降低</w:t>
      </w:r>
      <w:r>
        <w:rPr>
          <w:rFonts w:hint="default" w:ascii="Times New Roman" w:hAnsi="Times New Roman" w:eastAsia="仿宋_GB2312" w:cs="Times New Roman"/>
          <w:sz w:val="32"/>
          <w:szCs w:val="32"/>
          <w:lang w:val="en-US"/>
        </w:rPr>
        <w:t>2.85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贯彻落实党政机关坚持过紧日子有关要求，厉行节约办一切事业，严控一般性支出。</w:t>
      </w:r>
    </w:p>
    <w:p w14:paraId="3957C07C">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045E1A9">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888540E">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415.78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%，与上年相比，财政拨款支出减少</w:t>
      </w:r>
      <w:r>
        <w:rPr>
          <w:rFonts w:hint="default" w:ascii="Times New Roman" w:hAnsi="Times New Roman" w:eastAsia="仿宋_GB2312" w:cs="Times New Roman"/>
          <w:sz w:val="32"/>
          <w:szCs w:val="32"/>
          <w:lang w:val="en-US"/>
        </w:rPr>
        <w:t>12.19</w:t>
      </w:r>
      <w:r>
        <w:rPr>
          <w:rFonts w:ascii="Times New Roman" w:hAnsi="Times New Roman" w:eastAsia="仿宋_GB2312" w:cs="Times New Roman"/>
          <w:sz w:val="32"/>
          <w:szCs w:val="32"/>
        </w:rPr>
        <w:t>万元，降低</w:t>
      </w:r>
      <w:r>
        <w:rPr>
          <w:rFonts w:hint="default" w:ascii="Times New Roman" w:hAnsi="Times New Roman" w:eastAsia="仿宋_GB2312" w:cs="Times New Roman"/>
          <w:sz w:val="32"/>
          <w:szCs w:val="32"/>
          <w:lang w:val="en-US"/>
        </w:rPr>
        <w:t>2.85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贯彻落实党政机关坚持过紧日子有关要求，厉行节约办一切事业，严控一般性支出。</w:t>
      </w:r>
    </w:p>
    <w:p w14:paraId="5FA644BC">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4B74779">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415.78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13.40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3.22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395.47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95.12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5.37万元，占1.29%；住房保障支出1.55万元，占0.37%。</w:t>
      </w:r>
    </w:p>
    <w:p w14:paraId="54DADC96">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67EBD94D">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w:t>
      </w:r>
      <w:r>
        <w:rPr>
          <w:rFonts w:hint="eastAsia" w:ascii="Times New Roman" w:hAnsi="Times New Roman" w:eastAsia="仿宋_GB2312" w:cs="Times New Roman"/>
          <w:sz w:val="32"/>
          <w:szCs w:val="32"/>
        </w:rPr>
        <w:t>预算数为</w:t>
      </w:r>
      <w:r>
        <w:rPr>
          <w:rFonts w:hint="eastAsia" w:ascii="Times New Roman" w:hAnsi="Times New Roman" w:eastAsia="仿宋_GB2312" w:cs="Times New Roman"/>
          <w:sz w:val="32"/>
          <w:szCs w:val="32"/>
          <w:lang w:val="en-US" w:eastAsia="zh-CN"/>
        </w:rPr>
        <w:t>358.37</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415.78</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116.02</w:t>
      </w:r>
      <w:r>
        <w:rPr>
          <w:rFonts w:hint="eastAsia" w:ascii="Times New Roman" w:hAnsi="Times New Roman" w:eastAsia="仿宋_GB2312" w:cs="Times New Roman"/>
          <w:sz w:val="32"/>
          <w:szCs w:val="32"/>
        </w:rPr>
        <w:t>%，其中：</w:t>
      </w:r>
    </w:p>
    <w:p w14:paraId="019049D9">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1、一般公共服务（类）其他一般公共服务支出（款）其他一般公共服务支出（项）。</w:t>
      </w:r>
    </w:p>
    <w:p w14:paraId="297802E2">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13.40</w:t>
      </w:r>
      <w:r>
        <w:rPr>
          <w:rFonts w:hint="eastAsia" w:ascii="Times New Roman" w:hAnsi="Times New Roman" w:eastAsia="仿宋_GB2312" w:cs="Times New Roman"/>
          <w:sz w:val="32"/>
          <w:szCs w:val="32"/>
        </w:rPr>
        <w:t>万元，决算数大于年初预算数</w:t>
      </w:r>
      <w:r>
        <w:rPr>
          <w:rFonts w:hint="eastAsia" w:ascii="Times New Roman" w:hAnsi="Times New Roman" w:eastAsia="仿宋_GB2312" w:cs="Times New Roman"/>
          <w:sz w:val="32"/>
          <w:szCs w:val="32"/>
          <w:lang w:eastAsia="zh-CN"/>
        </w:rPr>
        <w:t>。由于预算书为</w:t>
      </w:r>
      <w:r>
        <w:rPr>
          <w:rFonts w:hint="eastAsia" w:ascii="Times New Roman" w:hAnsi="Times New Roman" w:eastAsia="仿宋_GB2312" w:cs="Times New Roman"/>
          <w:sz w:val="32"/>
          <w:szCs w:val="32"/>
          <w:lang w:val="en-US" w:eastAsia="zh-CN"/>
        </w:rPr>
        <w:t>0，无法计算百分比。此项目为调整款项，按财政拨款资金实际下达拨款数实施。</w:t>
      </w:r>
    </w:p>
    <w:p w14:paraId="0B4D101B">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2、社会保障和就业支出（类）行政事业单位养老支出（款）行政单位离退休（项）。</w:t>
      </w:r>
    </w:p>
    <w:p w14:paraId="7A2CE4FC">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年初预算为30.07万元，支出决算为26.64万元，完成年初预算的88.59%，决算数小于年初预算数的主要原因是：离休老干部人员减少，对应经费开支减少。</w:t>
      </w:r>
    </w:p>
    <w:p w14:paraId="264F5782">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3、社会保障和就业支出（类）行政事业单位养老支出（款）离退休人员管理机构（项）。</w:t>
      </w:r>
    </w:p>
    <w:p w14:paraId="20CE5FFE">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楷体_GB2312" w:cs="Times New Roman"/>
          <w:b/>
          <w:bCs/>
          <w:i/>
          <w:color w:val="0000FF"/>
          <w:sz w:val="32"/>
          <w:szCs w:val="32"/>
          <w:lang w:val="en-US" w:eastAsia="zh-CN"/>
        </w:rPr>
      </w:pPr>
      <w:r>
        <w:rPr>
          <w:rFonts w:hint="eastAsia" w:ascii="Times New Roman" w:hAnsi="Times New Roman" w:eastAsia="仿宋_GB2312" w:cs="Times New Roman"/>
          <w:sz w:val="32"/>
          <w:szCs w:val="32"/>
          <w:lang w:val="en-US" w:eastAsia="zh-CN"/>
        </w:rPr>
        <w:t>年初预算为247.01万元，支出决算为282.77万元，完成年初预算的114.48%，决算数大于年初预算数的主要原因是：本年度较上年度多1人工资支出，以及人员职级晋升和工资晋级晋档，导致工资类支出增加。</w:t>
      </w:r>
    </w:p>
    <w:p w14:paraId="68EA1EF7">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4、社会保障和就业支出（类）行政事业单位养老支出（款）机关事业单位基本养老保险缴费支出（项）。</w:t>
      </w:r>
    </w:p>
    <w:p w14:paraId="342F16E0">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年初预算为12.03万元，支出决算为12.48万元，完成年初预算的103.74%，决算数大于年初预算数的主要原因是：本年度较上年度多1人工资支出，以及人员职级晋升和工资晋级晋档，养老保险缴费支出对应增加。</w:t>
      </w:r>
    </w:p>
    <w:p w14:paraId="08884682">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5、社会保障和就业支出（类）行政事业单位养老支出（款）其他行政事业单位养老支出（项）。</w:t>
      </w:r>
    </w:p>
    <w:p w14:paraId="04B515C6">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楷体_GB2312" w:cs="Times New Roman"/>
          <w:b/>
          <w:bCs/>
          <w:i/>
          <w:color w:val="0000FF"/>
          <w:sz w:val="32"/>
          <w:szCs w:val="32"/>
          <w:lang w:eastAsia="zh-CN"/>
        </w:rPr>
      </w:pPr>
      <w:r>
        <w:rPr>
          <w:rFonts w:hint="eastAsia" w:ascii="Times New Roman" w:hAnsi="Times New Roman" w:eastAsia="仿宋_GB2312" w:cs="Times New Roman"/>
          <w:sz w:val="32"/>
          <w:szCs w:val="32"/>
          <w:lang w:val="en-US" w:eastAsia="zh-CN"/>
        </w:rPr>
        <w:t>年初预算为64.50万元，支出决算为73.58万元，完成年初预算的114.08%，决算数大于年初预算数的主要原因是：离休老干部春节一次性生活补助未纳入预算。</w:t>
      </w:r>
    </w:p>
    <w:p w14:paraId="2775FB75">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6、卫生健康支出（类）行政事业单位医疗（款）行政单位医疗（项）。</w:t>
      </w:r>
    </w:p>
    <w:p w14:paraId="0141BF57">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年初预算为4.76万元，支出决算为5.37万元，完成年初预算的112.81%，决算数大于年初预算数的主要原因是：本年度较上年度多1人工资支出，以及人员职级晋升和工资晋级晋档，医疗保险缴费支出对应增加。</w:t>
      </w:r>
    </w:p>
    <w:p w14:paraId="3DC59781">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住房保障支出（类）住房改革支出（款）住房公积金（项）。</w:t>
      </w:r>
    </w:p>
    <w:p w14:paraId="32A42423">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1.55</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由于预算数为</w:t>
      </w:r>
      <w:r>
        <w:rPr>
          <w:rFonts w:hint="eastAsia" w:ascii="Times New Roman" w:hAnsi="Times New Roman" w:eastAsia="仿宋_GB2312" w:cs="Times New Roman"/>
          <w:sz w:val="32"/>
          <w:szCs w:val="32"/>
          <w:lang w:val="en-US" w:eastAsia="zh-CN"/>
        </w:rPr>
        <w:t>0，无法计算百分比。经济分类科目工资福利支出中住房公积金10.83万元，大部分列支于社会保障和就业‑离退休人员管理机构科目；1.55万元为住房保障科目下财政追加下达的住房公积金调整资金，两项口径科目归属不同，合计为本单位全年住房公积金实际发生额。</w:t>
      </w:r>
    </w:p>
    <w:p w14:paraId="05F1DD55">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六、一般公共预算财政拨款基本支出决算情况说明</w:t>
      </w:r>
    </w:p>
    <w:p w14:paraId="555485A2">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2025年度一般公共预算财政拨款基本支出353.64万元，其中：</w:t>
      </w:r>
    </w:p>
    <w:p w14:paraId="23EB0BF0">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color w:val="auto"/>
          <w:sz w:val="32"/>
          <w:szCs w:val="32"/>
        </w:rPr>
      </w:pPr>
      <w:r>
        <w:rPr>
          <w:rFonts w:hint="eastAsia" w:ascii="Times New Roman" w:hAnsi="Times New Roman" w:eastAsia="仿宋_GB2312" w:cs="Times New Roman"/>
          <w:b/>
          <w:bCs/>
          <w:color w:val="auto"/>
          <w:sz w:val="32"/>
          <w:szCs w:val="32"/>
          <w:lang w:val="en-US" w:eastAsia="zh-CN"/>
        </w:rPr>
        <w:t>人员经费</w:t>
      </w:r>
      <w:r>
        <w:rPr>
          <w:rFonts w:hint="eastAsia" w:ascii="Times New Roman" w:hAnsi="Times New Roman" w:eastAsia="仿宋_GB2312" w:cs="Times New Roman"/>
          <w:color w:val="auto"/>
          <w:sz w:val="32"/>
          <w:szCs w:val="32"/>
          <w:lang w:val="en-US" w:eastAsia="zh-CN"/>
        </w:rPr>
        <w:t>326.60万元，占基本支出的92.35%,主要包括基本工资56.41万元、津贴补贴20.17万元、奖金29.50万元、 机关事业单位基本养老保险缴费12.48万元、职工基本医疗保险缴费5.37万元、其他社会保障缴费1.12万元、住房公积金10.83万元、离休费124.85万元、抚恤金0.7万元、生活补助64.56万元、 医疗补助0.16万元、其他对个人和家庭的补助0.43万元。</w:t>
      </w:r>
    </w:p>
    <w:p w14:paraId="66922C72">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b/>
          <w:color w:val="auto"/>
          <w:sz w:val="32"/>
          <w:szCs w:val="32"/>
        </w:rPr>
      </w:pPr>
      <w:r>
        <w:rPr>
          <w:rFonts w:hint="eastAsia" w:ascii="Times New Roman" w:hAnsi="Times New Roman" w:eastAsia="仿宋_GB2312" w:cs="Times New Roman"/>
          <w:b/>
          <w:bCs/>
          <w:color w:val="auto"/>
          <w:sz w:val="32"/>
          <w:szCs w:val="32"/>
          <w:lang w:val="en-US" w:eastAsia="zh-CN"/>
        </w:rPr>
        <w:t>公用经费</w:t>
      </w:r>
      <w:r>
        <w:rPr>
          <w:rFonts w:hint="eastAsia" w:ascii="Times New Roman" w:hAnsi="Times New Roman" w:eastAsia="仿宋_GB2312" w:cs="Times New Roman"/>
          <w:color w:val="auto"/>
          <w:sz w:val="32"/>
          <w:szCs w:val="32"/>
          <w:lang w:val="en-US" w:eastAsia="zh-CN"/>
        </w:rPr>
        <w:t>27.05万元，占基本支出的7.65%，主要包括办公费3.32万元、印刷费0.35万元、差旅费2.64万元、维修（护）费0.20万元、专用材料费0.4万元、工会经费7.38万元、福利费1.86万元、其他交通费用6.47万元、 其他商品和服务支出4.42万元</w:t>
      </w:r>
      <w:r>
        <w:rPr>
          <w:rFonts w:ascii="Times New Roman" w:hAnsi="Times New Roman" w:eastAsia="仿宋_GB2312" w:cs="Times New Roman"/>
          <w:color w:val="auto"/>
          <w:sz w:val="32"/>
          <w:szCs w:val="32"/>
        </w:rPr>
        <w:t>。</w:t>
      </w:r>
    </w:p>
    <w:p w14:paraId="55628E2E">
      <w:pPr>
        <w:pStyle w:val="15"/>
        <w:keepNext w:val="0"/>
        <w:keepLines w:val="0"/>
        <w:pageBreakBefore w:val="0"/>
        <w:widowControl w:val="0"/>
        <w:numPr>
          <w:ilvl w:val="0"/>
          <w:numId w:val="1"/>
        </w:numPr>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财政拨款“三公”经费支出决算情况说明</w:t>
      </w:r>
    </w:p>
    <w:p w14:paraId="7A5487FC">
      <w:pPr>
        <w:pStyle w:val="15"/>
        <w:keepNext w:val="0"/>
        <w:keepLines w:val="0"/>
        <w:pageBreakBefore w:val="0"/>
        <w:widowControl w:val="0"/>
        <w:numPr>
          <w:ilvl w:val="0"/>
          <w:numId w:val="0"/>
        </w:numPr>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（一）“三公”经费财政拨款支出决算总体情况说明</w:t>
      </w:r>
    </w:p>
    <w:p w14:paraId="622C006B">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年度“三公”经费财政拨款支出预算为</w:t>
      </w:r>
      <w:r>
        <w:rPr>
          <w:rFonts w:hint="eastAsia" w:ascii="Times New Roman" w:hAnsi="Times New Roman" w:eastAsia="仿宋_GB2312" w:cs="Times New Roman"/>
          <w:color w:val="auto"/>
          <w:sz w:val="32"/>
          <w:szCs w:val="32"/>
          <w:lang w:val="en-US" w:eastAsia="zh-CN"/>
        </w:rPr>
        <w:t>8.98</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8.98</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100.00</w:t>
      </w:r>
      <w:r>
        <w:rPr>
          <w:rFonts w:ascii="Times New Roman" w:hAnsi="Times New Roman" w:eastAsia="仿宋_GB2312" w:cs="Times New Roman"/>
          <w:color w:val="auto"/>
          <w:sz w:val="32"/>
          <w:szCs w:val="32"/>
        </w:rPr>
        <w:t>%；与上年相比增加</w:t>
      </w:r>
      <w:r>
        <w:rPr>
          <w:rFonts w:hint="eastAsia" w:ascii="Times New Roman" w:hAnsi="Times New Roman" w:eastAsia="仿宋_GB2312" w:cs="Times New Roman"/>
          <w:color w:val="auto"/>
          <w:sz w:val="32"/>
          <w:szCs w:val="32"/>
          <w:lang w:val="en-US" w:eastAsia="zh-CN"/>
        </w:rPr>
        <w:t>1.42</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18.78</w:t>
      </w:r>
      <w:r>
        <w:rPr>
          <w:rFonts w:ascii="Times New Roman" w:hAnsi="Times New Roman" w:eastAsia="仿宋_GB2312" w:cs="Times New Roman"/>
          <w:color w:val="auto"/>
          <w:sz w:val="32"/>
          <w:szCs w:val="32"/>
        </w:rPr>
        <w:t>%。决算数小于预算数的主要原因是</w:t>
      </w:r>
      <w:r>
        <w:rPr>
          <w:rFonts w:hint="eastAsia" w:ascii="Times New Roman" w:hAnsi="Times New Roman" w:eastAsia="仿宋_GB2312" w:cs="Times New Roman"/>
          <w:color w:val="auto"/>
          <w:sz w:val="32"/>
          <w:szCs w:val="32"/>
          <w:lang w:eastAsia="zh-CN"/>
        </w:rPr>
        <w:t>严格按标准控制公务用车运行维护费</w:t>
      </w:r>
      <w:r>
        <w:rPr>
          <w:rFonts w:ascii="Times New Roman" w:hAnsi="Times New Roman" w:eastAsia="仿宋_GB2312" w:cs="Times New Roman"/>
          <w:color w:val="auto"/>
          <w:sz w:val="32"/>
          <w:szCs w:val="32"/>
        </w:rPr>
        <w:t>。决算数大于上年数的主要原因是</w:t>
      </w:r>
      <w:r>
        <w:rPr>
          <w:rFonts w:hint="eastAsia" w:ascii="Times New Roman" w:hAnsi="Times New Roman" w:eastAsia="仿宋_GB2312" w:cs="Times New Roman"/>
          <w:color w:val="auto"/>
          <w:sz w:val="32"/>
          <w:szCs w:val="32"/>
          <w:lang w:eastAsia="zh-CN"/>
        </w:rPr>
        <w:t>老干所现有车辆年久老化，车辆维修费增加</w:t>
      </w:r>
      <w:r>
        <w:rPr>
          <w:rFonts w:ascii="Times New Roman" w:hAnsi="Times New Roman" w:eastAsia="仿宋_GB2312" w:cs="Times New Roman"/>
          <w:color w:val="auto"/>
          <w:sz w:val="32"/>
          <w:szCs w:val="32"/>
        </w:rPr>
        <w:t>。</w:t>
      </w:r>
    </w:p>
    <w:p w14:paraId="6686091E">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（二）“三公”经费财政拨款支出决算具体情况说明</w:t>
      </w:r>
    </w:p>
    <w:p w14:paraId="0C3EBA6D">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color w:val="auto"/>
          <w:sz w:val="32"/>
          <w:szCs w:val="32"/>
        </w:rPr>
        <w:t>1.因公出国（境）费支出预算为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%；与上年相比增加（减少）</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万元，增长（降低）</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5FA0ECB6">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2.公务用车购置费及运行维护费支出预算为</w:t>
      </w:r>
      <w:r>
        <w:rPr>
          <w:rFonts w:hint="eastAsia" w:ascii="Times New Roman" w:hAnsi="Times New Roman" w:eastAsia="仿宋_GB2312" w:cs="Times New Roman"/>
          <w:color w:val="auto"/>
          <w:sz w:val="32"/>
          <w:szCs w:val="32"/>
          <w:lang w:val="en-US" w:eastAsia="zh-CN"/>
        </w:rPr>
        <w:t>8.98</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8.98</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100.00</w:t>
      </w:r>
      <w:r>
        <w:rPr>
          <w:rFonts w:ascii="Times New Roman" w:hAnsi="Times New Roman" w:eastAsia="仿宋_GB2312" w:cs="Times New Roman"/>
          <w:color w:val="auto"/>
          <w:sz w:val="32"/>
          <w:szCs w:val="32"/>
        </w:rPr>
        <w:t>%；与上年相比</w:t>
      </w:r>
      <w:r>
        <w:rPr>
          <w:rFonts w:hint="eastAsia" w:ascii="Times New Roman" w:hAnsi="Times New Roman" w:eastAsia="仿宋_GB2312" w:cs="Times New Roman"/>
          <w:color w:val="auto"/>
          <w:sz w:val="32"/>
          <w:szCs w:val="32"/>
          <w:lang w:eastAsia="zh-CN"/>
        </w:rPr>
        <w:t>增加</w:t>
      </w:r>
      <w:r>
        <w:rPr>
          <w:rFonts w:hint="eastAsia" w:ascii="Times New Roman" w:hAnsi="Times New Roman" w:eastAsia="仿宋_GB2312" w:cs="Times New Roman"/>
          <w:color w:val="auto"/>
          <w:sz w:val="32"/>
          <w:szCs w:val="32"/>
          <w:lang w:val="en-US" w:eastAsia="zh-CN"/>
        </w:rPr>
        <w:t>1.42</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18.78</w:t>
      </w:r>
      <w:r>
        <w:rPr>
          <w:rFonts w:ascii="Times New Roman" w:hAnsi="Times New Roman" w:eastAsia="仿宋_GB2312" w:cs="Times New Roman"/>
          <w:color w:val="auto"/>
          <w:sz w:val="32"/>
          <w:szCs w:val="32"/>
        </w:rPr>
        <w:t>%。其中：</w:t>
      </w:r>
    </w:p>
    <w:p w14:paraId="59D79FC6">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公务用车购置费支出预算为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%；与上年相比增加（减少）</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万元，增长（降低）</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1D9284E2">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公务用车运行维护费支出预算为</w:t>
      </w:r>
      <w:r>
        <w:rPr>
          <w:rFonts w:hint="eastAsia" w:ascii="Times New Roman" w:hAnsi="Times New Roman" w:eastAsia="仿宋_GB2312" w:cs="Times New Roman"/>
          <w:color w:val="auto"/>
          <w:sz w:val="32"/>
          <w:szCs w:val="32"/>
          <w:lang w:val="en-US" w:eastAsia="zh-CN"/>
        </w:rPr>
        <w:t>8.98</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8.98</w:t>
      </w:r>
      <w:r>
        <w:rPr>
          <w:rFonts w:ascii="Times New Roman" w:hAnsi="Times New Roman" w:eastAsia="仿宋_GB2312" w:cs="Times New Roman"/>
          <w:color w:val="auto"/>
          <w:sz w:val="32"/>
          <w:szCs w:val="32"/>
        </w:rPr>
        <w:t>万元，</w:t>
      </w:r>
    </w:p>
    <w:p w14:paraId="7A194386">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楷体" w:cs="Times New Roman"/>
          <w:b/>
          <w:bCs/>
          <w:i/>
          <w:color w:val="auto"/>
          <w:sz w:val="32"/>
          <w:szCs w:val="32"/>
        </w:rPr>
      </w:pPr>
      <w:r>
        <w:rPr>
          <w:rFonts w:ascii="Times New Roman" w:hAnsi="Times New Roman" w:eastAsia="仿宋_GB2312" w:cs="Times New Roman"/>
          <w:color w:val="auto"/>
          <w:sz w:val="32"/>
          <w:szCs w:val="32"/>
        </w:rPr>
        <w:t>主要是</w:t>
      </w:r>
      <w:r>
        <w:rPr>
          <w:rFonts w:hint="eastAsia" w:ascii="Times New Roman" w:hAnsi="Times New Roman" w:eastAsia="仿宋_GB2312"/>
          <w:color w:val="auto"/>
          <w:sz w:val="32"/>
          <w:szCs w:val="32"/>
        </w:rPr>
        <w:t>日常老干部用车及公务用车</w:t>
      </w:r>
      <w:r>
        <w:rPr>
          <w:rFonts w:ascii="Times New Roman" w:hAnsi="Times New Roman" w:eastAsia="仿宋_GB2312" w:cs="Times New Roman"/>
          <w:color w:val="auto"/>
          <w:sz w:val="32"/>
          <w:szCs w:val="32"/>
        </w:rPr>
        <w:t>支出，完成预算的</w:t>
      </w:r>
      <w:r>
        <w:rPr>
          <w:rFonts w:hint="eastAsia" w:ascii="Times New Roman" w:hAnsi="Times New Roman" w:eastAsia="仿宋_GB2312" w:cs="Times New Roman"/>
          <w:color w:val="auto"/>
          <w:sz w:val="32"/>
          <w:szCs w:val="32"/>
          <w:lang w:val="en-US" w:eastAsia="zh-CN"/>
        </w:rPr>
        <w:t>100.00</w:t>
      </w:r>
      <w:r>
        <w:rPr>
          <w:rFonts w:ascii="Times New Roman" w:hAnsi="Times New Roman" w:eastAsia="仿宋_GB2312" w:cs="Times New Roman"/>
          <w:color w:val="auto"/>
          <w:sz w:val="32"/>
          <w:szCs w:val="32"/>
        </w:rPr>
        <w:t>%；与上年相比</w:t>
      </w:r>
      <w:r>
        <w:rPr>
          <w:rFonts w:hint="eastAsia" w:ascii="Times New Roman" w:hAnsi="Times New Roman" w:eastAsia="仿宋_GB2312" w:cs="Times New Roman"/>
          <w:color w:val="auto"/>
          <w:sz w:val="32"/>
          <w:szCs w:val="32"/>
          <w:lang w:eastAsia="zh-CN"/>
        </w:rPr>
        <w:t>增加</w:t>
      </w:r>
      <w:r>
        <w:rPr>
          <w:rFonts w:hint="eastAsia" w:ascii="Times New Roman" w:hAnsi="Times New Roman" w:eastAsia="仿宋_GB2312" w:cs="Times New Roman"/>
          <w:color w:val="auto"/>
          <w:sz w:val="32"/>
          <w:szCs w:val="32"/>
          <w:lang w:val="en-US" w:eastAsia="zh-CN"/>
        </w:rPr>
        <w:t>1.42</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18.78</w:t>
      </w:r>
      <w:r>
        <w:rPr>
          <w:rFonts w:ascii="Times New Roman" w:hAnsi="Times New Roman" w:eastAsia="仿宋_GB2312" w:cs="Times New Roman"/>
          <w:color w:val="auto"/>
          <w:sz w:val="32"/>
          <w:szCs w:val="32"/>
        </w:rPr>
        <w:t>%。截</w:t>
      </w:r>
      <w:r>
        <w:rPr>
          <w:rFonts w:hint="eastAsia" w:ascii="Times New Roman" w:hAnsi="Times New Roman" w:eastAsia="仿宋_GB2312" w:cs="Times New Roman"/>
          <w:color w:val="auto"/>
          <w:sz w:val="32"/>
          <w:szCs w:val="32"/>
          <w:lang w:eastAsia="zh-CN"/>
        </w:rPr>
        <w:t>至</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年12月31日，我单位开支财政拨款的公务用车保有量为</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，与上年度相比减少</w:t>
      </w:r>
      <w:r>
        <w:rPr>
          <w:rFonts w:hint="eastAsia" w:ascii="Times New Roman" w:hAnsi="Times New Roman" w:eastAsia="仿宋_GB2312" w:cs="Times New Roman"/>
          <w:color w:val="auto"/>
          <w:sz w:val="32"/>
          <w:szCs w:val="32"/>
          <w:lang w:val="en-US" w:eastAsia="zh-CN"/>
        </w:rPr>
        <w:t>1辆，是因为2025年度处置公务用车1辆</w:t>
      </w:r>
      <w:r>
        <w:rPr>
          <w:rFonts w:ascii="Times New Roman" w:hAnsi="Times New Roman" w:eastAsia="仿宋_GB2312" w:cs="Times New Roman"/>
          <w:color w:val="auto"/>
          <w:sz w:val="32"/>
          <w:szCs w:val="32"/>
        </w:rPr>
        <w:t>。</w:t>
      </w:r>
    </w:p>
    <w:p w14:paraId="2D4089E0">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3.公务接待费支出预算为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%；与上年相比</w:t>
      </w:r>
      <w:r>
        <w:rPr>
          <w:rFonts w:hint="eastAsia" w:ascii="Times New Roman" w:hAnsi="Times New Roman" w:eastAsia="仿宋_GB2312" w:cs="Times New Roman"/>
          <w:color w:val="auto"/>
          <w:sz w:val="32"/>
          <w:szCs w:val="32"/>
          <w:lang w:eastAsia="zh-CN"/>
        </w:rPr>
        <w:t>持平</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由于本年度决算数为</w:t>
      </w:r>
      <w:r>
        <w:rPr>
          <w:rFonts w:hint="eastAsia" w:ascii="Times New Roman" w:hAnsi="Times New Roman" w:eastAsia="仿宋_GB2312" w:cs="Times New Roman"/>
          <w:color w:val="auto"/>
          <w:sz w:val="32"/>
          <w:szCs w:val="32"/>
          <w:lang w:val="en-US" w:eastAsia="zh-CN"/>
        </w:rPr>
        <w:t>0无法计算百分比</w:t>
      </w:r>
      <w:r>
        <w:rPr>
          <w:rFonts w:ascii="Times New Roman" w:hAnsi="Times New Roman" w:eastAsia="仿宋_GB2312" w:cs="Times New Roman"/>
          <w:color w:val="auto"/>
          <w:sz w:val="32"/>
          <w:szCs w:val="32"/>
        </w:rPr>
        <w:t>。</w:t>
      </w:r>
    </w:p>
    <w:p w14:paraId="77DB1E1B">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八、政府性基金预算收入支出决算情况</w:t>
      </w:r>
    </w:p>
    <w:p w14:paraId="0B48CE0B">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楷体" w:cs="Times New Roman"/>
          <w:b/>
          <w:bCs/>
          <w:i/>
          <w:color w:val="auto"/>
          <w:sz w:val="32"/>
          <w:szCs w:val="32"/>
        </w:rPr>
      </w:pPr>
      <w:r>
        <w:rPr>
          <w:rFonts w:hint="eastAsia" w:ascii="Times New Roman" w:hAnsi="Times New Roman" w:eastAsia="仿宋_GB2312"/>
          <w:color w:val="auto"/>
          <w:sz w:val="32"/>
          <w:szCs w:val="32"/>
        </w:rPr>
        <w:t>本单位无政府性基金收支。</w:t>
      </w:r>
    </w:p>
    <w:p w14:paraId="123D3292">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九、关于机关运行经费支出说明</w:t>
      </w:r>
    </w:p>
    <w:p w14:paraId="5D63D5FB">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本部门202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年度机关运行经费支出</w:t>
      </w:r>
      <w:r>
        <w:rPr>
          <w:rFonts w:hint="eastAsia" w:ascii="Times New Roman" w:hAnsi="Times New Roman" w:eastAsia="仿宋_GB2312" w:cs="Times New Roman"/>
          <w:color w:val="auto"/>
          <w:sz w:val="32"/>
          <w:szCs w:val="32"/>
          <w:lang w:val="en-US" w:eastAsia="zh-CN"/>
        </w:rPr>
        <w:t>27.05</w:t>
      </w:r>
      <w:r>
        <w:rPr>
          <w:rFonts w:ascii="Times New Roman" w:hAnsi="Times New Roman" w:eastAsia="仿宋_GB2312" w:cs="Times New Roman"/>
          <w:color w:val="auto"/>
          <w:sz w:val="32"/>
          <w:szCs w:val="32"/>
        </w:rPr>
        <w:t>万元，比年初预算数减少</w:t>
      </w:r>
      <w:r>
        <w:rPr>
          <w:rFonts w:hint="eastAsia" w:ascii="Times New Roman" w:hAnsi="Times New Roman" w:eastAsia="仿宋_GB2312" w:cs="Times New Roman"/>
          <w:color w:val="auto"/>
          <w:sz w:val="32"/>
          <w:szCs w:val="32"/>
          <w:lang w:val="en-US" w:eastAsia="zh-CN"/>
        </w:rPr>
        <w:t>9.04</w:t>
      </w:r>
      <w:r>
        <w:rPr>
          <w:rFonts w:ascii="Times New Roman" w:hAnsi="Times New Roman" w:eastAsia="仿宋_GB2312" w:cs="Times New Roman"/>
          <w:color w:val="auto"/>
          <w:sz w:val="32"/>
          <w:szCs w:val="32"/>
        </w:rPr>
        <w:t>万元，降低</w:t>
      </w:r>
      <w:r>
        <w:rPr>
          <w:rFonts w:hint="eastAsia" w:ascii="Times New Roman" w:hAnsi="Times New Roman" w:eastAsia="仿宋_GB2312" w:cs="Times New Roman"/>
          <w:color w:val="auto"/>
          <w:sz w:val="32"/>
          <w:szCs w:val="32"/>
          <w:lang w:val="en-US" w:eastAsia="zh-CN"/>
        </w:rPr>
        <w:t>25.05</w:t>
      </w:r>
      <w:r>
        <w:rPr>
          <w:rFonts w:ascii="Times New Roman" w:hAnsi="Times New Roman" w:eastAsia="仿宋_GB2312" w:cs="Times New Roman"/>
          <w:color w:val="auto"/>
          <w:sz w:val="32"/>
          <w:szCs w:val="32"/>
        </w:rPr>
        <w:t>%。主要原因是：</w:t>
      </w:r>
      <w:r>
        <w:rPr>
          <w:rFonts w:hint="eastAsia" w:ascii="Times New Roman" w:hAnsi="Times New Roman" w:eastAsia="仿宋_GB2312" w:cs="Times New Roman"/>
          <w:color w:val="auto"/>
          <w:sz w:val="32"/>
          <w:szCs w:val="32"/>
          <w:lang w:eastAsia="zh-CN"/>
        </w:rPr>
        <w:t>贯彻落实党政机关坚持过紧日子有关要求，厉行节约办一切事业，工会经费和其他商品服务支出费用减少</w:t>
      </w:r>
      <w:r>
        <w:rPr>
          <w:rFonts w:ascii="Times New Roman" w:hAnsi="Times New Roman" w:eastAsia="仿宋_GB2312" w:cs="Times New Roman"/>
          <w:color w:val="auto"/>
          <w:sz w:val="32"/>
          <w:szCs w:val="32"/>
        </w:rPr>
        <w:t>。</w:t>
      </w:r>
    </w:p>
    <w:p w14:paraId="300B36B3">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十、一般性支出情况说明</w:t>
      </w:r>
    </w:p>
    <w:p w14:paraId="02877671">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楷体" w:cs="Times New Roman"/>
          <w:b/>
          <w:bCs/>
          <w:i/>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年本部门开支会议费</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万元；开支培训费</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p>
    <w:p w14:paraId="2E1AF193">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十一、关于政府采购支出说明</w:t>
      </w:r>
    </w:p>
    <w:p w14:paraId="02FF7E05">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本部门202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年度政府采购支出总额</w:t>
      </w:r>
      <w:r>
        <w:rPr>
          <w:rFonts w:hint="eastAsia" w:ascii="Times New Roman" w:hAnsi="Times New Roman" w:eastAsia="仿宋_GB2312" w:cs="Times New Roman"/>
          <w:color w:val="auto"/>
          <w:sz w:val="32"/>
          <w:szCs w:val="32"/>
          <w:lang w:val="en-US" w:eastAsia="zh-CN"/>
        </w:rPr>
        <w:t>9.79</w:t>
      </w:r>
      <w:r>
        <w:rPr>
          <w:rFonts w:ascii="Times New Roman" w:hAnsi="Times New Roman" w:eastAsia="仿宋_GB2312" w:cs="Times New Roman"/>
          <w:color w:val="auto"/>
          <w:sz w:val="32"/>
          <w:szCs w:val="32"/>
        </w:rPr>
        <w:t>万元，其中：政府采购货物支出</w:t>
      </w:r>
      <w:r>
        <w:rPr>
          <w:rFonts w:hint="eastAsia" w:ascii="Times New Roman" w:hAnsi="Times New Roman" w:eastAsia="仿宋_GB2312" w:cs="Times New Roman"/>
          <w:color w:val="auto"/>
          <w:sz w:val="32"/>
          <w:szCs w:val="32"/>
          <w:lang w:val="en-US" w:eastAsia="zh-CN"/>
        </w:rPr>
        <w:t>6.77</w:t>
      </w:r>
      <w:r>
        <w:rPr>
          <w:rFonts w:ascii="Times New Roman" w:hAnsi="Times New Roman" w:eastAsia="仿宋_GB2312" w:cs="Times New Roman"/>
          <w:color w:val="auto"/>
          <w:sz w:val="32"/>
          <w:szCs w:val="32"/>
        </w:rPr>
        <w:t>万元、政府采购工程支出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万元、政府采购服务支出</w:t>
      </w:r>
      <w:r>
        <w:rPr>
          <w:rFonts w:hint="eastAsia" w:ascii="Times New Roman" w:hAnsi="Times New Roman" w:eastAsia="仿宋_GB2312" w:cs="Times New Roman"/>
          <w:color w:val="auto"/>
          <w:sz w:val="32"/>
          <w:szCs w:val="32"/>
          <w:lang w:val="en-US" w:eastAsia="zh-CN"/>
        </w:rPr>
        <w:t>3.02</w:t>
      </w:r>
      <w:r>
        <w:rPr>
          <w:rFonts w:ascii="Times New Roman" w:hAnsi="Times New Roman" w:eastAsia="仿宋_GB2312" w:cs="Times New Roman"/>
          <w:color w:val="auto"/>
          <w:sz w:val="32"/>
          <w:szCs w:val="32"/>
        </w:rPr>
        <w:t>万元。授予中小企业合同金额</w:t>
      </w:r>
      <w:r>
        <w:rPr>
          <w:rFonts w:hint="eastAsia" w:ascii="Times New Roman" w:hAnsi="Times New Roman" w:eastAsia="仿宋_GB2312" w:cs="Times New Roman"/>
          <w:color w:val="auto"/>
          <w:sz w:val="32"/>
          <w:szCs w:val="32"/>
          <w:lang w:val="en-US" w:eastAsia="zh-CN"/>
        </w:rPr>
        <w:t>8.68</w:t>
      </w:r>
      <w:r>
        <w:rPr>
          <w:rFonts w:ascii="Times New Roman" w:hAnsi="Times New Roman" w:eastAsia="仿宋_GB2312" w:cs="Times New Roman"/>
          <w:color w:val="auto"/>
          <w:sz w:val="32"/>
          <w:szCs w:val="32"/>
        </w:rPr>
        <w:t>万元，占政府采购支出总额的</w:t>
      </w:r>
      <w:r>
        <w:rPr>
          <w:rFonts w:hint="eastAsia" w:ascii="Times New Roman" w:hAnsi="Times New Roman" w:eastAsia="仿宋_GB2312" w:cs="Times New Roman"/>
          <w:color w:val="auto"/>
          <w:sz w:val="32"/>
          <w:szCs w:val="32"/>
          <w:lang w:val="en-US" w:eastAsia="zh-CN"/>
        </w:rPr>
        <w:t>88.66</w:t>
      </w:r>
      <w:r>
        <w:rPr>
          <w:rFonts w:ascii="Times New Roman" w:hAnsi="Times New Roman" w:eastAsia="仿宋_GB2312" w:cs="Times New Roman"/>
          <w:color w:val="auto"/>
          <w:sz w:val="32"/>
          <w:szCs w:val="32"/>
        </w:rPr>
        <w:t>%，其中：授予小微企业合同金额</w:t>
      </w:r>
      <w:r>
        <w:rPr>
          <w:rFonts w:hint="eastAsia" w:ascii="Times New Roman" w:hAnsi="Times New Roman" w:eastAsia="仿宋_GB2312" w:cs="Times New Roman"/>
          <w:color w:val="auto"/>
          <w:sz w:val="32"/>
          <w:szCs w:val="32"/>
          <w:lang w:val="en-US" w:eastAsia="zh-CN"/>
        </w:rPr>
        <w:t>7.90</w:t>
      </w:r>
      <w:r>
        <w:rPr>
          <w:rFonts w:ascii="Times New Roman" w:hAnsi="Times New Roman" w:eastAsia="仿宋_GB2312" w:cs="Times New Roman"/>
          <w:color w:val="auto"/>
          <w:sz w:val="32"/>
          <w:szCs w:val="32"/>
        </w:rPr>
        <w:t>万元，占授予中小企业合同金额的</w:t>
      </w:r>
      <w:r>
        <w:rPr>
          <w:rFonts w:hint="eastAsia" w:ascii="Times New Roman" w:hAnsi="Times New Roman" w:eastAsia="仿宋_GB2312" w:cs="Times New Roman"/>
          <w:color w:val="auto"/>
          <w:sz w:val="32"/>
          <w:szCs w:val="32"/>
          <w:lang w:val="en-US" w:eastAsia="zh-CN"/>
        </w:rPr>
        <w:t>91.01</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65.21</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34.79</w:t>
      </w:r>
      <w:r>
        <w:rPr>
          <w:rFonts w:ascii="Times New Roman" w:hAnsi="Times New Roman" w:eastAsia="仿宋_GB2312" w:cs="Times New Roman"/>
          <w:color w:val="auto"/>
          <w:sz w:val="32"/>
          <w:szCs w:val="32"/>
        </w:rPr>
        <w:t>%。</w:t>
      </w:r>
    </w:p>
    <w:p w14:paraId="6DFBBFED">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4EF17F19">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01112C44">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5D7B199">
      <w:pPr>
        <w:keepNext w:val="0"/>
        <w:keepLines w:val="0"/>
        <w:pageBreakBefore w:val="0"/>
        <w:widowControl w:val="0"/>
        <w:kinsoku/>
        <w:wordWrap/>
        <w:overflowPunct w:val="0"/>
        <w:topLinePunct w:val="0"/>
        <w:autoSpaceDE/>
        <w:autoSpaceDN/>
        <w:bidi w:val="0"/>
        <w:snapToGrid/>
        <w:spacing w:line="580" w:lineRule="exact"/>
        <w:ind w:firstLine="640" w:firstLineChars="200"/>
        <w:textAlignment w:val="auto"/>
        <w:rPr>
          <w:rFonts w:ascii="Times New Roman" w:hAnsi="Times New Roman" w:eastAsia="楷体" w:cs="Times New Roman"/>
          <w:b/>
          <w:bCs/>
          <w:color w:val="auto"/>
          <w:sz w:val="32"/>
          <w:szCs w:val="32"/>
        </w:rPr>
      </w:pPr>
      <w:r>
        <w:rPr>
          <w:rFonts w:ascii="Times New Roman" w:hAnsi="Times New Roman" w:eastAsia="楷体_GB2312" w:cs="Times New Roman"/>
          <w:b/>
          <w:bCs/>
          <w:color w:val="auto"/>
          <w:sz w:val="32"/>
          <w:szCs w:val="32"/>
        </w:rPr>
        <w:t>（一）绩效评价工作开展情况。</w:t>
      </w:r>
      <w:r>
        <w:rPr>
          <w:rFonts w:ascii="Times New Roman" w:hAnsi="Times New Roman" w:eastAsia="仿宋_GB2312" w:cs="Times New Roman"/>
          <w:b/>
          <w:bCs/>
          <w:color w:val="auto"/>
          <w:kern w:val="0"/>
          <w:sz w:val="32"/>
          <w:szCs w:val="32"/>
        </w:rPr>
        <w:t>一是绩效自评开展情况。</w:t>
      </w:r>
      <w:r>
        <w:rPr>
          <w:rFonts w:ascii="Times New Roman" w:hAnsi="Times New Roman" w:eastAsia="仿宋_GB2312" w:cs="Times New Roman"/>
          <w:color w:val="auto"/>
          <w:kern w:val="0"/>
          <w:sz w:val="32"/>
          <w:szCs w:val="32"/>
        </w:rPr>
        <w:t>组织对202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年度本部门（单位）整体支出开展绩效自评，涉及项目</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个，共涉及资金</w:t>
      </w:r>
      <w:r>
        <w:rPr>
          <w:rFonts w:hint="eastAsia" w:ascii="Times New Roman" w:hAnsi="Times New Roman" w:eastAsia="仿宋_GB2312" w:cs="Times New Roman"/>
          <w:color w:val="auto"/>
          <w:kern w:val="0"/>
          <w:sz w:val="32"/>
          <w:szCs w:val="32"/>
          <w:lang w:val="en-US" w:eastAsia="zh-CN"/>
        </w:rPr>
        <w:t>62.14</w:t>
      </w:r>
      <w:r>
        <w:rPr>
          <w:rFonts w:ascii="Times New Roman" w:hAnsi="Times New Roman" w:eastAsia="仿宋_GB2312" w:cs="Times New Roman"/>
          <w:color w:val="auto"/>
          <w:kern w:val="0"/>
          <w:sz w:val="32"/>
          <w:szCs w:val="32"/>
        </w:rPr>
        <w:t>万元。其中，一般公共预算项目</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个</w:t>
      </w:r>
      <w:r>
        <w:rPr>
          <w:rFonts w:hint="eastAsia" w:ascii="Times New Roman" w:hAnsi="Times New Roman" w:eastAsia="仿宋_GB2312" w:cs="Times New Roman"/>
          <w:color w:val="auto"/>
          <w:kern w:val="0"/>
          <w:sz w:val="32"/>
          <w:szCs w:val="32"/>
          <w:lang w:val="en-US" w:eastAsia="zh-CN"/>
        </w:rPr>
        <w:t>62.14</w:t>
      </w:r>
      <w:r>
        <w:rPr>
          <w:rFonts w:ascii="Times New Roman" w:hAnsi="Times New Roman" w:eastAsia="仿宋_GB2312" w:cs="Times New Roman"/>
          <w:color w:val="auto"/>
          <w:kern w:val="0"/>
          <w:sz w:val="32"/>
          <w:szCs w:val="32"/>
        </w:rPr>
        <w:t>万元，占一般公共预算支出总额的</w:t>
      </w:r>
      <w:r>
        <w:rPr>
          <w:rFonts w:hint="eastAsia" w:ascii="Times New Roman" w:hAnsi="Times New Roman" w:eastAsia="仿宋_GB2312" w:cs="Times New Roman"/>
          <w:color w:val="auto"/>
          <w:kern w:val="0"/>
          <w:sz w:val="32"/>
          <w:szCs w:val="32"/>
          <w:lang w:val="en-US" w:eastAsia="zh-CN"/>
        </w:rPr>
        <w:t>100.00</w:t>
      </w:r>
      <w:r>
        <w:rPr>
          <w:rFonts w:ascii="Times New Roman" w:hAnsi="Times New Roman" w:eastAsia="仿宋_GB2312" w:cs="Times New Roman"/>
          <w:color w:val="auto"/>
          <w:kern w:val="0"/>
          <w:sz w:val="32"/>
          <w:szCs w:val="32"/>
        </w:rPr>
        <w:t>%；政府性基金预算项目</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 xml:space="preserve"> 个</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万元，占政府性基金预算支出总额的</w:t>
      </w:r>
      <w:r>
        <w:rPr>
          <w:rFonts w:hint="eastAsia" w:ascii="Times New Roman" w:hAnsi="Times New Roman" w:eastAsia="仿宋_GB2312" w:cs="Times New Roman"/>
          <w:color w:val="auto"/>
          <w:kern w:val="0"/>
          <w:sz w:val="32"/>
          <w:szCs w:val="32"/>
          <w:lang w:val="en-US" w:eastAsia="zh-CN"/>
        </w:rPr>
        <w:t>0.00</w:t>
      </w:r>
      <w:r>
        <w:rPr>
          <w:rFonts w:ascii="Times New Roman" w:hAnsi="Times New Roman" w:eastAsia="仿宋_GB2312" w:cs="Times New Roman"/>
          <w:color w:val="auto"/>
          <w:kern w:val="0"/>
          <w:sz w:val="32"/>
          <w:szCs w:val="32"/>
        </w:rPr>
        <w:t>%；国有资本经营预算项目</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 xml:space="preserve"> 个</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万元，占国有资本经营预算支出总额的</w:t>
      </w:r>
      <w:r>
        <w:rPr>
          <w:rFonts w:hint="eastAsia" w:ascii="Times New Roman" w:hAnsi="Times New Roman" w:eastAsia="仿宋_GB2312" w:cs="Times New Roman"/>
          <w:color w:val="auto"/>
          <w:kern w:val="0"/>
          <w:sz w:val="32"/>
          <w:szCs w:val="32"/>
          <w:lang w:val="en-US" w:eastAsia="zh-CN"/>
        </w:rPr>
        <w:t>0.00</w:t>
      </w:r>
      <w:r>
        <w:rPr>
          <w:rFonts w:ascii="Times New Roman" w:hAnsi="Times New Roman" w:eastAsia="仿宋_GB2312" w:cs="Times New Roman"/>
          <w:color w:val="auto"/>
          <w:kern w:val="0"/>
          <w:sz w:val="32"/>
          <w:szCs w:val="32"/>
        </w:rPr>
        <w:t>%；社会保险基金预算项目</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个</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万元，占社会保险基金预算支出总额的</w:t>
      </w:r>
      <w:r>
        <w:rPr>
          <w:rFonts w:hint="eastAsia" w:ascii="Times New Roman" w:hAnsi="Times New Roman" w:eastAsia="仿宋_GB2312" w:cs="Times New Roman"/>
          <w:color w:val="auto"/>
          <w:kern w:val="0"/>
          <w:sz w:val="32"/>
          <w:szCs w:val="32"/>
          <w:lang w:val="en-US" w:eastAsia="zh-CN"/>
        </w:rPr>
        <w:t>0.00</w:t>
      </w:r>
      <w:r>
        <w:rPr>
          <w:rFonts w:ascii="Times New Roman" w:hAnsi="Times New Roman" w:eastAsia="仿宋_GB2312" w:cs="Times New Roman"/>
          <w:color w:val="auto"/>
          <w:kern w:val="0"/>
          <w:sz w:val="32"/>
          <w:szCs w:val="32"/>
        </w:rPr>
        <w:t>%。</w:t>
      </w:r>
    </w:p>
    <w:p w14:paraId="2D5172D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bCs/>
          <w:color w:val="auto"/>
          <w:sz w:val="32"/>
          <w:szCs w:val="32"/>
        </w:rPr>
      </w:pPr>
      <w:r>
        <w:rPr>
          <w:rFonts w:ascii="Times New Roman" w:hAnsi="Times New Roman" w:eastAsia="楷体_GB2312" w:cs="Times New Roman"/>
          <w:b/>
          <w:bCs/>
          <w:color w:val="auto"/>
          <w:sz w:val="32"/>
          <w:szCs w:val="32"/>
        </w:rPr>
        <w:t>（二）绩效评价结果。</w:t>
      </w:r>
      <w:r>
        <w:rPr>
          <w:rFonts w:ascii="Times New Roman" w:hAnsi="Times New Roman" w:eastAsia="仿宋_GB2312" w:cs="Times New Roman"/>
          <w:b/>
          <w:bCs/>
          <w:color w:val="auto"/>
          <w:kern w:val="0"/>
          <w:sz w:val="32"/>
          <w:szCs w:val="32"/>
        </w:rPr>
        <w:t>一是绩效自评结果。</w:t>
      </w:r>
      <w:r>
        <w:rPr>
          <w:rFonts w:ascii="Times New Roman" w:hAnsi="Times New Roman" w:eastAsia="仿宋_GB2312" w:cs="Times New Roman"/>
          <w:color w:val="auto"/>
          <w:kern w:val="0"/>
          <w:sz w:val="32"/>
          <w:szCs w:val="32"/>
        </w:rPr>
        <w:t>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年度本部门（单位）整体支出</w:t>
      </w:r>
      <w:r>
        <w:rPr>
          <w:rFonts w:ascii="Times New Roman" w:hAnsi="Times New Roman" w:eastAsia="仿宋_GB2312" w:cs="Times New Roman"/>
          <w:color w:val="auto"/>
          <w:sz w:val="32"/>
          <w:szCs w:val="32"/>
        </w:rPr>
        <w:t>全年预算数</w:t>
      </w:r>
      <w:r>
        <w:rPr>
          <w:rFonts w:hint="eastAsia" w:ascii="Times New Roman" w:hAnsi="Times New Roman" w:eastAsia="仿宋_GB2312" w:cs="Times New Roman"/>
          <w:color w:val="auto"/>
          <w:sz w:val="32"/>
          <w:szCs w:val="32"/>
          <w:lang w:val="en-US" w:eastAsia="zh-CN"/>
        </w:rPr>
        <w:t>427.73</w:t>
      </w:r>
      <w:r>
        <w:rPr>
          <w:rFonts w:ascii="Times New Roman" w:hAnsi="Times New Roman" w:eastAsia="仿宋_GB2312" w:cs="Times New Roman"/>
          <w:color w:val="auto"/>
          <w:sz w:val="32"/>
          <w:szCs w:val="32"/>
        </w:rPr>
        <w:t>万元，执行数</w:t>
      </w:r>
      <w:r>
        <w:rPr>
          <w:rFonts w:hint="eastAsia" w:ascii="Times New Roman" w:hAnsi="Times New Roman" w:eastAsia="仿宋_GB2312" w:cs="Times New Roman"/>
          <w:color w:val="auto"/>
          <w:sz w:val="32"/>
          <w:szCs w:val="32"/>
          <w:lang w:val="en-US" w:eastAsia="zh-CN"/>
        </w:rPr>
        <w:t>415.78</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97.20</w:t>
      </w:r>
      <w:r>
        <w:rPr>
          <w:rFonts w:ascii="Times New Roman" w:hAnsi="Times New Roman" w:eastAsia="仿宋_GB2312" w:cs="Times New Roman"/>
          <w:color w:val="auto"/>
          <w:sz w:val="32"/>
          <w:szCs w:val="32"/>
        </w:rPr>
        <w:t>%</w:t>
      </w:r>
      <w:r>
        <w:rPr>
          <w:rFonts w:ascii="Times New Roman" w:hAnsi="Times New Roman" w:eastAsia="仿宋_GB2312" w:cs="Times New Roman"/>
          <w:color w:val="auto"/>
          <w:kern w:val="0"/>
          <w:sz w:val="32"/>
          <w:szCs w:val="32"/>
        </w:rPr>
        <w:t>，绩效自评得分</w:t>
      </w:r>
      <w:r>
        <w:rPr>
          <w:rFonts w:hint="eastAsia" w:ascii="Times New Roman" w:hAnsi="Times New Roman" w:eastAsia="仿宋_GB2312" w:cs="Times New Roman"/>
          <w:color w:val="auto"/>
          <w:sz w:val="32"/>
          <w:szCs w:val="32"/>
          <w:lang w:val="en-US" w:eastAsia="zh-CN"/>
        </w:rPr>
        <w:t>96</w:t>
      </w:r>
      <w:r>
        <w:rPr>
          <w:rFonts w:ascii="Times New Roman" w:hAnsi="Times New Roman" w:eastAsia="仿宋_GB2312" w:cs="Times New Roman"/>
          <w:color w:val="auto"/>
          <w:sz w:val="32"/>
          <w:szCs w:val="32"/>
        </w:rPr>
        <w:t>分</w:t>
      </w:r>
      <w:r>
        <w:rPr>
          <w:rFonts w:ascii="Times New Roman" w:hAnsi="Times New Roman" w:eastAsia="仿宋_GB2312" w:cs="Times New Roman"/>
          <w:color w:val="auto"/>
          <w:kern w:val="0"/>
          <w:sz w:val="32"/>
          <w:szCs w:val="32"/>
        </w:rPr>
        <w:t>，评价等级为</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优秀</w:t>
      </w:r>
      <w:r>
        <w:rPr>
          <w:rFonts w:ascii="Times New Roman" w:hAnsi="Times New Roman" w:eastAsia="仿宋_GB2312" w:cs="Times New Roman"/>
          <w:color w:val="auto"/>
          <w:sz w:val="32"/>
          <w:szCs w:val="32"/>
        </w:rPr>
        <w:t>”。绩效目标完成情况：</w:t>
      </w:r>
      <w:r>
        <w:rPr>
          <w:rFonts w:hint="eastAsia" w:ascii="仿宋_GB2312" w:eastAsia="仿宋_GB2312"/>
          <w:b/>
          <w:bCs/>
          <w:color w:val="auto"/>
          <w:sz w:val="32"/>
          <w:szCs w:val="32"/>
          <w:lang w:eastAsia="zh-CN"/>
        </w:rPr>
        <w:t>一是保障老干部生活服务待遇。</w:t>
      </w:r>
      <w:r>
        <w:rPr>
          <w:rFonts w:hint="eastAsia" w:ascii="仿宋_GB2312" w:eastAsia="仿宋_GB2312"/>
          <w:color w:val="auto"/>
          <w:sz w:val="32"/>
          <w:szCs w:val="32"/>
          <w:lang w:eastAsia="zh-CN"/>
        </w:rPr>
        <w:t>全年为老干部</w:t>
      </w:r>
      <w:r>
        <w:rPr>
          <w:rFonts w:hint="default" w:ascii="仿宋_GB2312" w:eastAsia="仿宋_GB2312"/>
          <w:color w:val="auto"/>
          <w:sz w:val="32"/>
          <w:szCs w:val="32"/>
          <w:lang w:eastAsia="zh-CN"/>
        </w:rPr>
        <w:t>购取药物200多人次，办理医药报销、审批等事务100多人次</w:t>
      </w:r>
      <w:r>
        <w:rPr>
          <w:rFonts w:hint="eastAsia" w:ascii="仿宋_GB2312" w:eastAsia="仿宋_GB2312"/>
          <w:color w:val="auto"/>
          <w:sz w:val="32"/>
          <w:szCs w:val="32"/>
          <w:lang w:eastAsia="zh-CN"/>
        </w:rPr>
        <w:t>，</w:t>
      </w:r>
      <w:r>
        <w:rPr>
          <w:rFonts w:hint="default" w:ascii="仿宋_GB2312" w:eastAsia="仿宋_GB2312"/>
          <w:color w:val="auto"/>
          <w:sz w:val="32"/>
          <w:szCs w:val="32"/>
          <w:lang w:eastAsia="zh-CN"/>
        </w:rPr>
        <w:t>参与</w:t>
      </w:r>
      <w:r>
        <w:rPr>
          <w:rFonts w:hint="eastAsia" w:ascii="仿宋_GB2312" w:eastAsia="仿宋_GB2312"/>
          <w:color w:val="auto"/>
          <w:sz w:val="32"/>
          <w:szCs w:val="32"/>
          <w:lang w:eastAsia="zh-CN"/>
        </w:rPr>
        <w:t>组织</w:t>
      </w:r>
      <w:r>
        <w:rPr>
          <w:rFonts w:hint="default" w:ascii="仿宋_GB2312" w:eastAsia="仿宋_GB2312"/>
          <w:color w:val="auto"/>
          <w:sz w:val="32"/>
          <w:szCs w:val="32"/>
          <w:lang w:eastAsia="zh-CN"/>
        </w:rPr>
        <w:t>中医问诊活动2次，组织老干部接种流感疫苗50余人次</w:t>
      </w:r>
      <w:r>
        <w:rPr>
          <w:rFonts w:hint="eastAsia" w:ascii="仿宋_GB2312" w:eastAsia="仿宋_GB2312"/>
          <w:color w:val="auto"/>
          <w:sz w:val="32"/>
          <w:szCs w:val="32"/>
          <w:lang w:eastAsia="zh-CN"/>
        </w:rPr>
        <w:t>；</w:t>
      </w:r>
      <w:r>
        <w:rPr>
          <w:rFonts w:hint="eastAsia" w:ascii="仿宋_GB2312" w:eastAsia="仿宋_GB2312"/>
          <w:b/>
          <w:bCs/>
          <w:color w:val="auto"/>
          <w:sz w:val="32"/>
          <w:szCs w:val="32"/>
          <w:lang w:eastAsia="zh-CN"/>
        </w:rPr>
        <w:t>二是</w:t>
      </w:r>
      <w:r>
        <w:rPr>
          <w:rFonts w:hint="default" w:ascii="仿宋_GB2312" w:eastAsia="仿宋_GB2312"/>
          <w:b/>
          <w:bCs/>
          <w:color w:val="auto"/>
          <w:sz w:val="32"/>
          <w:szCs w:val="32"/>
          <w:lang w:eastAsia="zh-CN"/>
        </w:rPr>
        <w:t>常态化开展</w:t>
      </w:r>
      <w:r>
        <w:rPr>
          <w:rFonts w:hint="eastAsia" w:ascii="仿宋_GB2312" w:eastAsia="仿宋_GB2312"/>
          <w:b/>
          <w:bCs/>
          <w:color w:val="auto"/>
          <w:sz w:val="32"/>
          <w:szCs w:val="32"/>
          <w:lang w:eastAsia="zh-CN"/>
        </w:rPr>
        <w:t>日常活动，完善基础设施。</w:t>
      </w:r>
      <w:r>
        <w:rPr>
          <w:rFonts w:hint="default" w:ascii="仿宋_GB2312" w:eastAsia="仿宋_GB2312"/>
          <w:color w:val="auto"/>
          <w:sz w:val="32"/>
          <w:szCs w:val="32"/>
          <w:lang w:eastAsia="zh-CN"/>
        </w:rPr>
        <w:t>全年</w:t>
      </w:r>
      <w:r>
        <w:rPr>
          <w:rFonts w:hint="eastAsia" w:ascii="仿宋_GB2312" w:eastAsia="仿宋_GB2312"/>
          <w:color w:val="auto"/>
          <w:sz w:val="32"/>
          <w:szCs w:val="32"/>
          <w:lang w:eastAsia="zh-CN"/>
        </w:rPr>
        <w:t>开展</w:t>
      </w:r>
      <w:r>
        <w:rPr>
          <w:rFonts w:hint="default" w:ascii="仿宋_GB2312" w:eastAsia="仿宋_GB2312"/>
          <w:color w:val="auto"/>
          <w:sz w:val="32"/>
          <w:szCs w:val="32"/>
          <w:lang w:eastAsia="zh-CN"/>
        </w:rPr>
        <w:t>棋牌活动99次</w:t>
      </w:r>
      <w:r>
        <w:rPr>
          <w:rFonts w:hint="eastAsia" w:ascii="仿宋_GB2312" w:eastAsia="仿宋_GB2312"/>
          <w:color w:val="auto"/>
          <w:sz w:val="32"/>
          <w:szCs w:val="32"/>
          <w:lang w:eastAsia="zh-CN"/>
        </w:rPr>
        <w:t>、</w:t>
      </w:r>
      <w:r>
        <w:rPr>
          <w:rFonts w:hint="default" w:ascii="仿宋_GB2312" w:eastAsia="仿宋_GB2312"/>
          <w:color w:val="auto"/>
          <w:sz w:val="32"/>
          <w:szCs w:val="32"/>
          <w:lang w:eastAsia="zh-CN"/>
        </w:rPr>
        <w:t>唱红歌活动89次，开展诗词创作活动4次</w:t>
      </w:r>
      <w:r>
        <w:rPr>
          <w:rFonts w:hint="eastAsia" w:ascii="仿宋_GB2312" w:eastAsia="仿宋_GB2312"/>
          <w:color w:val="auto"/>
          <w:sz w:val="32"/>
          <w:szCs w:val="32"/>
          <w:lang w:eastAsia="zh-CN"/>
        </w:rPr>
        <w:t>、</w:t>
      </w:r>
      <w:r>
        <w:rPr>
          <w:rFonts w:hint="default" w:ascii="仿宋_GB2312" w:hAnsi="Times New Roman" w:eastAsia="仿宋_GB2312" w:cs="Times New Roman"/>
          <w:color w:val="auto"/>
          <w:sz w:val="32"/>
          <w:szCs w:val="32"/>
          <w:lang w:eastAsia="zh-CN"/>
        </w:rPr>
        <w:t>摄影活</w:t>
      </w:r>
      <w:r>
        <w:rPr>
          <w:rFonts w:hint="default" w:ascii="仿宋_GB2312" w:eastAsia="仿宋_GB2312"/>
          <w:color w:val="auto"/>
          <w:sz w:val="32"/>
          <w:szCs w:val="32"/>
          <w:lang w:eastAsia="zh-CN"/>
        </w:rPr>
        <w:t>动6次。组织老干部参观考察活动6次，参与</w:t>
      </w:r>
      <w:r>
        <w:rPr>
          <w:rFonts w:hint="eastAsia" w:ascii="仿宋_GB2312" w:eastAsia="仿宋_GB2312"/>
          <w:color w:val="auto"/>
          <w:sz w:val="32"/>
          <w:szCs w:val="32"/>
          <w:lang w:eastAsia="zh-CN"/>
        </w:rPr>
        <w:t>全市</w:t>
      </w:r>
      <w:r>
        <w:rPr>
          <w:rFonts w:hint="default" w:ascii="仿宋_GB2312" w:eastAsia="仿宋_GB2312"/>
          <w:color w:val="auto"/>
          <w:sz w:val="32"/>
          <w:szCs w:val="32"/>
          <w:lang w:eastAsia="zh-CN"/>
        </w:rPr>
        <w:t>老干部参观考察活动1次，专题教育活动1次，</w:t>
      </w:r>
      <w:r>
        <w:rPr>
          <w:rFonts w:hint="eastAsia" w:ascii="仿宋_GB2312" w:eastAsia="仿宋_GB2312"/>
          <w:color w:val="auto"/>
          <w:sz w:val="32"/>
          <w:szCs w:val="32"/>
          <w:lang w:eastAsia="zh-CN"/>
        </w:rPr>
        <w:t>整理</w:t>
      </w:r>
      <w:r>
        <w:rPr>
          <w:rFonts w:hint="default" w:ascii="仿宋_GB2312" w:eastAsia="仿宋_GB2312"/>
          <w:color w:val="auto"/>
          <w:sz w:val="32"/>
          <w:szCs w:val="32"/>
          <w:lang w:eastAsia="zh-CN"/>
        </w:rPr>
        <w:t>编辑《2025年拾光》相册。新增一楼大厅读书角，增加图书300余册，为老同志营造温馨舒适的学习活动空间。</w:t>
      </w:r>
      <w:r>
        <w:rPr>
          <w:rFonts w:hint="eastAsia" w:ascii="仿宋_GB2312" w:eastAsia="仿宋_GB2312"/>
          <w:b/>
          <w:bCs/>
          <w:color w:val="auto"/>
          <w:sz w:val="32"/>
          <w:szCs w:val="32"/>
          <w:lang w:eastAsia="zh-CN"/>
        </w:rPr>
        <w:t>三是</w:t>
      </w:r>
      <w:r>
        <w:rPr>
          <w:rFonts w:hint="default" w:ascii="仿宋_GB2312" w:eastAsia="仿宋_GB2312"/>
          <w:b/>
          <w:bCs/>
          <w:color w:val="auto"/>
          <w:sz w:val="32"/>
          <w:szCs w:val="32"/>
          <w:lang w:eastAsia="zh-CN"/>
        </w:rPr>
        <w:t>日常关怀更加扎实。</w:t>
      </w:r>
      <w:r>
        <w:rPr>
          <w:rFonts w:hint="default" w:ascii="仿宋_GB2312" w:eastAsia="仿宋_GB2312"/>
          <w:color w:val="auto"/>
          <w:sz w:val="32"/>
          <w:szCs w:val="32"/>
          <w:lang w:eastAsia="zh-CN"/>
        </w:rPr>
        <w:t>全年走访慰问住院老干部及遗孀150余人次，异地走访5人次，节日慰问200余人次。深入开展</w:t>
      </w:r>
      <w:r>
        <w:rPr>
          <w:rFonts w:hint="eastAsia" w:ascii="仿宋" w:hAnsi="仿宋" w:eastAsia="仿宋" w:cs="仿宋"/>
          <w:color w:val="auto"/>
          <w:sz w:val="32"/>
          <w:szCs w:val="32"/>
          <w:lang w:eastAsia="zh-CN"/>
        </w:rPr>
        <w:t>“</w:t>
      </w:r>
      <w:r>
        <w:rPr>
          <w:rFonts w:hint="default" w:ascii="仿宋_GB2312" w:eastAsia="仿宋_GB2312"/>
          <w:color w:val="auto"/>
          <w:sz w:val="32"/>
          <w:szCs w:val="32"/>
          <w:lang w:eastAsia="zh-CN"/>
        </w:rPr>
        <w:t>我为老干部办实事</w:t>
      </w:r>
      <w:r>
        <w:rPr>
          <w:rFonts w:hint="eastAsia" w:ascii="仿宋" w:hAnsi="仿宋" w:eastAsia="仿宋" w:cs="仿宋"/>
          <w:color w:val="auto"/>
          <w:sz w:val="32"/>
          <w:szCs w:val="32"/>
          <w:lang w:eastAsia="zh-CN"/>
        </w:rPr>
        <w:t>”</w:t>
      </w:r>
      <w:r>
        <w:rPr>
          <w:rFonts w:hint="default" w:ascii="仿宋_GB2312" w:eastAsia="仿宋_GB2312"/>
          <w:color w:val="auto"/>
          <w:sz w:val="32"/>
          <w:szCs w:val="32"/>
          <w:lang w:eastAsia="zh-CN"/>
        </w:rPr>
        <w:t>实践活动，拓展家政便民上门服务项目近200人次，协调物业解决老干部住所楼道内杂物堆放存在安全隐患、开通中医院医疗绿色通道等急难问题10余项。</w:t>
      </w:r>
      <w:r>
        <w:rPr>
          <w:rFonts w:ascii="Times New Roman" w:hAnsi="Times New Roman" w:eastAsia="仿宋_GB2312" w:cs="Times New Roman"/>
          <w:color w:val="auto"/>
          <w:sz w:val="32"/>
          <w:szCs w:val="32"/>
        </w:rPr>
        <w:t>发现的主要问题及原因：</w:t>
      </w:r>
      <w:r>
        <w:rPr>
          <w:rFonts w:hint="default" w:ascii="Times New Roman" w:hAnsi="Times New Roman" w:eastAsia="仿宋_GB2312" w:cs="Times New Roman"/>
          <w:i w:val="0"/>
          <w:iCs w:val="0"/>
          <w:caps w:val="0"/>
          <w:color w:val="auto"/>
          <w:spacing w:val="0"/>
          <w:sz w:val="32"/>
          <w:szCs w:val="32"/>
          <w:shd w:val="clear" w:fill="FFFFFF"/>
        </w:rPr>
        <w:t>绩效评价目标体系设置精细化程度仍需提高。在202</w:t>
      </w:r>
      <w:r>
        <w:rPr>
          <w:rFonts w:hint="eastAsia" w:ascii="Times New Roman" w:hAnsi="Times New Roman" w:eastAsia="仿宋_GB2312" w:cs="Times New Roman"/>
          <w:i w:val="0"/>
          <w:iCs w:val="0"/>
          <w:caps w:val="0"/>
          <w:color w:val="auto"/>
          <w:spacing w:val="0"/>
          <w:sz w:val="32"/>
          <w:szCs w:val="32"/>
          <w:shd w:val="clear" w:fill="FFFFFF"/>
          <w:lang w:val="en-US" w:eastAsia="zh-CN"/>
        </w:rPr>
        <w:t>5</w:t>
      </w:r>
      <w:r>
        <w:rPr>
          <w:rFonts w:hint="default" w:ascii="Times New Roman" w:hAnsi="Times New Roman" w:eastAsia="仿宋_GB2312" w:cs="Times New Roman"/>
          <w:i w:val="0"/>
          <w:iCs w:val="0"/>
          <w:caps w:val="0"/>
          <w:color w:val="auto"/>
          <w:spacing w:val="0"/>
          <w:sz w:val="32"/>
          <w:szCs w:val="32"/>
          <w:shd w:val="clear" w:fill="FFFFFF"/>
        </w:rPr>
        <w:t>年度预算绩效目标编制工作中，对各</w:t>
      </w:r>
      <w:r>
        <w:rPr>
          <w:rFonts w:hint="default" w:ascii="Times New Roman" w:hAnsi="Times New Roman" w:eastAsia="仿宋_GB2312" w:cs="Times New Roman"/>
          <w:i w:val="0"/>
          <w:iCs w:val="0"/>
          <w:caps w:val="0"/>
          <w:color w:val="auto"/>
          <w:spacing w:val="0"/>
          <w:sz w:val="32"/>
          <w:szCs w:val="32"/>
          <w:shd w:val="clear" w:fill="FFFFFF"/>
          <w:lang w:eastAsia="zh-CN"/>
        </w:rPr>
        <w:t>部</w:t>
      </w:r>
      <w:r>
        <w:rPr>
          <w:rFonts w:hint="default" w:ascii="Times New Roman" w:hAnsi="Times New Roman" w:eastAsia="仿宋_GB2312" w:cs="Times New Roman"/>
          <w:i w:val="0"/>
          <w:iCs w:val="0"/>
          <w:caps w:val="0"/>
          <w:color w:val="auto"/>
          <w:spacing w:val="0"/>
          <w:sz w:val="32"/>
          <w:szCs w:val="32"/>
          <w:shd w:val="clear" w:fill="FFFFFF"/>
        </w:rPr>
        <w:t>室的绩效目标和绩效指标的设定未紧扣各自职能，有的指标设置科学量化度不高，绩效目标编制质量仍需提高</w:t>
      </w:r>
      <w:r>
        <w:rPr>
          <w:rFonts w:ascii="Times New Roman" w:hAnsi="Times New Roman" w:eastAsia="仿宋_GB2312" w:cs="Times New Roman"/>
          <w:color w:val="auto"/>
          <w:sz w:val="32"/>
          <w:szCs w:val="32"/>
        </w:rPr>
        <w:t>。下一步改进措施：一是</w:t>
      </w:r>
      <w:r>
        <w:rPr>
          <w:rFonts w:hint="default" w:ascii="Times New Roman" w:hAnsi="Times New Roman" w:eastAsia="仿宋_GB2312" w:cs="Times New Roman"/>
          <w:i w:val="0"/>
          <w:iCs w:val="0"/>
          <w:caps w:val="0"/>
          <w:color w:val="auto"/>
          <w:spacing w:val="0"/>
          <w:sz w:val="32"/>
          <w:szCs w:val="32"/>
          <w:shd w:val="clear" w:fill="FFFFFF"/>
        </w:rPr>
        <w:t>定期做好预算支出财务分析，做好部门整体支出预算评价工作，进一步提高预算基本支出的财务保障水平，强化机关经费管理的刚性约束，项目支出按照预算和工作进度执行，进一步规范各项支出。</w:t>
      </w:r>
      <w:r>
        <w:rPr>
          <w:rFonts w:hint="eastAsia" w:ascii="Times New Roman" w:hAnsi="Times New Roman" w:eastAsia="仿宋_GB2312" w:cs="Times New Roman"/>
          <w:i w:val="0"/>
          <w:iCs w:val="0"/>
          <w:caps w:val="0"/>
          <w:color w:val="auto"/>
          <w:spacing w:val="0"/>
          <w:sz w:val="32"/>
          <w:szCs w:val="32"/>
          <w:shd w:val="clear" w:fill="FFFFFF"/>
          <w:lang w:eastAsia="zh-CN"/>
        </w:rPr>
        <w:t>二是</w:t>
      </w:r>
      <w:r>
        <w:rPr>
          <w:rFonts w:hint="default" w:ascii="Times New Roman" w:hAnsi="Times New Roman" w:eastAsia="仿宋_GB2312" w:cs="Times New Roman"/>
          <w:i w:val="0"/>
          <w:iCs w:val="0"/>
          <w:caps w:val="0"/>
          <w:color w:val="auto"/>
          <w:spacing w:val="0"/>
          <w:sz w:val="32"/>
          <w:szCs w:val="32"/>
          <w:shd w:val="clear" w:fill="FFFFFF"/>
        </w:rPr>
        <w:t>今后严格按照预算绩效管理要求，坚持定性与定量相结合，突出重点，便于检验、评价、考核。可以量化的三级指标，都要予以量化；确实难以量化的，要提炼出能够反映目标任务和预期成效的结果性描述</w:t>
      </w:r>
      <w:r>
        <w:rPr>
          <w:rFonts w:ascii="Times New Roman" w:hAnsi="Times New Roman" w:eastAsia="仿宋_GB2312" w:cs="Times New Roman"/>
          <w:color w:val="auto"/>
          <w:kern w:val="0"/>
          <w:sz w:val="32"/>
          <w:szCs w:val="32"/>
        </w:rPr>
        <w:t>。</w:t>
      </w:r>
      <w:r>
        <w:rPr>
          <w:rFonts w:ascii="Times New Roman" w:hAnsi="Times New Roman" w:eastAsia="仿宋_GB2312" w:cs="Times New Roman"/>
          <w:b/>
          <w:bCs/>
          <w:color w:val="auto"/>
          <w:kern w:val="0"/>
          <w:sz w:val="32"/>
          <w:szCs w:val="32"/>
        </w:rPr>
        <w:t>二是部门评价结果（</w:t>
      </w:r>
      <w:r>
        <w:rPr>
          <w:rFonts w:hint="eastAsia" w:ascii="Times New Roman" w:hAnsi="Times New Roman" w:eastAsia="仿宋_GB2312" w:cs="Times New Roman"/>
          <w:b/>
          <w:bCs/>
          <w:color w:val="auto"/>
          <w:kern w:val="0"/>
          <w:sz w:val="32"/>
          <w:szCs w:val="32"/>
          <w:lang w:eastAsia="zh-CN"/>
        </w:rPr>
        <w:t>本</w:t>
      </w:r>
      <w:r>
        <w:rPr>
          <w:rFonts w:ascii="Times New Roman" w:hAnsi="Times New Roman" w:eastAsia="仿宋_GB2312" w:cs="Times New Roman"/>
          <w:b/>
          <w:bCs/>
          <w:color w:val="auto"/>
          <w:kern w:val="0"/>
          <w:sz w:val="32"/>
          <w:szCs w:val="32"/>
        </w:rPr>
        <w:t>部门</w:t>
      </w:r>
      <w:r>
        <w:rPr>
          <w:rFonts w:hint="eastAsia" w:ascii="Times New Roman" w:hAnsi="Times New Roman" w:eastAsia="仿宋_GB2312" w:cs="Times New Roman"/>
          <w:b/>
          <w:bCs/>
          <w:color w:val="auto"/>
          <w:kern w:val="0"/>
          <w:sz w:val="32"/>
          <w:szCs w:val="32"/>
          <w:lang w:eastAsia="zh-CN"/>
        </w:rPr>
        <w:t>为二级部门</w:t>
      </w:r>
      <w:r>
        <w:rPr>
          <w:rFonts w:ascii="Times New Roman" w:hAnsi="Times New Roman" w:eastAsia="仿宋_GB2312" w:cs="Times New Roman"/>
          <w:b/>
          <w:bCs/>
          <w:color w:val="auto"/>
          <w:kern w:val="0"/>
          <w:sz w:val="32"/>
          <w:szCs w:val="32"/>
        </w:rPr>
        <w:t>）。三是事前绩效评估结果（</w:t>
      </w:r>
      <w:r>
        <w:rPr>
          <w:rFonts w:hint="eastAsia" w:ascii="Times New Roman" w:hAnsi="Times New Roman" w:eastAsia="仿宋_GB2312" w:cs="Times New Roman"/>
          <w:b/>
          <w:bCs/>
          <w:color w:val="auto"/>
          <w:kern w:val="0"/>
          <w:sz w:val="32"/>
          <w:szCs w:val="32"/>
          <w:lang w:eastAsia="zh-CN"/>
        </w:rPr>
        <w:t>本</w:t>
      </w:r>
      <w:r>
        <w:rPr>
          <w:rFonts w:ascii="Times New Roman" w:hAnsi="Times New Roman" w:eastAsia="仿宋_GB2312" w:cs="Times New Roman"/>
          <w:b/>
          <w:bCs/>
          <w:color w:val="auto"/>
          <w:kern w:val="0"/>
          <w:sz w:val="32"/>
          <w:szCs w:val="32"/>
        </w:rPr>
        <w:t>部门</w:t>
      </w:r>
      <w:r>
        <w:rPr>
          <w:rFonts w:hint="eastAsia" w:ascii="Times New Roman" w:hAnsi="Times New Roman" w:eastAsia="仿宋_GB2312" w:cs="Times New Roman"/>
          <w:b/>
          <w:bCs/>
          <w:color w:val="auto"/>
          <w:kern w:val="0"/>
          <w:sz w:val="32"/>
          <w:szCs w:val="32"/>
          <w:lang w:eastAsia="zh-CN"/>
        </w:rPr>
        <w:t>为二级部门</w:t>
      </w:r>
      <w:r>
        <w:rPr>
          <w:rFonts w:ascii="Times New Roman" w:hAnsi="Times New Roman" w:eastAsia="仿宋_GB2312" w:cs="Times New Roman"/>
          <w:b/>
          <w:bCs/>
          <w:color w:val="auto"/>
          <w:kern w:val="0"/>
          <w:sz w:val="32"/>
          <w:szCs w:val="32"/>
        </w:rPr>
        <w:t>）</w:t>
      </w:r>
      <w:r>
        <w:rPr>
          <w:rFonts w:ascii="Times New Roman" w:hAnsi="Times New Roman" w:eastAsia="仿宋_GB2312" w:cs="Times New Roman"/>
          <w:color w:val="auto"/>
          <w:kern w:val="0"/>
          <w:sz w:val="32"/>
          <w:szCs w:val="32"/>
        </w:rPr>
        <w:t>。</w:t>
      </w:r>
    </w:p>
    <w:p w14:paraId="1783C4CA">
      <w:pPr>
        <w:pStyle w:val="15"/>
        <w:keepNext w:val="0"/>
        <w:keepLines w:val="0"/>
        <w:pageBreakBefore w:val="0"/>
        <w:widowControl w:val="0"/>
        <w:kinsoku/>
        <w:wordWrap/>
        <w:overflowPunct w:val="0"/>
        <w:topLinePunct w:val="0"/>
        <w:autoSpaceDE/>
        <w:autoSpaceDN/>
        <w:bidi w:val="0"/>
        <w:snapToGrid/>
        <w:spacing w:line="580" w:lineRule="exact"/>
        <w:ind w:firstLine="640" w:firstLineChars="200"/>
        <w:jc w:val="both"/>
        <w:textAlignment w:val="auto"/>
        <w:rPr>
          <w:rFonts w:ascii="Times New Roman" w:hAnsi="Times New Roman" w:eastAsia="仿宋_GB2312" w:cs="Times New Roman"/>
          <w:color w:val="FF0000"/>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年市委市政府机关老干部休养所整体支出绩效自评得分9</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分，评价等级为</w:t>
      </w:r>
      <w:r>
        <w:rPr>
          <w:rFonts w:hint="eastAsia" w:ascii="Times New Roman" w:hAnsi="Times New Roman" w:eastAsia="仿宋_GB2312" w:cs="Times New Roman"/>
          <w:color w:val="auto"/>
          <w:sz w:val="32"/>
          <w:szCs w:val="32"/>
          <w:lang w:eastAsia="zh-CN"/>
        </w:rPr>
        <w:t>优秀</w:t>
      </w:r>
      <w:r>
        <w:rPr>
          <w:rFonts w:hint="eastAsia" w:ascii="Times New Roman" w:hAnsi="Times New Roman" w:eastAsia="仿宋_GB2312" w:cs="Times New Roman"/>
          <w:color w:val="auto"/>
          <w:sz w:val="32"/>
          <w:szCs w:val="32"/>
        </w:rPr>
        <w:t>，依据这一结果，</w:t>
      </w:r>
      <w:r>
        <w:rPr>
          <w:rFonts w:hint="eastAsia" w:ascii="Times New Roman" w:hAnsi="Times New Roman" w:eastAsia="仿宋_GB2312" w:cs="Times New Roman"/>
          <w:color w:val="auto"/>
          <w:sz w:val="32"/>
          <w:szCs w:val="32"/>
          <w:lang w:eastAsia="zh-CN"/>
        </w:rPr>
        <w:t>本单位</w:t>
      </w:r>
      <w:r>
        <w:rPr>
          <w:rFonts w:hint="eastAsia" w:ascii="Times New Roman" w:hAnsi="Times New Roman" w:eastAsia="仿宋_GB2312" w:cs="Times New Roman"/>
          <w:color w:val="auto"/>
          <w:sz w:val="32"/>
          <w:szCs w:val="32"/>
        </w:rPr>
        <w:t>在年初绩效目标设定、资金管理，制度建设、项目管理等方面进行补充和完善，力求实现财政资金支出效益最大化。</w:t>
      </w:r>
    </w:p>
    <w:p w14:paraId="7517222E">
      <w:pPr>
        <w:pStyle w:val="15"/>
        <w:jc w:val="center"/>
        <w:rPr>
          <w:rFonts w:ascii="Times New Roman" w:hAnsi="Times New Roman" w:cs="Times New Roman"/>
          <w:sz w:val="72"/>
          <w:szCs w:val="72"/>
        </w:rPr>
      </w:pPr>
    </w:p>
    <w:p w14:paraId="684EEF40">
      <w:pPr>
        <w:pStyle w:val="15"/>
        <w:jc w:val="center"/>
        <w:rPr>
          <w:rFonts w:ascii="Times New Roman" w:hAnsi="Times New Roman" w:cs="Times New Roman"/>
          <w:sz w:val="72"/>
          <w:szCs w:val="72"/>
        </w:rPr>
      </w:pPr>
    </w:p>
    <w:p w14:paraId="2D3EB579">
      <w:pPr>
        <w:pStyle w:val="15"/>
        <w:jc w:val="center"/>
        <w:rPr>
          <w:rFonts w:ascii="Times New Roman" w:hAnsi="Times New Roman" w:cs="Times New Roman"/>
          <w:sz w:val="72"/>
          <w:szCs w:val="72"/>
        </w:rPr>
      </w:pPr>
    </w:p>
    <w:p w14:paraId="0FD98AFB">
      <w:pPr>
        <w:pStyle w:val="15"/>
        <w:jc w:val="center"/>
        <w:rPr>
          <w:rFonts w:ascii="Times New Roman" w:hAnsi="Times New Roman" w:cs="Times New Roman"/>
          <w:sz w:val="72"/>
          <w:szCs w:val="72"/>
        </w:rPr>
      </w:pPr>
    </w:p>
    <w:p w14:paraId="534F4275">
      <w:pPr>
        <w:pStyle w:val="15"/>
        <w:jc w:val="center"/>
        <w:rPr>
          <w:rFonts w:ascii="Times New Roman" w:hAnsi="Times New Roman" w:cs="Times New Roman"/>
          <w:sz w:val="72"/>
          <w:szCs w:val="72"/>
        </w:rPr>
      </w:pPr>
    </w:p>
    <w:p w14:paraId="1B30DB20">
      <w:pPr>
        <w:pStyle w:val="15"/>
        <w:jc w:val="center"/>
        <w:rPr>
          <w:rFonts w:ascii="Times New Roman" w:hAnsi="Times New Roman" w:cs="Times New Roman"/>
          <w:sz w:val="72"/>
          <w:szCs w:val="72"/>
        </w:rPr>
      </w:pPr>
    </w:p>
    <w:p w14:paraId="61DDCDCF">
      <w:pPr>
        <w:pStyle w:val="15"/>
        <w:jc w:val="center"/>
        <w:rPr>
          <w:rFonts w:ascii="Times New Roman" w:hAnsi="Times New Roman" w:cs="Times New Roman"/>
          <w:sz w:val="72"/>
          <w:szCs w:val="72"/>
        </w:rPr>
      </w:pPr>
    </w:p>
    <w:p w14:paraId="15D16CA3">
      <w:pPr>
        <w:pStyle w:val="15"/>
        <w:jc w:val="center"/>
        <w:rPr>
          <w:rFonts w:ascii="Times New Roman" w:hAnsi="Times New Roman" w:cs="Times New Roman"/>
          <w:sz w:val="72"/>
          <w:szCs w:val="72"/>
        </w:rPr>
      </w:pPr>
    </w:p>
    <w:p w14:paraId="4D658FA8">
      <w:pPr>
        <w:pStyle w:val="15"/>
        <w:jc w:val="center"/>
        <w:rPr>
          <w:rFonts w:ascii="Times New Roman" w:hAnsi="Times New Roman" w:cs="Times New Roman"/>
          <w:sz w:val="72"/>
          <w:szCs w:val="72"/>
        </w:rPr>
      </w:pPr>
    </w:p>
    <w:p w14:paraId="786E7F4E">
      <w:pPr>
        <w:pStyle w:val="15"/>
        <w:jc w:val="center"/>
        <w:rPr>
          <w:rFonts w:ascii="Times New Roman" w:hAnsi="Times New Roman" w:cs="Times New Roman"/>
          <w:sz w:val="72"/>
          <w:szCs w:val="72"/>
        </w:rPr>
      </w:pPr>
    </w:p>
    <w:p w14:paraId="7A8F708A">
      <w:pPr>
        <w:pStyle w:val="15"/>
        <w:jc w:val="center"/>
        <w:rPr>
          <w:rFonts w:ascii="Times New Roman" w:hAnsi="Times New Roman" w:cs="Times New Roman"/>
          <w:sz w:val="72"/>
          <w:szCs w:val="72"/>
        </w:rPr>
      </w:pPr>
    </w:p>
    <w:p w14:paraId="2C113024">
      <w:pPr>
        <w:pStyle w:val="15"/>
        <w:jc w:val="center"/>
        <w:rPr>
          <w:rFonts w:ascii="Times New Roman" w:hAnsi="Times New Roman" w:cs="Times New Roman"/>
          <w:sz w:val="72"/>
          <w:szCs w:val="72"/>
        </w:rPr>
      </w:pPr>
    </w:p>
    <w:p w14:paraId="286A54CE">
      <w:pPr>
        <w:pStyle w:val="15"/>
        <w:jc w:val="both"/>
        <w:rPr>
          <w:rFonts w:ascii="Times New Roman" w:hAnsi="Times New Roman" w:cs="Times New Roman"/>
          <w:sz w:val="72"/>
          <w:szCs w:val="72"/>
        </w:rPr>
      </w:pPr>
    </w:p>
    <w:p w14:paraId="5A897E6D">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6283FE7B">
      <w:pPr>
        <w:widowControl/>
        <w:jc w:val="left"/>
        <w:rPr>
          <w:rFonts w:ascii="Times New Roman" w:hAnsi="Times New Roman" w:cs="Times New Roman"/>
          <w:color w:val="000000"/>
          <w:kern w:val="0"/>
          <w:sz w:val="32"/>
          <w:szCs w:val="32"/>
        </w:rPr>
      </w:pPr>
    </w:p>
    <w:p w14:paraId="7080EE40">
      <w:pPr>
        <w:widowControl/>
        <w:jc w:val="left"/>
        <w:rPr>
          <w:rFonts w:ascii="Times New Roman" w:hAnsi="Times New Roman" w:cs="Times New Roman"/>
          <w:color w:val="000000"/>
          <w:kern w:val="0"/>
          <w:sz w:val="32"/>
          <w:szCs w:val="32"/>
        </w:rPr>
      </w:pPr>
    </w:p>
    <w:p w14:paraId="00DB1800">
      <w:pPr>
        <w:widowControl/>
        <w:jc w:val="left"/>
        <w:rPr>
          <w:rFonts w:ascii="Times New Roman" w:hAnsi="Times New Roman" w:cs="Times New Roman"/>
          <w:color w:val="000000"/>
          <w:kern w:val="0"/>
          <w:sz w:val="32"/>
          <w:szCs w:val="32"/>
        </w:rPr>
      </w:pPr>
    </w:p>
    <w:p w14:paraId="3E5610B1">
      <w:pPr>
        <w:widowControl/>
        <w:jc w:val="left"/>
        <w:rPr>
          <w:rFonts w:ascii="Times New Roman" w:hAnsi="Times New Roman" w:cs="Times New Roman"/>
          <w:color w:val="000000"/>
          <w:kern w:val="0"/>
          <w:sz w:val="32"/>
          <w:szCs w:val="32"/>
        </w:rPr>
      </w:pPr>
    </w:p>
    <w:p w14:paraId="7335D751">
      <w:pPr>
        <w:widowControl/>
        <w:jc w:val="left"/>
        <w:rPr>
          <w:rFonts w:ascii="Times New Roman" w:hAnsi="Times New Roman" w:cs="Times New Roman"/>
          <w:color w:val="000000"/>
          <w:kern w:val="0"/>
          <w:sz w:val="32"/>
          <w:szCs w:val="32"/>
        </w:rPr>
      </w:pPr>
    </w:p>
    <w:p w14:paraId="3D022F26">
      <w:pPr>
        <w:widowControl/>
        <w:jc w:val="left"/>
        <w:rPr>
          <w:rFonts w:ascii="Times New Roman" w:hAnsi="Times New Roman" w:cs="Times New Roman"/>
          <w:color w:val="000000"/>
          <w:kern w:val="0"/>
          <w:sz w:val="32"/>
          <w:szCs w:val="32"/>
        </w:rPr>
      </w:pPr>
    </w:p>
    <w:p w14:paraId="3AAF96F9">
      <w:pPr>
        <w:widowControl/>
        <w:jc w:val="left"/>
        <w:rPr>
          <w:rFonts w:ascii="Times New Roman" w:hAnsi="Times New Roman" w:cs="Times New Roman"/>
          <w:color w:val="000000"/>
          <w:kern w:val="0"/>
          <w:sz w:val="32"/>
          <w:szCs w:val="32"/>
        </w:rPr>
      </w:pPr>
    </w:p>
    <w:p w14:paraId="022164EF">
      <w:pPr>
        <w:widowControl/>
        <w:jc w:val="left"/>
        <w:rPr>
          <w:rFonts w:ascii="Times New Roman" w:hAnsi="Times New Roman" w:cs="Times New Roman"/>
          <w:color w:val="000000"/>
          <w:kern w:val="0"/>
          <w:sz w:val="32"/>
          <w:szCs w:val="32"/>
        </w:rPr>
      </w:pPr>
    </w:p>
    <w:p w14:paraId="2BF4B44D">
      <w:pPr>
        <w:widowControl/>
        <w:jc w:val="left"/>
        <w:rPr>
          <w:rFonts w:ascii="Times New Roman" w:hAnsi="Times New Roman" w:cs="Times New Roman"/>
          <w:color w:val="000000"/>
          <w:kern w:val="0"/>
          <w:sz w:val="32"/>
          <w:szCs w:val="32"/>
        </w:rPr>
      </w:pPr>
    </w:p>
    <w:p w14:paraId="09168A78">
      <w:pPr>
        <w:widowControl/>
        <w:jc w:val="left"/>
        <w:rPr>
          <w:rFonts w:ascii="Times New Roman" w:hAnsi="Times New Roman" w:cs="Times New Roman"/>
          <w:color w:val="000000"/>
          <w:kern w:val="0"/>
          <w:sz w:val="32"/>
          <w:szCs w:val="32"/>
        </w:rPr>
      </w:pPr>
    </w:p>
    <w:p w14:paraId="1DA268D0">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一、财政拨款收入：指财政当年拨付的资金。 </w:t>
      </w:r>
    </w:p>
    <w:p w14:paraId="7462F457">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二、事业收入：指事业单位开展专业业务活动及辅助活动所取得的收入。如：中国财政杂志社的刊物发行收入，中国注册会计师协会、中国资产评估协会、中国国债协会、中国会计学会收取的会费收入等。 </w:t>
      </w:r>
    </w:p>
    <w:p w14:paraId="51A808D7">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三、经营收入：指事业单位在专业业务活动及其辅助活动之外开展非独立核算经营活动取得的收入。如：中国财政杂志社广告收入等。 </w:t>
      </w:r>
    </w:p>
    <w:p w14:paraId="50690350">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四、其他收入：指除上述“财政拨款收入”、“事业收入”、“经营收入”等以外的收入。主要是按规定动用的售房收入、存款利息收入等。 </w:t>
      </w:r>
    </w:p>
    <w:p w14:paraId="252E7ED2">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五、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497EFCDC">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六、年初结转和结余：指以前年度尚未完成、结转到本年按有关规定继续使用的资金。 </w:t>
      </w:r>
    </w:p>
    <w:p w14:paraId="018A2475">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七、结余分配：指事业单位按规定提取的职工福利基金、事业基金和缴纳的所得税，以及建设单位按规定应交回的基本建设竣工项目结余资金。</w:t>
      </w:r>
    </w:p>
    <w:p w14:paraId="37F63BE7">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八、年末结转和结余：指本年度或以前年度预算安排、因客观条件发生变化无法按原计划实施，需要延迟到以后年度按有关规定继续使用的资金。 </w:t>
      </w:r>
    </w:p>
    <w:p w14:paraId="41A45566">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九、基本支出：指为保障机构正常运转、完成日常工作任务而发生的人员支出和公用支出。 </w:t>
      </w:r>
    </w:p>
    <w:p w14:paraId="5F34DD22">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十、项目支出：指在基本支出之外为完成特定行政任务和事业发展目标所发生的支出。 </w:t>
      </w:r>
    </w:p>
    <w:p w14:paraId="1B8ABE1E">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十一、经营支出：指事业单位在专业业务活动及其辅助活动之外开展非独立核算经营活动发生的支出。 </w:t>
      </w:r>
    </w:p>
    <w:p w14:paraId="2507434B">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十二、“三公”经费：纳入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64F17707">
      <w:pPr>
        <w:pStyle w:val="15"/>
        <w:spacing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Times New Roman" w:hAnsi="Times New Roman" w:eastAsia="仿宋_GB2312"/>
          <w:sz w:val="32"/>
          <w:szCs w:val="32"/>
          <w:lang w:eastAsia="zh-CN"/>
        </w:rPr>
        <w:t>。</w:t>
      </w:r>
    </w:p>
    <w:p w14:paraId="2FF8A88B">
      <w:pPr>
        <w:pStyle w:val="15"/>
        <w:jc w:val="center"/>
        <w:rPr>
          <w:rFonts w:ascii="Times New Roman" w:hAnsi="Times New Roman" w:cs="Times New Roman"/>
          <w:sz w:val="72"/>
          <w:szCs w:val="72"/>
        </w:rPr>
      </w:pPr>
    </w:p>
    <w:p w14:paraId="4A28FD7E">
      <w:pPr>
        <w:pStyle w:val="15"/>
        <w:jc w:val="center"/>
        <w:rPr>
          <w:rFonts w:ascii="Times New Roman" w:hAnsi="Times New Roman" w:cs="Times New Roman"/>
          <w:sz w:val="72"/>
          <w:szCs w:val="72"/>
        </w:rPr>
      </w:pPr>
    </w:p>
    <w:p w14:paraId="36B9E864">
      <w:pPr>
        <w:pStyle w:val="15"/>
        <w:jc w:val="center"/>
        <w:rPr>
          <w:rFonts w:ascii="Times New Roman" w:hAnsi="Times New Roman" w:cs="Times New Roman"/>
          <w:sz w:val="72"/>
          <w:szCs w:val="72"/>
        </w:rPr>
      </w:pPr>
    </w:p>
    <w:p w14:paraId="1994BE57">
      <w:pPr>
        <w:pStyle w:val="15"/>
        <w:jc w:val="center"/>
        <w:rPr>
          <w:rFonts w:ascii="Times New Roman" w:hAnsi="Times New Roman" w:cs="Times New Roman"/>
          <w:sz w:val="72"/>
          <w:szCs w:val="72"/>
        </w:rPr>
      </w:pPr>
    </w:p>
    <w:p w14:paraId="2D896679">
      <w:pPr>
        <w:pStyle w:val="15"/>
        <w:jc w:val="center"/>
        <w:rPr>
          <w:rFonts w:ascii="Times New Roman" w:hAnsi="Times New Roman" w:cs="Times New Roman"/>
          <w:sz w:val="72"/>
          <w:szCs w:val="72"/>
        </w:rPr>
      </w:pPr>
    </w:p>
    <w:p w14:paraId="65ABA207">
      <w:pPr>
        <w:pStyle w:val="15"/>
        <w:jc w:val="both"/>
        <w:rPr>
          <w:rFonts w:ascii="Times New Roman" w:hAnsi="Times New Roman" w:cs="Times New Roman"/>
          <w:sz w:val="72"/>
          <w:szCs w:val="72"/>
        </w:rPr>
      </w:pPr>
    </w:p>
    <w:p w14:paraId="1D0125FA">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52A024B3">
      <w:pPr>
        <w:rPr>
          <w:rFonts w:ascii="Times New Roman" w:hAnsi="Times New Roman" w:cs="Times New Roman"/>
          <w:sz w:val="72"/>
          <w:szCs w:val="72"/>
        </w:rPr>
      </w:pPr>
    </w:p>
    <w:p w14:paraId="0CE14FDB">
      <w:pPr>
        <w:pStyle w:val="15"/>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6733E351">
      <w:pPr>
        <w:pStyle w:val="15"/>
        <w:spacing w:line="600" w:lineRule="exact"/>
        <w:ind w:firstLine="640" w:firstLineChars="200"/>
        <w:rPr>
          <w:rFonts w:ascii="Times New Roman" w:hAnsi="Times New Roman" w:eastAsia="仿宋_GB2312" w:cs="Times New Roman"/>
          <w:sz w:val="32"/>
          <w:szCs w:val="32"/>
        </w:rPr>
      </w:pPr>
    </w:p>
    <w:p w14:paraId="3933D331">
      <w:pPr>
        <w:pStyle w:val="15"/>
        <w:jc w:val="center"/>
        <w:rPr>
          <w:rFonts w:ascii="Times New Roman" w:hAnsi="Times New Roman" w:cs="Times New Roman"/>
          <w:sz w:val="72"/>
          <w:szCs w:val="72"/>
        </w:rPr>
      </w:pPr>
    </w:p>
    <w:p w14:paraId="3F413964">
      <w:pPr>
        <w:pStyle w:val="15"/>
        <w:jc w:val="center"/>
        <w:rPr>
          <w:rFonts w:ascii="Times New Roman" w:hAnsi="Times New Roman" w:cs="Times New Roman"/>
          <w:sz w:val="72"/>
          <w:szCs w:val="72"/>
        </w:rPr>
      </w:pPr>
    </w:p>
    <w:p w14:paraId="4B7AF369">
      <w:pPr>
        <w:jc w:val="left"/>
        <w:rPr>
          <w:rFonts w:ascii="Times New Roman" w:hAnsi="Times New Roman" w:cs="Times New Roman"/>
          <w:color w:val="000000"/>
          <w:kern w:val="0"/>
          <w:sz w:val="32"/>
          <w:szCs w:val="32"/>
        </w:rPr>
      </w:pPr>
    </w:p>
    <w:p w14:paraId="4CC43320">
      <w:pPr>
        <w:jc w:val="left"/>
        <w:rPr>
          <w:rFonts w:ascii="Times New Roman" w:hAnsi="Times New Roman" w:cs="Times New Roman"/>
          <w:color w:val="000000"/>
          <w:kern w:val="0"/>
          <w:sz w:val="32"/>
          <w:szCs w:val="32"/>
        </w:rPr>
      </w:pPr>
    </w:p>
    <w:p w14:paraId="786C3614">
      <w:pPr>
        <w:jc w:val="left"/>
        <w:rPr>
          <w:rFonts w:ascii="Times New Roman" w:hAnsi="Times New Roman" w:cs="Times New Roman"/>
          <w:color w:val="000000"/>
          <w:kern w:val="0"/>
          <w:sz w:val="32"/>
          <w:szCs w:val="32"/>
        </w:rPr>
      </w:pPr>
    </w:p>
    <w:p w14:paraId="25CDEF9F">
      <w:pPr>
        <w:jc w:val="left"/>
        <w:rPr>
          <w:rFonts w:ascii="Times New Roman" w:hAnsi="Times New Roman" w:cs="Times New Roman"/>
          <w:color w:val="000000"/>
          <w:kern w:val="0"/>
          <w:sz w:val="32"/>
          <w:szCs w:val="32"/>
        </w:rPr>
      </w:pPr>
    </w:p>
    <w:p w14:paraId="01F4449A">
      <w:pPr>
        <w:jc w:val="left"/>
        <w:rPr>
          <w:rFonts w:ascii="Times New Roman" w:hAnsi="Times New Roman" w:cs="Times New Roman"/>
          <w:color w:val="000000"/>
          <w:kern w:val="0"/>
          <w:sz w:val="32"/>
          <w:szCs w:val="32"/>
        </w:rPr>
      </w:pPr>
    </w:p>
    <w:p w14:paraId="66F8449A">
      <w:pPr>
        <w:jc w:val="left"/>
        <w:rPr>
          <w:rFonts w:ascii="Times New Roman" w:hAnsi="Times New Roman" w:cs="Times New Roman"/>
          <w:color w:val="000000"/>
          <w:kern w:val="0"/>
          <w:sz w:val="32"/>
          <w:szCs w:val="32"/>
        </w:rPr>
      </w:pPr>
    </w:p>
    <w:p w14:paraId="49E7C0FF">
      <w:pPr>
        <w:jc w:val="left"/>
        <w:rPr>
          <w:rFonts w:ascii="Times New Roman" w:hAnsi="Times New Roman" w:cs="Times New Roman"/>
          <w:color w:val="000000"/>
          <w:kern w:val="0"/>
          <w:sz w:val="32"/>
          <w:szCs w:val="32"/>
        </w:rPr>
      </w:pPr>
    </w:p>
    <w:p w14:paraId="142D0EF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default" w:ascii="Times New Roman" w:hAnsi="Times New Roman" w:eastAsia="方正小标宋_GBK" w:cs="Times New Roman"/>
          <w:i w:val="0"/>
          <w:iCs w:val="0"/>
          <w:caps w:val="0"/>
          <w:color w:val="000000"/>
          <w:spacing w:val="0"/>
          <w:sz w:val="44"/>
          <w:szCs w:val="44"/>
          <w:shd w:val="clear" w:fill="FFFFFF"/>
          <w:lang w:val="en-US" w:eastAsia="zh-CN"/>
        </w:rPr>
      </w:pPr>
      <w:r>
        <w:rPr>
          <w:rFonts w:hint="default" w:ascii="Times New Roman" w:hAnsi="Times New Roman" w:eastAsia="方正小标宋_GBK" w:cs="Times New Roman"/>
          <w:i w:val="0"/>
          <w:iCs w:val="0"/>
          <w:caps w:val="0"/>
          <w:color w:val="000000"/>
          <w:spacing w:val="0"/>
          <w:sz w:val="44"/>
          <w:szCs w:val="44"/>
          <w:shd w:val="clear" w:fill="FFFFFF"/>
          <w:lang w:val="en-US" w:eastAsia="zh-CN"/>
        </w:rPr>
        <w:t>怀化市委市政府机关老干部休养所</w:t>
      </w:r>
    </w:p>
    <w:p w14:paraId="36BC4CF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center"/>
        <w:textAlignment w:val="auto"/>
        <w:rPr>
          <w:rFonts w:hint="default" w:ascii="Times New Roman" w:hAnsi="Times New Roman" w:eastAsia="方正小标宋_GBK" w:cs="Times New Roman"/>
          <w:i w:val="0"/>
          <w:iCs w:val="0"/>
          <w:caps w:val="0"/>
          <w:color w:val="000000"/>
          <w:spacing w:val="0"/>
          <w:sz w:val="44"/>
          <w:szCs w:val="44"/>
        </w:rPr>
      </w:pPr>
      <w:r>
        <w:rPr>
          <w:rFonts w:hint="default" w:ascii="Times New Roman" w:hAnsi="Times New Roman" w:eastAsia="方正小标宋_GBK" w:cs="Times New Roman"/>
          <w:i w:val="0"/>
          <w:iCs w:val="0"/>
          <w:caps w:val="0"/>
          <w:color w:val="000000"/>
          <w:spacing w:val="0"/>
          <w:sz w:val="44"/>
          <w:szCs w:val="44"/>
          <w:shd w:val="clear" w:fill="FFFFFF"/>
        </w:rPr>
        <w:t>部门整体支出绩效自评报告</w:t>
      </w:r>
    </w:p>
    <w:p w14:paraId="2D373C8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0"/>
        <w:jc w:val="both"/>
        <w:textAlignment w:val="auto"/>
        <w:rPr>
          <w:rFonts w:hint="default" w:ascii="Times New Roman" w:hAnsi="Times New Roman" w:eastAsia="仿宋_GB2312" w:cs="Times New Roman"/>
          <w:i w:val="0"/>
          <w:iCs w:val="0"/>
          <w:caps w:val="0"/>
          <w:color w:val="000000"/>
          <w:spacing w:val="0"/>
          <w:sz w:val="24"/>
          <w:szCs w:val="24"/>
        </w:rPr>
      </w:pPr>
    </w:p>
    <w:p w14:paraId="72B11FB5">
      <w:pPr>
        <w:keepNext w:val="0"/>
        <w:keepLines w:val="0"/>
        <w:pageBreakBefore w:val="0"/>
        <w:widowControl w:val="0"/>
        <w:shd w:val="clear" w:color="auto" w:fill="FFFFFF"/>
        <w:kinsoku/>
        <w:wordWrap/>
        <w:overflowPunct/>
        <w:topLinePunct w:val="0"/>
        <w:autoSpaceDE/>
        <w:autoSpaceDN/>
        <w:bidi w:val="0"/>
        <w:adjustRightInd/>
        <w:spacing w:line="580" w:lineRule="exact"/>
        <w:ind w:left="0" w:firstLine="640"/>
        <w:textAlignment w:val="auto"/>
        <w:rPr>
          <w:rFonts w:hint="default" w:ascii="Times New Roman" w:hAnsi="Times New Roman" w:eastAsia="楷体" w:cs="Times New Roman"/>
          <w:b/>
          <w:spacing w:val="-2"/>
          <w:sz w:val="32"/>
          <w:szCs w:val="21"/>
        </w:rPr>
      </w:pPr>
      <w:r>
        <w:rPr>
          <w:rFonts w:hint="default" w:ascii="Times New Roman" w:hAnsi="Times New Roman" w:eastAsia="黑体" w:cs="Times New Roman"/>
          <w:i w:val="0"/>
          <w:iCs w:val="0"/>
          <w:caps w:val="0"/>
          <w:color w:val="000000"/>
          <w:spacing w:val="0"/>
          <w:sz w:val="32"/>
          <w:szCs w:val="32"/>
          <w:shd w:val="clear" w:fill="FFFFFF"/>
        </w:rPr>
        <w:t>一、</w:t>
      </w:r>
      <w:r>
        <w:rPr>
          <w:rFonts w:hint="default" w:ascii="Times New Roman" w:hAnsi="Times New Roman" w:eastAsia="黑体" w:cs="Times New Roman"/>
          <w:i w:val="0"/>
          <w:iCs w:val="0"/>
          <w:caps w:val="0"/>
          <w:color w:val="000000"/>
          <w:spacing w:val="0"/>
          <w:sz w:val="32"/>
          <w:szCs w:val="32"/>
          <w:shd w:val="clear" w:color="auto" w:fill="FFFFFF"/>
          <w:lang w:eastAsia="zh-CN"/>
        </w:rPr>
        <w:t>部</w:t>
      </w:r>
      <w:r>
        <w:rPr>
          <w:rFonts w:hint="default" w:ascii="Times New Roman" w:hAnsi="Times New Roman" w:eastAsia="黑体" w:cs="Times New Roman"/>
          <w:i w:val="0"/>
          <w:iCs w:val="0"/>
          <w:caps w:val="0"/>
          <w:color w:val="000000"/>
          <w:spacing w:val="0"/>
          <w:sz w:val="32"/>
          <w:szCs w:val="32"/>
          <w:shd w:val="clear" w:color="auto" w:fill="FFFFFF"/>
        </w:rPr>
        <w:t>门</w:t>
      </w:r>
      <w:r>
        <w:rPr>
          <w:rFonts w:hint="default" w:ascii="Times New Roman" w:hAnsi="Times New Roman" w:eastAsia="黑体" w:cs="Times New Roman"/>
          <w:i w:val="0"/>
          <w:iCs w:val="0"/>
          <w:caps w:val="0"/>
          <w:color w:val="000000"/>
          <w:spacing w:val="0"/>
          <w:sz w:val="32"/>
          <w:szCs w:val="32"/>
          <w:shd w:val="clear" w:color="auto" w:fill="FFFFFF"/>
          <w:lang w:eastAsia="zh-CN"/>
        </w:rPr>
        <w:t>概</w:t>
      </w:r>
      <w:r>
        <w:rPr>
          <w:rFonts w:hint="default" w:ascii="Times New Roman" w:hAnsi="Times New Roman" w:eastAsia="黑体" w:cs="Times New Roman"/>
          <w:i w:val="0"/>
          <w:iCs w:val="0"/>
          <w:caps w:val="0"/>
          <w:color w:val="000000"/>
          <w:spacing w:val="0"/>
          <w:sz w:val="32"/>
          <w:szCs w:val="32"/>
          <w:shd w:val="clear" w:color="auto" w:fill="FFFFFF"/>
        </w:rPr>
        <w:t>况</w:t>
      </w:r>
    </w:p>
    <w:p w14:paraId="2A4AB8D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jc w:val="left"/>
        <w:textAlignment w:val="auto"/>
        <w:rPr>
          <w:rFonts w:hint="default" w:ascii="Times New Roman" w:hAnsi="Times New Roman" w:eastAsia="楷体_GB2312" w:cs="Times New Roman"/>
          <w:b/>
          <w:bCs/>
          <w:i w:val="0"/>
          <w:iCs w:val="0"/>
          <w:caps w:val="0"/>
          <w:color w:val="000000"/>
          <w:spacing w:val="0"/>
          <w:sz w:val="32"/>
          <w:szCs w:val="32"/>
          <w:shd w:val="clear" w:fill="FFFFFF"/>
        </w:rPr>
      </w:pPr>
      <w:r>
        <w:rPr>
          <w:rFonts w:hint="default" w:ascii="Times New Roman" w:hAnsi="Times New Roman" w:eastAsia="楷体_GB2312" w:cs="Times New Roman"/>
          <w:b/>
          <w:bCs/>
          <w:i w:val="0"/>
          <w:iCs w:val="0"/>
          <w:caps w:val="0"/>
          <w:color w:val="000000"/>
          <w:spacing w:val="0"/>
          <w:sz w:val="32"/>
          <w:szCs w:val="32"/>
          <w:shd w:val="clear" w:color="auto" w:fill="FFFFFF"/>
        </w:rPr>
        <w:t>（一）</w:t>
      </w:r>
      <w:r>
        <w:rPr>
          <w:rFonts w:hint="default" w:ascii="Times New Roman" w:hAnsi="Times New Roman" w:eastAsia="楷体_GB2312" w:cs="Times New Roman"/>
          <w:b/>
          <w:bCs/>
          <w:i w:val="0"/>
          <w:iCs w:val="0"/>
          <w:caps w:val="0"/>
          <w:color w:val="000000"/>
          <w:spacing w:val="0"/>
          <w:sz w:val="32"/>
          <w:szCs w:val="32"/>
          <w:shd w:val="clear" w:color="auto" w:fill="FFFFFF"/>
          <w:lang w:eastAsia="zh-CN"/>
        </w:rPr>
        <w:t>部门基本</w:t>
      </w:r>
      <w:r>
        <w:rPr>
          <w:rFonts w:hint="default" w:ascii="Times New Roman" w:hAnsi="Times New Roman" w:eastAsia="楷体_GB2312" w:cs="Times New Roman"/>
          <w:b/>
          <w:bCs/>
          <w:i w:val="0"/>
          <w:iCs w:val="0"/>
          <w:caps w:val="0"/>
          <w:color w:val="000000"/>
          <w:spacing w:val="0"/>
          <w:sz w:val="32"/>
          <w:szCs w:val="32"/>
          <w:shd w:val="clear" w:color="auto" w:fill="FFFFFF"/>
        </w:rPr>
        <w:t>情况</w:t>
      </w:r>
    </w:p>
    <w:p w14:paraId="4E80A643">
      <w:pPr>
        <w:keepNext w:val="0"/>
        <w:keepLines w:val="0"/>
        <w:pageBreakBefore w:val="0"/>
        <w:widowControl w:val="0"/>
        <w:shd w:val="clear" w:color="auto" w:fill="FFFFFF"/>
        <w:kinsoku/>
        <w:wordWrap/>
        <w:overflowPunct/>
        <w:topLinePunct w:val="0"/>
        <w:autoSpaceDE/>
        <w:autoSpaceDN/>
        <w:bidi w:val="0"/>
        <w:adjustRightInd/>
        <w:spacing w:line="580" w:lineRule="exact"/>
        <w:ind w:left="0" w:firstLine="640"/>
        <w:textAlignment w:val="auto"/>
        <w:rPr>
          <w:rFonts w:hint="default" w:ascii="Times New Roman" w:hAnsi="Times New Roman" w:eastAsia="仿宋_GB2312" w:cs="Times New Roman"/>
          <w:b/>
          <w:bCs/>
          <w:i w:val="0"/>
          <w:iCs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b/>
          <w:bCs/>
          <w:i w:val="0"/>
          <w:iCs w:val="0"/>
          <w:caps w:val="0"/>
          <w:color w:val="000000"/>
          <w:spacing w:val="0"/>
          <w:kern w:val="0"/>
          <w:sz w:val="32"/>
          <w:szCs w:val="32"/>
          <w:shd w:val="clear" w:color="auto" w:fill="FFFFFF"/>
          <w:lang w:val="en-US" w:eastAsia="zh-CN" w:bidi="ar"/>
        </w:rPr>
        <w:t>1.部门机构设置情况</w:t>
      </w:r>
    </w:p>
    <w:p w14:paraId="226F8FD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仿宋_GB2312" w:cs="Times New Roman"/>
          <w:i w:val="0"/>
          <w:iCs w:val="0"/>
          <w:caps w:val="0"/>
          <w:color w:val="000000"/>
          <w:spacing w:val="0"/>
          <w:sz w:val="32"/>
          <w:szCs w:val="32"/>
          <w:shd w:val="clear" w:fill="FFFFFF"/>
          <w:lang w:val="en-US" w:eastAsia="zh-CN"/>
        </w:rPr>
        <w:t>怀化市委市政府机关老干部休养所作为怀化市委老干部局的二级部门预算单位，内设科室为：</w:t>
      </w:r>
      <w:r>
        <w:rPr>
          <w:rFonts w:hint="default" w:ascii="Times New Roman" w:hAnsi="Times New Roman" w:eastAsia="仿宋_GB2312" w:cs="Times New Roman"/>
          <w:i w:val="0"/>
          <w:iCs w:val="0"/>
          <w:caps w:val="0"/>
          <w:color w:val="000000"/>
          <w:spacing w:val="0"/>
          <w:sz w:val="32"/>
          <w:szCs w:val="32"/>
          <w:shd w:val="clear" w:fill="FFFFFF"/>
        </w:rPr>
        <w:t>办公室、活动</w:t>
      </w:r>
      <w:r>
        <w:rPr>
          <w:rFonts w:hint="default" w:ascii="Times New Roman" w:hAnsi="Times New Roman" w:eastAsia="仿宋_GB2312" w:cs="Times New Roman"/>
          <w:i w:val="0"/>
          <w:iCs w:val="0"/>
          <w:caps w:val="0"/>
          <w:color w:val="000000"/>
          <w:spacing w:val="0"/>
          <w:sz w:val="32"/>
          <w:szCs w:val="32"/>
          <w:shd w:val="clear" w:fill="FFFFFF"/>
          <w:lang w:eastAsia="zh-CN"/>
        </w:rPr>
        <w:t>组织部</w:t>
      </w:r>
      <w:r>
        <w:rPr>
          <w:rFonts w:hint="default" w:ascii="Times New Roman" w:hAnsi="Times New Roman" w:eastAsia="仿宋_GB2312" w:cs="Times New Roman"/>
          <w:i w:val="0"/>
          <w:iCs w:val="0"/>
          <w:caps w:val="0"/>
          <w:color w:val="000000"/>
          <w:spacing w:val="0"/>
          <w:sz w:val="32"/>
          <w:szCs w:val="32"/>
          <w:shd w:val="clear" w:fill="FFFFFF"/>
        </w:rPr>
        <w:t>。</w:t>
      </w:r>
    </w:p>
    <w:p w14:paraId="2F31E85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楷体_GB2312" w:cs="Times New Roman"/>
          <w:b/>
          <w:bCs/>
          <w:i w:val="0"/>
          <w:iCs w:val="0"/>
          <w:caps w:val="0"/>
          <w:color w:val="000000"/>
          <w:spacing w:val="0"/>
          <w:sz w:val="32"/>
          <w:szCs w:val="32"/>
          <w:shd w:val="clear" w:fill="FFFFFF"/>
        </w:rPr>
      </w:pPr>
      <w:r>
        <w:rPr>
          <w:rFonts w:hint="default" w:ascii="Times New Roman" w:hAnsi="Times New Roman" w:eastAsia="楷体_GB2312" w:cs="Times New Roman"/>
          <w:b/>
          <w:bCs/>
          <w:i w:val="0"/>
          <w:iCs w:val="0"/>
          <w:caps w:val="0"/>
          <w:color w:val="000000"/>
          <w:spacing w:val="0"/>
          <w:sz w:val="32"/>
          <w:szCs w:val="32"/>
          <w:shd w:val="clear" w:fill="FFFFFF"/>
          <w:lang w:val="en-US" w:eastAsia="zh-CN"/>
        </w:rPr>
        <w:t>2.</w:t>
      </w:r>
      <w:r>
        <w:rPr>
          <w:rFonts w:hint="default" w:ascii="Times New Roman" w:hAnsi="Times New Roman" w:eastAsia="楷体_GB2312" w:cs="Times New Roman"/>
          <w:b/>
          <w:bCs/>
          <w:i w:val="0"/>
          <w:iCs w:val="0"/>
          <w:caps w:val="0"/>
          <w:color w:val="000000"/>
          <w:spacing w:val="0"/>
          <w:sz w:val="32"/>
          <w:szCs w:val="32"/>
          <w:shd w:val="clear" w:fill="FFFFFF"/>
        </w:rPr>
        <w:t>人员编制情况</w:t>
      </w:r>
    </w:p>
    <w:p w14:paraId="2E77F10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202</w:t>
      </w:r>
      <w:r>
        <w:rPr>
          <w:rFonts w:hint="eastAsia" w:ascii="Times New Roman" w:hAnsi="Times New Roman" w:eastAsia="仿宋_GB2312" w:cs="Times New Roman"/>
          <w:i w:val="0"/>
          <w:iCs w:val="0"/>
          <w:caps w:val="0"/>
          <w:color w:val="000000"/>
          <w:spacing w:val="0"/>
          <w:sz w:val="32"/>
          <w:szCs w:val="32"/>
          <w:shd w:val="clear" w:fill="FFFFFF"/>
          <w:lang w:val="en-US" w:eastAsia="zh-CN"/>
        </w:rPr>
        <w:t>5</w:t>
      </w:r>
      <w:r>
        <w:rPr>
          <w:rFonts w:hint="default" w:ascii="Times New Roman" w:hAnsi="Times New Roman" w:eastAsia="仿宋_GB2312" w:cs="Times New Roman"/>
          <w:i w:val="0"/>
          <w:iCs w:val="0"/>
          <w:caps w:val="0"/>
          <w:color w:val="000000"/>
          <w:spacing w:val="0"/>
          <w:sz w:val="32"/>
          <w:szCs w:val="32"/>
          <w:shd w:val="clear" w:fill="FFFFFF"/>
          <w:lang w:val="en-US" w:eastAsia="zh-CN"/>
        </w:rPr>
        <w:t>年末编制人数9人，其中行政编0人，参公编9人；202</w:t>
      </w:r>
      <w:r>
        <w:rPr>
          <w:rFonts w:hint="eastAsia" w:ascii="Times New Roman" w:hAnsi="Times New Roman" w:eastAsia="仿宋_GB2312" w:cs="Times New Roman"/>
          <w:i w:val="0"/>
          <w:iCs w:val="0"/>
          <w:caps w:val="0"/>
          <w:color w:val="000000"/>
          <w:spacing w:val="0"/>
          <w:sz w:val="32"/>
          <w:szCs w:val="32"/>
          <w:shd w:val="clear" w:fill="FFFFFF"/>
          <w:lang w:val="en-US" w:eastAsia="zh-CN"/>
        </w:rPr>
        <w:t>5</w:t>
      </w:r>
      <w:r>
        <w:rPr>
          <w:rFonts w:hint="default" w:ascii="Times New Roman" w:hAnsi="Times New Roman" w:eastAsia="仿宋_GB2312" w:cs="Times New Roman"/>
          <w:i w:val="0"/>
          <w:iCs w:val="0"/>
          <w:caps w:val="0"/>
          <w:color w:val="000000"/>
          <w:spacing w:val="0"/>
          <w:sz w:val="32"/>
          <w:szCs w:val="32"/>
          <w:shd w:val="clear" w:fill="FFFFFF"/>
          <w:lang w:val="en-US" w:eastAsia="zh-CN"/>
        </w:rPr>
        <w:t>年末实有人员8人。</w:t>
      </w:r>
    </w:p>
    <w:p w14:paraId="19B5083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楷体_GB2312" w:cs="Times New Roman"/>
          <w:b/>
          <w:bCs/>
          <w:i w:val="0"/>
          <w:iCs w:val="0"/>
          <w:caps w:val="0"/>
          <w:color w:val="000000"/>
          <w:spacing w:val="0"/>
          <w:sz w:val="32"/>
          <w:szCs w:val="32"/>
          <w:shd w:val="clear" w:fill="FFFFFF"/>
        </w:rPr>
      </w:pPr>
      <w:r>
        <w:rPr>
          <w:rFonts w:hint="default" w:ascii="Times New Roman" w:hAnsi="Times New Roman" w:eastAsia="楷体_GB2312" w:cs="Times New Roman"/>
          <w:b/>
          <w:bCs/>
          <w:i w:val="0"/>
          <w:iCs w:val="0"/>
          <w:caps w:val="0"/>
          <w:color w:val="000000"/>
          <w:spacing w:val="0"/>
          <w:sz w:val="32"/>
          <w:szCs w:val="32"/>
          <w:shd w:val="clear" w:fill="FFFFFF"/>
          <w:lang w:val="en-US" w:eastAsia="zh-CN"/>
        </w:rPr>
        <w:t>3.</w:t>
      </w:r>
      <w:r>
        <w:rPr>
          <w:rFonts w:hint="default" w:ascii="Times New Roman" w:hAnsi="Times New Roman" w:eastAsia="楷体_GB2312" w:cs="Times New Roman"/>
          <w:b/>
          <w:bCs/>
          <w:i w:val="0"/>
          <w:iCs w:val="0"/>
          <w:caps w:val="0"/>
          <w:color w:val="000000"/>
          <w:spacing w:val="0"/>
          <w:sz w:val="32"/>
          <w:szCs w:val="32"/>
          <w:shd w:val="clear" w:fill="FFFFFF"/>
        </w:rPr>
        <w:t>主要职能职责</w:t>
      </w:r>
    </w:p>
    <w:p w14:paraId="45C1D8C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宋体" w:cs="Times New Roman"/>
          <w:i w:val="0"/>
          <w:caps w:val="0"/>
          <w:color w:val="3D3D3D"/>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1）认真宣传、贯彻执行党中央、国务院关于离退休干部的各项方针政策。</w:t>
      </w:r>
    </w:p>
    <w:p w14:paraId="3B078F4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（2）负责做好离退休干部的政治学习、文件传阅、听重要报告、参加重要会议和政治活动等具体组织工作，落实好各项政治待遇。</w:t>
      </w:r>
    </w:p>
    <w:p w14:paraId="72880FB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（3）协助做好离退休干部的医疗保健工作，安排好老干部的体检、疗养和用车。</w:t>
      </w:r>
    </w:p>
    <w:p w14:paraId="0C0108C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（4）组织开展有益老干部身心健康的各项活动，发挥老干部在社会建设中的作用。</w:t>
      </w:r>
    </w:p>
    <w:p w14:paraId="1FFD581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（5）生活上关心照顾好老干部，经常了解老干部的思想、身体、生活情况，坚持走访慰问等制度。</w:t>
      </w:r>
    </w:p>
    <w:p w14:paraId="4E43DC1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（6）认真接待好老干部的来电、来信、来访，及时反映他们的合理要求，尽力帮助他们排忧解难。</w:t>
      </w:r>
    </w:p>
    <w:p w14:paraId="3C4F029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（7）会同有关部门办理老干部及遗孀丧葬事宜。</w:t>
      </w:r>
    </w:p>
    <w:p w14:paraId="0906F34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楷体_GB2312" w:cs="Times New Roman"/>
          <w:b/>
          <w:bCs/>
          <w:i w:val="0"/>
          <w:iCs w:val="0"/>
          <w:caps w:val="0"/>
          <w:color w:val="auto"/>
          <w:spacing w:val="0"/>
          <w:sz w:val="32"/>
          <w:szCs w:val="32"/>
          <w:shd w:val="clear" w:color="auto" w:fill="FFFFFF"/>
          <w:lang w:val="en-US" w:eastAsia="zh-CN"/>
        </w:rPr>
      </w:pPr>
      <w:r>
        <w:rPr>
          <w:rFonts w:hint="default" w:ascii="Times New Roman" w:hAnsi="Times New Roman" w:eastAsia="楷体_GB2312" w:cs="Times New Roman"/>
          <w:b/>
          <w:bCs/>
          <w:i w:val="0"/>
          <w:iCs w:val="0"/>
          <w:caps w:val="0"/>
          <w:color w:val="auto"/>
          <w:spacing w:val="0"/>
          <w:sz w:val="32"/>
          <w:szCs w:val="32"/>
          <w:shd w:val="clear" w:color="auto" w:fill="FFFFFF"/>
        </w:rPr>
        <w:t>（</w:t>
      </w:r>
      <w:r>
        <w:rPr>
          <w:rFonts w:hint="default" w:ascii="Times New Roman" w:hAnsi="Times New Roman" w:eastAsia="楷体_GB2312" w:cs="Times New Roman"/>
          <w:b/>
          <w:bCs/>
          <w:i w:val="0"/>
          <w:iCs w:val="0"/>
          <w:caps w:val="0"/>
          <w:color w:val="auto"/>
          <w:spacing w:val="0"/>
          <w:sz w:val="32"/>
          <w:szCs w:val="32"/>
          <w:shd w:val="clear" w:color="auto" w:fill="FFFFFF"/>
          <w:lang w:eastAsia="zh-CN"/>
        </w:rPr>
        <w:t>二</w:t>
      </w:r>
      <w:r>
        <w:rPr>
          <w:rFonts w:hint="default" w:ascii="Times New Roman" w:hAnsi="Times New Roman" w:eastAsia="楷体_GB2312" w:cs="Times New Roman"/>
          <w:b/>
          <w:bCs/>
          <w:i w:val="0"/>
          <w:iCs w:val="0"/>
          <w:caps w:val="0"/>
          <w:color w:val="auto"/>
          <w:spacing w:val="0"/>
          <w:sz w:val="32"/>
          <w:szCs w:val="32"/>
          <w:shd w:val="clear" w:color="auto" w:fill="FFFFFF"/>
        </w:rPr>
        <w:t>）</w:t>
      </w:r>
      <w:r>
        <w:rPr>
          <w:rFonts w:hint="default" w:ascii="Times New Roman" w:hAnsi="Times New Roman" w:eastAsia="楷体_GB2312" w:cs="Times New Roman"/>
          <w:b/>
          <w:bCs/>
          <w:i w:val="0"/>
          <w:iCs w:val="0"/>
          <w:caps w:val="0"/>
          <w:color w:val="auto"/>
          <w:spacing w:val="0"/>
          <w:sz w:val="32"/>
          <w:szCs w:val="32"/>
          <w:shd w:val="clear" w:color="auto" w:fill="FFFFFF"/>
          <w:lang w:eastAsia="zh-CN"/>
        </w:rPr>
        <w:t>部门整体支出规模、使用方向和主要内容、设计范围等。</w:t>
      </w:r>
    </w:p>
    <w:p w14:paraId="5FCF8FCB">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left="0" w:firstLine="640" w:firstLineChars="200"/>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color w:val="auto"/>
          <w:sz w:val="32"/>
          <w:szCs w:val="32"/>
          <w:highlight w:val="none"/>
          <w:lang w:val="en-US" w:eastAsia="zh-CN"/>
        </w:rPr>
        <w:t>整体支出规模：202</w:t>
      </w:r>
      <w:r>
        <w:rPr>
          <w:rFonts w:hint="eastAsia" w:ascii="Times New Roman" w:hAnsi="Times New Roman" w:eastAsia="仿宋" w:cs="Times New Roman"/>
          <w:color w:val="auto"/>
          <w:sz w:val="32"/>
          <w:szCs w:val="32"/>
          <w:highlight w:val="none"/>
          <w:lang w:val="en-US" w:eastAsia="zh-CN"/>
        </w:rPr>
        <w:t>5</w:t>
      </w:r>
      <w:r>
        <w:rPr>
          <w:rFonts w:hint="default" w:ascii="Times New Roman" w:hAnsi="Times New Roman" w:eastAsia="仿宋" w:cs="Times New Roman"/>
          <w:color w:val="auto"/>
          <w:sz w:val="32"/>
          <w:szCs w:val="32"/>
          <w:highlight w:val="none"/>
          <w:lang w:val="en-US" w:eastAsia="zh-CN"/>
        </w:rPr>
        <w:t>年，单位整体支出全年预算数42</w:t>
      </w:r>
      <w:r>
        <w:rPr>
          <w:rFonts w:hint="eastAsia" w:ascii="Times New Roman" w:hAnsi="Times New Roman" w:eastAsia="仿宋" w:cs="Times New Roman"/>
          <w:color w:val="auto"/>
          <w:sz w:val="32"/>
          <w:szCs w:val="32"/>
          <w:highlight w:val="none"/>
          <w:lang w:val="en-US" w:eastAsia="zh-CN"/>
        </w:rPr>
        <w:t>7.73</w:t>
      </w:r>
      <w:r>
        <w:rPr>
          <w:rFonts w:hint="default" w:ascii="Times New Roman" w:hAnsi="Times New Roman" w:eastAsia="仿宋" w:cs="Times New Roman"/>
          <w:color w:val="auto"/>
          <w:sz w:val="32"/>
          <w:szCs w:val="32"/>
          <w:highlight w:val="none"/>
          <w:lang w:val="en-US" w:eastAsia="zh-CN"/>
        </w:rPr>
        <w:t>万元，决算数4</w:t>
      </w:r>
      <w:r>
        <w:rPr>
          <w:rFonts w:hint="eastAsia" w:ascii="Times New Roman" w:hAnsi="Times New Roman" w:eastAsia="仿宋" w:cs="Times New Roman"/>
          <w:color w:val="auto"/>
          <w:sz w:val="32"/>
          <w:szCs w:val="32"/>
          <w:highlight w:val="none"/>
          <w:lang w:val="en-US" w:eastAsia="zh-CN"/>
        </w:rPr>
        <w:t>15.78</w:t>
      </w:r>
      <w:r>
        <w:rPr>
          <w:rFonts w:hint="default" w:ascii="Times New Roman" w:hAnsi="Times New Roman" w:eastAsia="仿宋" w:cs="Times New Roman"/>
          <w:color w:val="auto"/>
          <w:sz w:val="32"/>
          <w:szCs w:val="32"/>
          <w:highlight w:val="none"/>
          <w:lang w:val="en-US" w:eastAsia="zh-CN"/>
        </w:rPr>
        <w:t>万元，预算执行率</w:t>
      </w:r>
      <w:r>
        <w:rPr>
          <w:rFonts w:hint="eastAsia" w:ascii="Times New Roman" w:hAnsi="Times New Roman" w:eastAsia="仿宋" w:cs="Times New Roman"/>
          <w:color w:val="auto"/>
          <w:sz w:val="32"/>
          <w:szCs w:val="32"/>
          <w:highlight w:val="none"/>
          <w:lang w:val="en-US" w:eastAsia="zh-CN"/>
        </w:rPr>
        <w:t>97.21</w:t>
      </w:r>
      <w:r>
        <w:rPr>
          <w:rFonts w:hint="default" w:ascii="Times New Roman" w:hAnsi="Times New Roman" w:eastAsia="仿宋" w:cs="Times New Roman"/>
          <w:color w:val="auto"/>
          <w:sz w:val="32"/>
          <w:szCs w:val="32"/>
          <w:highlight w:val="none"/>
          <w:lang w:val="en-US" w:eastAsia="zh-CN"/>
        </w:rPr>
        <w:t>%，其中基本支出全年预算数3</w:t>
      </w:r>
      <w:r>
        <w:rPr>
          <w:rFonts w:hint="eastAsia" w:ascii="Times New Roman" w:hAnsi="Times New Roman" w:eastAsia="仿宋" w:cs="Times New Roman"/>
          <w:color w:val="auto"/>
          <w:sz w:val="32"/>
          <w:szCs w:val="32"/>
          <w:highlight w:val="none"/>
          <w:lang w:val="en-US" w:eastAsia="zh-CN"/>
        </w:rPr>
        <w:t>65.59</w:t>
      </w:r>
      <w:r>
        <w:rPr>
          <w:rFonts w:hint="default" w:ascii="Times New Roman" w:hAnsi="Times New Roman" w:eastAsia="仿宋" w:cs="Times New Roman"/>
          <w:color w:val="auto"/>
          <w:sz w:val="32"/>
          <w:szCs w:val="32"/>
          <w:highlight w:val="none"/>
          <w:lang w:val="en-US" w:eastAsia="zh-CN"/>
        </w:rPr>
        <w:t>万元，决算数</w:t>
      </w:r>
      <w:r>
        <w:rPr>
          <w:rFonts w:hint="eastAsia" w:ascii="Times New Roman" w:hAnsi="Times New Roman" w:eastAsia="仿宋" w:cs="Times New Roman"/>
          <w:color w:val="auto"/>
          <w:sz w:val="32"/>
          <w:szCs w:val="32"/>
          <w:highlight w:val="none"/>
          <w:lang w:val="en-US" w:eastAsia="zh-CN"/>
        </w:rPr>
        <w:t>353.64</w:t>
      </w:r>
      <w:r>
        <w:rPr>
          <w:rFonts w:hint="default" w:ascii="Times New Roman" w:hAnsi="Times New Roman" w:eastAsia="仿宋" w:cs="Times New Roman"/>
          <w:color w:val="auto"/>
          <w:sz w:val="32"/>
          <w:szCs w:val="32"/>
          <w:highlight w:val="none"/>
          <w:lang w:val="en-US" w:eastAsia="zh-CN"/>
        </w:rPr>
        <w:t>万元，预算执行率</w:t>
      </w:r>
      <w:r>
        <w:rPr>
          <w:rFonts w:hint="eastAsia" w:ascii="Times New Roman" w:hAnsi="Times New Roman" w:eastAsia="仿宋" w:cs="Times New Roman"/>
          <w:color w:val="auto"/>
          <w:sz w:val="32"/>
          <w:szCs w:val="32"/>
          <w:highlight w:val="none"/>
          <w:lang w:val="en-US" w:eastAsia="zh-CN"/>
        </w:rPr>
        <w:t>96.73</w:t>
      </w:r>
      <w:r>
        <w:rPr>
          <w:rFonts w:hint="default" w:ascii="Times New Roman" w:hAnsi="Times New Roman" w:eastAsia="仿宋" w:cs="Times New Roman"/>
          <w:color w:val="auto"/>
          <w:sz w:val="32"/>
          <w:szCs w:val="32"/>
          <w:highlight w:val="none"/>
          <w:lang w:val="en-US" w:eastAsia="zh-CN"/>
        </w:rPr>
        <w:t>%；项目</w:t>
      </w:r>
      <w:r>
        <w:rPr>
          <w:rFonts w:hint="eastAsia" w:ascii="Times New Roman" w:hAnsi="Times New Roman" w:eastAsia="仿宋" w:cs="Times New Roman"/>
          <w:color w:val="auto"/>
          <w:sz w:val="32"/>
          <w:szCs w:val="32"/>
          <w:highlight w:val="none"/>
          <w:lang w:val="en-US" w:eastAsia="zh-CN"/>
        </w:rPr>
        <w:t>下达金额64.86万元，实际</w:t>
      </w:r>
      <w:r>
        <w:rPr>
          <w:rFonts w:hint="default" w:ascii="Times New Roman" w:hAnsi="Times New Roman" w:eastAsia="仿宋" w:cs="Times New Roman"/>
          <w:color w:val="auto"/>
          <w:sz w:val="32"/>
          <w:szCs w:val="32"/>
          <w:highlight w:val="none"/>
          <w:lang w:val="en-US" w:eastAsia="zh-CN"/>
        </w:rPr>
        <w:t>支出</w:t>
      </w:r>
      <w:r>
        <w:rPr>
          <w:rFonts w:hint="eastAsia" w:ascii="Times New Roman" w:hAnsi="Times New Roman" w:eastAsia="仿宋" w:cs="Times New Roman"/>
          <w:color w:val="auto"/>
          <w:sz w:val="32"/>
          <w:szCs w:val="32"/>
          <w:highlight w:val="none"/>
          <w:lang w:val="en-US" w:eastAsia="zh-CN"/>
        </w:rPr>
        <w:t>62.14</w:t>
      </w:r>
      <w:r>
        <w:rPr>
          <w:rFonts w:hint="default" w:ascii="Times New Roman" w:hAnsi="Times New Roman" w:eastAsia="仿宋" w:cs="Times New Roman"/>
          <w:color w:val="auto"/>
          <w:sz w:val="32"/>
          <w:szCs w:val="32"/>
          <w:highlight w:val="none"/>
          <w:lang w:val="en-US" w:eastAsia="zh-CN"/>
        </w:rPr>
        <w:t>万元，预算执行率</w:t>
      </w:r>
      <w:r>
        <w:rPr>
          <w:rFonts w:hint="eastAsia" w:ascii="Times New Roman" w:hAnsi="Times New Roman" w:eastAsia="仿宋" w:cs="Times New Roman"/>
          <w:color w:val="auto"/>
          <w:sz w:val="32"/>
          <w:szCs w:val="32"/>
          <w:highlight w:val="none"/>
          <w:lang w:val="en-US" w:eastAsia="zh-CN"/>
        </w:rPr>
        <w:t>95.81</w:t>
      </w:r>
      <w:r>
        <w:rPr>
          <w:rFonts w:hint="default" w:ascii="Times New Roman" w:hAnsi="Times New Roman" w:eastAsia="仿宋" w:cs="Times New Roman"/>
          <w:color w:val="auto"/>
          <w:sz w:val="32"/>
          <w:szCs w:val="32"/>
          <w:highlight w:val="none"/>
          <w:lang w:val="en-US" w:eastAsia="zh-CN"/>
        </w:rPr>
        <w:t>%。</w:t>
      </w:r>
    </w:p>
    <w:p w14:paraId="3FAB7D6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 w:cs="Times New Roman"/>
          <w:color w:val="auto"/>
          <w:sz w:val="32"/>
          <w:szCs w:val="32"/>
          <w:highlight w:val="none"/>
          <w:lang w:val="en-US" w:eastAsia="zh-CN"/>
        </w:rPr>
        <w:t>资金使用方向和主要内容、涉及范围：</w:t>
      </w:r>
      <w:r>
        <w:rPr>
          <w:rFonts w:hint="default" w:ascii="Times New Roman" w:hAnsi="Times New Roman" w:eastAsia="仿宋" w:cs="Times New Roman"/>
          <w:sz w:val="32"/>
          <w:szCs w:val="32"/>
          <w:lang w:val="en-US" w:eastAsia="zh-CN"/>
        </w:rPr>
        <w:t>在市委老干部局坚强领导下，预算资金主要用于</w:t>
      </w:r>
      <w:r>
        <w:rPr>
          <w:rFonts w:hint="default" w:ascii="Times New Roman" w:hAnsi="Times New Roman" w:eastAsia="仿宋_GB2312" w:cs="Times New Roman"/>
          <w:i w:val="0"/>
          <w:iCs w:val="0"/>
          <w:caps w:val="0"/>
          <w:color w:val="000000"/>
          <w:spacing w:val="0"/>
          <w:sz w:val="32"/>
          <w:szCs w:val="32"/>
          <w:shd w:val="clear" w:fill="FFFFFF"/>
          <w:lang w:val="en-US" w:eastAsia="zh-CN"/>
        </w:rPr>
        <w:t>离退</w:t>
      </w:r>
      <w:r>
        <w:rPr>
          <w:rFonts w:hint="default" w:ascii="Times New Roman" w:hAnsi="Times New Roman" w:eastAsia="仿宋_GB2312" w:cs="Times New Roman"/>
          <w:i w:val="0"/>
          <w:iCs w:val="0"/>
          <w:caps w:val="0"/>
          <w:color w:val="000000"/>
          <w:spacing w:val="0"/>
          <w:sz w:val="32"/>
          <w:szCs w:val="32"/>
          <w:shd w:val="clear" w:fill="FFFFFF"/>
          <w:lang w:eastAsia="zh-CN"/>
        </w:rPr>
        <w:t>休</w:t>
      </w:r>
      <w:r>
        <w:rPr>
          <w:rFonts w:hint="default" w:ascii="Times New Roman" w:hAnsi="Times New Roman" w:eastAsia="仿宋_GB2312" w:cs="Times New Roman"/>
          <w:i w:val="0"/>
          <w:iCs w:val="0"/>
          <w:caps w:val="0"/>
          <w:color w:val="000000"/>
          <w:spacing w:val="0"/>
          <w:sz w:val="32"/>
          <w:szCs w:val="32"/>
          <w:shd w:val="clear" w:fill="FFFFFF"/>
          <w:lang w:val="en-US" w:eastAsia="zh-CN"/>
        </w:rPr>
        <w:t>党</w:t>
      </w:r>
      <w:r>
        <w:rPr>
          <w:rFonts w:hint="default" w:ascii="Times New Roman" w:hAnsi="Times New Roman" w:eastAsia="仿宋_GB2312" w:cs="Times New Roman"/>
          <w:i w:val="0"/>
          <w:iCs w:val="0"/>
          <w:caps w:val="0"/>
          <w:color w:val="000000"/>
          <w:spacing w:val="0"/>
          <w:sz w:val="32"/>
          <w:szCs w:val="32"/>
          <w:shd w:val="clear" w:fill="FFFFFF"/>
          <w:lang w:eastAsia="zh-CN"/>
        </w:rPr>
        <w:t>支部</w:t>
      </w:r>
      <w:r>
        <w:rPr>
          <w:rFonts w:hint="default" w:ascii="Times New Roman" w:hAnsi="Times New Roman" w:eastAsia="仿宋_GB2312" w:cs="Times New Roman"/>
          <w:i w:val="0"/>
          <w:iCs w:val="0"/>
          <w:caps w:val="0"/>
          <w:color w:val="000000"/>
          <w:spacing w:val="0"/>
          <w:sz w:val="32"/>
          <w:szCs w:val="32"/>
          <w:shd w:val="clear" w:fill="FFFFFF"/>
          <w:lang w:val="en-US" w:eastAsia="zh-CN"/>
        </w:rPr>
        <w:t>建设，加强党建引领，注重服务管理，用心用情、精准服务，全面落实老干部</w:t>
      </w:r>
      <w:r>
        <w:rPr>
          <w:rFonts w:hint="default" w:ascii="Times New Roman" w:hAnsi="Times New Roman" w:eastAsia="仿宋_GB2312" w:cs="Times New Roman"/>
          <w:i w:val="0"/>
          <w:iCs w:val="0"/>
          <w:caps w:val="0"/>
          <w:color w:val="000000"/>
          <w:spacing w:val="0"/>
          <w:sz w:val="32"/>
          <w:szCs w:val="32"/>
          <w:shd w:val="clear" w:fill="FFFFFF"/>
          <w:lang w:eastAsia="zh-CN"/>
        </w:rPr>
        <w:t>的政治待遇和</w:t>
      </w:r>
      <w:r>
        <w:rPr>
          <w:rFonts w:hint="default" w:ascii="Times New Roman" w:hAnsi="Times New Roman" w:eastAsia="仿宋_GB2312" w:cs="Times New Roman"/>
          <w:i w:val="0"/>
          <w:iCs w:val="0"/>
          <w:caps w:val="0"/>
          <w:color w:val="000000"/>
          <w:spacing w:val="0"/>
          <w:sz w:val="32"/>
          <w:szCs w:val="32"/>
          <w:shd w:val="clear" w:fill="FFFFFF"/>
          <w:lang w:val="en-US" w:eastAsia="zh-CN"/>
        </w:rPr>
        <w:t>生活待遇，提高老干部幸福指数；组织老干部</w:t>
      </w:r>
      <w:r>
        <w:rPr>
          <w:rFonts w:hint="default" w:ascii="Times New Roman" w:hAnsi="Times New Roman" w:eastAsia="仿宋_GB2312" w:cs="Times New Roman"/>
          <w:i w:val="0"/>
          <w:iCs w:val="0"/>
          <w:caps w:val="0"/>
          <w:color w:val="000000"/>
          <w:spacing w:val="0"/>
          <w:sz w:val="32"/>
          <w:szCs w:val="32"/>
          <w:shd w:val="clear" w:fill="FFFFFF"/>
          <w:lang w:eastAsia="zh-CN"/>
        </w:rPr>
        <w:t>参观工农业生产</w:t>
      </w:r>
      <w:r>
        <w:rPr>
          <w:rFonts w:hint="default" w:ascii="Times New Roman" w:hAnsi="Times New Roman" w:eastAsia="仿宋_GB2312" w:cs="Times New Roman"/>
          <w:i w:val="0"/>
          <w:iCs w:val="0"/>
          <w:caps w:val="0"/>
          <w:color w:val="000000"/>
          <w:spacing w:val="0"/>
          <w:sz w:val="32"/>
          <w:szCs w:val="32"/>
          <w:shd w:val="clear" w:fill="FFFFFF"/>
          <w:lang w:val="en-US" w:eastAsia="zh-CN"/>
        </w:rPr>
        <w:t>，订阅杂志，健康体</w:t>
      </w:r>
      <w:r>
        <w:rPr>
          <w:rFonts w:hint="default" w:ascii="Times New Roman" w:hAnsi="Times New Roman" w:eastAsia="仿宋_GB2312" w:cs="Times New Roman"/>
          <w:i w:val="0"/>
          <w:iCs w:val="0"/>
          <w:caps w:val="0"/>
          <w:color w:val="000000"/>
          <w:spacing w:val="0"/>
          <w:sz w:val="32"/>
          <w:szCs w:val="32"/>
          <w:shd w:val="clear" w:fill="FFFFFF"/>
          <w:lang w:eastAsia="zh-CN"/>
        </w:rPr>
        <w:t>检；</w:t>
      </w:r>
      <w:r>
        <w:rPr>
          <w:rFonts w:hint="default" w:ascii="Times New Roman" w:hAnsi="Times New Roman" w:eastAsia="仿宋_GB2312" w:cs="Times New Roman"/>
          <w:i w:val="0"/>
          <w:iCs w:val="0"/>
          <w:caps w:val="0"/>
          <w:color w:val="000000"/>
          <w:spacing w:val="0"/>
          <w:sz w:val="32"/>
          <w:szCs w:val="32"/>
          <w:shd w:val="clear" w:fill="FFFFFF"/>
          <w:lang w:val="en-US" w:eastAsia="zh-CN"/>
        </w:rPr>
        <w:t>对家庭困难的离休干部及遗属进行平时帮扶和节日走访慰问；组织离退休老干部开展文化、体育活动，维修维护活动场所，更新活动设施；为</w:t>
      </w:r>
      <w:r>
        <w:rPr>
          <w:rFonts w:hint="default" w:ascii="Times New Roman" w:hAnsi="Times New Roman" w:eastAsia="仿宋_GB2312" w:cs="Times New Roman"/>
          <w:i w:val="0"/>
          <w:iCs w:val="0"/>
          <w:caps w:val="0"/>
          <w:color w:val="000000"/>
          <w:spacing w:val="0"/>
          <w:sz w:val="32"/>
          <w:szCs w:val="32"/>
          <w:shd w:val="clear" w:fill="FFFFFF"/>
          <w:lang w:eastAsia="zh-CN"/>
        </w:rPr>
        <w:t>老年大学分校</w:t>
      </w:r>
      <w:r>
        <w:rPr>
          <w:rFonts w:hint="default" w:ascii="Times New Roman" w:hAnsi="Times New Roman" w:eastAsia="仿宋_GB2312" w:cs="Times New Roman"/>
          <w:i w:val="0"/>
          <w:iCs w:val="0"/>
          <w:caps w:val="0"/>
          <w:color w:val="000000"/>
          <w:spacing w:val="0"/>
          <w:sz w:val="32"/>
          <w:szCs w:val="32"/>
          <w:shd w:val="clear" w:fill="FFFFFF"/>
          <w:lang w:val="en-US" w:eastAsia="zh-CN"/>
        </w:rPr>
        <w:t>提供教</w:t>
      </w:r>
      <w:r>
        <w:rPr>
          <w:rFonts w:hint="default" w:ascii="Times New Roman" w:hAnsi="Times New Roman" w:eastAsia="仿宋_GB2312" w:cs="Times New Roman"/>
          <w:i w:val="0"/>
          <w:iCs w:val="0"/>
          <w:caps w:val="0"/>
          <w:color w:val="000000"/>
          <w:spacing w:val="0"/>
          <w:sz w:val="32"/>
          <w:szCs w:val="32"/>
          <w:shd w:val="clear" w:fill="FFFFFF"/>
          <w:lang w:eastAsia="zh-CN"/>
        </w:rPr>
        <w:t>学场所</w:t>
      </w:r>
      <w:r>
        <w:rPr>
          <w:rFonts w:hint="default" w:ascii="Times New Roman" w:hAnsi="Times New Roman" w:eastAsia="仿宋_GB2312" w:cs="Times New Roman"/>
          <w:i w:val="0"/>
          <w:iCs w:val="0"/>
          <w:caps w:val="0"/>
          <w:color w:val="000000"/>
          <w:spacing w:val="0"/>
          <w:sz w:val="32"/>
          <w:szCs w:val="32"/>
          <w:shd w:val="clear" w:fill="FFFFFF"/>
          <w:lang w:val="en-US" w:eastAsia="zh-CN"/>
        </w:rPr>
        <w:t>服务。</w:t>
      </w:r>
    </w:p>
    <w:p w14:paraId="3F5349A8">
      <w:pPr>
        <w:keepNext w:val="0"/>
        <w:keepLines w:val="0"/>
        <w:pageBreakBefore w:val="0"/>
        <w:widowControl w:val="0"/>
        <w:shd w:val="clear" w:color="auto" w:fill="FFFFFF"/>
        <w:kinsoku/>
        <w:wordWrap/>
        <w:overflowPunct/>
        <w:topLinePunct w:val="0"/>
        <w:autoSpaceDE/>
        <w:autoSpaceDN/>
        <w:bidi w:val="0"/>
        <w:adjustRightInd/>
        <w:spacing w:line="580" w:lineRule="exact"/>
        <w:ind w:left="0" w:firstLine="640"/>
        <w:textAlignment w:val="auto"/>
        <w:rPr>
          <w:rFonts w:hint="default" w:ascii="Times New Roman" w:hAnsi="Times New Roman" w:eastAsia="黑体" w:cs="Times New Roman"/>
          <w:i w:val="0"/>
          <w:iCs w:val="0"/>
          <w:caps w:val="0"/>
          <w:color w:val="000000"/>
          <w:spacing w:val="0"/>
          <w:sz w:val="32"/>
          <w:szCs w:val="32"/>
          <w:shd w:val="clear" w:color="auto" w:fill="FFFFFF"/>
          <w:lang w:val="en-US" w:eastAsia="zh-CN"/>
        </w:rPr>
      </w:pPr>
      <w:r>
        <w:rPr>
          <w:rFonts w:hint="default" w:ascii="Times New Roman" w:hAnsi="Times New Roman" w:eastAsia="黑体" w:cs="Times New Roman"/>
          <w:i w:val="0"/>
          <w:iCs w:val="0"/>
          <w:caps w:val="0"/>
          <w:color w:val="000000"/>
          <w:spacing w:val="0"/>
          <w:sz w:val="32"/>
          <w:szCs w:val="32"/>
          <w:shd w:val="clear" w:color="auto" w:fill="FFFFFF"/>
          <w:lang w:val="en-US" w:eastAsia="zh-CN"/>
        </w:rPr>
        <w:t>二、一般公共预算支出情况</w:t>
      </w:r>
    </w:p>
    <w:p w14:paraId="036F49C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楷体_GB2312" w:cs="Times New Roman"/>
          <w:b/>
          <w:bCs/>
          <w:i w:val="0"/>
          <w:iCs w:val="0"/>
          <w:caps w:val="0"/>
          <w:color w:val="000000"/>
          <w:spacing w:val="0"/>
          <w:sz w:val="32"/>
          <w:szCs w:val="32"/>
          <w:shd w:val="clear" w:color="auto" w:fill="FFFFFF"/>
          <w:lang w:eastAsia="zh-CN"/>
        </w:rPr>
      </w:pPr>
      <w:r>
        <w:rPr>
          <w:rFonts w:hint="default" w:ascii="Times New Roman" w:hAnsi="Times New Roman" w:eastAsia="楷体_GB2312" w:cs="Times New Roman"/>
          <w:b/>
          <w:bCs/>
          <w:i w:val="0"/>
          <w:iCs w:val="0"/>
          <w:caps w:val="0"/>
          <w:color w:val="000000"/>
          <w:spacing w:val="0"/>
          <w:sz w:val="32"/>
          <w:szCs w:val="32"/>
          <w:shd w:val="clear" w:color="auto" w:fill="FFFFFF"/>
          <w:lang w:eastAsia="zh-CN"/>
        </w:rPr>
        <w:t>（一）基本支出</w:t>
      </w:r>
    </w:p>
    <w:p w14:paraId="15D9A6E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仿宋_GB2312" w:cs="Times New Roman"/>
          <w:i w:val="0"/>
          <w:iCs w:val="0"/>
          <w:caps w:val="0"/>
          <w:color w:val="000000"/>
          <w:spacing w:val="0"/>
          <w:sz w:val="32"/>
          <w:szCs w:val="32"/>
          <w:shd w:val="clear" w:fill="FFFFFF"/>
          <w:lang w:val="en-US" w:eastAsia="zh-CN"/>
        </w:rPr>
        <w:t>202</w:t>
      </w:r>
      <w:r>
        <w:rPr>
          <w:rFonts w:hint="eastAsia" w:ascii="Times New Roman" w:hAnsi="Times New Roman" w:eastAsia="仿宋_GB2312" w:cs="Times New Roman"/>
          <w:i w:val="0"/>
          <w:iCs w:val="0"/>
          <w:caps w:val="0"/>
          <w:color w:val="000000"/>
          <w:spacing w:val="0"/>
          <w:sz w:val="32"/>
          <w:szCs w:val="32"/>
          <w:shd w:val="clear" w:fill="FFFFFF"/>
          <w:lang w:val="en-US" w:eastAsia="zh-CN"/>
        </w:rPr>
        <w:t>5</w:t>
      </w:r>
      <w:r>
        <w:rPr>
          <w:rFonts w:hint="default" w:ascii="Times New Roman" w:hAnsi="Times New Roman" w:eastAsia="仿宋_GB2312" w:cs="Times New Roman"/>
          <w:i w:val="0"/>
          <w:iCs w:val="0"/>
          <w:caps w:val="0"/>
          <w:color w:val="000000"/>
          <w:spacing w:val="0"/>
          <w:sz w:val="32"/>
          <w:szCs w:val="32"/>
          <w:shd w:val="clear" w:fill="FFFFFF"/>
          <w:lang w:val="en-US" w:eastAsia="zh-CN"/>
        </w:rPr>
        <w:t>年部门整体全年共计</w:t>
      </w:r>
      <w:r>
        <w:rPr>
          <w:rFonts w:hint="eastAsia" w:ascii="Times New Roman" w:hAnsi="Times New Roman" w:eastAsia="仿宋_GB2312" w:cs="Times New Roman"/>
          <w:i w:val="0"/>
          <w:iCs w:val="0"/>
          <w:caps w:val="0"/>
          <w:color w:val="000000"/>
          <w:spacing w:val="0"/>
          <w:sz w:val="32"/>
          <w:szCs w:val="32"/>
          <w:shd w:val="clear" w:fill="FFFFFF"/>
          <w:lang w:val="en-US" w:eastAsia="zh-CN"/>
        </w:rPr>
        <w:t>基本</w:t>
      </w:r>
      <w:r>
        <w:rPr>
          <w:rFonts w:hint="default" w:ascii="Times New Roman" w:hAnsi="Times New Roman" w:eastAsia="仿宋_GB2312" w:cs="Times New Roman"/>
          <w:i w:val="0"/>
          <w:iCs w:val="0"/>
          <w:caps w:val="0"/>
          <w:color w:val="000000"/>
          <w:spacing w:val="0"/>
          <w:sz w:val="32"/>
          <w:szCs w:val="32"/>
          <w:shd w:val="clear" w:fill="FFFFFF"/>
          <w:lang w:val="en-US" w:eastAsia="zh-CN"/>
        </w:rPr>
        <w:t>支出</w:t>
      </w:r>
      <w:r>
        <w:rPr>
          <w:rFonts w:hint="eastAsia" w:ascii="Times New Roman" w:hAnsi="Times New Roman" w:eastAsia="仿宋_GB2312" w:cs="Times New Roman"/>
          <w:i w:val="0"/>
          <w:iCs w:val="0"/>
          <w:caps w:val="0"/>
          <w:color w:val="000000"/>
          <w:spacing w:val="0"/>
          <w:sz w:val="32"/>
          <w:szCs w:val="32"/>
          <w:shd w:val="clear" w:fill="FFFFFF"/>
          <w:lang w:val="en-US" w:eastAsia="zh-CN"/>
        </w:rPr>
        <w:t>353.64</w:t>
      </w:r>
      <w:r>
        <w:rPr>
          <w:rFonts w:hint="default" w:ascii="Times New Roman" w:hAnsi="Times New Roman" w:eastAsia="仿宋_GB2312" w:cs="Times New Roman"/>
          <w:i w:val="0"/>
          <w:iCs w:val="0"/>
          <w:caps w:val="0"/>
          <w:color w:val="000000"/>
          <w:spacing w:val="0"/>
          <w:sz w:val="32"/>
          <w:szCs w:val="32"/>
          <w:shd w:val="clear" w:fill="FFFFFF"/>
          <w:lang w:val="en-US" w:eastAsia="zh-CN"/>
        </w:rPr>
        <w:t>万元，年末结转和结余0元。主要包含人员支出、公用经费支出，具体支出情况如下：</w:t>
      </w:r>
    </w:p>
    <w:p w14:paraId="0EEFACC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auto"/>
          <w:spacing w:val="0"/>
          <w:sz w:val="32"/>
          <w:szCs w:val="32"/>
          <w:shd w:val="clear" w:fill="FFFFFF"/>
          <w:lang w:val="en-US" w:eastAsia="zh-CN"/>
        </w:rPr>
      </w:pPr>
      <w:r>
        <w:rPr>
          <w:rFonts w:hint="default" w:ascii="Times New Roman" w:hAnsi="Times New Roman" w:eastAsia="仿宋_GB2312" w:cs="Times New Roman"/>
          <w:i w:val="0"/>
          <w:iCs w:val="0"/>
          <w:caps w:val="0"/>
          <w:color w:val="auto"/>
          <w:spacing w:val="0"/>
          <w:sz w:val="32"/>
          <w:szCs w:val="32"/>
          <w:shd w:val="clear" w:fill="FFFFFF"/>
          <w:lang w:eastAsia="zh-CN"/>
        </w:rPr>
        <w:t>（1）</w:t>
      </w:r>
      <w:r>
        <w:rPr>
          <w:rFonts w:hint="default" w:ascii="Times New Roman" w:hAnsi="Times New Roman" w:eastAsia="仿宋_GB2312" w:cs="Times New Roman"/>
          <w:i w:val="0"/>
          <w:iCs w:val="0"/>
          <w:caps w:val="0"/>
          <w:color w:val="auto"/>
          <w:spacing w:val="0"/>
          <w:sz w:val="32"/>
          <w:szCs w:val="32"/>
          <w:shd w:val="clear" w:fill="FFFFFF"/>
          <w:lang w:val="en-US" w:eastAsia="zh-CN"/>
        </w:rPr>
        <w:t>工资福利支出1</w:t>
      </w:r>
      <w:r>
        <w:rPr>
          <w:rFonts w:hint="eastAsia" w:ascii="Times New Roman" w:hAnsi="Times New Roman" w:eastAsia="仿宋_GB2312" w:cs="Times New Roman"/>
          <w:i w:val="0"/>
          <w:iCs w:val="0"/>
          <w:caps w:val="0"/>
          <w:color w:val="auto"/>
          <w:spacing w:val="0"/>
          <w:sz w:val="32"/>
          <w:szCs w:val="32"/>
          <w:shd w:val="clear" w:fill="FFFFFF"/>
          <w:lang w:val="en-US" w:eastAsia="zh-CN"/>
        </w:rPr>
        <w:t>35.88</w:t>
      </w:r>
      <w:r>
        <w:rPr>
          <w:rFonts w:hint="default" w:ascii="Times New Roman" w:hAnsi="Times New Roman" w:eastAsia="仿宋_GB2312" w:cs="Times New Roman"/>
          <w:i w:val="0"/>
          <w:iCs w:val="0"/>
          <w:caps w:val="0"/>
          <w:color w:val="auto"/>
          <w:spacing w:val="0"/>
          <w:sz w:val="32"/>
          <w:szCs w:val="32"/>
          <w:shd w:val="clear" w:fill="FFFFFF"/>
          <w:lang w:val="en-US" w:eastAsia="zh-CN"/>
        </w:rPr>
        <w:t>万元，主要包括基本工资支出、津补贴支出、奖金支出、机关事业单位基本养老保险缴费、职工基本医疗保险缴费、其他工资福利支出、其他社会保障缴费。</w:t>
      </w:r>
    </w:p>
    <w:p w14:paraId="2B55302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auto"/>
          <w:spacing w:val="0"/>
          <w:sz w:val="32"/>
          <w:szCs w:val="32"/>
          <w:shd w:val="clear" w:fill="FFFFFF"/>
          <w:lang w:val="en-US" w:eastAsia="zh-CN"/>
        </w:rPr>
      </w:pPr>
      <w:r>
        <w:rPr>
          <w:rFonts w:hint="default" w:ascii="Times New Roman" w:hAnsi="Times New Roman" w:eastAsia="仿宋_GB2312" w:cs="Times New Roman"/>
          <w:i w:val="0"/>
          <w:iCs w:val="0"/>
          <w:caps w:val="0"/>
          <w:color w:val="auto"/>
          <w:spacing w:val="0"/>
          <w:sz w:val="32"/>
          <w:szCs w:val="32"/>
          <w:shd w:val="clear" w:fill="FFFFFF"/>
          <w:lang w:eastAsia="zh-CN"/>
        </w:rPr>
        <w:t>（2）</w:t>
      </w:r>
      <w:r>
        <w:rPr>
          <w:rFonts w:hint="default" w:ascii="Times New Roman" w:hAnsi="Times New Roman" w:eastAsia="仿宋_GB2312" w:cs="Times New Roman"/>
          <w:i w:val="0"/>
          <w:iCs w:val="0"/>
          <w:caps w:val="0"/>
          <w:color w:val="auto"/>
          <w:spacing w:val="0"/>
          <w:sz w:val="32"/>
          <w:szCs w:val="32"/>
          <w:shd w:val="clear" w:fill="FFFFFF"/>
          <w:lang w:val="en-US" w:eastAsia="zh-CN"/>
        </w:rPr>
        <w:t>商品和服务支出2</w:t>
      </w:r>
      <w:r>
        <w:rPr>
          <w:rFonts w:hint="eastAsia" w:ascii="Times New Roman" w:hAnsi="Times New Roman" w:eastAsia="仿宋_GB2312" w:cs="Times New Roman"/>
          <w:i w:val="0"/>
          <w:iCs w:val="0"/>
          <w:caps w:val="0"/>
          <w:color w:val="auto"/>
          <w:spacing w:val="0"/>
          <w:sz w:val="32"/>
          <w:szCs w:val="32"/>
          <w:shd w:val="clear" w:fill="FFFFFF"/>
          <w:lang w:val="en-US" w:eastAsia="zh-CN"/>
        </w:rPr>
        <w:t>7.04</w:t>
      </w:r>
      <w:r>
        <w:rPr>
          <w:rFonts w:hint="default" w:ascii="Times New Roman" w:hAnsi="Times New Roman" w:eastAsia="仿宋_GB2312" w:cs="Times New Roman"/>
          <w:i w:val="0"/>
          <w:iCs w:val="0"/>
          <w:caps w:val="0"/>
          <w:color w:val="auto"/>
          <w:spacing w:val="0"/>
          <w:sz w:val="32"/>
          <w:szCs w:val="32"/>
          <w:shd w:val="clear" w:fill="FFFFFF"/>
          <w:lang w:val="en-US" w:eastAsia="zh-CN"/>
        </w:rPr>
        <w:t>万元，主要包括办公费、邮电费、差旅费、劳务费、工会经费、福利费、公务用车运行维护费、其他交通费用、其他商品和服务支出。</w:t>
      </w:r>
    </w:p>
    <w:p w14:paraId="733A491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auto"/>
          <w:spacing w:val="0"/>
          <w:sz w:val="32"/>
          <w:szCs w:val="32"/>
          <w:shd w:val="clear" w:fill="FFFFFF"/>
          <w:lang w:val="en-US" w:eastAsia="zh-CN"/>
        </w:rPr>
      </w:pPr>
      <w:r>
        <w:rPr>
          <w:rFonts w:hint="default" w:ascii="Times New Roman" w:hAnsi="Times New Roman" w:eastAsia="仿宋_GB2312" w:cs="Times New Roman"/>
          <w:i w:val="0"/>
          <w:iCs w:val="0"/>
          <w:caps w:val="0"/>
          <w:color w:val="auto"/>
          <w:spacing w:val="0"/>
          <w:sz w:val="32"/>
          <w:szCs w:val="32"/>
          <w:shd w:val="clear" w:fill="FFFFFF"/>
          <w:lang w:eastAsia="zh-CN"/>
        </w:rPr>
        <w:t>（3）</w:t>
      </w:r>
      <w:r>
        <w:rPr>
          <w:rFonts w:hint="default" w:ascii="Times New Roman" w:hAnsi="Times New Roman" w:eastAsia="仿宋_GB2312" w:cs="Times New Roman"/>
          <w:i w:val="0"/>
          <w:iCs w:val="0"/>
          <w:caps w:val="0"/>
          <w:color w:val="auto"/>
          <w:spacing w:val="0"/>
          <w:sz w:val="32"/>
          <w:szCs w:val="32"/>
          <w:shd w:val="clear" w:fill="FFFFFF"/>
          <w:lang w:val="en-US" w:eastAsia="zh-CN"/>
        </w:rPr>
        <w:t>对个人和家庭的补助</w:t>
      </w:r>
      <w:r>
        <w:rPr>
          <w:rFonts w:hint="eastAsia" w:ascii="Times New Roman" w:hAnsi="Times New Roman" w:eastAsia="仿宋_GB2312" w:cs="Times New Roman"/>
          <w:i w:val="0"/>
          <w:iCs w:val="0"/>
          <w:caps w:val="0"/>
          <w:color w:val="auto"/>
          <w:spacing w:val="0"/>
          <w:sz w:val="32"/>
          <w:szCs w:val="32"/>
          <w:shd w:val="clear" w:fill="FFFFFF"/>
          <w:lang w:val="en-US" w:eastAsia="zh-CN"/>
        </w:rPr>
        <w:t>190.72</w:t>
      </w:r>
      <w:r>
        <w:rPr>
          <w:rFonts w:hint="default" w:ascii="Times New Roman" w:hAnsi="Times New Roman" w:eastAsia="仿宋_GB2312" w:cs="Times New Roman"/>
          <w:i w:val="0"/>
          <w:iCs w:val="0"/>
          <w:caps w:val="0"/>
          <w:color w:val="auto"/>
          <w:spacing w:val="0"/>
          <w:sz w:val="32"/>
          <w:szCs w:val="32"/>
          <w:shd w:val="clear" w:fill="FFFFFF"/>
          <w:lang w:val="en-US" w:eastAsia="zh-CN"/>
        </w:rPr>
        <w:t>万元。</w:t>
      </w:r>
    </w:p>
    <w:p w14:paraId="705871E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800" w:firstLineChars="250"/>
        <w:textAlignment w:val="auto"/>
        <w:rPr>
          <w:rFonts w:hint="default" w:ascii="Times New Roman" w:hAnsi="Times New Roman" w:eastAsia="楷体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楷体_GB2312" w:cs="Times New Roman"/>
          <w:b w:val="0"/>
          <w:bCs w:val="0"/>
          <w:i w:val="0"/>
          <w:iCs w:val="0"/>
          <w:caps w:val="0"/>
          <w:color w:val="auto"/>
          <w:spacing w:val="0"/>
          <w:sz w:val="32"/>
          <w:szCs w:val="32"/>
          <w:shd w:val="clear" w:fill="FFFFFF"/>
          <w:lang w:eastAsia="zh-CN"/>
        </w:rPr>
        <w:t>“</w:t>
      </w:r>
      <w:r>
        <w:rPr>
          <w:rFonts w:hint="default" w:ascii="Times New Roman" w:hAnsi="Times New Roman" w:eastAsia="楷体_GB2312" w:cs="Times New Roman"/>
          <w:b w:val="0"/>
          <w:bCs w:val="0"/>
          <w:i w:val="0"/>
          <w:iCs w:val="0"/>
          <w:caps w:val="0"/>
          <w:color w:val="auto"/>
          <w:spacing w:val="0"/>
          <w:sz w:val="32"/>
          <w:szCs w:val="32"/>
          <w:shd w:val="clear" w:fill="FFFFFF"/>
        </w:rPr>
        <w:t>三公</w:t>
      </w:r>
      <w:r>
        <w:rPr>
          <w:rFonts w:hint="default" w:ascii="Times New Roman" w:hAnsi="Times New Roman" w:eastAsia="楷体_GB2312" w:cs="Times New Roman"/>
          <w:b w:val="0"/>
          <w:bCs w:val="0"/>
          <w:i w:val="0"/>
          <w:iCs w:val="0"/>
          <w:caps w:val="0"/>
          <w:color w:val="auto"/>
          <w:spacing w:val="0"/>
          <w:sz w:val="32"/>
          <w:szCs w:val="32"/>
          <w:shd w:val="clear" w:fill="FFFFFF"/>
          <w:lang w:eastAsia="zh-CN"/>
        </w:rPr>
        <w:t>”</w:t>
      </w:r>
      <w:r>
        <w:rPr>
          <w:rFonts w:hint="default" w:ascii="Times New Roman" w:hAnsi="Times New Roman" w:eastAsia="楷体_GB2312" w:cs="Times New Roman"/>
          <w:b w:val="0"/>
          <w:bCs w:val="0"/>
          <w:i w:val="0"/>
          <w:iCs w:val="0"/>
          <w:caps w:val="0"/>
          <w:color w:val="auto"/>
          <w:spacing w:val="0"/>
          <w:sz w:val="32"/>
          <w:szCs w:val="32"/>
          <w:shd w:val="clear" w:fill="FFFFFF"/>
        </w:rPr>
        <w:t>经费使用和管理情况</w:t>
      </w:r>
    </w:p>
    <w:p w14:paraId="10B1588A">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leftChars="0" w:right="0" w:rightChars="0" w:firstLine="320" w:firstLineChars="100"/>
        <w:textAlignment w:val="auto"/>
        <w:rPr>
          <w:rFonts w:hint="default" w:ascii="Times New Roman" w:hAnsi="Times New Roman" w:eastAsia="楷体_GB2312" w:cs="Times New Roman"/>
          <w:i w:val="0"/>
          <w:iCs w:val="0"/>
          <w:caps w:val="0"/>
          <w:color w:val="auto"/>
          <w:spacing w:val="0"/>
          <w:sz w:val="32"/>
          <w:szCs w:val="32"/>
          <w:shd w:val="clear" w:fill="FFFFFF"/>
        </w:rPr>
      </w:pPr>
      <w:r>
        <w:rPr>
          <w:rFonts w:hint="default" w:ascii="Times New Roman" w:hAnsi="Times New Roman" w:eastAsia="楷体_GB2312" w:cs="Times New Roman"/>
          <w:i w:val="0"/>
          <w:iCs w:val="0"/>
          <w:caps w:val="0"/>
          <w:color w:val="auto"/>
          <w:spacing w:val="0"/>
          <w:sz w:val="32"/>
          <w:szCs w:val="32"/>
          <w:shd w:val="clear" w:fill="FFFFFF"/>
        </w:rPr>
        <w:t xml:space="preserve"> </w:t>
      </w:r>
      <w:r>
        <w:rPr>
          <w:rFonts w:hint="eastAsia" w:ascii="Times New Roman" w:hAnsi="Times New Roman" w:eastAsia="楷体_GB2312" w:cs="Times New Roman"/>
          <w:i w:val="0"/>
          <w:iCs w:val="0"/>
          <w:caps w:val="0"/>
          <w:color w:val="auto"/>
          <w:spacing w:val="0"/>
          <w:sz w:val="32"/>
          <w:szCs w:val="32"/>
          <w:shd w:val="clear" w:fill="FFFFFF"/>
          <w:lang w:val="en-US" w:eastAsia="zh-CN"/>
        </w:rPr>
        <w:t xml:space="preserve"> </w:t>
      </w:r>
      <w:r>
        <w:rPr>
          <w:rFonts w:hint="default" w:ascii="Times New Roman" w:hAnsi="Times New Roman" w:eastAsia="仿宋" w:cs="Times New Roman"/>
          <w:color w:val="auto"/>
          <w:spacing w:val="-2"/>
          <w:kern w:val="2"/>
          <w:sz w:val="32"/>
          <w:szCs w:val="32"/>
          <w:lang w:val="en-US" w:eastAsia="zh-CN" w:bidi="ar-SA"/>
        </w:rPr>
        <w:t>202</w:t>
      </w:r>
      <w:r>
        <w:rPr>
          <w:rFonts w:hint="eastAsia" w:ascii="Times New Roman" w:hAnsi="Times New Roman" w:eastAsia="仿宋" w:cs="Times New Roman"/>
          <w:color w:val="auto"/>
          <w:spacing w:val="-2"/>
          <w:kern w:val="2"/>
          <w:sz w:val="32"/>
          <w:szCs w:val="32"/>
          <w:lang w:val="en-US" w:eastAsia="zh-CN" w:bidi="ar-SA"/>
        </w:rPr>
        <w:t>5</w:t>
      </w:r>
      <w:r>
        <w:rPr>
          <w:rFonts w:hint="default" w:ascii="Times New Roman" w:hAnsi="Times New Roman" w:eastAsia="仿宋" w:cs="Times New Roman"/>
          <w:color w:val="auto"/>
          <w:spacing w:val="-2"/>
          <w:kern w:val="2"/>
          <w:sz w:val="32"/>
          <w:szCs w:val="32"/>
          <w:lang w:val="en-US" w:eastAsia="zh-CN" w:bidi="ar-SA"/>
        </w:rPr>
        <w:t>年“三公”经费全年共计支出</w:t>
      </w:r>
      <w:r>
        <w:rPr>
          <w:rFonts w:hint="eastAsia" w:ascii="Times New Roman" w:hAnsi="Times New Roman" w:eastAsia="仿宋" w:cs="Times New Roman"/>
          <w:color w:val="auto"/>
          <w:spacing w:val="-2"/>
          <w:kern w:val="2"/>
          <w:sz w:val="32"/>
          <w:szCs w:val="32"/>
          <w:lang w:val="en-US" w:eastAsia="zh-CN" w:bidi="ar-SA"/>
        </w:rPr>
        <w:t>8.98</w:t>
      </w:r>
      <w:r>
        <w:rPr>
          <w:rFonts w:hint="default" w:ascii="Times New Roman" w:hAnsi="Times New Roman" w:eastAsia="仿宋" w:cs="Times New Roman"/>
          <w:color w:val="auto"/>
          <w:spacing w:val="-2"/>
          <w:kern w:val="2"/>
          <w:sz w:val="32"/>
          <w:szCs w:val="32"/>
          <w:lang w:val="en-US" w:eastAsia="zh-CN" w:bidi="ar-SA"/>
        </w:rPr>
        <w:t>万元，其中：公务用车运行维护费</w:t>
      </w:r>
      <w:r>
        <w:rPr>
          <w:rFonts w:hint="eastAsia" w:ascii="Times New Roman" w:hAnsi="Times New Roman" w:eastAsia="仿宋" w:cs="Times New Roman"/>
          <w:color w:val="auto"/>
          <w:spacing w:val="-2"/>
          <w:kern w:val="2"/>
          <w:sz w:val="32"/>
          <w:szCs w:val="32"/>
          <w:lang w:val="en-US" w:eastAsia="zh-CN" w:bidi="ar-SA"/>
        </w:rPr>
        <w:t>8.98</w:t>
      </w:r>
      <w:r>
        <w:rPr>
          <w:rFonts w:hint="default" w:ascii="Times New Roman" w:hAnsi="Times New Roman" w:eastAsia="仿宋" w:cs="Times New Roman"/>
          <w:color w:val="auto"/>
          <w:spacing w:val="-2"/>
          <w:kern w:val="2"/>
          <w:sz w:val="32"/>
          <w:szCs w:val="32"/>
          <w:lang w:val="en-US" w:eastAsia="zh-CN" w:bidi="ar-SA"/>
        </w:rPr>
        <w:t>万元，公务用车购置费0万元，公务接待费0万元，因公出国（境）费0万元。202</w:t>
      </w:r>
      <w:r>
        <w:rPr>
          <w:rFonts w:hint="eastAsia" w:ascii="Times New Roman" w:hAnsi="Times New Roman" w:eastAsia="仿宋" w:cs="Times New Roman"/>
          <w:color w:val="auto"/>
          <w:spacing w:val="-2"/>
          <w:kern w:val="2"/>
          <w:sz w:val="32"/>
          <w:szCs w:val="32"/>
          <w:lang w:val="en-US" w:eastAsia="zh-CN" w:bidi="ar-SA"/>
        </w:rPr>
        <w:t>5</w:t>
      </w:r>
      <w:r>
        <w:rPr>
          <w:rFonts w:hint="default" w:ascii="Times New Roman" w:hAnsi="Times New Roman" w:eastAsia="仿宋" w:cs="Times New Roman"/>
          <w:color w:val="auto"/>
          <w:spacing w:val="-2"/>
          <w:kern w:val="2"/>
          <w:sz w:val="32"/>
          <w:szCs w:val="32"/>
          <w:lang w:val="en-US" w:eastAsia="zh-CN" w:bidi="ar-SA"/>
        </w:rPr>
        <w:t>年“三公”经费支出较上一年度</w:t>
      </w:r>
      <w:r>
        <w:rPr>
          <w:rFonts w:hint="eastAsia" w:ascii="Times New Roman" w:hAnsi="Times New Roman" w:eastAsia="仿宋" w:cs="Times New Roman"/>
          <w:color w:val="auto"/>
          <w:spacing w:val="-2"/>
          <w:kern w:val="2"/>
          <w:sz w:val="32"/>
          <w:szCs w:val="32"/>
          <w:lang w:val="en-US" w:eastAsia="zh-CN" w:bidi="ar-SA"/>
        </w:rPr>
        <w:t>增加18.78</w:t>
      </w:r>
      <w:r>
        <w:rPr>
          <w:rFonts w:hint="default" w:ascii="Times New Roman" w:hAnsi="Times New Roman" w:eastAsia="仿宋" w:cs="Times New Roman"/>
          <w:color w:val="auto"/>
          <w:spacing w:val="-2"/>
          <w:kern w:val="2"/>
          <w:sz w:val="32"/>
          <w:szCs w:val="32"/>
          <w:lang w:val="en-US" w:eastAsia="zh-CN" w:bidi="ar-SA"/>
        </w:rPr>
        <w:t>%，</w:t>
      </w:r>
      <w:r>
        <w:rPr>
          <w:rFonts w:hint="eastAsia" w:ascii="Times New Roman" w:hAnsi="Times New Roman" w:eastAsia="仿宋" w:cs="Times New Roman"/>
          <w:color w:val="auto"/>
          <w:spacing w:val="-2"/>
          <w:kern w:val="2"/>
          <w:sz w:val="32"/>
          <w:szCs w:val="32"/>
          <w:lang w:val="en-US" w:eastAsia="zh-CN" w:bidi="ar-SA"/>
        </w:rPr>
        <w:t>主要是因为车辆普遍老化，</w:t>
      </w:r>
      <w:r>
        <w:rPr>
          <w:rFonts w:hint="eastAsia" w:ascii="仿宋_GB2312" w:hAnsi="仿宋" w:eastAsia="仿宋_GB2312" w:cs="仿宋"/>
          <w:color w:val="auto"/>
          <w:sz w:val="32"/>
          <w:szCs w:val="32"/>
        </w:rPr>
        <w:t>经常需要修理，因此维修费用增加，年初做预算时报告财政申请批复</w:t>
      </w:r>
      <w:r>
        <w:rPr>
          <w:rFonts w:hint="default" w:ascii="Times New Roman" w:hAnsi="Times New Roman" w:eastAsia="仿宋" w:cs="Times New Roman"/>
          <w:color w:val="auto"/>
          <w:spacing w:val="-2"/>
          <w:kern w:val="2"/>
          <w:sz w:val="32"/>
          <w:szCs w:val="32"/>
          <w:lang w:val="en-US" w:eastAsia="zh-CN" w:bidi="ar-SA"/>
        </w:rPr>
        <w:t>。</w:t>
      </w:r>
    </w:p>
    <w:p w14:paraId="6E5349B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楷体_GB2312" w:cs="Times New Roman"/>
          <w:b/>
          <w:bCs/>
          <w:i w:val="0"/>
          <w:iCs w:val="0"/>
          <w:caps w:val="0"/>
          <w:color w:val="auto"/>
          <w:spacing w:val="0"/>
          <w:sz w:val="32"/>
          <w:szCs w:val="32"/>
          <w:shd w:val="clear" w:color="auto" w:fill="FFFFFF"/>
          <w:lang w:val="en-US" w:eastAsia="zh-CN"/>
        </w:rPr>
      </w:pPr>
      <w:r>
        <w:rPr>
          <w:rFonts w:hint="default" w:ascii="Times New Roman" w:hAnsi="Times New Roman" w:eastAsia="楷体_GB2312" w:cs="Times New Roman"/>
          <w:b/>
          <w:bCs/>
          <w:i w:val="0"/>
          <w:iCs w:val="0"/>
          <w:caps w:val="0"/>
          <w:color w:val="auto"/>
          <w:spacing w:val="0"/>
          <w:sz w:val="32"/>
          <w:szCs w:val="32"/>
          <w:shd w:val="clear" w:color="auto" w:fill="FFFFFF"/>
          <w:lang w:val="en-US" w:eastAsia="zh-CN"/>
        </w:rPr>
        <w:t>（二）项目支出情况</w:t>
      </w:r>
    </w:p>
    <w:p w14:paraId="57BE0F33">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right="0" w:righ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color w:val="auto"/>
          <w:sz w:val="32"/>
          <w:szCs w:val="32"/>
          <w:lang w:val="en-US" w:eastAsia="zh-CN"/>
        </w:rPr>
        <w:t>2025年项目</w:t>
      </w:r>
      <w:r>
        <w:rPr>
          <w:rFonts w:hint="eastAsia" w:ascii="Times New Roman" w:hAnsi="Times New Roman" w:eastAsia="仿宋_GB2312" w:cs="Times New Roman"/>
          <w:color w:val="auto"/>
          <w:sz w:val="32"/>
          <w:szCs w:val="32"/>
          <w:lang w:val="en-US" w:eastAsia="zh-CN"/>
        </w:rPr>
        <w:t>支出共计</w:t>
      </w:r>
      <w:r>
        <w:rPr>
          <w:rFonts w:hint="default" w:ascii="Times New Roman" w:hAnsi="Times New Roman" w:eastAsia="仿宋_GB2312" w:cs="Times New Roman"/>
          <w:color w:val="auto"/>
          <w:sz w:val="32"/>
          <w:szCs w:val="32"/>
          <w:lang w:val="en-US" w:eastAsia="zh-CN"/>
        </w:rPr>
        <w:t>62.14万元，其中：</w:t>
      </w:r>
      <w:r>
        <w:rPr>
          <w:rFonts w:hint="default" w:ascii="Times New Roman" w:hAnsi="Times New Roman" w:eastAsia="仿宋_GB2312" w:cs="Times New Roman"/>
          <w:color w:val="auto"/>
          <w:sz w:val="32"/>
          <w:szCs w:val="32"/>
          <w:lang w:eastAsia="zh-CN"/>
        </w:rPr>
        <w:t>工资性支出</w:t>
      </w:r>
      <w:r>
        <w:rPr>
          <w:rFonts w:hint="default" w:ascii="Times New Roman" w:hAnsi="Times New Roman" w:eastAsia="仿宋_GB2312" w:cs="Times New Roman"/>
          <w:color w:val="auto"/>
          <w:sz w:val="32"/>
          <w:szCs w:val="32"/>
          <w:lang w:val="en-US" w:eastAsia="zh-CN"/>
        </w:rPr>
        <w:t>10.94</w:t>
      </w:r>
      <w:r>
        <w:rPr>
          <w:rFonts w:hint="default" w:ascii="Times New Roman" w:hAnsi="Times New Roman" w:eastAsia="仿宋_GB2312" w:cs="Times New Roman"/>
          <w:color w:val="auto"/>
          <w:sz w:val="32"/>
          <w:szCs w:val="32"/>
          <w:lang w:eastAsia="zh-CN"/>
        </w:rPr>
        <w:t>万元</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eastAsia="zh-CN"/>
        </w:rPr>
        <w:t>商品服务性支出</w:t>
      </w:r>
      <w:r>
        <w:rPr>
          <w:rFonts w:hint="default" w:ascii="Times New Roman" w:hAnsi="Times New Roman" w:eastAsia="仿宋_GB2312" w:cs="Times New Roman"/>
          <w:color w:val="auto"/>
          <w:sz w:val="32"/>
          <w:szCs w:val="32"/>
          <w:lang w:val="en-US" w:eastAsia="zh-CN"/>
        </w:rPr>
        <w:t>41.13</w:t>
      </w:r>
      <w:r>
        <w:rPr>
          <w:rFonts w:hint="default" w:ascii="Times New Roman" w:hAnsi="Times New Roman" w:eastAsia="仿宋_GB2312" w:cs="Times New Roman"/>
          <w:color w:val="auto"/>
          <w:sz w:val="32"/>
          <w:szCs w:val="32"/>
          <w:lang w:eastAsia="zh-CN"/>
        </w:rPr>
        <w:t>万元，对个人和家庭的补助支出</w:t>
      </w:r>
      <w:r>
        <w:rPr>
          <w:rFonts w:hint="default" w:ascii="Times New Roman" w:hAnsi="Times New Roman" w:eastAsia="仿宋_GB2312" w:cs="Times New Roman"/>
          <w:color w:val="auto"/>
          <w:sz w:val="32"/>
          <w:szCs w:val="32"/>
          <w:lang w:val="en-US" w:eastAsia="zh-CN"/>
        </w:rPr>
        <w:t>10.07</w:t>
      </w:r>
      <w:r>
        <w:rPr>
          <w:rFonts w:hint="default" w:ascii="Times New Roman" w:hAnsi="Times New Roman" w:eastAsia="仿宋_GB2312" w:cs="Times New Roman"/>
          <w:color w:val="auto"/>
          <w:sz w:val="32"/>
          <w:szCs w:val="32"/>
          <w:lang w:eastAsia="zh-CN"/>
        </w:rPr>
        <w:t>万元，</w:t>
      </w:r>
      <w:r>
        <w:rPr>
          <w:rFonts w:hint="default" w:ascii="Times New Roman" w:hAnsi="Times New Roman" w:eastAsia="仿宋_GB2312" w:cs="Times New Roman"/>
          <w:color w:val="auto"/>
          <w:sz w:val="32"/>
          <w:szCs w:val="32"/>
          <w:lang w:val="en-US" w:eastAsia="zh-CN"/>
        </w:rPr>
        <w:t>资本性支出0万元。</w:t>
      </w:r>
    </w:p>
    <w:p w14:paraId="56CFC42F">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left="0" w:firstLine="640" w:firstLineChars="200"/>
        <w:textAlignment w:val="auto"/>
        <w:rPr>
          <w:rFonts w:hint="default" w:ascii="Times New Roman" w:hAnsi="Times New Roman" w:eastAsia="仿宋_GB2312" w:cs="Times New Roman"/>
          <w:color w:val="FF0000"/>
          <w:sz w:val="32"/>
          <w:szCs w:val="32"/>
          <w:highlight w:val="none"/>
          <w:lang w:val="en-US" w:eastAsia="zh-CN"/>
        </w:rPr>
      </w:pPr>
      <w:r>
        <w:rPr>
          <w:rFonts w:hint="default" w:ascii="Times New Roman" w:hAnsi="Times New Roman" w:eastAsia="仿宋_GB2312" w:cs="Times New Roman"/>
          <w:color w:val="auto"/>
          <w:kern w:val="0"/>
          <w:sz w:val="32"/>
          <w:szCs w:val="32"/>
          <w:lang w:val="en-US" w:eastAsia="zh-CN" w:bidi="ar"/>
        </w:rPr>
        <w:t>202</w:t>
      </w:r>
      <w:r>
        <w:rPr>
          <w:rFonts w:hint="eastAsia" w:ascii="Times New Roman" w:hAnsi="Times New Roman" w:eastAsia="仿宋_GB2312" w:cs="Times New Roman"/>
          <w:color w:val="auto"/>
          <w:kern w:val="0"/>
          <w:sz w:val="32"/>
          <w:szCs w:val="32"/>
          <w:lang w:val="en-US" w:eastAsia="zh-CN" w:bidi="ar"/>
        </w:rPr>
        <w:t>5</w:t>
      </w:r>
      <w:r>
        <w:rPr>
          <w:rFonts w:hint="default" w:ascii="Times New Roman" w:hAnsi="Times New Roman" w:eastAsia="仿宋_GB2312" w:cs="Times New Roman"/>
          <w:color w:val="auto"/>
          <w:kern w:val="0"/>
          <w:sz w:val="32"/>
          <w:szCs w:val="32"/>
          <w:lang w:val="en-US" w:eastAsia="zh-CN" w:bidi="ar"/>
        </w:rPr>
        <w:t>年怀化市委市政府机关老干部休养所年初申报项目资金3个，合计</w:t>
      </w:r>
      <w:r>
        <w:rPr>
          <w:rFonts w:hint="eastAsia" w:ascii="Times New Roman" w:hAnsi="Times New Roman" w:eastAsia="仿宋_GB2312" w:cs="Times New Roman"/>
          <w:color w:val="auto"/>
          <w:kern w:val="0"/>
          <w:sz w:val="32"/>
          <w:szCs w:val="32"/>
          <w:lang w:val="en-US" w:eastAsia="zh-CN" w:bidi="ar"/>
        </w:rPr>
        <w:t>58</w:t>
      </w:r>
      <w:r>
        <w:rPr>
          <w:rFonts w:hint="default" w:ascii="Times New Roman" w:hAnsi="Times New Roman" w:eastAsia="仿宋_GB2312" w:cs="Times New Roman"/>
          <w:color w:val="auto"/>
          <w:kern w:val="0"/>
          <w:sz w:val="32"/>
          <w:szCs w:val="32"/>
          <w:lang w:val="en-US" w:eastAsia="zh-CN" w:bidi="ar"/>
        </w:rPr>
        <w:t>万元，分别是：老干春节慰问费、祝寿13万元、</w:t>
      </w:r>
      <w:r>
        <w:rPr>
          <w:rFonts w:hint="eastAsia" w:ascii="Times New Roman" w:hAnsi="Times New Roman" w:eastAsia="仿宋_GB2312" w:cs="Times New Roman"/>
          <w:color w:val="auto"/>
          <w:kern w:val="0"/>
          <w:sz w:val="32"/>
          <w:szCs w:val="32"/>
          <w:lang w:val="en-US" w:eastAsia="zh-CN" w:bidi="ar"/>
        </w:rPr>
        <w:t>老干部教育活动</w:t>
      </w:r>
      <w:r>
        <w:rPr>
          <w:rFonts w:hint="default" w:ascii="Times New Roman" w:hAnsi="Times New Roman" w:eastAsia="仿宋_GB2312" w:cs="Times New Roman"/>
          <w:color w:val="auto"/>
          <w:kern w:val="0"/>
          <w:sz w:val="32"/>
          <w:szCs w:val="32"/>
          <w:lang w:val="en-US" w:eastAsia="zh-CN" w:bidi="ar"/>
        </w:rPr>
        <w:t>经费</w:t>
      </w:r>
      <w:r>
        <w:rPr>
          <w:rFonts w:hint="eastAsia" w:ascii="Times New Roman" w:hAnsi="Times New Roman" w:eastAsia="仿宋_GB2312" w:cs="Times New Roman"/>
          <w:color w:val="auto"/>
          <w:kern w:val="0"/>
          <w:sz w:val="32"/>
          <w:szCs w:val="32"/>
          <w:lang w:val="en-US" w:eastAsia="zh-CN" w:bidi="ar"/>
        </w:rPr>
        <w:t>27</w:t>
      </w:r>
      <w:r>
        <w:rPr>
          <w:rFonts w:hint="default" w:ascii="Times New Roman" w:hAnsi="Times New Roman" w:eastAsia="仿宋_GB2312" w:cs="Times New Roman"/>
          <w:color w:val="auto"/>
          <w:kern w:val="0"/>
          <w:sz w:val="32"/>
          <w:szCs w:val="32"/>
          <w:lang w:val="en-US" w:eastAsia="zh-CN" w:bidi="ar"/>
        </w:rPr>
        <w:t>万元、老干电话费和小车补助等四项经费18万元；年中调整项目2个，合计1</w:t>
      </w:r>
      <w:r>
        <w:rPr>
          <w:rFonts w:hint="eastAsia" w:ascii="Times New Roman" w:hAnsi="Times New Roman" w:eastAsia="仿宋_GB2312" w:cs="Times New Roman"/>
          <w:color w:val="auto"/>
          <w:kern w:val="0"/>
          <w:sz w:val="32"/>
          <w:szCs w:val="32"/>
          <w:lang w:val="en-US" w:eastAsia="zh-CN" w:bidi="ar"/>
        </w:rPr>
        <w:t>3.4</w:t>
      </w:r>
      <w:r>
        <w:rPr>
          <w:rFonts w:hint="default" w:ascii="Times New Roman" w:hAnsi="Times New Roman" w:eastAsia="仿宋_GB2312" w:cs="Times New Roman"/>
          <w:color w:val="auto"/>
          <w:kern w:val="0"/>
          <w:sz w:val="32"/>
          <w:szCs w:val="32"/>
          <w:lang w:val="en-US" w:eastAsia="zh-CN" w:bidi="ar"/>
        </w:rPr>
        <w:t>万元，分别是：市直单位老干部活动经费1</w:t>
      </w:r>
      <w:r>
        <w:rPr>
          <w:rFonts w:hint="eastAsia" w:ascii="Times New Roman" w:hAnsi="Times New Roman" w:eastAsia="仿宋_GB2312" w:cs="Times New Roman"/>
          <w:color w:val="auto"/>
          <w:kern w:val="0"/>
          <w:sz w:val="32"/>
          <w:szCs w:val="32"/>
          <w:lang w:val="en-US" w:eastAsia="zh-CN" w:bidi="ar"/>
        </w:rPr>
        <w:t>1</w:t>
      </w:r>
      <w:r>
        <w:rPr>
          <w:rFonts w:hint="default" w:ascii="Times New Roman" w:hAnsi="Times New Roman" w:eastAsia="仿宋_GB2312" w:cs="Times New Roman"/>
          <w:color w:val="auto"/>
          <w:kern w:val="0"/>
          <w:sz w:val="32"/>
          <w:szCs w:val="32"/>
          <w:lang w:val="en-US" w:eastAsia="zh-CN" w:bidi="ar"/>
        </w:rPr>
        <w:t>万元，厅级退休老干部活动经费</w:t>
      </w:r>
      <w:r>
        <w:rPr>
          <w:rFonts w:hint="eastAsia" w:ascii="Times New Roman" w:hAnsi="Times New Roman" w:eastAsia="仿宋_GB2312" w:cs="Times New Roman"/>
          <w:color w:val="auto"/>
          <w:kern w:val="0"/>
          <w:sz w:val="32"/>
          <w:szCs w:val="32"/>
          <w:lang w:val="en-US" w:eastAsia="zh-CN" w:bidi="ar"/>
        </w:rPr>
        <w:t>2.4</w:t>
      </w:r>
      <w:r>
        <w:rPr>
          <w:rFonts w:hint="default" w:ascii="Times New Roman" w:hAnsi="Times New Roman" w:eastAsia="仿宋_GB2312" w:cs="Times New Roman"/>
          <w:color w:val="auto"/>
          <w:kern w:val="0"/>
          <w:sz w:val="32"/>
          <w:szCs w:val="32"/>
          <w:lang w:val="en-US" w:eastAsia="zh-CN" w:bidi="ar"/>
        </w:rPr>
        <w:t>万元。</w:t>
      </w:r>
      <w:r>
        <w:rPr>
          <w:rFonts w:hint="eastAsia" w:ascii="Times New Roman" w:hAnsi="Times New Roman" w:eastAsia="仿宋_GB2312" w:cs="Times New Roman"/>
          <w:color w:val="auto"/>
          <w:kern w:val="0"/>
          <w:sz w:val="32"/>
          <w:szCs w:val="32"/>
          <w:lang w:val="en-US" w:eastAsia="zh-CN" w:bidi="ar"/>
        </w:rPr>
        <w:t>财政下达指标数分别为：</w:t>
      </w:r>
      <w:r>
        <w:rPr>
          <w:rFonts w:hint="default" w:ascii="Times New Roman" w:hAnsi="Times New Roman" w:eastAsia="仿宋_GB2312" w:cs="Times New Roman"/>
          <w:color w:val="auto"/>
          <w:kern w:val="0"/>
          <w:sz w:val="32"/>
          <w:szCs w:val="32"/>
          <w:lang w:val="en-US" w:eastAsia="zh-CN" w:bidi="ar"/>
        </w:rPr>
        <w:t>老干春节慰问费、祝寿13万元、</w:t>
      </w:r>
      <w:r>
        <w:rPr>
          <w:rFonts w:hint="eastAsia" w:ascii="Times New Roman" w:hAnsi="Times New Roman" w:eastAsia="仿宋_GB2312" w:cs="Times New Roman"/>
          <w:color w:val="auto"/>
          <w:kern w:val="0"/>
          <w:sz w:val="32"/>
          <w:szCs w:val="32"/>
          <w:lang w:val="en-US" w:eastAsia="zh-CN" w:bidi="ar"/>
        </w:rPr>
        <w:t>老干部教育活动</w:t>
      </w:r>
      <w:r>
        <w:rPr>
          <w:rFonts w:hint="default" w:ascii="Times New Roman" w:hAnsi="Times New Roman" w:eastAsia="仿宋_GB2312" w:cs="Times New Roman"/>
          <w:color w:val="auto"/>
          <w:kern w:val="0"/>
          <w:sz w:val="32"/>
          <w:szCs w:val="32"/>
          <w:lang w:val="en-US" w:eastAsia="zh-CN" w:bidi="ar"/>
        </w:rPr>
        <w:t>经费</w:t>
      </w:r>
      <w:r>
        <w:rPr>
          <w:rFonts w:hint="eastAsia" w:ascii="Times New Roman" w:hAnsi="Times New Roman" w:eastAsia="仿宋_GB2312" w:cs="Times New Roman"/>
          <w:color w:val="auto"/>
          <w:kern w:val="0"/>
          <w:sz w:val="32"/>
          <w:szCs w:val="32"/>
          <w:lang w:val="en-US" w:eastAsia="zh-CN" w:bidi="ar"/>
        </w:rPr>
        <w:t>21.11</w:t>
      </w:r>
      <w:r>
        <w:rPr>
          <w:rFonts w:hint="default" w:ascii="Times New Roman" w:hAnsi="Times New Roman" w:eastAsia="仿宋_GB2312" w:cs="Times New Roman"/>
          <w:color w:val="auto"/>
          <w:kern w:val="0"/>
          <w:sz w:val="32"/>
          <w:szCs w:val="32"/>
          <w:lang w:val="en-US" w:eastAsia="zh-CN" w:bidi="ar"/>
        </w:rPr>
        <w:t>万元、老干电话费和小车补助等四项经费1</w:t>
      </w:r>
      <w:r>
        <w:rPr>
          <w:rFonts w:hint="eastAsia" w:ascii="Times New Roman" w:hAnsi="Times New Roman" w:eastAsia="仿宋_GB2312" w:cs="Times New Roman"/>
          <w:color w:val="auto"/>
          <w:kern w:val="0"/>
          <w:sz w:val="32"/>
          <w:szCs w:val="32"/>
          <w:lang w:val="en-US" w:eastAsia="zh-CN" w:bidi="ar"/>
        </w:rPr>
        <w:t>7.35</w:t>
      </w:r>
      <w:r>
        <w:rPr>
          <w:rFonts w:hint="default" w:ascii="Times New Roman" w:hAnsi="Times New Roman" w:eastAsia="仿宋_GB2312" w:cs="Times New Roman"/>
          <w:color w:val="auto"/>
          <w:kern w:val="0"/>
          <w:sz w:val="32"/>
          <w:szCs w:val="32"/>
          <w:lang w:val="en-US" w:eastAsia="zh-CN" w:bidi="ar"/>
        </w:rPr>
        <w:t>万元；市直单位老干部活动经费1</w:t>
      </w:r>
      <w:r>
        <w:rPr>
          <w:rFonts w:hint="eastAsia" w:ascii="Times New Roman" w:hAnsi="Times New Roman" w:eastAsia="仿宋_GB2312" w:cs="Times New Roman"/>
          <w:color w:val="auto"/>
          <w:kern w:val="0"/>
          <w:sz w:val="32"/>
          <w:szCs w:val="32"/>
          <w:lang w:val="en-US" w:eastAsia="zh-CN" w:bidi="ar"/>
        </w:rPr>
        <w:t>1</w:t>
      </w:r>
      <w:r>
        <w:rPr>
          <w:rFonts w:hint="default" w:ascii="Times New Roman" w:hAnsi="Times New Roman" w:eastAsia="仿宋_GB2312" w:cs="Times New Roman"/>
          <w:color w:val="auto"/>
          <w:kern w:val="0"/>
          <w:sz w:val="32"/>
          <w:szCs w:val="32"/>
          <w:lang w:val="en-US" w:eastAsia="zh-CN" w:bidi="ar"/>
        </w:rPr>
        <w:t>万元，厅级退休老干部活动经费</w:t>
      </w:r>
      <w:r>
        <w:rPr>
          <w:rFonts w:hint="eastAsia" w:ascii="Times New Roman" w:hAnsi="Times New Roman" w:eastAsia="仿宋_GB2312" w:cs="Times New Roman"/>
          <w:color w:val="auto"/>
          <w:kern w:val="0"/>
          <w:sz w:val="32"/>
          <w:szCs w:val="32"/>
          <w:lang w:val="en-US" w:eastAsia="zh-CN" w:bidi="ar"/>
        </w:rPr>
        <w:t>2.4</w:t>
      </w:r>
      <w:r>
        <w:rPr>
          <w:rFonts w:hint="default" w:ascii="Times New Roman" w:hAnsi="Times New Roman" w:eastAsia="仿宋_GB2312" w:cs="Times New Roman"/>
          <w:color w:val="auto"/>
          <w:kern w:val="0"/>
          <w:sz w:val="32"/>
          <w:szCs w:val="32"/>
          <w:lang w:val="en-US" w:eastAsia="zh-CN" w:bidi="ar"/>
        </w:rPr>
        <w:t>万元。2</w:t>
      </w:r>
      <w:r>
        <w:rPr>
          <w:rFonts w:hint="default" w:ascii="Times New Roman" w:hAnsi="Times New Roman" w:eastAsia="仿宋" w:cs="Times New Roman"/>
          <w:color w:val="auto"/>
          <w:sz w:val="32"/>
          <w:szCs w:val="32"/>
          <w:highlight w:val="none"/>
          <w:lang w:val="en-US" w:eastAsia="zh-CN"/>
        </w:rPr>
        <w:t>02</w:t>
      </w:r>
      <w:r>
        <w:rPr>
          <w:rFonts w:hint="eastAsia" w:ascii="Times New Roman" w:hAnsi="Times New Roman" w:eastAsia="仿宋" w:cs="Times New Roman"/>
          <w:color w:val="auto"/>
          <w:sz w:val="32"/>
          <w:szCs w:val="32"/>
          <w:highlight w:val="none"/>
          <w:lang w:val="en-US" w:eastAsia="zh-CN"/>
        </w:rPr>
        <w:t>5</w:t>
      </w:r>
      <w:r>
        <w:rPr>
          <w:rFonts w:hint="default" w:ascii="Times New Roman" w:hAnsi="Times New Roman" w:eastAsia="仿宋" w:cs="Times New Roman"/>
          <w:color w:val="auto"/>
          <w:sz w:val="32"/>
          <w:szCs w:val="32"/>
          <w:highlight w:val="none"/>
          <w:lang w:val="en-US" w:eastAsia="zh-CN"/>
        </w:rPr>
        <w:t>年度</w:t>
      </w:r>
      <w:r>
        <w:rPr>
          <w:rFonts w:hint="default" w:ascii="Times New Roman" w:hAnsi="Times New Roman" w:eastAsia="仿宋_GB2312" w:cs="Times New Roman"/>
          <w:color w:val="auto"/>
          <w:sz w:val="32"/>
          <w:szCs w:val="32"/>
          <w:highlight w:val="none"/>
          <w:lang w:val="en-US" w:eastAsia="zh-CN"/>
        </w:rPr>
        <w:t>老干春节慰问费、祝寿</w:t>
      </w:r>
      <w:r>
        <w:rPr>
          <w:rFonts w:hint="eastAsia" w:ascii="Times New Roman" w:hAnsi="Times New Roman" w:eastAsia="仿宋_GB2312" w:cs="Times New Roman"/>
          <w:color w:val="auto"/>
          <w:sz w:val="32"/>
          <w:szCs w:val="32"/>
          <w:highlight w:val="none"/>
          <w:lang w:val="en-US" w:eastAsia="zh-CN"/>
        </w:rPr>
        <w:t>13</w:t>
      </w:r>
      <w:r>
        <w:rPr>
          <w:rFonts w:hint="default" w:ascii="Times New Roman" w:hAnsi="Times New Roman" w:eastAsia="仿宋_GB2312" w:cs="Times New Roman"/>
          <w:color w:val="auto"/>
          <w:sz w:val="32"/>
          <w:szCs w:val="32"/>
          <w:highlight w:val="none"/>
          <w:lang w:val="en-US" w:eastAsia="zh-CN"/>
        </w:rPr>
        <w:t>万元</w:t>
      </w:r>
      <w:r>
        <w:rPr>
          <w:rFonts w:hint="default" w:ascii="Times New Roman" w:hAnsi="Times New Roman" w:eastAsia="仿宋" w:cs="Times New Roman"/>
          <w:color w:val="auto"/>
          <w:sz w:val="32"/>
          <w:szCs w:val="32"/>
          <w:highlight w:val="none"/>
          <w:lang w:val="en-US" w:eastAsia="zh-CN"/>
        </w:rPr>
        <w:t>，实际支出</w:t>
      </w:r>
      <w:r>
        <w:rPr>
          <w:rFonts w:hint="eastAsia" w:ascii="Times New Roman" w:hAnsi="Times New Roman" w:eastAsia="仿宋" w:cs="Times New Roman"/>
          <w:color w:val="auto"/>
          <w:sz w:val="32"/>
          <w:szCs w:val="32"/>
          <w:highlight w:val="none"/>
          <w:lang w:val="en-US" w:eastAsia="zh-CN"/>
        </w:rPr>
        <w:t>10.29</w:t>
      </w:r>
      <w:r>
        <w:rPr>
          <w:rFonts w:hint="default" w:ascii="Times New Roman" w:hAnsi="Times New Roman" w:eastAsia="仿宋" w:cs="Times New Roman"/>
          <w:color w:val="auto"/>
          <w:sz w:val="32"/>
          <w:szCs w:val="32"/>
          <w:highlight w:val="none"/>
          <w:lang w:val="en-US" w:eastAsia="zh-CN"/>
        </w:rPr>
        <w:t>万元，预算执行率</w:t>
      </w:r>
      <w:r>
        <w:rPr>
          <w:rFonts w:hint="eastAsia" w:ascii="Times New Roman" w:hAnsi="Times New Roman" w:eastAsia="仿宋" w:cs="Times New Roman"/>
          <w:color w:val="auto"/>
          <w:sz w:val="32"/>
          <w:szCs w:val="32"/>
          <w:highlight w:val="none"/>
          <w:lang w:val="en-US" w:eastAsia="zh-CN"/>
        </w:rPr>
        <w:t>79.18</w:t>
      </w:r>
      <w:r>
        <w:rPr>
          <w:rFonts w:hint="default" w:ascii="Times New Roman" w:hAnsi="Times New Roman" w:eastAsia="仿宋" w:cs="Times New Roman"/>
          <w:color w:val="auto"/>
          <w:sz w:val="32"/>
          <w:szCs w:val="32"/>
          <w:highlight w:val="none"/>
          <w:lang w:val="en-US" w:eastAsia="zh-CN"/>
        </w:rPr>
        <w:t>%；202</w:t>
      </w:r>
      <w:r>
        <w:rPr>
          <w:rFonts w:hint="eastAsia" w:ascii="Times New Roman" w:hAnsi="Times New Roman" w:eastAsia="仿宋" w:cs="Times New Roman"/>
          <w:color w:val="auto"/>
          <w:sz w:val="32"/>
          <w:szCs w:val="32"/>
          <w:highlight w:val="none"/>
          <w:lang w:val="en-US" w:eastAsia="zh-CN"/>
        </w:rPr>
        <w:t>5年</w:t>
      </w:r>
      <w:r>
        <w:rPr>
          <w:rFonts w:hint="eastAsia" w:ascii="Times New Roman" w:hAnsi="Times New Roman" w:eastAsia="仿宋_GB2312" w:cs="Times New Roman"/>
          <w:color w:val="auto"/>
          <w:sz w:val="32"/>
          <w:szCs w:val="32"/>
          <w:highlight w:val="none"/>
          <w:lang w:val="en-US" w:eastAsia="zh-CN"/>
        </w:rPr>
        <w:t>老干部教育活动</w:t>
      </w:r>
      <w:r>
        <w:rPr>
          <w:rFonts w:hint="default" w:ascii="Times New Roman" w:hAnsi="Times New Roman" w:eastAsia="仿宋_GB2312" w:cs="Times New Roman"/>
          <w:color w:val="auto"/>
          <w:sz w:val="32"/>
          <w:szCs w:val="32"/>
          <w:highlight w:val="none"/>
          <w:lang w:val="en-US" w:eastAsia="zh-CN"/>
        </w:rPr>
        <w:t>经费</w:t>
      </w:r>
      <w:r>
        <w:rPr>
          <w:rFonts w:hint="eastAsia" w:ascii="Times New Roman" w:hAnsi="Times New Roman" w:eastAsia="仿宋_GB2312" w:cs="Times New Roman"/>
          <w:color w:val="auto"/>
          <w:sz w:val="32"/>
          <w:szCs w:val="32"/>
          <w:highlight w:val="none"/>
          <w:lang w:val="en-US" w:eastAsia="zh-CN"/>
        </w:rPr>
        <w:t>21.11</w:t>
      </w:r>
      <w:r>
        <w:rPr>
          <w:rFonts w:hint="default" w:ascii="Times New Roman" w:hAnsi="Times New Roman" w:eastAsia="仿宋_GB2312" w:cs="Times New Roman"/>
          <w:color w:val="auto"/>
          <w:sz w:val="32"/>
          <w:szCs w:val="32"/>
          <w:highlight w:val="none"/>
          <w:lang w:val="en-US" w:eastAsia="zh-CN"/>
        </w:rPr>
        <w:t>万元</w:t>
      </w:r>
      <w:r>
        <w:rPr>
          <w:rFonts w:hint="default" w:ascii="Times New Roman" w:hAnsi="Times New Roman" w:eastAsia="仿宋" w:cs="Times New Roman"/>
          <w:color w:val="auto"/>
          <w:sz w:val="32"/>
          <w:szCs w:val="32"/>
          <w:highlight w:val="none"/>
          <w:lang w:val="en-US" w:eastAsia="zh-CN"/>
        </w:rPr>
        <w:t>，实际支出</w:t>
      </w:r>
      <w:r>
        <w:rPr>
          <w:rFonts w:hint="eastAsia" w:ascii="Times New Roman" w:hAnsi="Times New Roman" w:eastAsia="仿宋" w:cs="Times New Roman"/>
          <w:color w:val="auto"/>
          <w:sz w:val="32"/>
          <w:szCs w:val="32"/>
          <w:highlight w:val="none"/>
          <w:lang w:val="en-US" w:eastAsia="zh-CN"/>
        </w:rPr>
        <w:t>21.11</w:t>
      </w:r>
      <w:r>
        <w:rPr>
          <w:rFonts w:hint="default" w:ascii="Times New Roman" w:hAnsi="Times New Roman" w:eastAsia="仿宋" w:cs="Times New Roman"/>
          <w:color w:val="auto"/>
          <w:sz w:val="32"/>
          <w:szCs w:val="32"/>
          <w:highlight w:val="none"/>
          <w:lang w:val="en-US" w:eastAsia="zh-CN"/>
        </w:rPr>
        <w:t>万元，预算执行率100%；</w:t>
      </w:r>
      <w:r>
        <w:rPr>
          <w:rFonts w:hint="default" w:ascii="Times New Roman" w:hAnsi="Times New Roman" w:eastAsia="仿宋_GB2312" w:cs="Times New Roman"/>
          <w:color w:val="auto"/>
          <w:sz w:val="32"/>
          <w:szCs w:val="32"/>
          <w:highlight w:val="none"/>
          <w:lang w:val="en-US" w:eastAsia="zh-CN"/>
        </w:rPr>
        <w:t>老干电话费和小车补助等四项经费</w:t>
      </w:r>
      <w:r>
        <w:rPr>
          <w:rFonts w:hint="eastAsia" w:ascii="Times New Roman" w:hAnsi="Times New Roman" w:eastAsia="仿宋_GB2312" w:cs="Times New Roman"/>
          <w:color w:val="auto"/>
          <w:sz w:val="32"/>
          <w:szCs w:val="32"/>
          <w:highlight w:val="none"/>
          <w:lang w:val="en-US" w:eastAsia="zh-CN"/>
        </w:rPr>
        <w:t>17.35</w:t>
      </w:r>
      <w:r>
        <w:rPr>
          <w:rFonts w:hint="default" w:ascii="Times New Roman" w:hAnsi="Times New Roman" w:eastAsia="仿宋_GB2312" w:cs="Times New Roman"/>
          <w:color w:val="auto"/>
          <w:sz w:val="32"/>
          <w:szCs w:val="32"/>
          <w:highlight w:val="none"/>
          <w:lang w:val="en-US" w:eastAsia="zh-CN"/>
        </w:rPr>
        <w:t>万元，</w:t>
      </w:r>
      <w:r>
        <w:rPr>
          <w:rFonts w:hint="default" w:ascii="Times New Roman" w:hAnsi="Times New Roman" w:eastAsia="仿宋" w:cs="Times New Roman"/>
          <w:color w:val="auto"/>
          <w:sz w:val="32"/>
          <w:szCs w:val="32"/>
          <w:highlight w:val="none"/>
          <w:lang w:val="en-US" w:eastAsia="zh-CN"/>
        </w:rPr>
        <w:t>实际支出1</w:t>
      </w:r>
      <w:r>
        <w:rPr>
          <w:rFonts w:hint="eastAsia" w:ascii="Times New Roman" w:hAnsi="Times New Roman" w:eastAsia="仿宋" w:cs="Times New Roman"/>
          <w:color w:val="auto"/>
          <w:sz w:val="32"/>
          <w:szCs w:val="32"/>
          <w:highlight w:val="none"/>
          <w:lang w:val="en-US" w:eastAsia="zh-CN"/>
        </w:rPr>
        <w:t>7.34</w:t>
      </w:r>
      <w:r>
        <w:rPr>
          <w:rFonts w:hint="default" w:ascii="Times New Roman" w:hAnsi="Times New Roman" w:eastAsia="仿宋" w:cs="Times New Roman"/>
          <w:color w:val="auto"/>
          <w:sz w:val="32"/>
          <w:szCs w:val="32"/>
          <w:highlight w:val="none"/>
          <w:lang w:val="en-US" w:eastAsia="zh-CN"/>
        </w:rPr>
        <w:t>万元，预算执行率</w:t>
      </w:r>
      <w:r>
        <w:rPr>
          <w:rFonts w:hint="eastAsia" w:ascii="Times New Roman" w:hAnsi="Times New Roman" w:eastAsia="仿宋" w:cs="Times New Roman"/>
          <w:color w:val="auto"/>
          <w:sz w:val="32"/>
          <w:szCs w:val="32"/>
          <w:highlight w:val="none"/>
          <w:lang w:val="en-US" w:eastAsia="zh-CN"/>
        </w:rPr>
        <w:t>99.94</w:t>
      </w:r>
      <w:r>
        <w:rPr>
          <w:rFonts w:hint="default" w:ascii="Times New Roman" w:hAnsi="Times New Roman" w:eastAsia="仿宋"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市直单位老干部活动经费1</w:t>
      </w: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val="en-US" w:eastAsia="zh-CN"/>
        </w:rPr>
        <w:t>万元，</w:t>
      </w:r>
      <w:r>
        <w:rPr>
          <w:rFonts w:hint="default" w:ascii="Times New Roman" w:hAnsi="Times New Roman" w:eastAsia="仿宋" w:cs="Times New Roman"/>
          <w:color w:val="auto"/>
          <w:sz w:val="32"/>
          <w:szCs w:val="32"/>
          <w:highlight w:val="none"/>
          <w:lang w:val="en-US" w:eastAsia="zh-CN"/>
        </w:rPr>
        <w:t>实际支出1</w:t>
      </w:r>
      <w:r>
        <w:rPr>
          <w:rFonts w:hint="eastAsia" w:ascii="Times New Roman" w:hAnsi="Times New Roman" w:eastAsia="仿宋" w:cs="Times New Roman"/>
          <w:color w:val="auto"/>
          <w:sz w:val="32"/>
          <w:szCs w:val="32"/>
          <w:highlight w:val="none"/>
          <w:lang w:val="en-US" w:eastAsia="zh-CN"/>
        </w:rPr>
        <w:t>1</w:t>
      </w:r>
      <w:r>
        <w:rPr>
          <w:rFonts w:hint="default" w:ascii="Times New Roman" w:hAnsi="Times New Roman" w:eastAsia="仿宋" w:cs="Times New Roman"/>
          <w:color w:val="auto"/>
          <w:sz w:val="32"/>
          <w:szCs w:val="32"/>
          <w:highlight w:val="none"/>
          <w:lang w:val="en-US" w:eastAsia="zh-CN"/>
        </w:rPr>
        <w:t>万元，预算执行率100%；</w:t>
      </w:r>
      <w:r>
        <w:rPr>
          <w:rFonts w:hint="default" w:ascii="Times New Roman" w:hAnsi="Times New Roman" w:eastAsia="仿宋_GB2312" w:cs="Times New Roman"/>
          <w:color w:val="auto"/>
          <w:sz w:val="32"/>
          <w:szCs w:val="32"/>
          <w:highlight w:val="none"/>
          <w:lang w:val="en-US" w:eastAsia="zh-CN"/>
        </w:rPr>
        <w:t>厅级退休老干部活动经费</w:t>
      </w:r>
      <w:r>
        <w:rPr>
          <w:rFonts w:hint="eastAsia" w:ascii="Times New Roman" w:hAnsi="Times New Roman" w:eastAsia="仿宋_GB2312" w:cs="Times New Roman"/>
          <w:color w:val="auto"/>
          <w:sz w:val="32"/>
          <w:szCs w:val="32"/>
          <w:highlight w:val="none"/>
          <w:lang w:val="en-US" w:eastAsia="zh-CN"/>
        </w:rPr>
        <w:t>2.4</w:t>
      </w:r>
      <w:r>
        <w:rPr>
          <w:rFonts w:hint="default" w:ascii="Times New Roman" w:hAnsi="Times New Roman" w:eastAsia="仿宋_GB2312" w:cs="Times New Roman"/>
          <w:color w:val="auto"/>
          <w:sz w:val="32"/>
          <w:szCs w:val="32"/>
          <w:highlight w:val="none"/>
          <w:lang w:val="en-US" w:eastAsia="zh-CN"/>
        </w:rPr>
        <w:t>万元</w:t>
      </w:r>
      <w:r>
        <w:rPr>
          <w:rFonts w:hint="default" w:ascii="Times New Roman" w:hAnsi="Times New Roman" w:eastAsia="仿宋" w:cs="Times New Roman"/>
          <w:color w:val="auto"/>
          <w:sz w:val="32"/>
          <w:szCs w:val="32"/>
          <w:highlight w:val="none"/>
          <w:lang w:val="en-US" w:eastAsia="zh-CN"/>
        </w:rPr>
        <w:t>，实际支出</w:t>
      </w:r>
      <w:r>
        <w:rPr>
          <w:rFonts w:hint="eastAsia" w:ascii="Times New Roman" w:hAnsi="Times New Roman" w:eastAsia="仿宋" w:cs="Times New Roman"/>
          <w:color w:val="auto"/>
          <w:sz w:val="32"/>
          <w:szCs w:val="32"/>
          <w:highlight w:val="none"/>
          <w:lang w:val="en-US" w:eastAsia="zh-CN"/>
        </w:rPr>
        <w:t>2.4</w:t>
      </w:r>
      <w:r>
        <w:rPr>
          <w:rFonts w:hint="default" w:ascii="Times New Roman" w:hAnsi="Times New Roman" w:eastAsia="仿宋" w:cs="Times New Roman"/>
          <w:color w:val="auto"/>
          <w:sz w:val="32"/>
          <w:szCs w:val="32"/>
          <w:highlight w:val="none"/>
          <w:lang w:val="en-US" w:eastAsia="zh-CN"/>
        </w:rPr>
        <w:t>万元，预算执行率100%；截止自评报告日，项目已经全部完成。</w:t>
      </w:r>
    </w:p>
    <w:p w14:paraId="6B04C6D7">
      <w:pPr>
        <w:keepNext w:val="0"/>
        <w:keepLines w:val="0"/>
        <w:pageBreakBefore w:val="0"/>
        <w:widowControl w:val="0"/>
        <w:shd w:val="clear" w:color="auto" w:fill="FFFFFF"/>
        <w:kinsoku/>
        <w:wordWrap/>
        <w:overflowPunct/>
        <w:topLinePunct w:val="0"/>
        <w:autoSpaceDE/>
        <w:autoSpaceDN/>
        <w:bidi w:val="0"/>
        <w:adjustRightInd/>
        <w:spacing w:line="580" w:lineRule="exact"/>
        <w:ind w:left="0" w:firstLine="640"/>
        <w:textAlignment w:val="auto"/>
        <w:rPr>
          <w:rFonts w:hint="default" w:ascii="Times New Roman" w:hAnsi="Times New Roman" w:eastAsia="黑体" w:cs="Times New Roman"/>
          <w:i w:val="0"/>
          <w:iCs w:val="0"/>
          <w:caps w:val="0"/>
          <w:color w:val="000000"/>
          <w:spacing w:val="0"/>
          <w:sz w:val="32"/>
          <w:szCs w:val="32"/>
          <w:shd w:val="clear" w:color="auto" w:fill="FFFFFF"/>
          <w:lang w:val="en-US" w:eastAsia="zh-CN"/>
        </w:rPr>
      </w:pPr>
      <w:r>
        <w:rPr>
          <w:rFonts w:hint="default" w:ascii="Times New Roman" w:hAnsi="Times New Roman" w:eastAsia="黑体" w:cs="Times New Roman"/>
          <w:i w:val="0"/>
          <w:iCs w:val="0"/>
          <w:caps w:val="0"/>
          <w:color w:val="000000"/>
          <w:spacing w:val="0"/>
          <w:sz w:val="32"/>
          <w:szCs w:val="32"/>
          <w:shd w:val="clear" w:color="auto" w:fill="FFFFFF"/>
          <w:lang w:val="en-US" w:eastAsia="zh-CN"/>
        </w:rPr>
        <w:t>三、项目组织实施情况</w:t>
      </w:r>
    </w:p>
    <w:p w14:paraId="01EDEEC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楷体_GB2312" w:cs="Times New Roman"/>
          <w:b/>
          <w:bCs/>
          <w:i w:val="0"/>
          <w:iCs w:val="0"/>
          <w:caps w:val="0"/>
          <w:color w:val="000000"/>
          <w:spacing w:val="0"/>
          <w:sz w:val="32"/>
          <w:szCs w:val="32"/>
          <w:shd w:val="clear" w:color="auto" w:fill="FFFFFF"/>
          <w:lang w:val="en-US" w:eastAsia="zh-CN"/>
        </w:rPr>
      </w:pPr>
      <w:r>
        <w:rPr>
          <w:rFonts w:hint="default" w:ascii="Times New Roman" w:hAnsi="Times New Roman" w:eastAsia="楷体_GB2312" w:cs="Times New Roman"/>
          <w:b/>
          <w:bCs/>
          <w:i w:val="0"/>
          <w:iCs w:val="0"/>
          <w:caps w:val="0"/>
          <w:color w:val="000000"/>
          <w:spacing w:val="0"/>
          <w:sz w:val="32"/>
          <w:szCs w:val="32"/>
          <w:shd w:val="clear" w:color="auto" w:fill="FFFFFF"/>
          <w:lang w:val="en-US" w:eastAsia="zh-CN"/>
        </w:rPr>
        <w:t>（一）项目组织情况分析，主要包括项目招投标、调整、竣工验收等情况。</w:t>
      </w:r>
    </w:p>
    <w:p w14:paraId="2589EFBD">
      <w:pPr>
        <w:keepNext w:val="0"/>
        <w:keepLines w:val="0"/>
        <w:pageBreakBefore w:val="0"/>
        <w:widowControl w:val="0"/>
        <w:kinsoku/>
        <w:wordWrap/>
        <w:overflowPunct/>
        <w:topLinePunct w:val="0"/>
        <w:autoSpaceDE/>
        <w:autoSpaceDN/>
        <w:bidi w:val="0"/>
        <w:adjustRightInd/>
        <w:snapToGrid w:val="0"/>
        <w:spacing w:line="58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年度市委</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市政府机关老干部休养所</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项目组织实施主要做法：一是加强预算编制绩效管理。强化项目绩效目标，每年对单位申报的预算项目进行全面梳理、加强审核、合理保障，所有项目必须有明细的资金测算。二是完善项目绩效管理责任。财政部门批复下达年度预算后，严格按照年初预算绩效管理申报目标，确保圆满实现项目绩效目标。</w:t>
      </w:r>
    </w:p>
    <w:p w14:paraId="09F402F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楷体_GB2312" w:cs="Times New Roman"/>
          <w:b/>
          <w:bCs/>
          <w:i w:val="0"/>
          <w:iCs w:val="0"/>
          <w:caps w:val="0"/>
          <w:color w:val="000000"/>
          <w:spacing w:val="0"/>
          <w:sz w:val="32"/>
          <w:szCs w:val="32"/>
          <w:shd w:val="clear" w:color="auto" w:fill="FFFFFF"/>
          <w:lang w:val="en-US" w:eastAsia="zh-CN"/>
        </w:rPr>
      </w:pPr>
      <w:r>
        <w:rPr>
          <w:rFonts w:hint="default" w:ascii="Times New Roman" w:hAnsi="Times New Roman" w:eastAsia="楷体_GB2312" w:cs="Times New Roman"/>
          <w:b/>
          <w:bCs/>
          <w:i w:val="0"/>
          <w:iCs w:val="0"/>
          <w:caps w:val="0"/>
          <w:color w:val="000000"/>
          <w:spacing w:val="0"/>
          <w:sz w:val="32"/>
          <w:szCs w:val="32"/>
          <w:shd w:val="clear" w:color="auto" w:fill="FFFFFF"/>
          <w:lang w:val="en-US" w:eastAsia="zh-CN"/>
        </w:rPr>
        <w:t>（二）项目管理情况分析，主要包括项目管理制度建设、日常检查监督管理等情况。</w:t>
      </w:r>
    </w:p>
    <w:p w14:paraId="75627A6E">
      <w:pPr>
        <w:keepNext w:val="0"/>
        <w:keepLines w:val="0"/>
        <w:pageBreakBefore w:val="0"/>
        <w:widowControl w:val="0"/>
        <w:kinsoku/>
        <w:wordWrap/>
        <w:overflowPunct/>
        <w:topLinePunct w:val="0"/>
        <w:autoSpaceDE/>
        <w:autoSpaceDN/>
        <w:bidi w:val="0"/>
        <w:adjustRightInd/>
        <w:snapToGrid w:val="0"/>
        <w:spacing w:line="580" w:lineRule="exact"/>
        <w:ind w:left="0" w:firstLine="640"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color w:val="auto"/>
          <w:sz w:val="32"/>
          <w:szCs w:val="32"/>
          <w:highlight w:val="none"/>
          <w:lang w:val="en-US" w:eastAsia="zh-CN"/>
        </w:rPr>
        <w:t>202</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年，单位依据年初预算及财政下达指标，实施预算项目绩效管理，按照年初绩效目标的要求，进一步提高预算绩效管理意识，在所长及分管领导带领下，严格遵守中心管理制度，认真组织项目实施，确保预算执行及时到位，进一步规范财政资金管理、强化绩效意识和支出责任，提高单位预算绩效管理整体水平。本部门项目经费主要用于开展业务工作，非实质性工程项目，不涉及项目招投标、调整、竣工验收等情况。</w:t>
      </w:r>
    </w:p>
    <w:p w14:paraId="6681E12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黑体" w:cs="Times New Roman"/>
          <w:i w:val="0"/>
          <w:iCs w:val="0"/>
          <w:caps w:val="0"/>
          <w:color w:val="000000"/>
          <w:spacing w:val="0"/>
          <w:sz w:val="32"/>
          <w:szCs w:val="32"/>
          <w:shd w:val="clear" w:color="auto" w:fill="FFFFFF"/>
          <w:lang w:val="en-US" w:eastAsia="zh-CN"/>
        </w:rPr>
      </w:pPr>
      <w:r>
        <w:rPr>
          <w:rFonts w:hint="default" w:ascii="Times New Roman" w:hAnsi="Times New Roman" w:eastAsia="黑体" w:cs="Times New Roman"/>
          <w:i w:val="0"/>
          <w:iCs w:val="0"/>
          <w:caps w:val="0"/>
          <w:color w:val="000000"/>
          <w:spacing w:val="0"/>
          <w:sz w:val="32"/>
          <w:szCs w:val="32"/>
          <w:shd w:val="clear" w:color="auto" w:fill="FFFFFF"/>
          <w:lang w:val="en-US" w:eastAsia="zh-CN"/>
        </w:rPr>
        <w:t>四、资产管理情况</w:t>
      </w:r>
    </w:p>
    <w:p w14:paraId="4CF19ED0">
      <w:pPr>
        <w:keepNext w:val="0"/>
        <w:keepLines w:val="0"/>
        <w:pageBreakBefore w:val="0"/>
        <w:widowControl w:val="0"/>
        <w:kinsoku/>
        <w:wordWrap/>
        <w:overflowPunct/>
        <w:topLinePunct w:val="0"/>
        <w:autoSpaceDE/>
        <w:autoSpaceDN/>
        <w:bidi w:val="0"/>
        <w:adjustRightInd/>
        <w:snapToGrid w:val="0"/>
        <w:spacing w:line="58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一是加强会计核算工作。</w:t>
      </w:r>
      <w:r>
        <w:rPr>
          <w:rFonts w:hint="default" w:ascii="Times New Roman" w:hAnsi="Times New Roman" w:eastAsia="仿宋_GB2312" w:cs="Times New Roman"/>
          <w:color w:val="auto"/>
          <w:sz w:val="32"/>
          <w:szCs w:val="32"/>
          <w:highlight w:val="none"/>
          <w:lang w:val="en-US" w:eastAsia="zh-CN"/>
        </w:rPr>
        <w:t xml:space="preserve">严格执行现行固定资产管理制度，对购入固定资产、收到的捐赠资产、上级主管部门调拨资产及时入账、并按照数量、金额登记明细账，及时编制资产卡片，确保不漏登少登固定资产，做到账实相符。 </w:t>
      </w:r>
    </w:p>
    <w:p w14:paraId="4B5FB37E">
      <w:pPr>
        <w:keepNext w:val="0"/>
        <w:keepLines w:val="0"/>
        <w:pageBreakBefore w:val="0"/>
        <w:widowControl w:val="0"/>
        <w:kinsoku/>
        <w:wordWrap/>
        <w:overflowPunct/>
        <w:topLinePunct w:val="0"/>
        <w:autoSpaceDE/>
        <w:autoSpaceDN/>
        <w:bidi w:val="0"/>
        <w:adjustRightInd/>
        <w:snapToGrid w:val="0"/>
        <w:spacing w:line="58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二是加强流程管理。</w:t>
      </w:r>
      <w:r>
        <w:rPr>
          <w:rFonts w:hint="default" w:ascii="Times New Roman" w:hAnsi="Times New Roman" w:eastAsia="仿宋_GB2312" w:cs="Times New Roman"/>
          <w:color w:val="auto"/>
          <w:sz w:val="32"/>
          <w:szCs w:val="32"/>
          <w:highlight w:val="none"/>
          <w:lang w:val="en-US" w:eastAsia="zh-CN"/>
        </w:rPr>
        <w:t xml:space="preserve">对纳入政府采购目录范围内的资产采购，先报市财政局政府采购管理部门审批，对未纳入政府采购目录范围的物资采购，货比三家。对未纳入预算的固定资产不得随意采购，确需采购的，必须经预算管理部门批准。 </w:t>
      </w:r>
    </w:p>
    <w:p w14:paraId="44AD87C7">
      <w:pPr>
        <w:keepNext w:val="0"/>
        <w:keepLines w:val="0"/>
        <w:pageBreakBefore w:val="0"/>
        <w:widowControl w:val="0"/>
        <w:kinsoku/>
        <w:wordWrap/>
        <w:overflowPunct/>
        <w:topLinePunct w:val="0"/>
        <w:autoSpaceDE/>
        <w:autoSpaceDN/>
        <w:bidi w:val="0"/>
        <w:adjustRightInd/>
        <w:snapToGrid w:val="0"/>
        <w:spacing w:line="58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三是加强内部监督。</w:t>
      </w:r>
      <w:r>
        <w:rPr>
          <w:rFonts w:hint="default" w:ascii="Times New Roman" w:hAnsi="Times New Roman" w:eastAsia="仿宋_GB2312" w:cs="Times New Roman"/>
          <w:color w:val="auto"/>
          <w:sz w:val="32"/>
          <w:szCs w:val="32"/>
          <w:highlight w:val="none"/>
          <w:lang w:val="en-US" w:eastAsia="zh-CN"/>
        </w:rPr>
        <w:t>定期或者不定期对固定资产进行清查盘点，检查资产的购置、领用、处置是否合程合规、账实是否相符，防止国有资产遭受损失和流失，实现资产管理绩效。</w:t>
      </w:r>
    </w:p>
    <w:p w14:paraId="7510F1B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黑体" w:cs="Times New Roman"/>
          <w:i w:val="0"/>
          <w:iCs w:val="0"/>
          <w:caps w:val="0"/>
          <w:color w:val="000000"/>
          <w:spacing w:val="0"/>
          <w:sz w:val="32"/>
          <w:szCs w:val="32"/>
          <w:shd w:val="clear" w:color="auto" w:fill="FFFFFF"/>
        </w:rPr>
      </w:pPr>
      <w:r>
        <w:rPr>
          <w:rFonts w:hint="default" w:ascii="Times New Roman" w:hAnsi="Times New Roman" w:eastAsia="黑体" w:cs="Times New Roman"/>
          <w:i w:val="0"/>
          <w:iCs w:val="0"/>
          <w:caps w:val="0"/>
          <w:color w:val="000000"/>
          <w:spacing w:val="0"/>
          <w:sz w:val="32"/>
          <w:szCs w:val="32"/>
          <w:shd w:val="clear" w:color="auto" w:fill="FFFFFF"/>
          <w:lang w:eastAsia="zh-CN"/>
        </w:rPr>
        <w:t>五</w:t>
      </w:r>
      <w:r>
        <w:rPr>
          <w:rFonts w:hint="default" w:ascii="Times New Roman" w:hAnsi="Times New Roman" w:eastAsia="黑体" w:cs="Times New Roman"/>
          <w:i w:val="0"/>
          <w:iCs w:val="0"/>
          <w:caps w:val="0"/>
          <w:color w:val="000000"/>
          <w:spacing w:val="0"/>
          <w:sz w:val="32"/>
          <w:szCs w:val="32"/>
          <w:shd w:val="clear" w:color="auto" w:fill="FFFFFF"/>
        </w:rPr>
        <w:t>、政府性基金预算支出情况</w:t>
      </w:r>
    </w:p>
    <w:p w14:paraId="344F821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left="0" w:right="0" w:firstLine="632" w:firstLineChars="200"/>
        <w:textAlignment w:val="auto"/>
        <w:rPr>
          <w:rFonts w:hint="default" w:ascii="Times New Roman" w:hAnsi="Times New Roman" w:eastAsia="仿宋" w:cs="Times New Roman"/>
          <w:spacing w:val="-2"/>
          <w:kern w:val="2"/>
          <w:sz w:val="32"/>
          <w:szCs w:val="32"/>
          <w:lang w:val="en-US" w:eastAsia="zh-CN" w:bidi="ar-SA"/>
        </w:rPr>
      </w:pPr>
      <w:r>
        <w:rPr>
          <w:rFonts w:hint="default" w:ascii="Times New Roman" w:hAnsi="Times New Roman" w:eastAsia="仿宋" w:cs="Times New Roman"/>
          <w:spacing w:val="-2"/>
          <w:kern w:val="2"/>
          <w:sz w:val="32"/>
          <w:szCs w:val="32"/>
          <w:lang w:val="en-US" w:eastAsia="zh-CN" w:bidi="ar-SA"/>
        </w:rPr>
        <w:t>无</w:t>
      </w:r>
    </w:p>
    <w:p w14:paraId="5BA23B8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黑体" w:cs="Times New Roman"/>
          <w:i w:val="0"/>
          <w:iCs w:val="0"/>
          <w:caps w:val="0"/>
          <w:color w:val="000000"/>
          <w:spacing w:val="0"/>
          <w:sz w:val="32"/>
          <w:szCs w:val="32"/>
        </w:rPr>
      </w:pPr>
      <w:r>
        <w:rPr>
          <w:rFonts w:hint="default" w:ascii="Times New Roman" w:hAnsi="Times New Roman" w:eastAsia="黑体" w:cs="Times New Roman"/>
          <w:i w:val="0"/>
          <w:iCs w:val="0"/>
          <w:caps w:val="0"/>
          <w:color w:val="000000"/>
          <w:spacing w:val="0"/>
          <w:sz w:val="32"/>
          <w:szCs w:val="32"/>
          <w:shd w:val="clear" w:color="auto" w:fill="FFFFFF"/>
          <w:lang w:eastAsia="zh-CN"/>
        </w:rPr>
        <w:t>六</w:t>
      </w:r>
      <w:r>
        <w:rPr>
          <w:rFonts w:hint="default" w:ascii="Times New Roman" w:hAnsi="Times New Roman" w:eastAsia="黑体" w:cs="Times New Roman"/>
          <w:i w:val="0"/>
          <w:iCs w:val="0"/>
          <w:caps w:val="0"/>
          <w:color w:val="000000"/>
          <w:spacing w:val="0"/>
          <w:sz w:val="32"/>
          <w:szCs w:val="32"/>
          <w:shd w:val="clear" w:color="auto" w:fill="FFFFFF"/>
        </w:rPr>
        <w:t>、国有资本经营预算支出情况</w:t>
      </w:r>
    </w:p>
    <w:p w14:paraId="68B40E63">
      <w:pPr>
        <w:keepNext w:val="0"/>
        <w:keepLines w:val="0"/>
        <w:pageBreakBefore w:val="0"/>
        <w:widowControl w:val="0"/>
        <w:shd w:val="clear" w:color="auto" w:fill="FFFFFF"/>
        <w:kinsoku/>
        <w:wordWrap/>
        <w:overflowPunct/>
        <w:topLinePunct w:val="0"/>
        <w:autoSpaceDE/>
        <w:autoSpaceDN/>
        <w:bidi w:val="0"/>
        <w:adjustRightInd/>
        <w:spacing w:line="580" w:lineRule="exact"/>
        <w:ind w:left="0" w:firstLine="640"/>
        <w:textAlignment w:val="auto"/>
        <w:rPr>
          <w:rFonts w:hint="default" w:ascii="Times New Roman" w:hAnsi="Times New Roman" w:eastAsia="仿宋" w:cs="Times New Roman"/>
          <w:spacing w:val="-2"/>
          <w:sz w:val="32"/>
          <w:szCs w:val="32"/>
          <w:lang w:eastAsia="zh-CN"/>
        </w:rPr>
      </w:pPr>
      <w:r>
        <w:rPr>
          <w:rFonts w:hint="default" w:ascii="Times New Roman" w:hAnsi="Times New Roman" w:eastAsia="仿宋" w:cs="Times New Roman"/>
          <w:spacing w:val="-2"/>
          <w:sz w:val="32"/>
          <w:szCs w:val="32"/>
          <w:lang w:eastAsia="zh-CN"/>
        </w:rPr>
        <w:t>无</w:t>
      </w:r>
    </w:p>
    <w:p w14:paraId="583325D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黑体" w:cs="Times New Roman"/>
          <w:i w:val="0"/>
          <w:iCs w:val="0"/>
          <w:caps w:val="0"/>
          <w:color w:val="000000"/>
          <w:spacing w:val="0"/>
          <w:sz w:val="32"/>
          <w:szCs w:val="32"/>
        </w:rPr>
      </w:pPr>
      <w:r>
        <w:rPr>
          <w:rFonts w:hint="default" w:ascii="Times New Roman" w:hAnsi="Times New Roman" w:eastAsia="黑体" w:cs="Times New Roman"/>
          <w:i w:val="0"/>
          <w:iCs w:val="0"/>
          <w:caps w:val="0"/>
          <w:color w:val="000000"/>
          <w:spacing w:val="0"/>
          <w:sz w:val="32"/>
          <w:szCs w:val="32"/>
          <w:shd w:val="clear" w:color="auto" w:fill="FFFFFF"/>
          <w:lang w:eastAsia="zh-CN"/>
        </w:rPr>
        <w:t>七</w:t>
      </w:r>
      <w:r>
        <w:rPr>
          <w:rFonts w:hint="default" w:ascii="Times New Roman" w:hAnsi="Times New Roman" w:eastAsia="黑体" w:cs="Times New Roman"/>
          <w:i w:val="0"/>
          <w:iCs w:val="0"/>
          <w:caps w:val="0"/>
          <w:color w:val="000000"/>
          <w:spacing w:val="0"/>
          <w:sz w:val="32"/>
          <w:szCs w:val="32"/>
          <w:shd w:val="clear" w:color="auto" w:fill="FFFFFF"/>
        </w:rPr>
        <w:t>、社会保险基金预算支出情况</w:t>
      </w:r>
    </w:p>
    <w:p w14:paraId="2F65B66F">
      <w:pPr>
        <w:keepNext w:val="0"/>
        <w:keepLines w:val="0"/>
        <w:pageBreakBefore w:val="0"/>
        <w:widowControl w:val="0"/>
        <w:shd w:val="clear" w:color="auto" w:fill="FFFFFF"/>
        <w:kinsoku/>
        <w:wordWrap/>
        <w:overflowPunct/>
        <w:topLinePunct w:val="0"/>
        <w:autoSpaceDE/>
        <w:autoSpaceDN/>
        <w:bidi w:val="0"/>
        <w:adjustRightInd/>
        <w:spacing w:line="580" w:lineRule="exact"/>
        <w:ind w:left="0" w:firstLine="640"/>
        <w:textAlignment w:val="auto"/>
        <w:rPr>
          <w:rFonts w:hint="default" w:ascii="Times New Roman" w:hAnsi="Times New Roman" w:eastAsia="仿宋" w:cs="Times New Roman"/>
          <w:spacing w:val="-2"/>
          <w:sz w:val="32"/>
          <w:szCs w:val="32"/>
          <w:lang w:eastAsia="zh-CN"/>
        </w:rPr>
      </w:pPr>
      <w:r>
        <w:rPr>
          <w:rFonts w:hint="default" w:ascii="Times New Roman" w:hAnsi="Times New Roman" w:eastAsia="仿宋" w:cs="Times New Roman"/>
          <w:spacing w:val="-2"/>
          <w:sz w:val="32"/>
          <w:szCs w:val="32"/>
          <w:lang w:eastAsia="zh-CN"/>
        </w:rPr>
        <w:t>无</w:t>
      </w:r>
    </w:p>
    <w:p w14:paraId="453F7AF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黑体" w:cs="Times New Roman"/>
          <w:i w:val="0"/>
          <w:iCs w:val="0"/>
          <w:caps w:val="0"/>
          <w:color w:val="000000"/>
          <w:spacing w:val="0"/>
          <w:sz w:val="32"/>
          <w:szCs w:val="32"/>
          <w:shd w:val="clear" w:color="auto" w:fill="FFFFFF"/>
          <w:lang w:val="en-US" w:eastAsia="zh-CN"/>
        </w:rPr>
      </w:pPr>
      <w:r>
        <w:rPr>
          <w:rFonts w:hint="default" w:ascii="Times New Roman" w:hAnsi="Times New Roman" w:eastAsia="黑体" w:cs="Times New Roman"/>
          <w:i w:val="0"/>
          <w:iCs w:val="0"/>
          <w:caps w:val="0"/>
          <w:color w:val="000000"/>
          <w:spacing w:val="0"/>
          <w:sz w:val="32"/>
          <w:szCs w:val="32"/>
          <w:shd w:val="clear" w:color="auto" w:fill="FFFFFF"/>
          <w:lang w:val="en-US" w:eastAsia="zh-CN"/>
        </w:rPr>
        <w:t>八、部门整体支出绩效情况</w:t>
      </w:r>
    </w:p>
    <w:p w14:paraId="21CC9860">
      <w:pPr>
        <w:pStyle w:val="9"/>
        <w:keepNext w:val="0"/>
        <w:keepLines w:val="0"/>
        <w:pageBreakBefore w:val="0"/>
        <w:widowControl w:val="0"/>
        <w:kinsoku/>
        <w:wordWrap/>
        <w:overflowPunct/>
        <w:topLinePunct w:val="0"/>
        <w:autoSpaceDE/>
        <w:autoSpaceDN/>
        <w:bidi w:val="0"/>
        <w:adjustRightInd/>
        <w:spacing w:beforeLines="0" w:afterLines="0" w:line="580" w:lineRule="exact"/>
        <w:ind w:left="0" w:leftChars="0" w:firstLine="640" w:firstLineChars="200"/>
        <w:jc w:val="left"/>
        <w:textAlignment w:val="auto"/>
        <w:rPr>
          <w:rFonts w:hint="default" w:ascii="Times New Roman" w:hAnsi="Times New Roman" w:eastAsia="仿宋_GB2312" w:cs="Times New Roman"/>
          <w:b/>
          <w:bCs/>
          <w:i w:val="0"/>
          <w:iCs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b/>
          <w:bCs/>
          <w:i w:val="0"/>
          <w:iCs w:val="0"/>
          <w:caps w:val="0"/>
          <w:color w:val="000000"/>
          <w:spacing w:val="0"/>
          <w:kern w:val="0"/>
          <w:sz w:val="32"/>
          <w:szCs w:val="32"/>
          <w:shd w:val="clear" w:color="auto" w:fill="FFFFFF"/>
          <w:lang w:val="en-US" w:eastAsia="zh-CN" w:bidi="ar"/>
        </w:rPr>
        <w:t>1.综合评价指标分析</w:t>
      </w:r>
    </w:p>
    <w:p w14:paraId="26E2842E">
      <w:pPr>
        <w:pStyle w:val="4"/>
        <w:keepNext w:val="0"/>
        <w:keepLines w:val="0"/>
        <w:pageBreakBefore w:val="0"/>
        <w:widowControl w:val="0"/>
        <w:numPr>
          <w:ilvl w:val="0"/>
          <w:numId w:val="0"/>
        </w:numPr>
        <w:kinsoku/>
        <w:wordWrap/>
        <w:overflowPunct/>
        <w:topLinePunct w:val="0"/>
        <w:autoSpaceDE/>
        <w:autoSpaceDN/>
        <w:bidi w:val="0"/>
        <w:adjustRightInd/>
        <w:spacing w:line="580" w:lineRule="exact"/>
        <w:ind w:lef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b/>
          <w:bCs/>
          <w:i w:val="0"/>
          <w:iCs w:val="0"/>
          <w:caps w:val="0"/>
          <w:color w:val="000000"/>
          <w:spacing w:val="0"/>
          <w:kern w:val="0"/>
          <w:sz w:val="32"/>
          <w:szCs w:val="32"/>
          <w:shd w:val="clear" w:color="auto" w:fill="FFFFFF"/>
          <w:lang w:val="en-US" w:eastAsia="zh-CN" w:bidi="ar"/>
        </w:rPr>
        <w:t>整体绩效目标设定：</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根据绩效目标设定的相关规定，围绕我所的部门职责和行业发展规划，制定本所整体绩效目标，绩效目标设定基本做到了完整、合理、细化和量化。</w:t>
      </w:r>
    </w:p>
    <w:p w14:paraId="16C10564">
      <w:pPr>
        <w:pStyle w:val="4"/>
        <w:keepNext w:val="0"/>
        <w:keepLines w:val="0"/>
        <w:pageBreakBefore w:val="0"/>
        <w:widowControl w:val="0"/>
        <w:kinsoku/>
        <w:wordWrap/>
        <w:overflowPunct/>
        <w:topLinePunct w:val="0"/>
        <w:autoSpaceDE/>
        <w:autoSpaceDN/>
        <w:bidi w:val="0"/>
        <w:adjustRightInd/>
        <w:spacing w:line="580" w:lineRule="exact"/>
        <w:ind w:lef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b/>
          <w:bCs/>
          <w:i w:val="0"/>
          <w:iCs w:val="0"/>
          <w:caps w:val="0"/>
          <w:color w:val="000000"/>
          <w:spacing w:val="0"/>
          <w:kern w:val="0"/>
          <w:sz w:val="32"/>
          <w:szCs w:val="32"/>
          <w:shd w:val="clear" w:color="auto" w:fill="FFFFFF"/>
          <w:lang w:val="en-US" w:eastAsia="zh-CN" w:bidi="ar"/>
        </w:rPr>
        <w:t>预算配置方面：</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根据年初预算和履职目标，参考上一年预算执行情况、有关支出绩效评价结果和本年度收支预测，按照规定程序征求各方面意见后，进行分配，确保预算资金分配合理、合规。</w:t>
      </w:r>
    </w:p>
    <w:p w14:paraId="4AB40E62">
      <w:pPr>
        <w:pStyle w:val="4"/>
        <w:keepNext w:val="0"/>
        <w:keepLines w:val="0"/>
        <w:pageBreakBefore w:val="0"/>
        <w:widowControl w:val="0"/>
        <w:kinsoku/>
        <w:wordWrap/>
        <w:overflowPunct/>
        <w:topLinePunct w:val="0"/>
        <w:autoSpaceDE/>
        <w:autoSpaceDN/>
        <w:bidi w:val="0"/>
        <w:adjustRightInd/>
        <w:spacing w:line="580" w:lineRule="exact"/>
        <w:ind w:lef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b/>
          <w:bCs/>
          <w:i w:val="0"/>
          <w:iCs w:val="0"/>
          <w:caps w:val="0"/>
          <w:color w:val="000000"/>
          <w:spacing w:val="0"/>
          <w:kern w:val="0"/>
          <w:sz w:val="32"/>
          <w:szCs w:val="32"/>
          <w:shd w:val="clear" w:color="auto" w:fill="FFFFFF"/>
          <w:lang w:val="en-US" w:eastAsia="zh-CN" w:bidi="ar"/>
        </w:rPr>
        <w:t>预算执行：</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按照“量入为出、收支平衡”的原则。严格执行本所预算配置方案，不擅自扩大支出范围、提高开支标准，及时了解预算执行进度，提高资金执行效率。</w:t>
      </w:r>
    </w:p>
    <w:p w14:paraId="1D48AFEF">
      <w:pPr>
        <w:pStyle w:val="4"/>
        <w:keepNext w:val="0"/>
        <w:keepLines w:val="0"/>
        <w:pageBreakBefore w:val="0"/>
        <w:widowControl w:val="0"/>
        <w:kinsoku/>
        <w:wordWrap/>
        <w:overflowPunct/>
        <w:topLinePunct w:val="0"/>
        <w:autoSpaceDE/>
        <w:autoSpaceDN/>
        <w:bidi w:val="0"/>
        <w:adjustRightInd/>
        <w:spacing w:line="580" w:lineRule="exact"/>
        <w:ind w:lef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b/>
          <w:bCs/>
          <w:i w:val="0"/>
          <w:iCs w:val="0"/>
          <w:caps w:val="0"/>
          <w:color w:val="000000"/>
          <w:spacing w:val="0"/>
          <w:kern w:val="0"/>
          <w:sz w:val="32"/>
          <w:szCs w:val="32"/>
          <w:shd w:val="clear" w:color="auto" w:fill="FFFFFF"/>
          <w:lang w:val="en-US" w:eastAsia="zh-CN" w:bidi="ar"/>
        </w:rPr>
        <w:t>预算管理：</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我单位按照预算法要求进行预算管理。一是预算编制。采取零基预算法、定额预算法、固定预算法进行“一上”申报，在“一下”的基础上进行修改进行“二上”申报，形成以单位领导支持、财务牵头、其他部门密切配合的工作格局，保证预算编制质量；二是预算执行。部门预算经批复后，对财政下达指标数据核对，科学合理安排支出，专项项目资金做到专款专用。三是加强对预算执行过程的控制和结果的反馈，对预算执行差异及时分析成因和影响，并及时向领导和相关部门进行反馈，以采取措施纠正执行偏差，促进预算目标的全面完成。</w:t>
      </w:r>
    </w:p>
    <w:p w14:paraId="2CDBF8A8">
      <w:pPr>
        <w:pStyle w:val="4"/>
        <w:keepNext w:val="0"/>
        <w:keepLines w:val="0"/>
        <w:pageBreakBefore w:val="0"/>
        <w:widowControl w:val="0"/>
        <w:kinsoku/>
        <w:wordWrap/>
        <w:overflowPunct/>
        <w:topLinePunct w:val="0"/>
        <w:autoSpaceDE/>
        <w:autoSpaceDN/>
        <w:bidi w:val="0"/>
        <w:adjustRightInd/>
        <w:spacing w:line="580" w:lineRule="exact"/>
        <w:ind w:lef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b/>
          <w:bCs/>
          <w:i w:val="0"/>
          <w:iCs w:val="0"/>
          <w:caps w:val="0"/>
          <w:color w:val="000000"/>
          <w:spacing w:val="0"/>
          <w:kern w:val="0"/>
          <w:sz w:val="32"/>
          <w:szCs w:val="32"/>
          <w:shd w:val="clear" w:color="auto" w:fill="FFFFFF"/>
          <w:lang w:val="en-US" w:eastAsia="zh-CN" w:bidi="ar"/>
        </w:rPr>
        <w:t>资产管理：</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我所严格按照《行政事业性国有资产管理条例》（国务院令738号）进行固定资产配置、购置、验收、入账，对固定资产实施资产管理信息动态化监管，建立了规范的固定资产台账，落实资产关键岗位、使用人员的职责。</w:t>
      </w:r>
    </w:p>
    <w:p w14:paraId="0E14CF0B">
      <w:pPr>
        <w:pStyle w:val="4"/>
        <w:keepNext w:val="0"/>
        <w:keepLines w:val="0"/>
        <w:pageBreakBefore w:val="0"/>
        <w:widowControl w:val="0"/>
        <w:kinsoku/>
        <w:wordWrap/>
        <w:overflowPunct/>
        <w:topLinePunct w:val="0"/>
        <w:autoSpaceDE/>
        <w:autoSpaceDN/>
        <w:bidi w:val="0"/>
        <w:adjustRightInd/>
        <w:spacing w:line="580" w:lineRule="exact"/>
        <w:ind w:lef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b/>
          <w:bCs/>
          <w:i w:val="0"/>
          <w:iCs w:val="0"/>
          <w:caps w:val="0"/>
          <w:color w:val="000000"/>
          <w:spacing w:val="0"/>
          <w:kern w:val="0"/>
          <w:sz w:val="32"/>
          <w:szCs w:val="32"/>
          <w:shd w:val="clear" w:color="auto" w:fill="FFFFFF"/>
          <w:lang w:val="en-US" w:eastAsia="zh-CN" w:bidi="ar"/>
        </w:rPr>
        <w:t>履职履效：</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202</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5</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年围绕本所工作职责开展工作平稳、有序，很好的完成了市委、市政府下达的各项工作任务和老干所自身绩效目标。</w:t>
      </w:r>
    </w:p>
    <w:p w14:paraId="4999A9EF">
      <w:pPr>
        <w:pStyle w:val="9"/>
        <w:keepNext w:val="0"/>
        <w:keepLines w:val="0"/>
        <w:pageBreakBefore w:val="0"/>
        <w:widowControl w:val="0"/>
        <w:kinsoku/>
        <w:wordWrap/>
        <w:overflowPunct/>
        <w:topLinePunct w:val="0"/>
        <w:autoSpaceDE/>
        <w:autoSpaceDN/>
        <w:bidi w:val="0"/>
        <w:adjustRightInd/>
        <w:spacing w:beforeLines="0" w:afterLines="0" w:line="580" w:lineRule="exact"/>
        <w:ind w:left="0" w:leftChars="0" w:firstLine="640" w:firstLineChars="200"/>
        <w:jc w:val="left"/>
        <w:textAlignment w:val="auto"/>
        <w:rPr>
          <w:rFonts w:hint="default" w:ascii="Times New Roman" w:hAnsi="Times New Roman" w:eastAsia="楷体" w:cs="Times New Roman"/>
          <w:b/>
          <w:color w:val="auto"/>
          <w:spacing w:val="-2"/>
          <w:sz w:val="32"/>
          <w:szCs w:val="32"/>
          <w:lang w:val="en-US" w:eastAsia="zh-CN"/>
        </w:rPr>
      </w:pPr>
      <w:r>
        <w:rPr>
          <w:rFonts w:hint="default" w:ascii="Times New Roman" w:hAnsi="Times New Roman" w:eastAsia="仿宋_GB2312" w:cs="Times New Roman"/>
          <w:b/>
          <w:bCs/>
          <w:i w:val="0"/>
          <w:iCs w:val="0"/>
          <w:caps w:val="0"/>
          <w:color w:val="auto"/>
          <w:spacing w:val="0"/>
          <w:kern w:val="0"/>
          <w:sz w:val="32"/>
          <w:szCs w:val="32"/>
          <w:shd w:val="clear" w:color="auto" w:fill="FFFFFF"/>
          <w:lang w:val="en-US" w:eastAsia="zh-CN" w:bidi="ar"/>
        </w:rPr>
        <w:t>2.绩效目标完成情况及绩效情况</w:t>
      </w:r>
    </w:p>
    <w:p w14:paraId="6B0647F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left="0" w:right="0" w:firstLine="632" w:firstLineChars="200"/>
        <w:textAlignment w:val="auto"/>
        <w:rPr>
          <w:rFonts w:hint="default" w:ascii="Times New Roman" w:hAnsi="Times New Roman" w:eastAsia="仿宋" w:cs="Times New Roman"/>
          <w:color w:val="auto"/>
          <w:spacing w:val="-2"/>
          <w:sz w:val="32"/>
          <w:szCs w:val="32"/>
          <w:highlight w:val="none"/>
          <w:lang w:val="en-US" w:eastAsia="zh-CN"/>
        </w:rPr>
      </w:pPr>
      <w:r>
        <w:rPr>
          <w:rFonts w:hint="default" w:ascii="Times New Roman" w:hAnsi="Times New Roman" w:eastAsia="仿宋" w:cs="Times New Roman"/>
          <w:color w:val="auto"/>
          <w:spacing w:val="-2"/>
          <w:sz w:val="32"/>
          <w:szCs w:val="32"/>
          <w:highlight w:val="none"/>
          <w:lang w:val="en-US" w:eastAsia="zh-CN"/>
        </w:rPr>
        <w:t>我部门202</w:t>
      </w:r>
      <w:r>
        <w:rPr>
          <w:rFonts w:hint="eastAsia" w:ascii="Times New Roman" w:hAnsi="Times New Roman" w:eastAsia="仿宋" w:cs="Times New Roman"/>
          <w:color w:val="auto"/>
          <w:spacing w:val="-2"/>
          <w:sz w:val="32"/>
          <w:szCs w:val="32"/>
          <w:highlight w:val="none"/>
          <w:lang w:val="en-US" w:eastAsia="zh-CN"/>
        </w:rPr>
        <w:t>5</w:t>
      </w:r>
      <w:r>
        <w:rPr>
          <w:rFonts w:hint="default" w:ascii="Times New Roman" w:hAnsi="Times New Roman" w:eastAsia="仿宋" w:cs="Times New Roman"/>
          <w:color w:val="auto"/>
          <w:spacing w:val="-2"/>
          <w:sz w:val="32"/>
          <w:szCs w:val="32"/>
          <w:highlight w:val="none"/>
          <w:lang w:val="en-US" w:eastAsia="zh-CN"/>
        </w:rPr>
        <w:t>年一般公共预算资金总体目标完成较好，具体如下：</w:t>
      </w:r>
    </w:p>
    <w:p w14:paraId="7271F5D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jc w:val="left"/>
        <w:textAlignment w:val="auto"/>
        <w:rPr>
          <w:rFonts w:hint="default" w:ascii="Times New Roman" w:hAnsi="Times New Roman" w:eastAsia="仿宋_GB2312" w:cs="Times New Roman"/>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i w:val="0"/>
          <w:iCs w:val="0"/>
          <w:caps w:val="0"/>
          <w:color w:val="auto"/>
          <w:spacing w:val="0"/>
          <w:sz w:val="32"/>
          <w:szCs w:val="32"/>
          <w:shd w:val="clear" w:color="auto" w:fill="FFFFFF"/>
          <w:lang w:val="en-US" w:eastAsia="zh-CN"/>
        </w:rPr>
        <w:t>（1）产出指标分析</w:t>
      </w:r>
    </w:p>
    <w:p w14:paraId="10026F3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sz w:val="32"/>
          <w:szCs w:val="32"/>
          <w:shd w:val="clear" w:color="auto" w:fill="FFFFFF"/>
          <w:lang w:val="en-US" w:eastAsia="zh-CN"/>
        </w:rPr>
        <w:t xml:space="preserve"> </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202</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5</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年度老干所</w:t>
      </w:r>
      <w:r>
        <w:rPr>
          <w:rFonts w:hint="default" w:ascii="仿宋_GB2312" w:eastAsia="仿宋_GB2312"/>
          <w:color w:val="auto"/>
          <w:sz w:val="32"/>
          <w:szCs w:val="32"/>
          <w:lang w:eastAsia="zh-CN"/>
        </w:rPr>
        <w:t>持续做好老干部医疗保障，</w:t>
      </w:r>
      <w:r>
        <w:rPr>
          <w:rFonts w:hint="eastAsia" w:ascii="仿宋_GB2312" w:eastAsia="仿宋_GB2312"/>
          <w:color w:val="auto"/>
          <w:sz w:val="32"/>
          <w:szCs w:val="32"/>
          <w:lang w:eastAsia="zh-CN"/>
        </w:rPr>
        <w:t>日常关怀，不断丰富精神文化生活。</w:t>
      </w:r>
      <w:r>
        <w:rPr>
          <w:rFonts w:hint="eastAsia" w:ascii="仿宋_GB2312" w:eastAsia="仿宋_GB2312"/>
          <w:b/>
          <w:bCs/>
          <w:color w:val="auto"/>
          <w:sz w:val="32"/>
          <w:szCs w:val="32"/>
          <w:lang w:eastAsia="zh-CN"/>
        </w:rPr>
        <w:t>一是保障老干部生活服务待遇。</w:t>
      </w:r>
      <w:r>
        <w:rPr>
          <w:rFonts w:hint="eastAsia" w:ascii="仿宋_GB2312" w:eastAsia="仿宋_GB2312"/>
          <w:color w:val="auto"/>
          <w:sz w:val="32"/>
          <w:szCs w:val="32"/>
          <w:lang w:eastAsia="zh-CN"/>
        </w:rPr>
        <w:t>全年为老干部</w:t>
      </w:r>
      <w:r>
        <w:rPr>
          <w:rFonts w:hint="default" w:ascii="仿宋_GB2312" w:eastAsia="仿宋_GB2312"/>
          <w:color w:val="auto"/>
          <w:sz w:val="32"/>
          <w:szCs w:val="32"/>
          <w:lang w:eastAsia="zh-CN"/>
        </w:rPr>
        <w:t>购取药物200多人次，办理医药报销、审批等事务100多人次</w:t>
      </w:r>
      <w:r>
        <w:rPr>
          <w:rFonts w:hint="eastAsia" w:ascii="仿宋_GB2312" w:eastAsia="仿宋_GB2312"/>
          <w:color w:val="auto"/>
          <w:sz w:val="32"/>
          <w:szCs w:val="32"/>
          <w:lang w:eastAsia="zh-CN"/>
        </w:rPr>
        <w:t>，</w:t>
      </w:r>
      <w:r>
        <w:rPr>
          <w:rFonts w:hint="default" w:ascii="仿宋_GB2312" w:eastAsia="仿宋_GB2312"/>
          <w:color w:val="auto"/>
          <w:sz w:val="32"/>
          <w:szCs w:val="32"/>
          <w:lang w:eastAsia="zh-CN"/>
        </w:rPr>
        <w:t>参与</w:t>
      </w:r>
      <w:r>
        <w:rPr>
          <w:rFonts w:hint="eastAsia" w:ascii="仿宋_GB2312" w:eastAsia="仿宋_GB2312"/>
          <w:color w:val="auto"/>
          <w:sz w:val="32"/>
          <w:szCs w:val="32"/>
          <w:lang w:eastAsia="zh-CN"/>
        </w:rPr>
        <w:t>组织</w:t>
      </w:r>
      <w:r>
        <w:rPr>
          <w:rFonts w:hint="default" w:ascii="仿宋_GB2312" w:eastAsia="仿宋_GB2312"/>
          <w:color w:val="auto"/>
          <w:sz w:val="32"/>
          <w:szCs w:val="32"/>
          <w:lang w:eastAsia="zh-CN"/>
        </w:rPr>
        <w:t>中医问诊活动2次，组织老干部接种流感疫苗50余人次</w:t>
      </w:r>
      <w:r>
        <w:rPr>
          <w:rFonts w:hint="eastAsia" w:ascii="仿宋_GB2312" w:eastAsia="仿宋_GB2312"/>
          <w:color w:val="auto"/>
          <w:sz w:val="32"/>
          <w:szCs w:val="32"/>
          <w:lang w:eastAsia="zh-CN"/>
        </w:rPr>
        <w:t>；</w:t>
      </w:r>
      <w:r>
        <w:rPr>
          <w:rFonts w:hint="eastAsia" w:ascii="仿宋_GB2312" w:eastAsia="仿宋_GB2312"/>
          <w:b/>
          <w:bCs/>
          <w:color w:val="auto"/>
          <w:sz w:val="32"/>
          <w:szCs w:val="32"/>
          <w:lang w:eastAsia="zh-CN"/>
        </w:rPr>
        <w:t>二是</w:t>
      </w:r>
      <w:r>
        <w:rPr>
          <w:rFonts w:hint="default" w:ascii="仿宋_GB2312" w:eastAsia="仿宋_GB2312"/>
          <w:b/>
          <w:bCs/>
          <w:color w:val="auto"/>
          <w:sz w:val="32"/>
          <w:szCs w:val="32"/>
          <w:lang w:eastAsia="zh-CN"/>
        </w:rPr>
        <w:t>常态化开展</w:t>
      </w:r>
      <w:r>
        <w:rPr>
          <w:rFonts w:hint="eastAsia" w:ascii="仿宋_GB2312" w:eastAsia="仿宋_GB2312"/>
          <w:b/>
          <w:bCs/>
          <w:color w:val="auto"/>
          <w:sz w:val="32"/>
          <w:szCs w:val="32"/>
          <w:lang w:eastAsia="zh-CN"/>
        </w:rPr>
        <w:t>日常活动，完善基础设施。</w:t>
      </w:r>
      <w:r>
        <w:rPr>
          <w:rFonts w:hint="default" w:ascii="仿宋_GB2312" w:eastAsia="仿宋_GB2312"/>
          <w:color w:val="auto"/>
          <w:sz w:val="32"/>
          <w:szCs w:val="32"/>
          <w:lang w:eastAsia="zh-CN"/>
        </w:rPr>
        <w:t>全年</w:t>
      </w:r>
      <w:r>
        <w:rPr>
          <w:rFonts w:hint="eastAsia" w:ascii="仿宋_GB2312" w:eastAsia="仿宋_GB2312"/>
          <w:color w:val="auto"/>
          <w:sz w:val="32"/>
          <w:szCs w:val="32"/>
          <w:lang w:eastAsia="zh-CN"/>
        </w:rPr>
        <w:t>开展</w:t>
      </w:r>
      <w:r>
        <w:rPr>
          <w:rFonts w:hint="default" w:ascii="仿宋_GB2312" w:eastAsia="仿宋_GB2312"/>
          <w:color w:val="auto"/>
          <w:sz w:val="32"/>
          <w:szCs w:val="32"/>
          <w:lang w:eastAsia="zh-CN"/>
        </w:rPr>
        <w:t>棋牌活动99次</w:t>
      </w:r>
      <w:r>
        <w:rPr>
          <w:rFonts w:hint="eastAsia" w:ascii="仿宋_GB2312" w:eastAsia="仿宋_GB2312"/>
          <w:color w:val="auto"/>
          <w:sz w:val="32"/>
          <w:szCs w:val="32"/>
          <w:lang w:eastAsia="zh-CN"/>
        </w:rPr>
        <w:t>、</w:t>
      </w:r>
      <w:r>
        <w:rPr>
          <w:rFonts w:hint="default" w:ascii="仿宋_GB2312" w:eastAsia="仿宋_GB2312"/>
          <w:color w:val="auto"/>
          <w:sz w:val="32"/>
          <w:szCs w:val="32"/>
          <w:lang w:eastAsia="zh-CN"/>
        </w:rPr>
        <w:t>唱红歌活动89次，开展诗词创作活动4次</w:t>
      </w:r>
      <w:r>
        <w:rPr>
          <w:rFonts w:hint="eastAsia" w:ascii="仿宋_GB2312" w:eastAsia="仿宋_GB2312"/>
          <w:color w:val="auto"/>
          <w:sz w:val="32"/>
          <w:szCs w:val="32"/>
          <w:lang w:eastAsia="zh-CN"/>
        </w:rPr>
        <w:t>、</w:t>
      </w:r>
      <w:r>
        <w:rPr>
          <w:rFonts w:hint="default" w:ascii="仿宋_GB2312" w:hAnsi="Times New Roman" w:eastAsia="仿宋_GB2312" w:cs="Times New Roman"/>
          <w:color w:val="auto"/>
          <w:sz w:val="32"/>
          <w:szCs w:val="32"/>
          <w:lang w:eastAsia="zh-CN"/>
        </w:rPr>
        <w:t>摄影活</w:t>
      </w:r>
      <w:r>
        <w:rPr>
          <w:rFonts w:hint="default" w:ascii="仿宋_GB2312" w:eastAsia="仿宋_GB2312"/>
          <w:color w:val="auto"/>
          <w:sz w:val="32"/>
          <w:szCs w:val="32"/>
          <w:lang w:eastAsia="zh-CN"/>
        </w:rPr>
        <w:t>动6次。组织老干部参观考察活动6次，参与</w:t>
      </w:r>
      <w:r>
        <w:rPr>
          <w:rFonts w:hint="eastAsia" w:ascii="仿宋_GB2312" w:eastAsia="仿宋_GB2312"/>
          <w:color w:val="auto"/>
          <w:sz w:val="32"/>
          <w:szCs w:val="32"/>
          <w:lang w:eastAsia="zh-CN"/>
        </w:rPr>
        <w:t>全市</w:t>
      </w:r>
      <w:r>
        <w:rPr>
          <w:rFonts w:hint="default" w:ascii="仿宋_GB2312" w:eastAsia="仿宋_GB2312"/>
          <w:color w:val="auto"/>
          <w:sz w:val="32"/>
          <w:szCs w:val="32"/>
          <w:lang w:eastAsia="zh-CN"/>
        </w:rPr>
        <w:t>老干部参观考察活动1次，专题教育活动1次，</w:t>
      </w:r>
      <w:r>
        <w:rPr>
          <w:rFonts w:hint="eastAsia" w:ascii="仿宋_GB2312" w:eastAsia="仿宋_GB2312"/>
          <w:color w:val="auto"/>
          <w:sz w:val="32"/>
          <w:szCs w:val="32"/>
          <w:lang w:eastAsia="zh-CN"/>
        </w:rPr>
        <w:t>整理</w:t>
      </w:r>
      <w:r>
        <w:rPr>
          <w:rFonts w:hint="default" w:ascii="仿宋_GB2312" w:eastAsia="仿宋_GB2312"/>
          <w:color w:val="auto"/>
          <w:sz w:val="32"/>
          <w:szCs w:val="32"/>
          <w:lang w:eastAsia="zh-CN"/>
        </w:rPr>
        <w:t>编辑《2025年拾光》相册。新增一楼大厅读书角，增加图书300余册，为老同志营造温馨舒适的学习活动空间。</w:t>
      </w:r>
      <w:r>
        <w:rPr>
          <w:rFonts w:hint="eastAsia" w:ascii="仿宋_GB2312" w:eastAsia="仿宋_GB2312"/>
          <w:b/>
          <w:bCs/>
          <w:color w:val="auto"/>
          <w:sz w:val="32"/>
          <w:szCs w:val="32"/>
          <w:lang w:eastAsia="zh-CN"/>
        </w:rPr>
        <w:t>三是</w:t>
      </w:r>
      <w:r>
        <w:rPr>
          <w:rFonts w:hint="default" w:ascii="仿宋_GB2312" w:eastAsia="仿宋_GB2312"/>
          <w:b/>
          <w:bCs/>
          <w:color w:val="auto"/>
          <w:sz w:val="32"/>
          <w:szCs w:val="32"/>
          <w:lang w:eastAsia="zh-CN"/>
        </w:rPr>
        <w:t>日常关怀更加扎实。</w:t>
      </w:r>
      <w:r>
        <w:rPr>
          <w:rFonts w:hint="default" w:ascii="仿宋_GB2312" w:eastAsia="仿宋_GB2312"/>
          <w:color w:val="auto"/>
          <w:sz w:val="32"/>
          <w:szCs w:val="32"/>
          <w:lang w:eastAsia="zh-CN"/>
        </w:rPr>
        <w:t>全年走访慰问住院老干部及遗孀150余人次，异地走访5人次，节日慰问200余人次。深入开展</w:t>
      </w:r>
      <w:r>
        <w:rPr>
          <w:rFonts w:hint="eastAsia" w:ascii="仿宋" w:hAnsi="仿宋" w:eastAsia="仿宋" w:cs="仿宋"/>
          <w:color w:val="auto"/>
          <w:sz w:val="32"/>
          <w:szCs w:val="32"/>
          <w:lang w:eastAsia="zh-CN"/>
        </w:rPr>
        <w:t>“</w:t>
      </w:r>
      <w:r>
        <w:rPr>
          <w:rFonts w:hint="default" w:ascii="仿宋_GB2312" w:eastAsia="仿宋_GB2312"/>
          <w:color w:val="auto"/>
          <w:sz w:val="32"/>
          <w:szCs w:val="32"/>
          <w:lang w:eastAsia="zh-CN"/>
        </w:rPr>
        <w:t>我为老干部办实事</w:t>
      </w:r>
      <w:r>
        <w:rPr>
          <w:rFonts w:hint="eastAsia" w:ascii="仿宋" w:hAnsi="仿宋" w:eastAsia="仿宋" w:cs="仿宋"/>
          <w:color w:val="auto"/>
          <w:sz w:val="32"/>
          <w:szCs w:val="32"/>
          <w:lang w:eastAsia="zh-CN"/>
        </w:rPr>
        <w:t>”</w:t>
      </w:r>
      <w:r>
        <w:rPr>
          <w:rFonts w:hint="default" w:ascii="仿宋_GB2312" w:eastAsia="仿宋_GB2312"/>
          <w:color w:val="auto"/>
          <w:sz w:val="32"/>
          <w:szCs w:val="32"/>
          <w:lang w:eastAsia="zh-CN"/>
        </w:rPr>
        <w:t>实践活动，拓展家政便民上门服务项目近200人次，协调物业解决老干部住所楼道内杂物堆放存在安全隐患、开通中医院医疗绿色通道等急难问题10余项。</w:t>
      </w:r>
    </w:p>
    <w:p w14:paraId="2C9C960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jc w:val="left"/>
        <w:textAlignment w:val="auto"/>
        <w:rPr>
          <w:rFonts w:hint="default" w:ascii="Times New Roman" w:hAnsi="Times New Roman" w:eastAsia="仿宋_GB2312" w:cs="Times New Roman"/>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（2）效益指标分析</w:t>
      </w:r>
    </w:p>
    <w:p w14:paraId="7CB583E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jc w:val="left"/>
        <w:textAlignment w:val="auto"/>
        <w:rPr>
          <w:rFonts w:hint="default" w:ascii="Times New Roman" w:hAnsi="Times New Roman" w:eastAsia="仿宋_GB2312" w:cs="Times New Roman"/>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 xml:space="preserve"> </w:t>
      </w:r>
      <w:r>
        <w:rPr>
          <w:rFonts w:hint="default" w:ascii="仿宋_GB2312" w:eastAsia="仿宋_GB2312"/>
          <w:sz w:val="32"/>
          <w:szCs w:val="32"/>
          <w:lang w:eastAsia="zh-CN"/>
        </w:rPr>
        <w:t>全年组织所务会（扩大）学习9次，开展集中政治学习日活动12次，为高龄、行动不便的老干部</w:t>
      </w:r>
      <w:r>
        <w:rPr>
          <w:rFonts w:hint="eastAsia" w:ascii="仿宋" w:hAnsi="仿宋" w:eastAsia="仿宋" w:cs="仿宋"/>
          <w:sz w:val="32"/>
          <w:szCs w:val="32"/>
          <w:lang w:eastAsia="zh-CN"/>
        </w:rPr>
        <w:t>“</w:t>
      </w:r>
      <w:r>
        <w:rPr>
          <w:rFonts w:hint="default" w:ascii="仿宋_GB2312" w:eastAsia="仿宋_GB2312"/>
          <w:sz w:val="32"/>
          <w:szCs w:val="32"/>
          <w:lang w:eastAsia="zh-CN"/>
        </w:rPr>
        <w:t>送学上门</w:t>
      </w:r>
      <w:r>
        <w:rPr>
          <w:rFonts w:hint="eastAsia" w:ascii="仿宋" w:hAnsi="仿宋" w:eastAsia="仿宋" w:cs="仿宋"/>
          <w:sz w:val="32"/>
          <w:szCs w:val="32"/>
          <w:lang w:eastAsia="zh-CN"/>
        </w:rPr>
        <w:t>”</w:t>
      </w:r>
      <w:r>
        <w:rPr>
          <w:rFonts w:hint="default" w:ascii="仿宋_GB2312" w:eastAsia="仿宋_GB2312"/>
          <w:sz w:val="32"/>
          <w:szCs w:val="32"/>
          <w:lang w:eastAsia="zh-CN"/>
        </w:rPr>
        <w:t>60余次。组织纪念中国人民抗日战争暨世界反法西斯战争胜利80周年系列活动，征集文化作品40余件并汇编成册</w:t>
      </w: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；不断细化老干部“一对一”结对服务，丰富老干部日常活动形式，提高离退休干部的幸福指数；积极推动乡村振兴工作，做好结对帮扶工作，为村民提供了休闲场所、丰富人民群众文化生活完成年初目标。</w:t>
      </w:r>
    </w:p>
    <w:p w14:paraId="58E2664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jc w:val="left"/>
        <w:textAlignment w:val="auto"/>
        <w:rPr>
          <w:rFonts w:hint="default" w:ascii="Times New Roman" w:hAnsi="Times New Roman" w:eastAsia="仿宋_GB2312" w:cs="Times New Roman"/>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（3）满意度指标分析</w:t>
      </w:r>
    </w:p>
    <w:p w14:paraId="57F9BEC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jc w:val="left"/>
        <w:textAlignment w:val="auto"/>
        <w:rPr>
          <w:rFonts w:hint="default" w:ascii="Times New Roman" w:hAnsi="Times New Roman" w:eastAsia="仿宋_GB2312" w:cs="Times New Roman"/>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离退休老干部满意度95%以上，完成年初目标。</w:t>
      </w:r>
    </w:p>
    <w:p w14:paraId="78B5BE6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jc w:val="left"/>
        <w:textAlignment w:val="auto"/>
        <w:rPr>
          <w:rFonts w:hint="default" w:ascii="Times New Roman" w:hAnsi="Times New Roman" w:cs="Times New Roman"/>
          <w:color w:val="FF0000"/>
        </w:rPr>
      </w:pP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202</w:t>
      </w:r>
      <w:r>
        <w:rPr>
          <w:rFonts w:hint="eastAsia" w:ascii="Times New Roman" w:hAnsi="Times New Roman" w:eastAsia="仿宋_GB2312" w:cs="Times New Roman"/>
          <w:i w:val="0"/>
          <w:iCs w:val="0"/>
          <w:caps w:val="0"/>
          <w:color w:val="000000"/>
          <w:spacing w:val="0"/>
          <w:sz w:val="32"/>
          <w:szCs w:val="32"/>
          <w:shd w:val="clear" w:color="auto" w:fill="FFFFFF"/>
          <w:lang w:val="en-US" w:eastAsia="zh-CN"/>
        </w:rPr>
        <w:t>5</w:t>
      </w: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年，在市委市政府的高度重视和关心下，取得了较好的成绩，绩效考核评为</w:t>
      </w:r>
      <w:r>
        <w:rPr>
          <w:rFonts w:hint="eastAsia" w:ascii="Times New Roman" w:hAnsi="Times New Roman" w:eastAsia="仿宋_GB2312" w:cs="Times New Roman"/>
          <w:i w:val="0"/>
          <w:iCs w:val="0"/>
          <w:caps w:val="0"/>
          <w:color w:val="000000"/>
          <w:spacing w:val="0"/>
          <w:sz w:val="32"/>
          <w:szCs w:val="32"/>
          <w:shd w:val="clear" w:color="auto" w:fill="FFFFFF"/>
          <w:lang w:val="en-US" w:eastAsia="zh-CN"/>
        </w:rPr>
        <w:t>优秀</w:t>
      </w: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等次。</w:t>
      </w:r>
    </w:p>
    <w:p w14:paraId="5694755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right="0" w:firstLine="640" w:firstLineChars="200"/>
        <w:textAlignment w:val="auto"/>
        <w:rPr>
          <w:rFonts w:hint="default" w:ascii="Times New Roman" w:hAnsi="Times New Roman" w:eastAsia="黑体" w:cs="Times New Roman"/>
          <w:i w:val="0"/>
          <w:iCs w:val="0"/>
          <w:caps w:val="0"/>
          <w:color w:val="000000"/>
          <w:spacing w:val="0"/>
          <w:sz w:val="32"/>
          <w:szCs w:val="32"/>
          <w:highlight w:val="none"/>
        </w:rPr>
      </w:pPr>
      <w:r>
        <w:rPr>
          <w:rFonts w:hint="default" w:ascii="Times New Roman" w:hAnsi="Times New Roman" w:eastAsia="黑体" w:cs="Times New Roman"/>
          <w:i w:val="0"/>
          <w:iCs w:val="0"/>
          <w:caps w:val="0"/>
          <w:color w:val="000000"/>
          <w:spacing w:val="0"/>
          <w:sz w:val="32"/>
          <w:szCs w:val="32"/>
          <w:highlight w:val="none"/>
          <w:shd w:val="clear" w:fill="FFFFFF"/>
          <w:lang w:eastAsia="zh-CN"/>
        </w:rPr>
        <w:t>九</w:t>
      </w:r>
      <w:r>
        <w:rPr>
          <w:rFonts w:hint="default" w:ascii="Times New Roman" w:hAnsi="Times New Roman" w:eastAsia="黑体" w:cs="Times New Roman"/>
          <w:i w:val="0"/>
          <w:iCs w:val="0"/>
          <w:caps w:val="0"/>
          <w:color w:val="000000"/>
          <w:spacing w:val="0"/>
          <w:sz w:val="32"/>
          <w:szCs w:val="32"/>
          <w:highlight w:val="none"/>
          <w:shd w:val="clear" w:fill="FFFFFF"/>
        </w:rPr>
        <w:t>、存在的问题及原因分析</w:t>
      </w:r>
    </w:p>
    <w:p w14:paraId="2C090ED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仿宋_GB2312" w:cs="Times New Roman"/>
          <w:i w:val="0"/>
          <w:iCs w:val="0"/>
          <w:caps w:val="0"/>
          <w:color w:val="000000"/>
          <w:spacing w:val="0"/>
          <w:sz w:val="32"/>
          <w:szCs w:val="32"/>
          <w:shd w:val="clear" w:fill="FFFFFF"/>
        </w:rPr>
        <w:t>绩效评价目标体系设置精细化程度仍需提高。在202</w:t>
      </w:r>
      <w:r>
        <w:rPr>
          <w:rFonts w:hint="eastAsia" w:ascii="Times New Roman" w:hAnsi="Times New Roman" w:eastAsia="仿宋_GB2312" w:cs="Times New Roman"/>
          <w:i w:val="0"/>
          <w:iCs w:val="0"/>
          <w:caps w:val="0"/>
          <w:color w:val="000000"/>
          <w:spacing w:val="0"/>
          <w:sz w:val="32"/>
          <w:szCs w:val="32"/>
          <w:shd w:val="clear" w:fill="FFFFFF"/>
          <w:lang w:val="en-US" w:eastAsia="zh-CN"/>
        </w:rPr>
        <w:t>5</w:t>
      </w:r>
      <w:r>
        <w:rPr>
          <w:rFonts w:hint="default" w:ascii="Times New Roman" w:hAnsi="Times New Roman" w:eastAsia="仿宋_GB2312" w:cs="Times New Roman"/>
          <w:i w:val="0"/>
          <w:iCs w:val="0"/>
          <w:caps w:val="0"/>
          <w:color w:val="000000"/>
          <w:spacing w:val="0"/>
          <w:sz w:val="32"/>
          <w:szCs w:val="32"/>
          <w:shd w:val="clear" w:fill="FFFFFF"/>
        </w:rPr>
        <w:t>年度预算绩效目标编制工作中，对各</w:t>
      </w:r>
      <w:r>
        <w:rPr>
          <w:rFonts w:hint="default" w:ascii="Times New Roman" w:hAnsi="Times New Roman" w:eastAsia="仿宋_GB2312" w:cs="Times New Roman"/>
          <w:i w:val="0"/>
          <w:iCs w:val="0"/>
          <w:caps w:val="0"/>
          <w:color w:val="000000"/>
          <w:spacing w:val="0"/>
          <w:sz w:val="32"/>
          <w:szCs w:val="32"/>
          <w:shd w:val="clear" w:fill="FFFFFF"/>
          <w:lang w:eastAsia="zh-CN"/>
        </w:rPr>
        <w:t>部</w:t>
      </w:r>
      <w:r>
        <w:rPr>
          <w:rFonts w:hint="default" w:ascii="Times New Roman" w:hAnsi="Times New Roman" w:eastAsia="仿宋_GB2312" w:cs="Times New Roman"/>
          <w:i w:val="0"/>
          <w:iCs w:val="0"/>
          <w:caps w:val="0"/>
          <w:color w:val="000000"/>
          <w:spacing w:val="0"/>
          <w:sz w:val="32"/>
          <w:szCs w:val="32"/>
          <w:shd w:val="clear" w:fill="FFFFFF"/>
        </w:rPr>
        <w:t>室的绩效目标和绩效指标的设定未紧扣各自职能，有的指标设置科学量化度不高，绩效目标编制质量仍需提高。</w:t>
      </w:r>
    </w:p>
    <w:p w14:paraId="743A4A55">
      <w:pPr>
        <w:keepNext w:val="0"/>
        <w:keepLines w:val="0"/>
        <w:pageBreakBefore w:val="0"/>
        <w:widowControl w:val="0"/>
        <w:shd w:val="clear" w:color="auto" w:fill="FFFFFF"/>
        <w:kinsoku/>
        <w:wordWrap/>
        <w:overflowPunct/>
        <w:topLinePunct w:val="0"/>
        <w:autoSpaceDE/>
        <w:autoSpaceDN/>
        <w:bidi w:val="0"/>
        <w:adjustRightInd/>
        <w:spacing w:line="580" w:lineRule="exact"/>
        <w:ind w:left="0" w:firstLine="640"/>
        <w:textAlignment w:val="auto"/>
        <w:rPr>
          <w:rFonts w:hint="default" w:ascii="Times New Roman" w:hAnsi="Times New Roman" w:eastAsia="黑体" w:cs="Times New Roman"/>
          <w:i w:val="0"/>
          <w:iCs w:val="0"/>
          <w:caps w:val="0"/>
          <w:color w:val="000000"/>
          <w:spacing w:val="0"/>
          <w:kern w:val="0"/>
          <w:sz w:val="32"/>
          <w:szCs w:val="32"/>
          <w:shd w:val="clear" w:color="auto" w:fill="FFFFFF"/>
          <w:lang w:val="en-US" w:eastAsia="zh-CN" w:bidi="ar"/>
        </w:rPr>
      </w:pPr>
      <w:bookmarkStart w:id="3" w:name="_Toc15372278"/>
      <w:r>
        <w:rPr>
          <w:rFonts w:hint="default" w:ascii="Times New Roman" w:hAnsi="Times New Roman" w:eastAsia="黑体" w:cs="Times New Roman"/>
          <w:i w:val="0"/>
          <w:iCs w:val="0"/>
          <w:caps w:val="0"/>
          <w:color w:val="000000"/>
          <w:spacing w:val="0"/>
          <w:kern w:val="0"/>
          <w:sz w:val="32"/>
          <w:szCs w:val="32"/>
          <w:shd w:val="clear" w:color="auto" w:fill="FFFFFF"/>
          <w:lang w:val="en-US" w:eastAsia="zh-CN" w:bidi="ar"/>
        </w:rPr>
        <w:t>十、下一步改进措施</w:t>
      </w:r>
    </w:p>
    <w:p w14:paraId="03D0615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仿宋_GB2312" w:cs="Times New Roman"/>
          <w:i w:val="0"/>
          <w:iCs w:val="0"/>
          <w:caps w:val="0"/>
          <w:color w:val="000000"/>
          <w:spacing w:val="0"/>
          <w:sz w:val="32"/>
          <w:szCs w:val="32"/>
          <w:shd w:val="clear" w:fill="FFFFFF"/>
        </w:rPr>
        <w:t>1、定期做好预算支出财务分析，做好部门整体支出预算评价工作，进一步提高预算基本支出的财务保障水平，强化机关经费管理的刚性约束，项目支出按照预算和工作进度执行，进一步规范各项支出。</w:t>
      </w:r>
      <w:bookmarkEnd w:id="3"/>
    </w:p>
    <w:p w14:paraId="2DFA581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仿宋_GB2312" w:cs="Times New Roman"/>
          <w:i w:val="0"/>
          <w:iCs w:val="0"/>
          <w:caps w:val="0"/>
          <w:color w:val="000000"/>
          <w:spacing w:val="0"/>
          <w:sz w:val="32"/>
          <w:szCs w:val="32"/>
          <w:shd w:val="clear" w:fill="FFFFFF"/>
        </w:rPr>
        <w:t>2、今后严格按照预算绩效管理要求，坚持定性与定量相结合，突出重点，便于检验、评价、考核。可以量化的三级指标，都要予以量化；确实难以量化的，要提炼出能够反映目标任务和预期成效的结果性描述。</w:t>
      </w:r>
    </w:p>
    <w:p w14:paraId="2963C19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黑体" w:cs="Times New Roman"/>
          <w:i w:val="0"/>
          <w:iCs w:val="0"/>
          <w:caps w:val="0"/>
          <w:color w:val="000000"/>
          <w:spacing w:val="0"/>
          <w:sz w:val="32"/>
          <w:szCs w:val="32"/>
          <w:shd w:val="clear" w:color="auto" w:fill="FFFFFF"/>
          <w:lang w:eastAsia="zh-CN"/>
        </w:rPr>
      </w:pPr>
      <w:r>
        <w:rPr>
          <w:rFonts w:hint="default" w:ascii="Times New Roman" w:hAnsi="Times New Roman" w:eastAsia="黑体" w:cs="Times New Roman"/>
          <w:i w:val="0"/>
          <w:iCs w:val="0"/>
          <w:caps w:val="0"/>
          <w:color w:val="000000"/>
          <w:spacing w:val="0"/>
          <w:sz w:val="32"/>
          <w:szCs w:val="32"/>
          <w:shd w:val="clear" w:color="auto" w:fill="FFFFFF"/>
          <w:lang w:eastAsia="zh-CN"/>
        </w:rPr>
        <w:t>十一、绩效自评结果拟应用和公开情况</w:t>
      </w:r>
    </w:p>
    <w:p w14:paraId="767F84E0">
      <w:pPr>
        <w:pStyle w:val="2"/>
        <w:keepNext w:val="0"/>
        <w:keepLines w:val="0"/>
        <w:pageBreakBefore w:val="0"/>
        <w:widowControl w:val="0"/>
        <w:kinsoku/>
        <w:wordWrap/>
        <w:overflowPunct/>
        <w:topLinePunct w:val="0"/>
        <w:autoSpaceDE/>
        <w:autoSpaceDN/>
        <w:bidi w:val="0"/>
        <w:adjustRightInd/>
        <w:spacing w:line="580" w:lineRule="exact"/>
        <w:ind w:left="0" w:firstLine="640" w:firstLineChars="200"/>
        <w:jc w:val="left"/>
        <w:textAlignment w:val="auto"/>
        <w:rPr>
          <w:rFonts w:hint="default" w:ascii="Times New Roman" w:hAnsi="Times New Roman" w:eastAsia="黑体" w:cs="Times New Roman"/>
          <w:i w:val="0"/>
          <w:iCs w:val="0"/>
          <w:caps w:val="0"/>
          <w:color w:val="000000"/>
          <w:spacing w:val="0"/>
          <w:sz w:val="32"/>
          <w:szCs w:val="32"/>
          <w:shd w:val="clear" w:color="auto" w:fill="FFFFFF"/>
          <w:lang w:eastAsia="zh-CN"/>
        </w:rPr>
      </w:pPr>
      <w:r>
        <w:rPr>
          <w:rFonts w:hint="default" w:ascii="Times New Roman" w:hAnsi="Times New Roman" w:eastAsia="仿宋_GB2312" w:cs="Times New Roman"/>
          <w:bCs w:val="0"/>
          <w:i w:val="0"/>
          <w:iCs w:val="0"/>
          <w:caps w:val="0"/>
          <w:color w:val="000000"/>
          <w:spacing w:val="0"/>
          <w:kern w:val="0"/>
          <w:sz w:val="32"/>
          <w:szCs w:val="32"/>
          <w:shd w:val="clear" w:color="auto" w:fill="FFFFFF"/>
          <w:lang w:val="en-US" w:eastAsia="zh-CN" w:bidi="ar"/>
        </w:rPr>
        <w:t>根据《怀化市财政局关于开展202</w:t>
      </w:r>
      <w:r>
        <w:rPr>
          <w:rFonts w:hint="eastAsia" w:ascii="Times New Roman" w:hAnsi="Times New Roman" w:eastAsia="仿宋_GB2312" w:cs="Times New Roman"/>
          <w:bCs w:val="0"/>
          <w:i w:val="0"/>
          <w:iCs w:val="0"/>
          <w:caps w:val="0"/>
          <w:color w:val="000000"/>
          <w:spacing w:val="0"/>
          <w:kern w:val="0"/>
          <w:sz w:val="32"/>
          <w:szCs w:val="32"/>
          <w:shd w:val="clear" w:color="auto" w:fill="FFFFFF"/>
          <w:lang w:val="en-US" w:eastAsia="zh-CN" w:bidi="ar"/>
        </w:rPr>
        <w:t>5</w:t>
      </w:r>
      <w:r>
        <w:rPr>
          <w:rFonts w:hint="default" w:ascii="Times New Roman" w:hAnsi="Times New Roman" w:eastAsia="仿宋_GB2312" w:cs="Times New Roman"/>
          <w:bCs w:val="0"/>
          <w:i w:val="0"/>
          <w:iCs w:val="0"/>
          <w:caps w:val="0"/>
          <w:color w:val="000000"/>
          <w:spacing w:val="0"/>
          <w:kern w:val="0"/>
          <w:sz w:val="32"/>
          <w:szCs w:val="32"/>
          <w:shd w:val="clear" w:color="auto" w:fill="FFFFFF"/>
          <w:lang w:val="en-US" w:eastAsia="zh-CN" w:bidi="ar"/>
        </w:rPr>
        <w:t>年度预算支出绩效自评工作的通知》中整体支出绩效评价指标体系，对我单位202</w:t>
      </w:r>
      <w:r>
        <w:rPr>
          <w:rFonts w:hint="eastAsia" w:ascii="Times New Roman" w:hAnsi="Times New Roman" w:eastAsia="仿宋_GB2312" w:cs="Times New Roman"/>
          <w:bCs w:val="0"/>
          <w:i w:val="0"/>
          <w:iCs w:val="0"/>
          <w:caps w:val="0"/>
          <w:color w:val="000000"/>
          <w:spacing w:val="0"/>
          <w:kern w:val="0"/>
          <w:sz w:val="32"/>
          <w:szCs w:val="32"/>
          <w:shd w:val="clear" w:color="auto" w:fill="FFFFFF"/>
          <w:lang w:val="en-US" w:eastAsia="zh-CN" w:bidi="ar"/>
        </w:rPr>
        <w:t>5</w:t>
      </w:r>
      <w:r>
        <w:rPr>
          <w:rFonts w:hint="default" w:ascii="Times New Roman" w:hAnsi="Times New Roman" w:eastAsia="仿宋_GB2312" w:cs="Times New Roman"/>
          <w:bCs w:val="0"/>
          <w:i w:val="0"/>
          <w:iCs w:val="0"/>
          <w:caps w:val="0"/>
          <w:color w:val="000000"/>
          <w:spacing w:val="0"/>
          <w:kern w:val="0"/>
          <w:sz w:val="32"/>
          <w:szCs w:val="32"/>
          <w:shd w:val="clear" w:color="auto" w:fill="FFFFFF"/>
          <w:lang w:val="en-US" w:eastAsia="zh-CN" w:bidi="ar"/>
        </w:rPr>
        <w:t>年部门整体支出绩效开展了评价。202</w:t>
      </w:r>
      <w:r>
        <w:rPr>
          <w:rFonts w:hint="eastAsia" w:ascii="Times New Roman" w:hAnsi="Times New Roman" w:eastAsia="仿宋_GB2312" w:cs="Times New Roman"/>
          <w:bCs w:val="0"/>
          <w:i w:val="0"/>
          <w:iCs w:val="0"/>
          <w:caps w:val="0"/>
          <w:color w:val="000000"/>
          <w:spacing w:val="0"/>
          <w:kern w:val="0"/>
          <w:sz w:val="32"/>
          <w:szCs w:val="32"/>
          <w:shd w:val="clear" w:color="auto" w:fill="FFFFFF"/>
          <w:lang w:val="en-US" w:eastAsia="zh-CN" w:bidi="ar"/>
        </w:rPr>
        <w:t>5</w:t>
      </w:r>
      <w:r>
        <w:rPr>
          <w:rFonts w:hint="default" w:ascii="Times New Roman" w:hAnsi="Times New Roman" w:eastAsia="仿宋_GB2312" w:cs="Times New Roman"/>
          <w:bCs w:val="0"/>
          <w:i w:val="0"/>
          <w:iCs w:val="0"/>
          <w:caps w:val="0"/>
          <w:color w:val="000000"/>
          <w:spacing w:val="0"/>
          <w:kern w:val="0"/>
          <w:sz w:val="32"/>
          <w:szCs w:val="32"/>
          <w:shd w:val="clear" w:color="auto" w:fill="FFFFFF"/>
          <w:lang w:val="en-US" w:eastAsia="zh-CN" w:bidi="ar"/>
        </w:rPr>
        <w:t>年本单位整体支出达到预期目标，在计划时间内很好的完成各项指标</w:t>
      </w:r>
      <w:r>
        <w:rPr>
          <w:rFonts w:hint="default" w:ascii="Times New Roman" w:hAnsi="Times New Roman" w:eastAsia="仿宋_GB2312" w:cs="Times New Roman"/>
          <w:bCs w:val="0"/>
          <w:i w:val="0"/>
          <w:iCs w:val="0"/>
          <w:caps w:val="0"/>
          <w:color w:val="auto"/>
          <w:spacing w:val="0"/>
          <w:kern w:val="0"/>
          <w:sz w:val="32"/>
          <w:szCs w:val="32"/>
          <w:shd w:val="clear" w:color="auto" w:fill="FFFFFF"/>
          <w:lang w:val="en-US" w:eastAsia="zh-CN" w:bidi="ar"/>
        </w:rPr>
        <w:t>，自评得分96分，评价等级“优”。绩效自评结果将按照怀化市财政局的要求，在相关网站予以公示。</w:t>
      </w:r>
    </w:p>
    <w:p w14:paraId="7209F525">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left="0" w:leftChars="0" w:right="0" w:rightChars="0" w:firstLine="640" w:firstLineChars="200"/>
        <w:textAlignment w:val="auto"/>
        <w:rPr>
          <w:rFonts w:hint="default" w:ascii="Times New Roman" w:hAnsi="Times New Roman" w:eastAsia="黑体" w:cs="Times New Roman"/>
          <w:i w:val="0"/>
          <w:iCs w:val="0"/>
          <w:caps w:val="0"/>
          <w:color w:val="000000"/>
          <w:spacing w:val="0"/>
          <w:sz w:val="32"/>
          <w:szCs w:val="32"/>
          <w:shd w:val="clear" w:color="auto" w:fill="FFFFFF"/>
        </w:rPr>
      </w:pPr>
      <w:r>
        <w:rPr>
          <w:rFonts w:hint="default" w:ascii="Times New Roman" w:hAnsi="Times New Roman" w:eastAsia="黑体" w:cs="Times New Roman"/>
          <w:i w:val="0"/>
          <w:iCs w:val="0"/>
          <w:caps w:val="0"/>
          <w:color w:val="000000"/>
          <w:spacing w:val="0"/>
          <w:sz w:val="32"/>
          <w:szCs w:val="32"/>
          <w:shd w:val="clear" w:color="auto" w:fill="FFFFFF"/>
          <w:lang w:eastAsia="zh-CN"/>
        </w:rPr>
        <w:t>十二、</w:t>
      </w:r>
      <w:r>
        <w:rPr>
          <w:rFonts w:hint="default" w:ascii="Times New Roman" w:hAnsi="Times New Roman" w:eastAsia="黑体" w:cs="Times New Roman"/>
          <w:i w:val="0"/>
          <w:iCs w:val="0"/>
          <w:caps w:val="0"/>
          <w:color w:val="000000"/>
          <w:spacing w:val="0"/>
          <w:sz w:val="32"/>
          <w:szCs w:val="32"/>
          <w:shd w:val="clear" w:color="auto" w:fill="FFFFFF"/>
        </w:rPr>
        <w:t>其他需要说明的情况</w:t>
      </w:r>
    </w:p>
    <w:p w14:paraId="59BB117D">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left="0" w:right="0" w:rightChars="0"/>
        <w:textAlignment w:val="auto"/>
        <w:rPr>
          <w:rFonts w:hint="default" w:ascii="Times New Roman" w:hAnsi="Times New Roman" w:eastAsia="黑体" w:cs="Times New Roman"/>
          <w:i w:val="0"/>
          <w:iCs w:val="0"/>
          <w:caps w:val="0"/>
          <w:color w:val="000000"/>
          <w:spacing w:val="0"/>
          <w:sz w:val="32"/>
          <w:szCs w:val="32"/>
          <w:shd w:val="clear" w:color="auto" w:fill="FFFFFF"/>
          <w:lang w:val="en-US" w:eastAsia="zh-CN"/>
        </w:rPr>
      </w:pPr>
      <w:r>
        <w:rPr>
          <w:rFonts w:hint="default" w:ascii="Times New Roman" w:hAnsi="Times New Roman" w:eastAsia="黑体" w:cs="Times New Roman"/>
          <w:i w:val="0"/>
          <w:iCs w:val="0"/>
          <w:caps w:val="0"/>
          <w:color w:val="000000"/>
          <w:spacing w:val="0"/>
          <w:sz w:val="32"/>
          <w:szCs w:val="32"/>
          <w:shd w:val="clear" w:color="auto" w:fill="FFFFFF"/>
          <w:lang w:val="en-US" w:eastAsia="zh-CN"/>
        </w:rPr>
        <w:t xml:space="preserve">    </w:t>
      </w: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无。</w:t>
      </w:r>
    </w:p>
    <w:p w14:paraId="06EAF17B">
      <w:pPr>
        <w:keepNext w:val="0"/>
        <w:keepLines w:val="0"/>
        <w:pageBreakBefore w:val="0"/>
        <w:widowControl w:val="0"/>
        <w:kinsoku/>
        <w:wordWrap/>
        <w:overflowPunct/>
        <w:topLinePunct w:val="0"/>
        <w:autoSpaceDE/>
        <w:autoSpaceDN/>
        <w:bidi w:val="0"/>
        <w:adjustRightInd/>
        <w:snapToGrid/>
        <w:spacing w:line="580" w:lineRule="exact"/>
        <w:ind w:left="0"/>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eastAsia" w:ascii="Times New Roman" w:hAnsi="Times New Roman" w:eastAsia="仿宋_GB2312" w:cs="Times New Roman"/>
          <w:snapToGrid/>
          <w:color w:val="000000"/>
          <w:kern w:val="0"/>
          <w:sz w:val="24"/>
          <w:szCs w:val="24"/>
          <w:lang w:val="en-US" w:eastAsia="zh-CN" w:bidi="ar-SA"/>
        </w:rPr>
        <w:t xml:space="preserve">   </w:t>
      </w:r>
    </w:p>
    <w:p w14:paraId="531AAD93">
      <w:pPr>
        <w:jc w:val="left"/>
        <w:rPr>
          <w:rFonts w:ascii="Times New Roman" w:hAnsi="Times New Roman" w:cs="Times New Roman"/>
          <w:color w:val="000000"/>
          <w:kern w:val="0"/>
          <w:sz w:val="32"/>
          <w:szCs w:val="32"/>
        </w:rPr>
      </w:pPr>
      <w:bookmarkStart w:id="4" w:name="_GoBack"/>
      <w:bookmarkEnd w:id="4"/>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Cambria">
    <w:altName w:val="C059"/>
    <w:panose1 w:val="00000000000000000000"/>
    <w:charset w:val="00"/>
    <w:family w:val="auto"/>
    <w:pitch w:val="default"/>
    <w:sig w:usb0="00000000" w:usb1="00000000" w:usb2="00000000" w:usb3="00000000" w:csb0="00000000" w:csb1="00000000"/>
  </w:font>
  <w:font w:name="方正仿宋_GB2312">
    <w:altName w:val="仿宋"/>
    <w:panose1 w:val="02000000000000000000"/>
    <w:charset w:val="86"/>
    <w:family w:val="auto"/>
    <w:pitch w:val="default"/>
    <w:sig w:usb0="00000000" w:usb1="00000000" w:usb2="00000012" w:usb3="00000000" w:csb0="00040001" w:csb1="00000000"/>
  </w:font>
  <w:font w:name="C059">
    <w:panose1 w:val="000005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C93B2">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B3302">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29EDB">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526D4">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4C23B2">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E4C23B2">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77F899"/>
    <w:multiLevelType w:val="singleLevel"/>
    <w:tmpl w:val="FE77F899"/>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7FFFF70"/>
    <w:rsid w:val="1D97DEFF"/>
    <w:rsid w:val="1DFF72E5"/>
    <w:rsid w:val="1EFC6F07"/>
    <w:rsid w:val="1F7D7835"/>
    <w:rsid w:val="2AF562CB"/>
    <w:rsid w:val="2FDF85B8"/>
    <w:rsid w:val="2FFFEE04"/>
    <w:rsid w:val="3198EDBC"/>
    <w:rsid w:val="34DF85B0"/>
    <w:rsid w:val="34E5937D"/>
    <w:rsid w:val="3B7F2728"/>
    <w:rsid w:val="3B8F36BC"/>
    <w:rsid w:val="3DBE2868"/>
    <w:rsid w:val="3F97DD50"/>
    <w:rsid w:val="3FF41CDB"/>
    <w:rsid w:val="47DF3E00"/>
    <w:rsid w:val="491FF225"/>
    <w:rsid w:val="4D3F2D44"/>
    <w:rsid w:val="4FFD214C"/>
    <w:rsid w:val="5777D4F5"/>
    <w:rsid w:val="59DD8326"/>
    <w:rsid w:val="5DCDFDF8"/>
    <w:rsid w:val="5DEF592A"/>
    <w:rsid w:val="5EF75781"/>
    <w:rsid w:val="5EFF771F"/>
    <w:rsid w:val="5FC6BB1E"/>
    <w:rsid w:val="5FE35985"/>
    <w:rsid w:val="5FF720F1"/>
    <w:rsid w:val="67FF5C0B"/>
    <w:rsid w:val="67FFD18C"/>
    <w:rsid w:val="69FB68BA"/>
    <w:rsid w:val="6DB57941"/>
    <w:rsid w:val="6EDD7E6F"/>
    <w:rsid w:val="6EDDC387"/>
    <w:rsid w:val="6EFC0924"/>
    <w:rsid w:val="6F6F08C7"/>
    <w:rsid w:val="6FB74722"/>
    <w:rsid w:val="6FBDF3EB"/>
    <w:rsid w:val="6FEF8B7E"/>
    <w:rsid w:val="6FF57296"/>
    <w:rsid w:val="6FFDA5A6"/>
    <w:rsid w:val="71A6591B"/>
    <w:rsid w:val="737D59BA"/>
    <w:rsid w:val="77C37683"/>
    <w:rsid w:val="77C7A880"/>
    <w:rsid w:val="77F75F4A"/>
    <w:rsid w:val="77FFFD9F"/>
    <w:rsid w:val="79D19834"/>
    <w:rsid w:val="79FF515B"/>
    <w:rsid w:val="7BDD63A7"/>
    <w:rsid w:val="7BF549BF"/>
    <w:rsid w:val="7E9E1962"/>
    <w:rsid w:val="7E9F11B4"/>
    <w:rsid w:val="7EFF8171"/>
    <w:rsid w:val="7F37EC1E"/>
    <w:rsid w:val="7F7DCD9D"/>
    <w:rsid w:val="7F970A6F"/>
    <w:rsid w:val="7FC1FFF3"/>
    <w:rsid w:val="7FC69637"/>
    <w:rsid w:val="7FDF8620"/>
    <w:rsid w:val="7FE8C8F7"/>
    <w:rsid w:val="7FF786E8"/>
    <w:rsid w:val="7FFB242F"/>
    <w:rsid w:val="7FFDB408"/>
    <w:rsid w:val="7FFE4EEB"/>
    <w:rsid w:val="8A3F5CA8"/>
    <w:rsid w:val="937F28AD"/>
    <w:rsid w:val="956B7B8D"/>
    <w:rsid w:val="95FB2B98"/>
    <w:rsid w:val="9A639BC2"/>
    <w:rsid w:val="9BFA491D"/>
    <w:rsid w:val="9FF7D786"/>
    <w:rsid w:val="ABBFB23D"/>
    <w:rsid w:val="ABDBE1E8"/>
    <w:rsid w:val="AF6EBCD0"/>
    <w:rsid w:val="B6AFFE39"/>
    <w:rsid w:val="BAF87C80"/>
    <w:rsid w:val="BFDFBE3E"/>
    <w:rsid w:val="C3B4DA5A"/>
    <w:rsid w:val="C63BC160"/>
    <w:rsid w:val="CBFF70E0"/>
    <w:rsid w:val="CC369908"/>
    <w:rsid w:val="CF7FF971"/>
    <w:rsid w:val="CFF50B82"/>
    <w:rsid w:val="CFFFAD89"/>
    <w:rsid w:val="D4D34517"/>
    <w:rsid w:val="D7AF7E45"/>
    <w:rsid w:val="DBFF357E"/>
    <w:rsid w:val="DFFE359E"/>
    <w:rsid w:val="DFFE4FFD"/>
    <w:rsid w:val="E3DFB289"/>
    <w:rsid w:val="E7FF5163"/>
    <w:rsid w:val="EB669717"/>
    <w:rsid w:val="EBCFBBF3"/>
    <w:rsid w:val="EEABED75"/>
    <w:rsid w:val="EF6F5EE1"/>
    <w:rsid w:val="EF9FF0E3"/>
    <w:rsid w:val="F3F08879"/>
    <w:rsid w:val="F56FDF51"/>
    <w:rsid w:val="F6B69F17"/>
    <w:rsid w:val="F75E1DC4"/>
    <w:rsid w:val="F77F1D61"/>
    <w:rsid w:val="F7DF2B00"/>
    <w:rsid w:val="F7EEC522"/>
    <w:rsid w:val="F7FB33C8"/>
    <w:rsid w:val="F7FED3A9"/>
    <w:rsid w:val="F8C9DB26"/>
    <w:rsid w:val="F97E8EAE"/>
    <w:rsid w:val="F9FFBDCE"/>
    <w:rsid w:val="FAF714D3"/>
    <w:rsid w:val="FB36E1A6"/>
    <w:rsid w:val="FB3BE134"/>
    <w:rsid w:val="FC37F6E1"/>
    <w:rsid w:val="FCFF4275"/>
    <w:rsid w:val="FD3BE3D5"/>
    <w:rsid w:val="FD6F7F23"/>
    <w:rsid w:val="FD7FEEEA"/>
    <w:rsid w:val="FD9E39F1"/>
    <w:rsid w:val="FD9F8D2C"/>
    <w:rsid w:val="FDDA76F5"/>
    <w:rsid w:val="FDFB60EB"/>
    <w:rsid w:val="FDFFB577"/>
    <w:rsid w:val="FEEA50FE"/>
    <w:rsid w:val="FEF887CD"/>
    <w:rsid w:val="FEFF80DC"/>
    <w:rsid w:val="FF7D47A9"/>
    <w:rsid w:val="FF7F63BE"/>
    <w:rsid w:val="FFCF21CB"/>
    <w:rsid w:val="FFE5F5C8"/>
    <w:rsid w:val="FFEE9559"/>
    <w:rsid w:val="FFF6B96D"/>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unhideWhenUsed/>
    <w:qFormat/>
    <w:uiPriority w:val="99"/>
    <w:pPr>
      <w:widowControl/>
      <w:spacing w:after="120"/>
      <w:ind w:left="420" w:leftChars="200"/>
      <w:jc w:val="left"/>
    </w:pPr>
    <w:rPr>
      <w:rFonts w:ascii="宋体" w:hAnsi="宋体" w:eastAsia="宋体" w:cs="宋体"/>
      <w:kern w:val="0"/>
      <w:sz w:val="24"/>
    </w:rPr>
  </w:style>
  <w:style w:type="paragraph" w:styleId="4">
    <w:name w:val="Plain Text"/>
    <w:basedOn w:val="1"/>
    <w:qFormat/>
    <w:uiPriority w:val="0"/>
    <w:rPr>
      <w:rFonts w:ascii="宋体" w:hAnsi="Courier New" w:cs="Courier New"/>
      <w:szCs w:val="21"/>
    </w:rPr>
  </w:style>
  <w:style w:type="paragraph" w:styleId="5">
    <w:name w:val="Balloon Text"/>
    <w:basedOn w:val="1"/>
    <w:link w:val="17"/>
    <w:semiHidden/>
    <w:unhideWhenUsed/>
    <w:qFormat/>
    <w:uiPriority w:val="99"/>
    <w:rPr>
      <w:sz w:val="18"/>
      <w:szCs w:val="18"/>
    </w:rPr>
  </w:style>
  <w:style w:type="paragraph" w:styleId="6">
    <w:name w:val="footer"/>
    <w:basedOn w:val="1"/>
    <w:next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9"/>
    <w:semiHidden/>
    <w:qFormat/>
    <w:uiPriority w:val="0"/>
    <w:pPr>
      <w:snapToGrid w:val="0"/>
      <w:jc w:val="left"/>
    </w:pPr>
    <w:rPr>
      <w:sz w:val="18"/>
      <w:szCs w:val="18"/>
    </w:rPr>
  </w:style>
  <w:style w:type="paragraph" w:styleId="9">
    <w:name w:val="Body Text First Indent 2"/>
    <w:basedOn w:val="3"/>
    <w:unhideWhenUsed/>
    <w:qFormat/>
    <w:uiPriority w:val="99"/>
    <w:pPr>
      <w:ind w:firstLine="420" w:firstLineChars="200"/>
    </w:p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3">
    <w:name w:val="页眉 Char"/>
    <w:basedOn w:val="12"/>
    <w:link w:val="7"/>
    <w:qFormat/>
    <w:uiPriority w:val="99"/>
    <w:rPr>
      <w:sz w:val="18"/>
      <w:szCs w:val="18"/>
    </w:rPr>
  </w:style>
  <w:style w:type="character" w:customStyle="1" w:styleId="14">
    <w:name w:val="页脚 Char"/>
    <w:basedOn w:val="12"/>
    <w:link w:val="6"/>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5"/>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39</Pages>
  <Words>1463</Words>
  <Characters>8342</Characters>
  <Lines>69</Lines>
  <Paragraphs>19</Paragraphs>
  <TotalTime>0</TotalTime>
  <ScaleCrop>false</ScaleCrop>
  <LinksUpToDate>false</LinksUpToDate>
  <CharactersWithSpaces>9786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2025-08-22T02:17:00Z</dcterms:created>
  <dc:creator>李航 null</dc:creator>
  <cp:lastModifiedBy>greatwall</cp:lastModifiedBy>
  <cp:lastPrinted>2024-08-12T10:20:00Z</cp:lastPrinted>
  <dcterms:modified xsi:type="dcterms:W3CDTF">2026-09-22T15:21:44Z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94E5654C3DFE80D15855AA6AFFF1ACB5_43</vt:lpwstr>
  </property>
</Properties>
</file>