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094E7">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18EEBC5A">
      <w:pPr>
        <w:pStyle w:val="14"/>
        <w:jc w:val="center"/>
        <w:rPr>
          <w:rFonts w:ascii="Times New Roman" w:hAnsi="Times New Roman" w:cs="Times New Roman"/>
          <w:sz w:val="56"/>
          <w:szCs w:val="56"/>
        </w:rPr>
      </w:pPr>
    </w:p>
    <w:p w14:paraId="6BA55D40">
      <w:pPr>
        <w:pStyle w:val="14"/>
        <w:jc w:val="center"/>
        <w:rPr>
          <w:rFonts w:ascii="Times New Roman" w:hAnsi="Times New Roman" w:cs="Times New Roman"/>
          <w:sz w:val="84"/>
          <w:szCs w:val="84"/>
        </w:rPr>
      </w:pPr>
    </w:p>
    <w:p w14:paraId="54145962">
      <w:pPr>
        <w:pStyle w:val="14"/>
        <w:jc w:val="center"/>
        <w:rPr>
          <w:rFonts w:ascii="Times New Roman" w:hAnsi="Times New Roman" w:cs="Times New Roman"/>
          <w:sz w:val="84"/>
          <w:szCs w:val="84"/>
        </w:rPr>
      </w:pPr>
    </w:p>
    <w:p w14:paraId="604C0D4F">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73637F2A">
      <w:pPr>
        <w:pStyle w:val="14"/>
        <w:jc w:val="center"/>
        <w:rPr>
          <w:rFonts w:ascii="方正小标宋_GBK" w:hAnsi="方正小标宋_GBK" w:eastAsia="方正小标宋_GBK" w:cs="方正小标宋_GBK"/>
          <w:sz w:val="84"/>
          <w:szCs w:val="84"/>
        </w:rPr>
      </w:pPr>
      <w:r>
        <w:rPr>
          <w:rFonts w:hint="eastAsia" w:ascii="Times New Roman" w:hAnsi="Times New Roman" w:eastAsia="方正小标宋简体" w:cs="Times New Roman"/>
          <w:sz w:val="72"/>
          <w:szCs w:val="72"/>
        </w:rPr>
        <w:t>中共怀化市委老干部局</w:t>
      </w:r>
    </w:p>
    <w:p w14:paraId="723E86A3">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629D69AC">
      <w:pPr>
        <w:pStyle w:val="14"/>
        <w:jc w:val="center"/>
        <w:rPr>
          <w:rFonts w:ascii="Times New Roman" w:hAnsi="Times New Roman" w:eastAsia="方正小标宋_GBK" w:cs="Times New Roman"/>
          <w:sz w:val="56"/>
          <w:szCs w:val="56"/>
        </w:rPr>
      </w:pPr>
    </w:p>
    <w:p w14:paraId="1AB91D3C">
      <w:pPr>
        <w:pStyle w:val="14"/>
        <w:jc w:val="center"/>
        <w:rPr>
          <w:rFonts w:ascii="Times New Roman" w:hAnsi="Times New Roman" w:cs="Times New Roman"/>
          <w:sz w:val="56"/>
          <w:szCs w:val="56"/>
        </w:rPr>
      </w:pPr>
    </w:p>
    <w:p w14:paraId="770EEBAF">
      <w:pPr>
        <w:pStyle w:val="14"/>
        <w:rPr>
          <w:rFonts w:ascii="Times New Roman" w:hAnsi="Times New Roman" w:cs="Times New Roman"/>
          <w:sz w:val="56"/>
          <w:szCs w:val="56"/>
        </w:rPr>
      </w:pPr>
    </w:p>
    <w:p w14:paraId="1DE7D6CF">
      <w:pPr>
        <w:pStyle w:val="14"/>
        <w:jc w:val="center"/>
        <w:rPr>
          <w:rFonts w:ascii="Times New Roman" w:hAnsi="Times New Roman" w:cs="Times New Roman"/>
          <w:sz w:val="32"/>
          <w:szCs w:val="32"/>
        </w:rPr>
      </w:pPr>
    </w:p>
    <w:p w14:paraId="58717A10">
      <w:pPr>
        <w:pStyle w:val="14"/>
        <w:jc w:val="center"/>
        <w:rPr>
          <w:rFonts w:ascii="Times New Roman" w:hAnsi="Times New Roman" w:cs="Times New Roman"/>
          <w:sz w:val="32"/>
          <w:szCs w:val="32"/>
        </w:rPr>
      </w:pPr>
    </w:p>
    <w:p w14:paraId="47E30F33">
      <w:pPr>
        <w:pStyle w:val="14"/>
        <w:jc w:val="center"/>
        <w:rPr>
          <w:rFonts w:ascii="Times New Roman" w:hAnsi="Times New Roman" w:cs="Times New Roman"/>
          <w:sz w:val="32"/>
          <w:szCs w:val="32"/>
        </w:rPr>
      </w:pPr>
    </w:p>
    <w:p w14:paraId="0F48663D">
      <w:pPr>
        <w:pStyle w:val="14"/>
        <w:jc w:val="center"/>
        <w:rPr>
          <w:rFonts w:ascii="Times New Roman" w:hAnsi="Times New Roman" w:cs="Times New Roman"/>
          <w:sz w:val="32"/>
          <w:szCs w:val="32"/>
        </w:rPr>
      </w:pPr>
    </w:p>
    <w:p w14:paraId="5DF38FAB">
      <w:pPr>
        <w:pStyle w:val="14"/>
        <w:jc w:val="center"/>
        <w:rPr>
          <w:rFonts w:ascii="Times New Roman" w:hAnsi="Times New Roman" w:cs="Times New Roman"/>
          <w:sz w:val="32"/>
          <w:szCs w:val="32"/>
        </w:rPr>
      </w:pPr>
    </w:p>
    <w:p w14:paraId="7004442F">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63683F0E">
      <w:pPr>
        <w:pStyle w:val="14"/>
        <w:spacing w:line="600" w:lineRule="exact"/>
        <w:jc w:val="both"/>
        <w:rPr>
          <w:rFonts w:ascii="Times New Roman" w:hAnsi="Times New Roman" w:cs="Times New Roman"/>
          <w:b/>
          <w:sz w:val="36"/>
          <w:szCs w:val="28"/>
        </w:rPr>
      </w:pPr>
    </w:p>
    <w:p w14:paraId="7C3C2957">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A19A96F">
      <w:pPr>
        <w:pStyle w:val="14"/>
        <w:spacing w:line="600" w:lineRule="exact"/>
        <w:jc w:val="center"/>
        <w:rPr>
          <w:rFonts w:ascii="Times New Roman" w:hAnsi="Times New Roman" w:cs="Times New Roman"/>
          <w:b/>
          <w:sz w:val="36"/>
          <w:szCs w:val="28"/>
        </w:rPr>
      </w:pPr>
    </w:p>
    <w:p w14:paraId="510A7CD7">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中共怀化市委老干部局</w:t>
      </w:r>
      <w:r>
        <w:rPr>
          <w:rFonts w:ascii="Times New Roman" w:hAnsi="Times New Roman" w:cs="Times New Roman"/>
          <w:bCs/>
          <w:sz w:val="32"/>
          <w:szCs w:val="32"/>
        </w:rPr>
        <w:t>概况</w:t>
      </w:r>
    </w:p>
    <w:p w14:paraId="26573D6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4052DC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AC91944">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797C2BB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E548DB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CBEB41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94544A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18E382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07C37C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E6A82F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D35DAC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276EF7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4B046A5E">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71728D7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23E7EC7">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6A780C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B39EF6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FEBE56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B810997">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60F7C38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CCC614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FEEAEF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6F1EA62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42FE186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37EE3B4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25CDB07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498EAC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16DD778F">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3046556">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5CEA4452">
      <w:pPr>
        <w:pStyle w:val="14"/>
        <w:spacing w:line="600" w:lineRule="exact"/>
        <w:rPr>
          <w:rFonts w:ascii="Times New Roman" w:hAnsi="Times New Roman" w:cs="Times New Roman"/>
          <w:bCs/>
          <w:sz w:val="28"/>
          <w:szCs w:val="28"/>
        </w:rPr>
      </w:pPr>
    </w:p>
    <w:p w14:paraId="455D3B64">
      <w:pPr>
        <w:jc w:val="center"/>
        <w:rPr>
          <w:rFonts w:ascii="Times New Roman" w:hAnsi="Times New Roman" w:cs="Times New Roman"/>
          <w:sz w:val="72"/>
          <w:szCs w:val="72"/>
        </w:rPr>
      </w:pPr>
    </w:p>
    <w:p w14:paraId="2B69E02F">
      <w:pPr>
        <w:jc w:val="center"/>
        <w:rPr>
          <w:rFonts w:ascii="Times New Roman" w:hAnsi="Times New Roman" w:cs="Times New Roman"/>
          <w:sz w:val="72"/>
          <w:szCs w:val="72"/>
        </w:rPr>
      </w:pPr>
    </w:p>
    <w:p w14:paraId="5EC245B1">
      <w:pPr>
        <w:jc w:val="center"/>
        <w:rPr>
          <w:rFonts w:ascii="Times New Roman" w:hAnsi="Times New Roman" w:cs="Times New Roman"/>
          <w:sz w:val="72"/>
          <w:szCs w:val="72"/>
        </w:rPr>
      </w:pPr>
    </w:p>
    <w:p w14:paraId="630532B9">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0FFFEED9">
      <w:pPr>
        <w:rPr>
          <w:rFonts w:ascii="Times New Roman" w:hAnsi="Times New Roman" w:eastAsia="方正小标宋_GBK" w:cs="Times New Roman"/>
          <w:sz w:val="72"/>
          <w:szCs w:val="72"/>
        </w:rPr>
      </w:pPr>
    </w:p>
    <w:p w14:paraId="22ED84E8">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D7B815C">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中共怀化市委老干部局</w:t>
      </w:r>
      <w:r>
        <w:rPr>
          <w:rFonts w:ascii="Times New Roman" w:hAnsi="Times New Roman" w:eastAsia="方正小标宋_GBK" w:cs="Times New Roman"/>
          <w:sz w:val="52"/>
          <w:szCs w:val="52"/>
        </w:rPr>
        <w:t>概况</w:t>
      </w:r>
    </w:p>
    <w:p w14:paraId="00FE46F2">
      <w:pPr>
        <w:pStyle w:val="8"/>
        <w:ind w:left="0" w:leftChars="0" w:firstLine="0" w:firstLineChars="0"/>
        <w:rPr>
          <w:rFonts w:ascii="Times New Roman" w:hAnsi="Times New Roman" w:cs="Times New Roman"/>
        </w:rPr>
      </w:pPr>
    </w:p>
    <w:p w14:paraId="02922D24">
      <w:pPr>
        <w:pStyle w:val="15"/>
        <w:spacing w:line="60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737D2958">
      <w:pPr>
        <w:keepNext w:val="0"/>
        <w:keepLines w:val="0"/>
        <w:pageBreakBefore w:val="0"/>
        <w:widowControl/>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仿宋_GB2312"/>
          <w:sz w:val="32"/>
          <w:szCs w:val="32"/>
        </w:rPr>
      </w:pPr>
      <w:r>
        <w:rPr>
          <w:rFonts w:hint="eastAsia" w:ascii="Times New Roman" w:hAnsi="Times New Roman" w:eastAsia="仿宋_GB2312" w:cs="仿宋_GB2312"/>
          <w:sz w:val="32"/>
          <w:szCs w:val="32"/>
        </w:rPr>
        <w:t>怀化市委老干部局主要履行以下10项职能：</w:t>
      </w:r>
    </w:p>
    <w:p w14:paraId="0DDC037A">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贯彻执行党中央、国务院和省委、省政府及市委、市政府关于老干部工作的方针、政策、法规；开展调查研究，为市委、市政府制订有关老干部工作的政策规定提供情况和依据；负责对全市老干部工作进行督查、指导和协调，督促老干部政治待遇和生活待遇落实，组织指导老干部开展活动、发挥作用；指导、督查离退休干部的党组织建设，开展老干部思想政治工作，加强老干部的学习教育；负责老干部和老干部工作的宣传，开展尊老、敬老、爱老活动，依法维护老干部的合法权益；指导全市老干部工作部门的自身建设工作；按照有关规定，做好来怀老干部的接待服务工作；承担市老干部工作领导小组办公室的日常工作；承担市关心下一代工作委员会的日常工作；负责对所属事业单位的国有资产和财务进行管理和监督，充分发挥各种场地和设施的作用，发展老干部事业；承办市委和市委组织部交办的其他事项。</w:t>
      </w:r>
    </w:p>
    <w:p w14:paraId="69F9758F">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57F0FD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（一）内设机构设置。中共怀化市委老干部局单位内设机构包括：办公室、活动指导科（组织宣传科）、待遇科、老年教育科、市关心下一代委员会办公室。</w:t>
      </w:r>
    </w:p>
    <w:p w14:paraId="02F7260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（二）决算单位构成。中共怀化市委老干部局单位202</w:t>
      </w:r>
      <w:r>
        <w:rPr>
          <w:rFonts w:hint="eastAsia" w:ascii="Times New Roman" w:hAnsi="Times New Roman" w:eastAsia="仿宋_GB2312" w:cs="仿宋_GB2312"/>
          <w:bCs/>
          <w:kern w:val="0"/>
          <w:sz w:val="32"/>
          <w:szCs w:val="32"/>
          <w:lang w:val="en-US" w:eastAsia="zh-CN"/>
        </w:rPr>
        <w:t>4</w:t>
      </w:r>
      <w:r>
        <w:rPr>
          <w:rFonts w:hint="eastAsia" w:ascii="Times New Roman" w:hAnsi="Times New Roman" w:eastAsia="仿宋_GB2312" w:cs="仿宋_GB2312"/>
          <w:bCs/>
          <w:kern w:val="0"/>
          <w:sz w:val="32"/>
          <w:szCs w:val="32"/>
        </w:rPr>
        <w:t>年部门决算汇总公开单位构成包括：中共怀化市委老干部局单位本级。</w:t>
      </w:r>
    </w:p>
    <w:p w14:paraId="515F8504">
      <w:pPr>
        <w:jc w:val="left"/>
        <w:rPr>
          <w:rFonts w:ascii="Times New Roman" w:hAnsi="Times New Roman" w:eastAsia="仿宋_GB2312" w:cs="Times New Roman"/>
          <w:sz w:val="28"/>
          <w:szCs w:val="32"/>
        </w:rPr>
      </w:pPr>
    </w:p>
    <w:p w14:paraId="1403FD19">
      <w:pPr>
        <w:jc w:val="center"/>
        <w:rPr>
          <w:rFonts w:ascii="Times New Roman" w:hAnsi="Times New Roman" w:eastAsia="黑体" w:cs="Times New Roman"/>
          <w:sz w:val="28"/>
          <w:szCs w:val="28"/>
        </w:rPr>
      </w:pPr>
    </w:p>
    <w:p w14:paraId="6000195C">
      <w:pPr>
        <w:jc w:val="center"/>
        <w:rPr>
          <w:rFonts w:ascii="Times New Roman" w:hAnsi="Times New Roman" w:eastAsia="黑体" w:cs="Times New Roman"/>
          <w:sz w:val="28"/>
          <w:szCs w:val="28"/>
        </w:rPr>
      </w:pPr>
    </w:p>
    <w:p w14:paraId="6DDBA93D">
      <w:pPr>
        <w:jc w:val="center"/>
        <w:rPr>
          <w:rFonts w:ascii="Times New Roman" w:hAnsi="Times New Roman" w:eastAsia="黑体" w:cs="Times New Roman"/>
          <w:sz w:val="28"/>
          <w:szCs w:val="28"/>
        </w:rPr>
      </w:pPr>
    </w:p>
    <w:p w14:paraId="58614F5E">
      <w:pPr>
        <w:jc w:val="center"/>
        <w:rPr>
          <w:rFonts w:ascii="Times New Roman" w:hAnsi="Times New Roman" w:eastAsia="黑体" w:cs="Times New Roman"/>
          <w:sz w:val="28"/>
          <w:szCs w:val="28"/>
        </w:rPr>
      </w:pPr>
    </w:p>
    <w:p w14:paraId="7EE9D2B2">
      <w:pPr>
        <w:jc w:val="center"/>
        <w:rPr>
          <w:rFonts w:ascii="Times New Roman" w:hAnsi="Times New Roman" w:eastAsia="黑体" w:cs="Times New Roman"/>
          <w:sz w:val="28"/>
          <w:szCs w:val="28"/>
        </w:rPr>
      </w:pPr>
    </w:p>
    <w:p w14:paraId="69D88BA0">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45496300">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ED022D0">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6756C75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323135D8">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中共怀化市委老干部局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28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70"/>
        <w:gridCol w:w="737"/>
        <w:gridCol w:w="1588"/>
        <w:gridCol w:w="3660"/>
        <w:gridCol w:w="667"/>
        <w:gridCol w:w="1673"/>
      </w:tblGrid>
      <w:tr w14:paraId="69000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895"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FB2471">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6000"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C7D51B">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5DC8A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BD7F10">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C2D255">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4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E33605">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3D0109">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77E770">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58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868FE8">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39B7E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7E1C89">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68C129">
            <w:pPr>
              <w:keepNext w:val="0"/>
              <w:keepLines w:val="0"/>
              <w:pageBreakBefore w:val="0"/>
              <w:widowControl w:val="0"/>
              <w:kinsoku/>
              <w:wordWrap/>
              <w:overflowPunct/>
              <w:topLinePunct w:val="0"/>
              <w:autoSpaceDE/>
              <w:autoSpaceDN/>
              <w:bidi w:val="0"/>
              <w:adjustRightInd/>
              <w:snapToGrid/>
              <w:spacing w:line="420" w:lineRule="exact"/>
              <w:jc w:val="center"/>
              <w:rPr>
                <w:rFonts w:hint="eastAsia" w:ascii="宋体" w:hAnsi="宋体" w:eastAsia="宋体" w:cs="宋体"/>
                <w:i w:val="0"/>
                <w:iCs w:val="0"/>
                <w:color w:val="000000"/>
                <w:sz w:val="22"/>
                <w:szCs w:val="22"/>
                <w:u w:val="none"/>
              </w:rPr>
            </w:pPr>
          </w:p>
        </w:tc>
        <w:tc>
          <w:tcPr>
            <w:tcW w:w="141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F0F6DE">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CF30CD">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47F8FE">
            <w:pPr>
              <w:keepNext w:val="0"/>
              <w:keepLines w:val="0"/>
              <w:pageBreakBefore w:val="0"/>
              <w:widowControl w:val="0"/>
              <w:kinsoku/>
              <w:wordWrap/>
              <w:overflowPunct/>
              <w:topLinePunct w:val="0"/>
              <w:autoSpaceDE/>
              <w:autoSpaceDN/>
              <w:bidi w:val="0"/>
              <w:adjustRightInd/>
              <w:snapToGrid/>
              <w:spacing w:line="420" w:lineRule="exact"/>
              <w:jc w:val="center"/>
              <w:rPr>
                <w:rFonts w:hint="eastAsia" w:ascii="宋体" w:hAnsi="宋体" w:eastAsia="宋体" w:cs="宋体"/>
                <w:i w:val="0"/>
                <w:iCs w:val="0"/>
                <w:color w:val="000000"/>
                <w:sz w:val="22"/>
                <w:szCs w:val="22"/>
                <w:u w:val="none"/>
              </w:rPr>
            </w:pPr>
          </w:p>
        </w:tc>
        <w:tc>
          <w:tcPr>
            <w:tcW w:w="158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ABC8FE">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565A0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838870">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EEA2C0">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557AB5">
            <w:pPr>
              <w:keepNext w:val="0"/>
              <w:keepLines w:val="0"/>
              <w:pageBreakBefore w:val="0"/>
              <w:widowControl w:val="0"/>
              <w:suppressLineNumbers w:val="0"/>
              <w:kinsoku/>
              <w:wordWrap/>
              <w:overflowPunct/>
              <w:topLinePunct w:val="0"/>
              <w:autoSpaceDE/>
              <w:autoSpaceDN/>
              <w:bidi w:val="0"/>
              <w:adjustRightInd/>
              <w:snapToGrid/>
              <w:spacing w:line="42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562.93 </w:t>
            </w: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26A4E7">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44E785">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3D691B0">
            <w:pPr>
              <w:keepNext w:val="0"/>
              <w:keepLines w:val="0"/>
              <w:pageBreakBefore w:val="0"/>
              <w:widowControl w:val="0"/>
              <w:suppressLineNumbers w:val="0"/>
              <w:kinsoku/>
              <w:wordWrap/>
              <w:overflowPunct/>
              <w:topLinePunct w:val="0"/>
              <w:autoSpaceDE/>
              <w:autoSpaceDN/>
              <w:bidi w:val="0"/>
              <w:adjustRightInd/>
              <w:snapToGrid/>
              <w:spacing w:line="42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458.49 </w:t>
            </w:r>
          </w:p>
        </w:tc>
      </w:tr>
      <w:tr w14:paraId="05BD0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8EC837">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EBAE37">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CEFBC5">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D115BB">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A6A774">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7C9A50">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r>
      <w:tr w14:paraId="26FAA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8D518A">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72B87B">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7BA679">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541EEF">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00B35C2">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84383E">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r>
      <w:tr w14:paraId="4DE00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209CE1">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B99F96">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01B519">
            <w:pPr>
              <w:keepNext w:val="0"/>
              <w:keepLines w:val="0"/>
              <w:pageBreakBefore w:val="0"/>
              <w:widowControl w:val="0"/>
              <w:suppressLineNumbers w:val="0"/>
              <w:kinsoku/>
              <w:wordWrap/>
              <w:overflowPunct/>
              <w:topLinePunct w:val="0"/>
              <w:autoSpaceDE/>
              <w:autoSpaceDN/>
              <w:bidi w:val="0"/>
              <w:adjustRightInd/>
              <w:snapToGrid/>
              <w:spacing w:line="42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CBE245">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0C1C3C">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81DF30">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r>
      <w:tr w14:paraId="2A4D7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FDC4A5">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CA3AEB">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EEC188">
            <w:pPr>
              <w:keepNext w:val="0"/>
              <w:keepLines w:val="0"/>
              <w:pageBreakBefore w:val="0"/>
              <w:widowControl w:val="0"/>
              <w:suppressLineNumbers w:val="0"/>
              <w:kinsoku/>
              <w:wordWrap/>
              <w:overflowPunct/>
              <w:topLinePunct w:val="0"/>
              <w:autoSpaceDE/>
              <w:autoSpaceDN/>
              <w:bidi w:val="0"/>
              <w:adjustRightInd/>
              <w:snapToGrid/>
              <w:spacing w:line="42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61F5A5">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4A30A1">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E081F0">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r>
      <w:tr w14:paraId="57B89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6C6C85">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DC5DCC">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16B3C1">
            <w:pPr>
              <w:keepNext w:val="0"/>
              <w:keepLines w:val="0"/>
              <w:pageBreakBefore w:val="0"/>
              <w:widowControl w:val="0"/>
              <w:suppressLineNumbers w:val="0"/>
              <w:kinsoku/>
              <w:wordWrap/>
              <w:overflowPunct/>
              <w:topLinePunct w:val="0"/>
              <w:autoSpaceDE/>
              <w:autoSpaceDN/>
              <w:bidi w:val="0"/>
              <w:adjustRightInd/>
              <w:snapToGrid/>
              <w:spacing w:line="42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8D7AE6">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87A89C">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24446C">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r>
      <w:tr w14:paraId="46BA4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CB1A0E">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32A096">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D0096A">
            <w:pPr>
              <w:keepNext w:val="0"/>
              <w:keepLines w:val="0"/>
              <w:pageBreakBefore w:val="0"/>
              <w:widowControl w:val="0"/>
              <w:suppressLineNumbers w:val="0"/>
              <w:kinsoku/>
              <w:wordWrap/>
              <w:overflowPunct/>
              <w:topLinePunct w:val="0"/>
              <w:autoSpaceDE/>
              <w:autoSpaceDN/>
              <w:bidi w:val="0"/>
              <w:adjustRightInd/>
              <w:snapToGrid/>
              <w:spacing w:line="42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17EE9D">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B54C4E">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9375C75">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r>
      <w:tr w14:paraId="31D35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8FFCEB">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CDB131">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C4B585">
            <w:pPr>
              <w:keepNext w:val="0"/>
              <w:keepLines w:val="0"/>
              <w:pageBreakBefore w:val="0"/>
              <w:widowControl w:val="0"/>
              <w:suppressLineNumbers w:val="0"/>
              <w:kinsoku/>
              <w:wordWrap/>
              <w:overflowPunct/>
              <w:topLinePunct w:val="0"/>
              <w:autoSpaceDE/>
              <w:autoSpaceDN/>
              <w:bidi w:val="0"/>
              <w:adjustRightInd/>
              <w:snapToGrid/>
              <w:spacing w:line="42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743642">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3EA9DB">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7C7919">
            <w:pPr>
              <w:keepNext w:val="0"/>
              <w:keepLines w:val="0"/>
              <w:pageBreakBefore w:val="0"/>
              <w:widowControl w:val="0"/>
              <w:suppressLineNumbers w:val="0"/>
              <w:kinsoku/>
              <w:wordWrap/>
              <w:overflowPunct/>
              <w:topLinePunct w:val="0"/>
              <w:autoSpaceDE/>
              <w:autoSpaceDN/>
              <w:bidi w:val="0"/>
              <w:adjustRightInd/>
              <w:snapToGrid/>
              <w:spacing w:line="42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78.18 </w:t>
            </w:r>
          </w:p>
        </w:tc>
      </w:tr>
      <w:tr w14:paraId="73F1D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98C66D">
            <w:pPr>
              <w:keepNext w:val="0"/>
              <w:keepLines w:val="0"/>
              <w:pageBreakBefore w:val="0"/>
              <w:widowControl w:val="0"/>
              <w:kinsoku/>
              <w:wordWrap/>
              <w:overflowPunct/>
              <w:topLinePunct w:val="0"/>
              <w:autoSpaceDE/>
              <w:autoSpaceDN/>
              <w:bidi w:val="0"/>
              <w:adjustRightInd/>
              <w:snapToGrid/>
              <w:spacing w:line="420" w:lineRule="exact"/>
              <w:jc w:val="left"/>
              <w:rPr>
                <w:rFonts w:hint="eastAsia" w:ascii="宋体" w:hAnsi="宋体" w:eastAsia="宋体" w:cs="宋体"/>
                <w:i w:val="0"/>
                <w:iCs w:val="0"/>
                <w:color w:val="000000"/>
                <w:sz w:val="22"/>
                <w:szCs w:val="22"/>
                <w:u w:val="none"/>
              </w:rPr>
            </w:pP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20DFCB">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4A925D">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5E91FA">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F1574B">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B39E1E">
            <w:pPr>
              <w:keepNext w:val="0"/>
              <w:keepLines w:val="0"/>
              <w:pageBreakBefore w:val="0"/>
              <w:widowControl w:val="0"/>
              <w:suppressLineNumbers w:val="0"/>
              <w:kinsoku/>
              <w:wordWrap/>
              <w:overflowPunct/>
              <w:topLinePunct w:val="0"/>
              <w:autoSpaceDE/>
              <w:autoSpaceDN/>
              <w:bidi w:val="0"/>
              <w:adjustRightInd/>
              <w:snapToGrid/>
              <w:spacing w:line="42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8.71 </w:t>
            </w:r>
          </w:p>
        </w:tc>
      </w:tr>
      <w:tr w14:paraId="095AF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32451A">
            <w:pPr>
              <w:keepNext w:val="0"/>
              <w:keepLines w:val="0"/>
              <w:pageBreakBefore w:val="0"/>
              <w:widowControl w:val="0"/>
              <w:kinsoku/>
              <w:wordWrap/>
              <w:overflowPunct/>
              <w:topLinePunct w:val="0"/>
              <w:autoSpaceDE/>
              <w:autoSpaceDN/>
              <w:bidi w:val="0"/>
              <w:adjustRightInd/>
              <w:snapToGrid/>
              <w:spacing w:line="420" w:lineRule="exact"/>
              <w:jc w:val="left"/>
              <w:rPr>
                <w:rFonts w:hint="eastAsia" w:ascii="宋体" w:hAnsi="宋体" w:eastAsia="宋体" w:cs="宋体"/>
                <w:i w:val="0"/>
                <w:iCs w:val="0"/>
                <w:color w:val="000000"/>
                <w:sz w:val="22"/>
                <w:szCs w:val="22"/>
                <w:u w:val="none"/>
              </w:rPr>
            </w:pP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0D8225">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49E5A1">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4D9ED9">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BC81CA">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67C3A8">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r>
      <w:tr w14:paraId="42FAF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F2D2C5">
            <w:pPr>
              <w:keepNext w:val="0"/>
              <w:keepLines w:val="0"/>
              <w:pageBreakBefore w:val="0"/>
              <w:widowControl w:val="0"/>
              <w:kinsoku/>
              <w:wordWrap/>
              <w:overflowPunct/>
              <w:topLinePunct w:val="0"/>
              <w:autoSpaceDE/>
              <w:autoSpaceDN/>
              <w:bidi w:val="0"/>
              <w:adjustRightInd/>
              <w:snapToGrid/>
              <w:spacing w:line="420" w:lineRule="exact"/>
              <w:jc w:val="left"/>
              <w:rPr>
                <w:rFonts w:hint="eastAsia" w:ascii="宋体" w:hAnsi="宋体" w:eastAsia="宋体" w:cs="宋体"/>
                <w:i w:val="0"/>
                <w:iCs w:val="0"/>
                <w:color w:val="000000"/>
                <w:sz w:val="22"/>
                <w:szCs w:val="22"/>
                <w:u w:val="none"/>
              </w:rPr>
            </w:pP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16E03B">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20C456">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07C57F">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C58A52">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08866A8">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r>
      <w:tr w14:paraId="74132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34D9C9">
            <w:pPr>
              <w:keepNext w:val="0"/>
              <w:keepLines w:val="0"/>
              <w:pageBreakBefore w:val="0"/>
              <w:widowControl w:val="0"/>
              <w:kinsoku/>
              <w:wordWrap/>
              <w:overflowPunct/>
              <w:topLinePunct w:val="0"/>
              <w:autoSpaceDE/>
              <w:autoSpaceDN/>
              <w:bidi w:val="0"/>
              <w:adjustRightInd/>
              <w:snapToGrid/>
              <w:spacing w:line="420" w:lineRule="exact"/>
              <w:jc w:val="left"/>
              <w:rPr>
                <w:rFonts w:hint="eastAsia" w:ascii="宋体" w:hAnsi="宋体" w:eastAsia="宋体" w:cs="宋体"/>
                <w:i w:val="0"/>
                <w:iCs w:val="0"/>
                <w:color w:val="000000"/>
                <w:sz w:val="22"/>
                <w:szCs w:val="22"/>
                <w:u w:val="none"/>
              </w:rPr>
            </w:pP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EA5017">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63E573">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F074D2">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7FC44F">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CCBC66">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r>
      <w:tr w14:paraId="327DD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B71252">
            <w:pPr>
              <w:keepNext w:val="0"/>
              <w:keepLines w:val="0"/>
              <w:pageBreakBefore w:val="0"/>
              <w:widowControl w:val="0"/>
              <w:kinsoku/>
              <w:wordWrap/>
              <w:overflowPunct/>
              <w:topLinePunct w:val="0"/>
              <w:autoSpaceDE/>
              <w:autoSpaceDN/>
              <w:bidi w:val="0"/>
              <w:adjustRightInd/>
              <w:snapToGrid/>
              <w:spacing w:line="420" w:lineRule="exact"/>
              <w:jc w:val="left"/>
              <w:rPr>
                <w:rFonts w:hint="eastAsia" w:ascii="宋体" w:hAnsi="宋体" w:eastAsia="宋体" w:cs="宋体"/>
                <w:i w:val="0"/>
                <w:iCs w:val="0"/>
                <w:color w:val="000000"/>
                <w:sz w:val="22"/>
                <w:szCs w:val="22"/>
                <w:u w:val="none"/>
              </w:rPr>
            </w:pP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B6AB85">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8234B0">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D27255">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7314D6">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1F6832">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r>
      <w:tr w14:paraId="30E51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A7FF8A">
            <w:pPr>
              <w:keepNext w:val="0"/>
              <w:keepLines w:val="0"/>
              <w:pageBreakBefore w:val="0"/>
              <w:widowControl w:val="0"/>
              <w:kinsoku/>
              <w:wordWrap/>
              <w:overflowPunct/>
              <w:topLinePunct w:val="0"/>
              <w:autoSpaceDE/>
              <w:autoSpaceDN/>
              <w:bidi w:val="0"/>
              <w:adjustRightInd/>
              <w:snapToGrid/>
              <w:spacing w:line="420" w:lineRule="exact"/>
              <w:jc w:val="left"/>
              <w:rPr>
                <w:rFonts w:hint="eastAsia" w:ascii="宋体" w:hAnsi="宋体" w:eastAsia="宋体" w:cs="宋体"/>
                <w:i w:val="0"/>
                <w:iCs w:val="0"/>
                <w:color w:val="000000"/>
                <w:sz w:val="22"/>
                <w:szCs w:val="22"/>
                <w:u w:val="none"/>
              </w:rPr>
            </w:pP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802B0B">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7B6AC6">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6F72A2">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65BB0B">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539955">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r>
      <w:tr w14:paraId="3E8E8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49CF3F">
            <w:pPr>
              <w:keepNext w:val="0"/>
              <w:keepLines w:val="0"/>
              <w:pageBreakBefore w:val="0"/>
              <w:widowControl w:val="0"/>
              <w:kinsoku/>
              <w:wordWrap/>
              <w:overflowPunct/>
              <w:topLinePunct w:val="0"/>
              <w:autoSpaceDE/>
              <w:autoSpaceDN/>
              <w:bidi w:val="0"/>
              <w:adjustRightInd/>
              <w:snapToGrid/>
              <w:spacing w:line="420" w:lineRule="exact"/>
              <w:jc w:val="left"/>
              <w:rPr>
                <w:rFonts w:hint="eastAsia" w:ascii="宋体" w:hAnsi="宋体" w:eastAsia="宋体" w:cs="宋体"/>
                <w:i w:val="0"/>
                <w:iCs w:val="0"/>
                <w:color w:val="000000"/>
                <w:sz w:val="22"/>
                <w:szCs w:val="22"/>
                <w:u w:val="none"/>
              </w:rPr>
            </w:pP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3E7761">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DAB4E1">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496785">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36FE53">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BAE7D6">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r>
      <w:tr w14:paraId="44085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A5BA74">
            <w:pPr>
              <w:keepNext w:val="0"/>
              <w:keepLines w:val="0"/>
              <w:pageBreakBefore w:val="0"/>
              <w:widowControl w:val="0"/>
              <w:kinsoku/>
              <w:wordWrap/>
              <w:overflowPunct/>
              <w:topLinePunct w:val="0"/>
              <w:autoSpaceDE/>
              <w:autoSpaceDN/>
              <w:bidi w:val="0"/>
              <w:adjustRightInd/>
              <w:snapToGrid/>
              <w:spacing w:line="420" w:lineRule="exact"/>
              <w:jc w:val="left"/>
              <w:rPr>
                <w:rFonts w:hint="eastAsia" w:ascii="宋体" w:hAnsi="宋体" w:eastAsia="宋体" w:cs="宋体"/>
                <w:i w:val="0"/>
                <w:iCs w:val="0"/>
                <w:color w:val="000000"/>
                <w:sz w:val="22"/>
                <w:szCs w:val="22"/>
                <w:u w:val="none"/>
              </w:rPr>
            </w:pP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B99B1B">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C3A734">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5E99CF">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891112">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02A6FB">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r>
      <w:tr w14:paraId="599F5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AF390D">
            <w:pPr>
              <w:keepNext w:val="0"/>
              <w:keepLines w:val="0"/>
              <w:pageBreakBefore w:val="0"/>
              <w:widowControl w:val="0"/>
              <w:kinsoku/>
              <w:wordWrap/>
              <w:overflowPunct/>
              <w:topLinePunct w:val="0"/>
              <w:autoSpaceDE/>
              <w:autoSpaceDN/>
              <w:bidi w:val="0"/>
              <w:adjustRightInd/>
              <w:snapToGrid/>
              <w:spacing w:line="420" w:lineRule="exact"/>
              <w:jc w:val="left"/>
              <w:rPr>
                <w:rFonts w:hint="eastAsia" w:ascii="宋体" w:hAnsi="宋体" w:eastAsia="宋体" w:cs="宋体"/>
                <w:i w:val="0"/>
                <w:iCs w:val="0"/>
                <w:color w:val="000000"/>
                <w:sz w:val="22"/>
                <w:szCs w:val="22"/>
                <w:u w:val="none"/>
              </w:rPr>
            </w:pP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D0E12C">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771BC4">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AC9454">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76AB11">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DB3ACC">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r>
      <w:tr w14:paraId="5ACAF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B88054">
            <w:pPr>
              <w:keepNext w:val="0"/>
              <w:keepLines w:val="0"/>
              <w:pageBreakBefore w:val="0"/>
              <w:widowControl w:val="0"/>
              <w:kinsoku/>
              <w:wordWrap/>
              <w:overflowPunct/>
              <w:topLinePunct w:val="0"/>
              <w:autoSpaceDE/>
              <w:autoSpaceDN/>
              <w:bidi w:val="0"/>
              <w:adjustRightInd/>
              <w:snapToGrid/>
              <w:spacing w:line="420" w:lineRule="exact"/>
              <w:jc w:val="left"/>
              <w:rPr>
                <w:rFonts w:hint="eastAsia" w:ascii="宋体" w:hAnsi="宋体" w:eastAsia="宋体" w:cs="宋体"/>
                <w:i w:val="0"/>
                <w:iCs w:val="0"/>
                <w:color w:val="000000"/>
                <w:sz w:val="22"/>
                <w:szCs w:val="22"/>
                <w:u w:val="none"/>
              </w:rPr>
            </w:pP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209668">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1ABCEB">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2F5E5A">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2F733D">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6A2CCC">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r>
      <w:tr w14:paraId="3C47F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BD9391">
            <w:pPr>
              <w:keepNext w:val="0"/>
              <w:keepLines w:val="0"/>
              <w:pageBreakBefore w:val="0"/>
              <w:widowControl w:val="0"/>
              <w:kinsoku/>
              <w:wordWrap/>
              <w:overflowPunct/>
              <w:topLinePunct w:val="0"/>
              <w:autoSpaceDE/>
              <w:autoSpaceDN/>
              <w:bidi w:val="0"/>
              <w:adjustRightInd/>
              <w:snapToGrid/>
              <w:spacing w:line="420" w:lineRule="exact"/>
              <w:jc w:val="left"/>
              <w:rPr>
                <w:rFonts w:hint="eastAsia" w:ascii="宋体" w:hAnsi="宋体" w:eastAsia="宋体" w:cs="宋体"/>
                <w:i w:val="0"/>
                <w:iCs w:val="0"/>
                <w:color w:val="000000"/>
                <w:sz w:val="22"/>
                <w:szCs w:val="22"/>
                <w:u w:val="none"/>
              </w:rPr>
            </w:pP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68580E">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78EA7F">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3A62CE">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14300C">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6D77CE">
            <w:pPr>
              <w:keepNext w:val="0"/>
              <w:keepLines w:val="0"/>
              <w:pageBreakBefore w:val="0"/>
              <w:widowControl w:val="0"/>
              <w:suppressLineNumbers w:val="0"/>
              <w:kinsoku/>
              <w:wordWrap/>
              <w:overflowPunct/>
              <w:topLinePunct w:val="0"/>
              <w:autoSpaceDE/>
              <w:autoSpaceDN/>
              <w:bidi w:val="0"/>
              <w:adjustRightInd/>
              <w:snapToGrid/>
              <w:spacing w:line="42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17.55 </w:t>
            </w:r>
          </w:p>
        </w:tc>
      </w:tr>
      <w:tr w14:paraId="4F95E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E07838">
            <w:pPr>
              <w:keepNext w:val="0"/>
              <w:keepLines w:val="0"/>
              <w:pageBreakBefore w:val="0"/>
              <w:widowControl w:val="0"/>
              <w:kinsoku/>
              <w:wordWrap/>
              <w:overflowPunct/>
              <w:topLinePunct w:val="0"/>
              <w:autoSpaceDE/>
              <w:autoSpaceDN/>
              <w:bidi w:val="0"/>
              <w:adjustRightInd/>
              <w:snapToGrid/>
              <w:spacing w:line="420" w:lineRule="exact"/>
              <w:jc w:val="left"/>
              <w:rPr>
                <w:rFonts w:hint="eastAsia" w:ascii="宋体" w:hAnsi="宋体" w:eastAsia="宋体" w:cs="宋体"/>
                <w:i w:val="0"/>
                <w:iCs w:val="0"/>
                <w:color w:val="000000"/>
                <w:sz w:val="22"/>
                <w:szCs w:val="22"/>
                <w:u w:val="none"/>
              </w:rPr>
            </w:pP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580A4C">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A95E5B">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D36B56">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574485">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779615">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r>
      <w:tr w14:paraId="21E14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12AC2E">
            <w:pPr>
              <w:keepNext w:val="0"/>
              <w:keepLines w:val="0"/>
              <w:pageBreakBefore w:val="0"/>
              <w:widowControl w:val="0"/>
              <w:kinsoku/>
              <w:wordWrap/>
              <w:overflowPunct/>
              <w:topLinePunct w:val="0"/>
              <w:autoSpaceDE/>
              <w:autoSpaceDN/>
              <w:bidi w:val="0"/>
              <w:adjustRightInd/>
              <w:snapToGrid/>
              <w:spacing w:line="420" w:lineRule="exact"/>
              <w:jc w:val="left"/>
              <w:rPr>
                <w:rFonts w:hint="eastAsia" w:ascii="宋体" w:hAnsi="宋体" w:eastAsia="宋体" w:cs="宋体"/>
                <w:i w:val="0"/>
                <w:iCs w:val="0"/>
                <w:color w:val="000000"/>
                <w:sz w:val="22"/>
                <w:szCs w:val="22"/>
                <w:u w:val="none"/>
              </w:rPr>
            </w:pP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97D713">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6C6D48">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9FCF79">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8E420D">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9943AB">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r>
      <w:tr w14:paraId="1E61C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5D0FB1">
            <w:pPr>
              <w:keepNext w:val="0"/>
              <w:keepLines w:val="0"/>
              <w:pageBreakBefore w:val="0"/>
              <w:widowControl w:val="0"/>
              <w:kinsoku/>
              <w:wordWrap/>
              <w:overflowPunct/>
              <w:topLinePunct w:val="0"/>
              <w:autoSpaceDE/>
              <w:autoSpaceDN/>
              <w:bidi w:val="0"/>
              <w:adjustRightInd/>
              <w:snapToGrid/>
              <w:spacing w:line="420" w:lineRule="exact"/>
              <w:jc w:val="left"/>
              <w:rPr>
                <w:rFonts w:hint="eastAsia" w:ascii="宋体" w:hAnsi="宋体" w:eastAsia="宋体" w:cs="宋体"/>
                <w:i w:val="0"/>
                <w:iCs w:val="0"/>
                <w:color w:val="000000"/>
                <w:sz w:val="22"/>
                <w:szCs w:val="22"/>
                <w:u w:val="none"/>
              </w:rPr>
            </w:pP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648416">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50E3FA">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66583D">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CAB5D4">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065083">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r>
      <w:tr w14:paraId="224C2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55DBBC">
            <w:pPr>
              <w:keepNext w:val="0"/>
              <w:keepLines w:val="0"/>
              <w:pageBreakBefore w:val="0"/>
              <w:widowControl w:val="0"/>
              <w:kinsoku/>
              <w:wordWrap/>
              <w:overflowPunct/>
              <w:topLinePunct w:val="0"/>
              <w:autoSpaceDE/>
              <w:autoSpaceDN/>
              <w:bidi w:val="0"/>
              <w:adjustRightInd/>
              <w:snapToGrid/>
              <w:spacing w:line="420" w:lineRule="exact"/>
              <w:jc w:val="left"/>
              <w:rPr>
                <w:rFonts w:hint="eastAsia" w:ascii="宋体" w:hAnsi="宋体" w:eastAsia="宋体" w:cs="宋体"/>
                <w:i w:val="0"/>
                <w:iCs w:val="0"/>
                <w:color w:val="000000"/>
                <w:sz w:val="22"/>
                <w:szCs w:val="22"/>
                <w:u w:val="none"/>
              </w:rPr>
            </w:pP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91626C">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A6584C">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E60B7C">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8E0F65">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9C7BF2">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r>
      <w:tr w14:paraId="49D7B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E47D88">
            <w:pPr>
              <w:keepNext w:val="0"/>
              <w:keepLines w:val="0"/>
              <w:pageBreakBefore w:val="0"/>
              <w:widowControl w:val="0"/>
              <w:kinsoku/>
              <w:wordWrap/>
              <w:overflowPunct/>
              <w:topLinePunct w:val="0"/>
              <w:autoSpaceDE/>
              <w:autoSpaceDN/>
              <w:bidi w:val="0"/>
              <w:adjustRightInd/>
              <w:snapToGrid/>
              <w:spacing w:line="420" w:lineRule="exact"/>
              <w:jc w:val="center"/>
              <w:rPr>
                <w:rFonts w:hint="eastAsia" w:ascii="宋体" w:hAnsi="宋体" w:eastAsia="宋体" w:cs="宋体"/>
                <w:b/>
                <w:bCs/>
                <w:i w:val="0"/>
                <w:iCs w:val="0"/>
                <w:color w:val="000000"/>
                <w:sz w:val="20"/>
                <w:szCs w:val="20"/>
                <w:u w:val="none"/>
              </w:rPr>
            </w:pP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BEAA00">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F9568E">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0"/>
                <w:szCs w:val="20"/>
                <w:u w:val="none"/>
              </w:rPr>
            </w:pP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A1E88D">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175CC1">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BF88149">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r>
      <w:tr w14:paraId="7EB1C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10EC8D">
            <w:pPr>
              <w:keepNext w:val="0"/>
              <w:keepLines w:val="0"/>
              <w:pageBreakBefore w:val="0"/>
              <w:widowControl w:val="0"/>
              <w:kinsoku/>
              <w:wordWrap/>
              <w:overflowPunct/>
              <w:topLinePunct w:val="0"/>
              <w:autoSpaceDE/>
              <w:autoSpaceDN/>
              <w:bidi w:val="0"/>
              <w:adjustRightInd/>
              <w:snapToGrid/>
              <w:spacing w:line="420" w:lineRule="exact"/>
              <w:jc w:val="left"/>
              <w:rPr>
                <w:rFonts w:hint="eastAsia" w:ascii="宋体" w:hAnsi="宋体" w:eastAsia="宋体" w:cs="宋体"/>
                <w:i w:val="0"/>
                <w:iCs w:val="0"/>
                <w:color w:val="000000"/>
                <w:sz w:val="20"/>
                <w:szCs w:val="20"/>
                <w:u w:val="none"/>
              </w:rPr>
            </w:pP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AA248C">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FEE548">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0"/>
                <w:szCs w:val="20"/>
                <w:u w:val="none"/>
              </w:rPr>
            </w:pP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43EC3D">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D6C1A8">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0FAC36">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r>
      <w:tr w14:paraId="2E28A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DF0268">
            <w:pPr>
              <w:keepNext w:val="0"/>
              <w:keepLines w:val="0"/>
              <w:pageBreakBefore w:val="0"/>
              <w:widowControl w:val="0"/>
              <w:kinsoku/>
              <w:wordWrap/>
              <w:overflowPunct/>
              <w:topLinePunct w:val="0"/>
              <w:autoSpaceDE/>
              <w:autoSpaceDN/>
              <w:bidi w:val="0"/>
              <w:adjustRightInd/>
              <w:snapToGrid/>
              <w:spacing w:line="420" w:lineRule="exact"/>
              <w:jc w:val="left"/>
              <w:rPr>
                <w:rFonts w:hint="eastAsia" w:ascii="宋体" w:hAnsi="宋体" w:eastAsia="宋体" w:cs="宋体"/>
                <w:i w:val="0"/>
                <w:iCs w:val="0"/>
                <w:color w:val="000000"/>
                <w:sz w:val="20"/>
                <w:szCs w:val="20"/>
                <w:u w:val="none"/>
              </w:rPr>
            </w:pP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2B07B1">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3D0044">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0"/>
                <w:szCs w:val="20"/>
                <w:u w:val="none"/>
              </w:rPr>
            </w:pP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676D21">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41D38C">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40DC13">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r>
      <w:tr w14:paraId="27777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276D31">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F350AF">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163EDB">
            <w:pPr>
              <w:keepNext w:val="0"/>
              <w:keepLines w:val="0"/>
              <w:pageBreakBefore w:val="0"/>
              <w:widowControl w:val="0"/>
              <w:suppressLineNumbers w:val="0"/>
              <w:kinsoku/>
              <w:wordWrap/>
              <w:overflowPunct/>
              <w:topLinePunct w:val="0"/>
              <w:autoSpaceDE/>
              <w:autoSpaceDN/>
              <w:bidi w:val="0"/>
              <w:adjustRightInd/>
              <w:snapToGrid/>
              <w:spacing w:line="42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562.93 </w:t>
            </w: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0964DA">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3C7ECC">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AC11B0">
            <w:pPr>
              <w:keepNext w:val="0"/>
              <w:keepLines w:val="0"/>
              <w:pageBreakBefore w:val="0"/>
              <w:widowControl w:val="0"/>
              <w:suppressLineNumbers w:val="0"/>
              <w:kinsoku/>
              <w:wordWrap/>
              <w:overflowPunct/>
              <w:topLinePunct w:val="0"/>
              <w:autoSpaceDE/>
              <w:autoSpaceDN/>
              <w:bidi w:val="0"/>
              <w:adjustRightInd/>
              <w:snapToGrid/>
              <w:spacing w:line="42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562.93 </w:t>
            </w:r>
          </w:p>
        </w:tc>
      </w:tr>
      <w:tr w14:paraId="08C69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5F7465">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使用非财政拨款结余（含专用结余）</w:t>
            </w: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A95182">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3C0979">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367339">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结余分配</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6C1A38">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723F8B">
            <w:pPr>
              <w:keepNext w:val="0"/>
              <w:keepLines w:val="0"/>
              <w:pageBreakBefore w:val="0"/>
              <w:widowControl w:val="0"/>
              <w:kinsoku/>
              <w:wordWrap/>
              <w:overflowPunct/>
              <w:topLinePunct w:val="0"/>
              <w:autoSpaceDE/>
              <w:autoSpaceDN/>
              <w:bidi w:val="0"/>
              <w:adjustRightInd/>
              <w:snapToGrid/>
              <w:spacing w:line="420" w:lineRule="exact"/>
              <w:jc w:val="right"/>
              <w:rPr>
                <w:rFonts w:hint="eastAsia" w:ascii="宋体" w:hAnsi="宋体" w:eastAsia="宋体" w:cs="宋体"/>
                <w:i w:val="0"/>
                <w:iCs w:val="0"/>
                <w:color w:val="000000"/>
                <w:sz w:val="22"/>
                <w:szCs w:val="22"/>
                <w:u w:val="none"/>
              </w:rPr>
            </w:pPr>
          </w:p>
        </w:tc>
      </w:tr>
      <w:tr w14:paraId="3109F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B71EB1">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年初结转和结余</w:t>
            </w: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F5DE10">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A2D618">
            <w:pPr>
              <w:keepNext w:val="0"/>
              <w:keepLines w:val="0"/>
              <w:pageBreakBefore w:val="0"/>
              <w:widowControl w:val="0"/>
              <w:suppressLineNumbers w:val="0"/>
              <w:kinsoku/>
              <w:wordWrap/>
              <w:overflowPunct/>
              <w:topLinePunct w:val="0"/>
              <w:autoSpaceDE/>
              <w:autoSpaceDN/>
              <w:bidi w:val="0"/>
              <w:adjustRightInd/>
              <w:snapToGrid/>
              <w:spacing w:line="42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1ED7A8">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年末结转和结余</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782385">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DB04A8">
            <w:pPr>
              <w:keepNext w:val="0"/>
              <w:keepLines w:val="0"/>
              <w:pageBreakBefore w:val="0"/>
              <w:widowControl w:val="0"/>
              <w:suppressLineNumbers w:val="0"/>
              <w:kinsoku/>
              <w:wordWrap/>
              <w:overflowPunct/>
              <w:topLinePunct w:val="0"/>
              <w:autoSpaceDE/>
              <w:autoSpaceDN/>
              <w:bidi w:val="0"/>
              <w:adjustRightInd/>
              <w:snapToGrid/>
              <w:spacing w:line="42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5D56D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5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C749F9D">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7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B5B446">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412"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40F929">
            <w:pPr>
              <w:keepNext w:val="0"/>
              <w:keepLines w:val="0"/>
              <w:pageBreakBefore w:val="0"/>
              <w:widowControl w:val="0"/>
              <w:suppressLineNumbers w:val="0"/>
              <w:kinsoku/>
              <w:wordWrap/>
              <w:overflowPunct/>
              <w:topLinePunct w:val="0"/>
              <w:autoSpaceDE/>
              <w:autoSpaceDN/>
              <w:bidi w:val="0"/>
              <w:adjustRightInd/>
              <w:snapToGrid/>
              <w:spacing w:line="42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562.93 </w:t>
            </w:r>
          </w:p>
        </w:tc>
        <w:tc>
          <w:tcPr>
            <w:tcW w:w="366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AD42FC">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66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DD5EC7">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5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319676">
            <w:pPr>
              <w:keepNext w:val="0"/>
              <w:keepLines w:val="0"/>
              <w:pageBreakBefore w:val="0"/>
              <w:widowControl w:val="0"/>
              <w:suppressLineNumbers w:val="0"/>
              <w:kinsoku/>
              <w:wordWrap/>
              <w:overflowPunct/>
              <w:topLinePunct w:val="0"/>
              <w:autoSpaceDE/>
              <w:autoSpaceDN/>
              <w:bidi w:val="0"/>
              <w:adjustRightInd/>
              <w:snapToGrid/>
              <w:spacing w:line="420" w:lineRule="exact"/>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562.93 </w:t>
            </w:r>
          </w:p>
        </w:tc>
      </w:tr>
      <w:tr w14:paraId="0F38D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895" w:type="dxa"/>
            <w:gridSpan w:val="6"/>
            <w:tcBorders>
              <w:top w:val="single" w:color="D4D4D4" w:sz="4" w:space="0"/>
              <w:left w:val="nil"/>
              <w:bottom w:val="nil"/>
              <w:right w:val="nil"/>
            </w:tcBorders>
            <w:shd w:val="clear" w:color="auto" w:fill="auto"/>
            <w:noWrap/>
            <w:vAlign w:val="center"/>
          </w:tcPr>
          <w:p w14:paraId="12F28C71">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注：1.本表反映部门本年度的总收支和年末结转结余情况。</w:t>
            </w:r>
          </w:p>
        </w:tc>
      </w:tr>
      <w:tr w14:paraId="2107C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895" w:type="dxa"/>
            <w:gridSpan w:val="6"/>
            <w:tcBorders>
              <w:top w:val="nil"/>
              <w:left w:val="nil"/>
              <w:bottom w:val="nil"/>
              <w:right w:val="nil"/>
            </w:tcBorders>
            <w:shd w:val="clear" w:color="auto" w:fill="auto"/>
            <w:noWrap/>
            <w:vAlign w:val="center"/>
          </w:tcPr>
          <w:p w14:paraId="6FE321F4">
            <w:pPr>
              <w:keepNext w:val="0"/>
              <w:keepLines w:val="0"/>
              <w:pageBreakBefore w:val="0"/>
              <w:widowControl w:val="0"/>
              <w:suppressLineNumbers w:val="0"/>
              <w:kinsoku/>
              <w:wordWrap/>
              <w:overflowPunct/>
              <w:topLinePunct w:val="0"/>
              <w:autoSpaceDE/>
              <w:autoSpaceDN/>
              <w:bidi w:val="0"/>
              <w:adjustRightInd/>
              <w:snapToGrid/>
              <w:spacing w:line="42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2.本套报表金额单位转换时可能存在尾数误差。</w:t>
            </w:r>
          </w:p>
        </w:tc>
      </w:tr>
    </w:tbl>
    <w:p w14:paraId="725925A2">
      <w:pPr>
        <w:widowControl/>
        <w:jc w:val="left"/>
        <w:textAlignment w:val="center"/>
        <w:rPr>
          <w:rFonts w:ascii="Times New Roman" w:hAnsi="Times New Roman" w:eastAsia="仿宋_GB2312" w:cs="Times New Roman"/>
          <w:color w:val="000000"/>
          <w:sz w:val="24"/>
          <w:szCs w:val="24"/>
        </w:rPr>
      </w:pPr>
    </w:p>
    <w:p w14:paraId="134AEA95">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423AE5A9">
      <w:pPr>
        <w:widowControl/>
        <w:spacing w:line="400" w:lineRule="exact"/>
        <w:jc w:val="center"/>
        <w:textAlignment w:val="center"/>
        <w:rPr>
          <w:rFonts w:ascii="Times New Roman" w:hAnsi="Times New Roman" w:eastAsia="黑体" w:cs="Times New Roman"/>
          <w:color w:val="000000"/>
          <w:kern w:val="0"/>
          <w:sz w:val="32"/>
          <w:szCs w:val="32"/>
          <w:lang w:bidi="ar"/>
        </w:rPr>
      </w:pPr>
    </w:p>
    <w:p w14:paraId="0E3D78B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1DF98760">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244145DD">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bidi="ar"/>
        </w:rPr>
        <w:t>中共怀化市委老干部局</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117"/>
        <w:gridCol w:w="4256"/>
        <w:gridCol w:w="1257"/>
        <w:gridCol w:w="1425"/>
        <w:gridCol w:w="1331"/>
        <w:gridCol w:w="1106"/>
        <w:gridCol w:w="894"/>
        <w:gridCol w:w="1897"/>
        <w:gridCol w:w="1383"/>
      </w:tblGrid>
      <w:tr w14:paraId="39D326F3">
        <w:tblPrEx>
          <w:tblCellMar>
            <w:top w:w="0" w:type="dxa"/>
            <w:left w:w="0" w:type="dxa"/>
            <w:bottom w:w="0" w:type="dxa"/>
            <w:right w:w="0" w:type="dxa"/>
          </w:tblCellMar>
        </w:tblPrEx>
        <w:trPr>
          <w:trHeight w:val="450" w:hRule="atLeast"/>
          <w:jc w:val="center"/>
        </w:trPr>
        <w:tc>
          <w:tcPr>
            <w:tcW w:w="537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9C3BA3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2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8A0459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2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0B044E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33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7B29C2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10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F6F453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89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9CF303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D41F5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BEF5EA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BF2D724">
        <w:tblPrEx>
          <w:tblCellMar>
            <w:top w:w="0" w:type="dxa"/>
            <w:left w:w="0" w:type="dxa"/>
            <w:bottom w:w="0" w:type="dxa"/>
            <w:right w:w="0" w:type="dxa"/>
          </w:tblCellMar>
        </w:tblPrEx>
        <w:trPr>
          <w:trHeight w:val="334" w:hRule="exact"/>
          <w:jc w:val="center"/>
        </w:trPr>
        <w:tc>
          <w:tcPr>
            <w:tcW w:w="111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B321D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4256"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3A70E4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257" w:type="dxa"/>
            <w:vMerge w:val="continue"/>
            <w:tcBorders>
              <w:top w:val="single" w:color="auto" w:sz="4" w:space="0"/>
              <w:left w:val="single" w:color="auto" w:sz="4" w:space="0"/>
              <w:bottom w:val="single" w:color="auto" w:sz="4" w:space="0"/>
              <w:right w:val="single" w:color="auto" w:sz="4" w:space="0"/>
            </w:tcBorders>
            <w:vAlign w:val="center"/>
          </w:tcPr>
          <w:p w14:paraId="2424D640">
            <w:pPr>
              <w:rPr>
                <w:rFonts w:ascii="Times New Roman" w:hAnsi="Times New Roman" w:eastAsia="仿宋_GB2312" w:cs="Times New Roman"/>
                <w:sz w:val="24"/>
                <w:szCs w:val="24"/>
              </w:rPr>
            </w:pPr>
          </w:p>
        </w:tc>
        <w:tc>
          <w:tcPr>
            <w:tcW w:w="1425" w:type="dxa"/>
            <w:vMerge w:val="continue"/>
            <w:tcBorders>
              <w:top w:val="single" w:color="auto" w:sz="4" w:space="0"/>
              <w:left w:val="single" w:color="auto" w:sz="4" w:space="0"/>
              <w:bottom w:val="single" w:color="auto" w:sz="4" w:space="0"/>
              <w:right w:val="single" w:color="auto" w:sz="4" w:space="0"/>
            </w:tcBorders>
            <w:vAlign w:val="center"/>
          </w:tcPr>
          <w:p w14:paraId="069C6336">
            <w:pPr>
              <w:rPr>
                <w:rFonts w:ascii="Times New Roman" w:hAnsi="Times New Roman" w:eastAsia="仿宋_GB2312" w:cs="Times New Roman"/>
                <w:sz w:val="24"/>
                <w:szCs w:val="24"/>
              </w:rPr>
            </w:pPr>
          </w:p>
        </w:tc>
        <w:tc>
          <w:tcPr>
            <w:tcW w:w="1331" w:type="dxa"/>
            <w:vMerge w:val="continue"/>
            <w:tcBorders>
              <w:top w:val="single" w:color="auto" w:sz="4" w:space="0"/>
              <w:left w:val="single" w:color="auto" w:sz="4" w:space="0"/>
              <w:bottom w:val="single" w:color="auto" w:sz="4" w:space="0"/>
              <w:right w:val="single" w:color="auto" w:sz="4" w:space="0"/>
            </w:tcBorders>
            <w:vAlign w:val="center"/>
          </w:tcPr>
          <w:p w14:paraId="5DD8B363">
            <w:pPr>
              <w:rPr>
                <w:rFonts w:ascii="Times New Roman" w:hAnsi="Times New Roman" w:eastAsia="仿宋_GB2312" w:cs="Times New Roman"/>
                <w:sz w:val="24"/>
                <w:szCs w:val="24"/>
              </w:rPr>
            </w:pPr>
          </w:p>
        </w:tc>
        <w:tc>
          <w:tcPr>
            <w:tcW w:w="1106" w:type="dxa"/>
            <w:vMerge w:val="continue"/>
            <w:tcBorders>
              <w:top w:val="single" w:color="auto" w:sz="4" w:space="0"/>
              <w:left w:val="single" w:color="auto" w:sz="4" w:space="0"/>
              <w:bottom w:val="single" w:color="auto" w:sz="4" w:space="0"/>
              <w:right w:val="single" w:color="auto" w:sz="4" w:space="0"/>
            </w:tcBorders>
            <w:vAlign w:val="center"/>
          </w:tcPr>
          <w:p w14:paraId="4E2066F9">
            <w:pPr>
              <w:rPr>
                <w:rFonts w:ascii="Times New Roman" w:hAnsi="Times New Roman" w:eastAsia="仿宋_GB2312" w:cs="Times New Roman"/>
                <w:sz w:val="24"/>
                <w:szCs w:val="24"/>
              </w:rPr>
            </w:pPr>
          </w:p>
        </w:tc>
        <w:tc>
          <w:tcPr>
            <w:tcW w:w="894" w:type="dxa"/>
            <w:vMerge w:val="continue"/>
            <w:tcBorders>
              <w:top w:val="single" w:color="auto" w:sz="4" w:space="0"/>
              <w:left w:val="single" w:color="auto" w:sz="4" w:space="0"/>
              <w:bottom w:val="single" w:color="auto" w:sz="4" w:space="0"/>
              <w:right w:val="single" w:color="auto" w:sz="4" w:space="0"/>
            </w:tcBorders>
            <w:vAlign w:val="center"/>
          </w:tcPr>
          <w:p w14:paraId="23D5AF1A">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96B0157">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D460F5A">
            <w:pPr>
              <w:rPr>
                <w:rFonts w:ascii="Times New Roman" w:hAnsi="Times New Roman" w:eastAsia="仿宋_GB2312" w:cs="Times New Roman"/>
                <w:sz w:val="24"/>
                <w:szCs w:val="24"/>
              </w:rPr>
            </w:pPr>
          </w:p>
        </w:tc>
      </w:tr>
      <w:tr w14:paraId="3259AB9B">
        <w:tblPrEx>
          <w:tblCellMar>
            <w:top w:w="0" w:type="dxa"/>
            <w:left w:w="0" w:type="dxa"/>
            <w:bottom w:w="0" w:type="dxa"/>
            <w:right w:w="0" w:type="dxa"/>
          </w:tblCellMar>
        </w:tblPrEx>
        <w:trPr>
          <w:trHeight w:val="312" w:hRule="atLeast"/>
          <w:jc w:val="center"/>
        </w:trPr>
        <w:tc>
          <w:tcPr>
            <w:tcW w:w="1117" w:type="dxa"/>
            <w:vMerge w:val="continue"/>
            <w:tcBorders>
              <w:top w:val="single" w:color="auto" w:sz="4" w:space="0"/>
              <w:left w:val="single" w:color="auto" w:sz="4" w:space="0"/>
              <w:bottom w:val="single" w:color="auto" w:sz="4" w:space="0"/>
              <w:right w:val="single" w:color="auto" w:sz="4" w:space="0"/>
            </w:tcBorders>
            <w:vAlign w:val="center"/>
          </w:tcPr>
          <w:p w14:paraId="230EA706">
            <w:pPr>
              <w:rPr>
                <w:rFonts w:ascii="Times New Roman" w:hAnsi="Times New Roman" w:eastAsia="仿宋_GB2312" w:cs="Times New Roman"/>
                <w:sz w:val="24"/>
                <w:szCs w:val="24"/>
              </w:rPr>
            </w:pPr>
          </w:p>
        </w:tc>
        <w:tc>
          <w:tcPr>
            <w:tcW w:w="4256" w:type="dxa"/>
            <w:vMerge w:val="continue"/>
            <w:tcBorders>
              <w:top w:val="nil"/>
              <w:left w:val="single" w:color="auto" w:sz="4" w:space="0"/>
              <w:bottom w:val="single" w:color="auto" w:sz="4" w:space="0"/>
              <w:right w:val="single" w:color="auto" w:sz="4" w:space="0"/>
            </w:tcBorders>
            <w:vAlign w:val="center"/>
          </w:tcPr>
          <w:p w14:paraId="403CC229">
            <w:pPr>
              <w:rPr>
                <w:rFonts w:ascii="Times New Roman" w:hAnsi="Times New Roman" w:eastAsia="仿宋_GB2312" w:cs="Times New Roman"/>
                <w:sz w:val="24"/>
                <w:szCs w:val="24"/>
              </w:rPr>
            </w:pPr>
          </w:p>
        </w:tc>
        <w:tc>
          <w:tcPr>
            <w:tcW w:w="1257" w:type="dxa"/>
            <w:vMerge w:val="continue"/>
            <w:tcBorders>
              <w:top w:val="single" w:color="auto" w:sz="4" w:space="0"/>
              <w:left w:val="single" w:color="auto" w:sz="4" w:space="0"/>
              <w:bottom w:val="single" w:color="auto" w:sz="4" w:space="0"/>
              <w:right w:val="single" w:color="auto" w:sz="4" w:space="0"/>
            </w:tcBorders>
            <w:vAlign w:val="center"/>
          </w:tcPr>
          <w:p w14:paraId="57801C07">
            <w:pPr>
              <w:rPr>
                <w:rFonts w:ascii="Times New Roman" w:hAnsi="Times New Roman" w:eastAsia="仿宋_GB2312" w:cs="Times New Roman"/>
                <w:sz w:val="24"/>
                <w:szCs w:val="24"/>
              </w:rPr>
            </w:pPr>
          </w:p>
        </w:tc>
        <w:tc>
          <w:tcPr>
            <w:tcW w:w="1425" w:type="dxa"/>
            <w:vMerge w:val="continue"/>
            <w:tcBorders>
              <w:top w:val="single" w:color="auto" w:sz="4" w:space="0"/>
              <w:left w:val="single" w:color="auto" w:sz="4" w:space="0"/>
              <w:bottom w:val="single" w:color="auto" w:sz="4" w:space="0"/>
              <w:right w:val="single" w:color="auto" w:sz="4" w:space="0"/>
            </w:tcBorders>
            <w:vAlign w:val="center"/>
          </w:tcPr>
          <w:p w14:paraId="07A4EFBF">
            <w:pPr>
              <w:rPr>
                <w:rFonts w:ascii="Times New Roman" w:hAnsi="Times New Roman" w:eastAsia="仿宋_GB2312" w:cs="Times New Roman"/>
                <w:sz w:val="24"/>
                <w:szCs w:val="24"/>
              </w:rPr>
            </w:pPr>
          </w:p>
        </w:tc>
        <w:tc>
          <w:tcPr>
            <w:tcW w:w="1331" w:type="dxa"/>
            <w:vMerge w:val="continue"/>
            <w:tcBorders>
              <w:top w:val="single" w:color="auto" w:sz="4" w:space="0"/>
              <w:left w:val="single" w:color="auto" w:sz="4" w:space="0"/>
              <w:bottom w:val="single" w:color="auto" w:sz="4" w:space="0"/>
              <w:right w:val="single" w:color="auto" w:sz="4" w:space="0"/>
            </w:tcBorders>
            <w:vAlign w:val="center"/>
          </w:tcPr>
          <w:p w14:paraId="23DCC94A">
            <w:pPr>
              <w:rPr>
                <w:rFonts w:ascii="Times New Roman" w:hAnsi="Times New Roman" w:eastAsia="仿宋_GB2312" w:cs="Times New Roman"/>
                <w:sz w:val="24"/>
                <w:szCs w:val="24"/>
              </w:rPr>
            </w:pPr>
          </w:p>
        </w:tc>
        <w:tc>
          <w:tcPr>
            <w:tcW w:w="1106" w:type="dxa"/>
            <w:vMerge w:val="continue"/>
            <w:tcBorders>
              <w:top w:val="single" w:color="auto" w:sz="4" w:space="0"/>
              <w:left w:val="single" w:color="auto" w:sz="4" w:space="0"/>
              <w:bottom w:val="single" w:color="auto" w:sz="4" w:space="0"/>
              <w:right w:val="single" w:color="auto" w:sz="4" w:space="0"/>
            </w:tcBorders>
            <w:vAlign w:val="center"/>
          </w:tcPr>
          <w:p w14:paraId="75676264">
            <w:pPr>
              <w:rPr>
                <w:rFonts w:ascii="Times New Roman" w:hAnsi="Times New Roman" w:eastAsia="仿宋_GB2312" w:cs="Times New Roman"/>
                <w:sz w:val="24"/>
                <w:szCs w:val="24"/>
              </w:rPr>
            </w:pPr>
          </w:p>
        </w:tc>
        <w:tc>
          <w:tcPr>
            <w:tcW w:w="894" w:type="dxa"/>
            <w:vMerge w:val="continue"/>
            <w:tcBorders>
              <w:top w:val="single" w:color="auto" w:sz="4" w:space="0"/>
              <w:left w:val="single" w:color="auto" w:sz="4" w:space="0"/>
              <w:bottom w:val="single" w:color="auto" w:sz="4" w:space="0"/>
              <w:right w:val="single" w:color="auto" w:sz="4" w:space="0"/>
            </w:tcBorders>
            <w:vAlign w:val="center"/>
          </w:tcPr>
          <w:p w14:paraId="3E510A9D">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D35D58E">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5814A30">
            <w:pPr>
              <w:rPr>
                <w:rFonts w:ascii="Times New Roman" w:hAnsi="Times New Roman" w:eastAsia="仿宋_GB2312" w:cs="Times New Roman"/>
                <w:sz w:val="24"/>
                <w:szCs w:val="24"/>
              </w:rPr>
            </w:pPr>
          </w:p>
        </w:tc>
      </w:tr>
      <w:tr w14:paraId="7A2F4DD0">
        <w:tblPrEx>
          <w:tblCellMar>
            <w:top w:w="0" w:type="dxa"/>
            <w:left w:w="0" w:type="dxa"/>
            <w:bottom w:w="0" w:type="dxa"/>
            <w:right w:w="0" w:type="dxa"/>
          </w:tblCellMar>
        </w:tblPrEx>
        <w:trPr>
          <w:trHeight w:val="450" w:hRule="atLeast"/>
          <w:jc w:val="center"/>
        </w:trPr>
        <w:tc>
          <w:tcPr>
            <w:tcW w:w="53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843F03">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25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3B75898">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9F81C8">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33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495FCA">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10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172E279">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89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25C939">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78BFE4D">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9086631">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564205F2">
        <w:tblPrEx>
          <w:tblCellMar>
            <w:top w:w="0" w:type="dxa"/>
            <w:left w:w="0" w:type="dxa"/>
            <w:bottom w:w="0" w:type="dxa"/>
            <w:right w:w="0" w:type="dxa"/>
          </w:tblCellMar>
        </w:tblPrEx>
        <w:trPr>
          <w:trHeight w:val="450" w:hRule="atLeast"/>
          <w:jc w:val="center"/>
        </w:trPr>
        <w:tc>
          <w:tcPr>
            <w:tcW w:w="53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45ACA1">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2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391E96">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562.93 </w:t>
            </w:r>
          </w:p>
        </w:tc>
        <w:tc>
          <w:tcPr>
            <w:tcW w:w="14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90DE5D">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562.93 </w:t>
            </w:r>
          </w:p>
        </w:tc>
        <w:tc>
          <w:tcPr>
            <w:tcW w:w="13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FAC2C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46C8C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8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2B0BE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243E0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E90B5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B7D5139">
        <w:tblPrEx>
          <w:tblCellMar>
            <w:top w:w="0" w:type="dxa"/>
            <w:left w:w="0" w:type="dxa"/>
            <w:bottom w:w="0" w:type="dxa"/>
            <w:right w:w="0" w:type="dxa"/>
          </w:tblCellMar>
        </w:tblPrEx>
        <w:trPr>
          <w:trHeight w:val="450" w:hRule="atLeast"/>
          <w:jc w:val="center"/>
        </w:trPr>
        <w:tc>
          <w:tcPr>
            <w:tcW w:w="111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FCFDF9">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2013101</w:t>
            </w:r>
          </w:p>
        </w:tc>
        <w:tc>
          <w:tcPr>
            <w:tcW w:w="425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0B48FD8">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2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936852">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183.88 </w:t>
            </w:r>
          </w:p>
        </w:tc>
        <w:tc>
          <w:tcPr>
            <w:tcW w:w="14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C62E25">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183.88 </w:t>
            </w:r>
          </w:p>
        </w:tc>
        <w:tc>
          <w:tcPr>
            <w:tcW w:w="13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3066E5">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DE5467">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8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BB6503">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BAE79A">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937ABF">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C4D37B1">
        <w:tblPrEx>
          <w:tblCellMar>
            <w:top w:w="0" w:type="dxa"/>
            <w:left w:w="0" w:type="dxa"/>
            <w:bottom w:w="0" w:type="dxa"/>
            <w:right w:w="0" w:type="dxa"/>
          </w:tblCellMar>
        </w:tblPrEx>
        <w:trPr>
          <w:trHeight w:val="450" w:hRule="atLeast"/>
          <w:jc w:val="center"/>
        </w:trPr>
        <w:tc>
          <w:tcPr>
            <w:tcW w:w="111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75EC4C">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2013102</w:t>
            </w:r>
          </w:p>
        </w:tc>
        <w:tc>
          <w:tcPr>
            <w:tcW w:w="425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9255DA">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一般行政管理事务</w:t>
            </w:r>
          </w:p>
        </w:tc>
        <w:tc>
          <w:tcPr>
            <w:tcW w:w="12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1D5074">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140.26 </w:t>
            </w:r>
          </w:p>
        </w:tc>
        <w:tc>
          <w:tcPr>
            <w:tcW w:w="14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6E88DB">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140.26 </w:t>
            </w:r>
          </w:p>
        </w:tc>
        <w:tc>
          <w:tcPr>
            <w:tcW w:w="13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0991FE">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5578A7">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8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9DFECB">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298F11">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A10441">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9706A4E">
        <w:tblPrEx>
          <w:tblCellMar>
            <w:top w:w="0" w:type="dxa"/>
            <w:left w:w="0" w:type="dxa"/>
            <w:bottom w:w="0" w:type="dxa"/>
            <w:right w:w="0" w:type="dxa"/>
          </w:tblCellMar>
        </w:tblPrEx>
        <w:trPr>
          <w:trHeight w:val="450" w:hRule="atLeast"/>
          <w:jc w:val="center"/>
        </w:trPr>
        <w:tc>
          <w:tcPr>
            <w:tcW w:w="111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E966A4">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2013199</w:t>
            </w:r>
          </w:p>
        </w:tc>
        <w:tc>
          <w:tcPr>
            <w:tcW w:w="425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DBD05B">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其他党委办公厅（室）及相关机构事务支出</w:t>
            </w:r>
          </w:p>
        </w:tc>
        <w:tc>
          <w:tcPr>
            <w:tcW w:w="12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9B4FA0">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11.50 </w:t>
            </w:r>
          </w:p>
        </w:tc>
        <w:tc>
          <w:tcPr>
            <w:tcW w:w="14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BA4614">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11.50 </w:t>
            </w:r>
          </w:p>
        </w:tc>
        <w:tc>
          <w:tcPr>
            <w:tcW w:w="13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FA8085">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rPr>
            </w:pPr>
          </w:p>
        </w:tc>
        <w:tc>
          <w:tcPr>
            <w:tcW w:w="11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934069">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rPr>
            </w:pPr>
          </w:p>
        </w:tc>
        <w:tc>
          <w:tcPr>
            <w:tcW w:w="8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A17513">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5213CC">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B8ABBE">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rPr>
            </w:pPr>
          </w:p>
        </w:tc>
      </w:tr>
      <w:tr w14:paraId="2D6DA426">
        <w:tblPrEx>
          <w:tblCellMar>
            <w:top w:w="0" w:type="dxa"/>
            <w:left w:w="0" w:type="dxa"/>
            <w:bottom w:w="0" w:type="dxa"/>
            <w:right w:w="0" w:type="dxa"/>
          </w:tblCellMar>
        </w:tblPrEx>
        <w:trPr>
          <w:trHeight w:val="450" w:hRule="atLeast"/>
          <w:jc w:val="center"/>
        </w:trPr>
        <w:tc>
          <w:tcPr>
            <w:tcW w:w="111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0DAEF3">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425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CE0C246">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2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2283CD">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122.84 </w:t>
            </w:r>
          </w:p>
        </w:tc>
        <w:tc>
          <w:tcPr>
            <w:tcW w:w="14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04D40F">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122.84 </w:t>
            </w:r>
          </w:p>
        </w:tc>
        <w:tc>
          <w:tcPr>
            <w:tcW w:w="13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A2E853">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8FF61E">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8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7EB56F">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65FC69">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922C5F">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86D0CC3">
        <w:tblPrEx>
          <w:tblCellMar>
            <w:top w:w="0" w:type="dxa"/>
            <w:left w:w="0" w:type="dxa"/>
            <w:bottom w:w="0" w:type="dxa"/>
            <w:right w:w="0" w:type="dxa"/>
          </w:tblCellMar>
        </w:tblPrEx>
        <w:trPr>
          <w:trHeight w:val="450" w:hRule="atLeast"/>
          <w:jc w:val="center"/>
        </w:trPr>
        <w:tc>
          <w:tcPr>
            <w:tcW w:w="111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E8ED0E">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2080501</w:t>
            </w:r>
          </w:p>
        </w:tc>
        <w:tc>
          <w:tcPr>
            <w:tcW w:w="425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69C018F">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行政单位离退休</w:t>
            </w:r>
          </w:p>
        </w:tc>
        <w:tc>
          <w:tcPr>
            <w:tcW w:w="12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6C01A3">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49.34 </w:t>
            </w:r>
          </w:p>
        </w:tc>
        <w:tc>
          <w:tcPr>
            <w:tcW w:w="14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24B0CB">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49.34 </w:t>
            </w:r>
          </w:p>
        </w:tc>
        <w:tc>
          <w:tcPr>
            <w:tcW w:w="13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2B00AF">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rPr>
            </w:pPr>
          </w:p>
        </w:tc>
        <w:tc>
          <w:tcPr>
            <w:tcW w:w="11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6619CB">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rPr>
            </w:pPr>
          </w:p>
        </w:tc>
        <w:tc>
          <w:tcPr>
            <w:tcW w:w="8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BF7B32">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C94B45">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A6831F">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rPr>
            </w:pPr>
          </w:p>
        </w:tc>
      </w:tr>
      <w:tr w14:paraId="420E3184">
        <w:tblPrEx>
          <w:tblCellMar>
            <w:top w:w="0" w:type="dxa"/>
            <w:left w:w="0" w:type="dxa"/>
            <w:bottom w:w="0" w:type="dxa"/>
            <w:right w:w="0" w:type="dxa"/>
          </w:tblCellMar>
        </w:tblPrEx>
        <w:trPr>
          <w:trHeight w:val="450" w:hRule="atLeast"/>
          <w:jc w:val="center"/>
        </w:trPr>
        <w:tc>
          <w:tcPr>
            <w:tcW w:w="111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0E12F6">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2080505</w:t>
            </w:r>
          </w:p>
        </w:tc>
        <w:tc>
          <w:tcPr>
            <w:tcW w:w="425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F8AD56">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2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9C4FC0">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19.84 </w:t>
            </w:r>
          </w:p>
        </w:tc>
        <w:tc>
          <w:tcPr>
            <w:tcW w:w="14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BDE2FA">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19.84 </w:t>
            </w:r>
          </w:p>
        </w:tc>
        <w:tc>
          <w:tcPr>
            <w:tcW w:w="13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51CC40">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rPr>
            </w:pPr>
          </w:p>
        </w:tc>
        <w:tc>
          <w:tcPr>
            <w:tcW w:w="11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F300BB">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rPr>
            </w:pPr>
          </w:p>
        </w:tc>
        <w:tc>
          <w:tcPr>
            <w:tcW w:w="8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CEDF38">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E7DB0A">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45DF25">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rPr>
            </w:pPr>
          </w:p>
        </w:tc>
      </w:tr>
      <w:tr w14:paraId="483B3F65">
        <w:tblPrEx>
          <w:tblCellMar>
            <w:top w:w="0" w:type="dxa"/>
            <w:left w:w="0" w:type="dxa"/>
            <w:bottom w:w="0" w:type="dxa"/>
            <w:right w:w="0" w:type="dxa"/>
          </w:tblCellMar>
        </w:tblPrEx>
        <w:trPr>
          <w:trHeight w:val="450" w:hRule="atLeast"/>
          <w:jc w:val="center"/>
        </w:trPr>
        <w:tc>
          <w:tcPr>
            <w:tcW w:w="111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0134A8">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2089999</w:t>
            </w:r>
          </w:p>
        </w:tc>
        <w:tc>
          <w:tcPr>
            <w:tcW w:w="425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3491F56">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2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908175">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9.00 </w:t>
            </w:r>
          </w:p>
        </w:tc>
        <w:tc>
          <w:tcPr>
            <w:tcW w:w="14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6F8907">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9.00 </w:t>
            </w:r>
          </w:p>
        </w:tc>
        <w:tc>
          <w:tcPr>
            <w:tcW w:w="13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8FF0DC">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rPr>
            </w:pPr>
          </w:p>
        </w:tc>
        <w:tc>
          <w:tcPr>
            <w:tcW w:w="11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2EED79">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rPr>
            </w:pPr>
          </w:p>
        </w:tc>
        <w:tc>
          <w:tcPr>
            <w:tcW w:w="8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13D51F">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1FB6B3">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EF0487">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rPr>
            </w:pPr>
          </w:p>
        </w:tc>
      </w:tr>
      <w:tr w14:paraId="36DDE2AA">
        <w:tblPrEx>
          <w:tblCellMar>
            <w:top w:w="0" w:type="dxa"/>
            <w:left w:w="0" w:type="dxa"/>
            <w:bottom w:w="0" w:type="dxa"/>
            <w:right w:w="0" w:type="dxa"/>
          </w:tblCellMar>
        </w:tblPrEx>
        <w:trPr>
          <w:trHeight w:val="450" w:hRule="atLeast"/>
          <w:jc w:val="center"/>
        </w:trPr>
        <w:tc>
          <w:tcPr>
            <w:tcW w:w="111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DE61D55">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425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3303CFE">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12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1DBD72">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7.91 </w:t>
            </w:r>
          </w:p>
        </w:tc>
        <w:tc>
          <w:tcPr>
            <w:tcW w:w="14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0B3394">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7.91 </w:t>
            </w:r>
          </w:p>
        </w:tc>
        <w:tc>
          <w:tcPr>
            <w:tcW w:w="13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83856D">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FA2A72">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8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3DFA84">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3D4EC2">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FCC6AD">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648405F">
        <w:tblPrEx>
          <w:tblCellMar>
            <w:top w:w="0" w:type="dxa"/>
            <w:left w:w="0" w:type="dxa"/>
            <w:bottom w:w="0" w:type="dxa"/>
            <w:right w:w="0" w:type="dxa"/>
          </w:tblCellMar>
        </w:tblPrEx>
        <w:trPr>
          <w:trHeight w:val="450" w:hRule="atLeast"/>
          <w:jc w:val="center"/>
        </w:trPr>
        <w:tc>
          <w:tcPr>
            <w:tcW w:w="111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C6839B">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2101199</w:t>
            </w:r>
          </w:p>
        </w:tc>
        <w:tc>
          <w:tcPr>
            <w:tcW w:w="425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5FE1ED">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其他行政事业单位医疗支出</w:t>
            </w:r>
          </w:p>
        </w:tc>
        <w:tc>
          <w:tcPr>
            <w:tcW w:w="12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5F3F0B">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0.80 </w:t>
            </w:r>
          </w:p>
        </w:tc>
        <w:tc>
          <w:tcPr>
            <w:tcW w:w="14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0D9D40">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0.80 </w:t>
            </w:r>
          </w:p>
        </w:tc>
        <w:tc>
          <w:tcPr>
            <w:tcW w:w="13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B425DE">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1BC29B">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8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39C5D2">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F4FCB3">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4C3799">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90E785C">
        <w:tblPrEx>
          <w:tblCellMar>
            <w:top w:w="0" w:type="dxa"/>
            <w:left w:w="0" w:type="dxa"/>
            <w:bottom w:w="0" w:type="dxa"/>
            <w:right w:w="0" w:type="dxa"/>
          </w:tblCellMar>
        </w:tblPrEx>
        <w:trPr>
          <w:trHeight w:val="450" w:hRule="atLeast"/>
          <w:jc w:val="center"/>
        </w:trPr>
        <w:tc>
          <w:tcPr>
            <w:tcW w:w="111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0D660A">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425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441CCAB">
            <w:pPr>
              <w:keepNext w:val="0"/>
              <w:keepLines w:val="0"/>
              <w:pageBreakBefore w:val="0"/>
              <w:widowControl w:val="0"/>
              <w:suppressLineNumbers w:val="0"/>
              <w:kinsoku/>
              <w:wordWrap/>
              <w:overflowPunct/>
              <w:topLinePunct w:val="0"/>
              <w:autoSpaceDE/>
              <w:autoSpaceDN/>
              <w:bidi w:val="0"/>
              <w:adjustRightInd/>
              <w:snapToGrid/>
              <w:spacing w:line="500" w:lineRule="exact"/>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住房公积金</w:t>
            </w:r>
          </w:p>
        </w:tc>
        <w:tc>
          <w:tcPr>
            <w:tcW w:w="12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DAD67F">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17.55 </w:t>
            </w:r>
          </w:p>
        </w:tc>
        <w:tc>
          <w:tcPr>
            <w:tcW w:w="14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24CFDF">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17.55 </w:t>
            </w:r>
          </w:p>
        </w:tc>
        <w:tc>
          <w:tcPr>
            <w:tcW w:w="13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2B9950">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0F8693">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8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64F776">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07636F">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429BF7">
            <w:pPr>
              <w:keepNext w:val="0"/>
              <w:keepLines w:val="0"/>
              <w:pageBreakBefore w:val="0"/>
              <w:widowControl w:val="0"/>
              <w:kinsoku/>
              <w:wordWrap/>
              <w:overflowPunct/>
              <w:topLinePunct w:val="0"/>
              <w:autoSpaceDE/>
              <w:autoSpaceDN/>
              <w:bidi w:val="0"/>
              <w:adjustRightInd/>
              <w:snapToGrid/>
              <w:spacing w:line="500" w:lineRule="exact"/>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622D893B">
      <w:pPr>
        <w:spacing w:before="120"/>
        <w:rPr>
          <w:rFonts w:ascii="Times New Roman" w:hAnsi="Times New Roman" w:eastAsia="黑体" w:cs="Times New Roman"/>
          <w:color w:val="000000"/>
          <w:kern w:val="0"/>
          <w:sz w:val="32"/>
          <w:szCs w:val="32"/>
          <w:lang w:bidi="ar"/>
        </w:rPr>
      </w:pPr>
      <w:r>
        <w:rPr>
          <w:rFonts w:ascii="Times New Roman" w:hAnsi="Times New Roman" w:eastAsia="仿宋_GB2312" w:cs="Times New Roman"/>
        </w:rPr>
        <w:t>注：本表反映部门本年度取得的各项收入情况。</w:t>
      </w:r>
    </w:p>
    <w:p w14:paraId="6AABD13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3165C50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05A28D3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bidi="ar"/>
        </w:rPr>
        <w:t>中共怀化市委老干部局</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6" w:type="pct"/>
        <w:jc w:val="center"/>
        <w:tblLayout w:type="autofit"/>
        <w:tblCellMar>
          <w:top w:w="0" w:type="dxa"/>
          <w:left w:w="108" w:type="dxa"/>
          <w:bottom w:w="0" w:type="dxa"/>
          <w:right w:w="108" w:type="dxa"/>
        </w:tblCellMar>
      </w:tblPr>
      <w:tblGrid>
        <w:gridCol w:w="1189"/>
        <w:gridCol w:w="5196"/>
        <w:gridCol w:w="1439"/>
        <w:gridCol w:w="896"/>
        <w:gridCol w:w="896"/>
        <w:gridCol w:w="1439"/>
        <w:gridCol w:w="896"/>
        <w:gridCol w:w="2258"/>
      </w:tblGrid>
      <w:tr w14:paraId="75DEEB3D">
        <w:tblPrEx>
          <w:tblCellMar>
            <w:top w:w="0" w:type="dxa"/>
            <w:left w:w="108" w:type="dxa"/>
            <w:bottom w:w="0" w:type="dxa"/>
            <w:right w:w="108" w:type="dxa"/>
          </w:tblCellMar>
        </w:tblPrEx>
        <w:trPr>
          <w:trHeight w:val="595" w:hRule="atLeast"/>
          <w:jc w:val="center"/>
        </w:trPr>
        <w:tc>
          <w:tcPr>
            <w:tcW w:w="2245"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07246E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0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2DCB86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31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B9B779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1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2B07A5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0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FDDF44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1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3C90DF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79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D08D9F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6AB8D235">
        <w:tblPrEx>
          <w:tblCellMar>
            <w:top w:w="0" w:type="dxa"/>
            <w:left w:w="108" w:type="dxa"/>
            <w:bottom w:w="0" w:type="dxa"/>
            <w:right w:w="108" w:type="dxa"/>
          </w:tblCellMar>
        </w:tblPrEx>
        <w:trPr>
          <w:trHeight w:val="312" w:hRule="exact"/>
          <w:jc w:val="center"/>
        </w:trPr>
        <w:tc>
          <w:tcPr>
            <w:tcW w:w="41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91A05F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826" w:type="pct"/>
            <w:vMerge w:val="restart"/>
            <w:tcBorders>
              <w:top w:val="nil"/>
              <w:left w:val="single" w:color="auto" w:sz="4" w:space="0"/>
              <w:bottom w:val="single" w:color="auto" w:sz="4" w:space="0"/>
              <w:right w:val="single" w:color="auto" w:sz="4" w:space="0"/>
            </w:tcBorders>
            <w:shd w:val="clear" w:color="000000" w:fill="FFFFFF"/>
            <w:vAlign w:val="center"/>
          </w:tcPr>
          <w:p w14:paraId="661CFA0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06" w:type="pct"/>
            <w:vMerge w:val="continue"/>
            <w:tcBorders>
              <w:top w:val="single" w:color="auto" w:sz="4" w:space="0"/>
              <w:left w:val="single" w:color="auto" w:sz="4" w:space="0"/>
              <w:bottom w:val="single" w:color="auto" w:sz="4" w:space="0"/>
              <w:right w:val="single" w:color="auto" w:sz="4" w:space="0"/>
            </w:tcBorders>
            <w:vAlign w:val="center"/>
          </w:tcPr>
          <w:p w14:paraId="544DD303">
            <w:pPr>
              <w:widowControl/>
              <w:jc w:val="left"/>
              <w:rPr>
                <w:rFonts w:ascii="Times New Roman" w:hAnsi="Times New Roman" w:eastAsia="仿宋_GB2312" w:cs="Times New Roman"/>
                <w:b/>
                <w:bCs/>
                <w:kern w:val="0"/>
                <w:sz w:val="24"/>
                <w:szCs w:val="24"/>
              </w:rPr>
            </w:pPr>
          </w:p>
        </w:tc>
        <w:tc>
          <w:tcPr>
            <w:tcW w:w="315" w:type="pct"/>
            <w:vMerge w:val="continue"/>
            <w:tcBorders>
              <w:top w:val="single" w:color="auto" w:sz="4" w:space="0"/>
              <w:left w:val="single" w:color="auto" w:sz="4" w:space="0"/>
              <w:bottom w:val="single" w:color="auto" w:sz="4" w:space="0"/>
              <w:right w:val="single" w:color="auto" w:sz="4" w:space="0"/>
            </w:tcBorders>
            <w:vAlign w:val="center"/>
          </w:tcPr>
          <w:p w14:paraId="2241EB4C">
            <w:pPr>
              <w:widowControl/>
              <w:jc w:val="left"/>
              <w:rPr>
                <w:rFonts w:ascii="Times New Roman" w:hAnsi="Times New Roman" w:eastAsia="仿宋_GB2312" w:cs="Times New Roman"/>
                <w:b/>
                <w:bCs/>
                <w:kern w:val="0"/>
                <w:sz w:val="24"/>
                <w:szCs w:val="24"/>
              </w:rPr>
            </w:pPr>
          </w:p>
        </w:tc>
        <w:tc>
          <w:tcPr>
            <w:tcW w:w="315" w:type="pct"/>
            <w:vMerge w:val="continue"/>
            <w:tcBorders>
              <w:top w:val="single" w:color="auto" w:sz="4" w:space="0"/>
              <w:left w:val="single" w:color="auto" w:sz="4" w:space="0"/>
              <w:bottom w:val="single" w:color="auto" w:sz="4" w:space="0"/>
              <w:right w:val="single" w:color="auto" w:sz="4" w:space="0"/>
            </w:tcBorders>
            <w:vAlign w:val="center"/>
          </w:tcPr>
          <w:p w14:paraId="49FB07C3">
            <w:pPr>
              <w:widowControl/>
              <w:jc w:val="left"/>
              <w:rPr>
                <w:rFonts w:ascii="Times New Roman" w:hAnsi="Times New Roman" w:eastAsia="仿宋_GB2312" w:cs="Times New Roman"/>
                <w:b/>
                <w:bCs/>
                <w:kern w:val="0"/>
                <w:sz w:val="24"/>
                <w:szCs w:val="24"/>
              </w:rPr>
            </w:pPr>
          </w:p>
        </w:tc>
        <w:tc>
          <w:tcPr>
            <w:tcW w:w="506" w:type="pct"/>
            <w:vMerge w:val="continue"/>
            <w:tcBorders>
              <w:top w:val="single" w:color="auto" w:sz="4" w:space="0"/>
              <w:left w:val="single" w:color="auto" w:sz="4" w:space="0"/>
              <w:bottom w:val="single" w:color="auto" w:sz="4" w:space="0"/>
              <w:right w:val="single" w:color="auto" w:sz="4" w:space="0"/>
            </w:tcBorders>
            <w:vAlign w:val="center"/>
          </w:tcPr>
          <w:p w14:paraId="1D5DBDFC">
            <w:pPr>
              <w:widowControl/>
              <w:jc w:val="left"/>
              <w:rPr>
                <w:rFonts w:ascii="Times New Roman" w:hAnsi="Times New Roman" w:eastAsia="仿宋_GB2312" w:cs="Times New Roman"/>
                <w:b/>
                <w:bCs/>
                <w:kern w:val="0"/>
                <w:sz w:val="24"/>
                <w:szCs w:val="24"/>
              </w:rPr>
            </w:pPr>
          </w:p>
        </w:tc>
        <w:tc>
          <w:tcPr>
            <w:tcW w:w="315" w:type="pct"/>
            <w:vMerge w:val="continue"/>
            <w:tcBorders>
              <w:top w:val="single" w:color="auto" w:sz="4" w:space="0"/>
              <w:left w:val="single" w:color="auto" w:sz="4" w:space="0"/>
              <w:bottom w:val="single" w:color="auto" w:sz="4" w:space="0"/>
              <w:right w:val="single" w:color="auto" w:sz="4" w:space="0"/>
            </w:tcBorders>
            <w:vAlign w:val="center"/>
          </w:tcPr>
          <w:p w14:paraId="11916762">
            <w:pPr>
              <w:widowControl/>
              <w:jc w:val="left"/>
              <w:rPr>
                <w:rFonts w:ascii="Times New Roman" w:hAnsi="Times New Roman" w:eastAsia="仿宋_GB2312" w:cs="Times New Roman"/>
                <w:b/>
                <w:bCs/>
                <w:kern w:val="0"/>
                <w:sz w:val="24"/>
                <w:szCs w:val="24"/>
              </w:rPr>
            </w:pPr>
          </w:p>
        </w:tc>
        <w:tc>
          <w:tcPr>
            <w:tcW w:w="794" w:type="pct"/>
            <w:vMerge w:val="continue"/>
            <w:tcBorders>
              <w:top w:val="single" w:color="auto" w:sz="4" w:space="0"/>
              <w:left w:val="single" w:color="auto" w:sz="4" w:space="0"/>
              <w:bottom w:val="single" w:color="auto" w:sz="4" w:space="0"/>
              <w:right w:val="single" w:color="auto" w:sz="4" w:space="0"/>
            </w:tcBorders>
            <w:vAlign w:val="center"/>
          </w:tcPr>
          <w:p w14:paraId="359F6C76">
            <w:pPr>
              <w:widowControl/>
              <w:jc w:val="left"/>
              <w:rPr>
                <w:rFonts w:ascii="Times New Roman" w:hAnsi="Times New Roman" w:eastAsia="仿宋_GB2312" w:cs="Times New Roman"/>
                <w:b/>
                <w:bCs/>
                <w:kern w:val="0"/>
                <w:sz w:val="24"/>
                <w:szCs w:val="24"/>
              </w:rPr>
            </w:pPr>
          </w:p>
        </w:tc>
      </w:tr>
      <w:tr w14:paraId="609BA775">
        <w:tblPrEx>
          <w:tblCellMar>
            <w:top w:w="0" w:type="dxa"/>
            <w:left w:w="108" w:type="dxa"/>
            <w:bottom w:w="0" w:type="dxa"/>
            <w:right w:w="108" w:type="dxa"/>
          </w:tblCellMar>
        </w:tblPrEx>
        <w:trPr>
          <w:trHeight w:val="595" w:hRule="atLeast"/>
          <w:jc w:val="center"/>
        </w:trPr>
        <w:tc>
          <w:tcPr>
            <w:tcW w:w="418" w:type="pct"/>
            <w:vMerge w:val="continue"/>
            <w:tcBorders>
              <w:top w:val="single" w:color="auto" w:sz="4" w:space="0"/>
              <w:left w:val="single" w:color="auto" w:sz="4" w:space="0"/>
              <w:bottom w:val="single" w:color="auto" w:sz="4" w:space="0"/>
              <w:right w:val="single" w:color="auto" w:sz="4" w:space="0"/>
            </w:tcBorders>
            <w:vAlign w:val="center"/>
          </w:tcPr>
          <w:p w14:paraId="41FA9930">
            <w:pPr>
              <w:widowControl/>
              <w:jc w:val="left"/>
              <w:rPr>
                <w:rFonts w:ascii="Times New Roman" w:hAnsi="Times New Roman" w:eastAsia="仿宋_GB2312" w:cs="Times New Roman"/>
                <w:kern w:val="0"/>
                <w:sz w:val="24"/>
                <w:szCs w:val="24"/>
              </w:rPr>
            </w:pPr>
          </w:p>
        </w:tc>
        <w:tc>
          <w:tcPr>
            <w:tcW w:w="1826" w:type="pct"/>
            <w:vMerge w:val="continue"/>
            <w:tcBorders>
              <w:top w:val="nil"/>
              <w:left w:val="single" w:color="auto" w:sz="4" w:space="0"/>
              <w:bottom w:val="single" w:color="auto" w:sz="4" w:space="0"/>
              <w:right w:val="single" w:color="auto" w:sz="4" w:space="0"/>
            </w:tcBorders>
            <w:vAlign w:val="center"/>
          </w:tcPr>
          <w:p w14:paraId="3E8DCE0B">
            <w:pPr>
              <w:widowControl/>
              <w:jc w:val="left"/>
              <w:rPr>
                <w:rFonts w:ascii="Times New Roman" w:hAnsi="Times New Roman" w:eastAsia="仿宋_GB2312" w:cs="Times New Roman"/>
                <w:kern w:val="0"/>
                <w:sz w:val="24"/>
                <w:szCs w:val="24"/>
              </w:rPr>
            </w:pPr>
          </w:p>
        </w:tc>
        <w:tc>
          <w:tcPr>
            <w:tcW w:w="506" w:type="pct"/>
            <w:vMerge w:val="continue"/>
            <w:tcBorders>
              <w:top w:val="single" w:color="auto" w:sz="4" w:space="0"/>
              <w:left w:val="single" w:color="auto" w:sz="4" w:space="0"/>
              <w:bottom w:val="single" w:color="auto" w:sz="4" w:space="0"/>
              <w:right w:val="single" w:color="auto" w:sz="4" w:space="0"/>
            </w:tcBorders>
            <w:vAlign w:val="center"/>
          </w:tcPr>
          <w:p w14:paraId="48952D27">
            <w:pPr>
              <w:widowControl/>
              <w:jc w:val="left"/>
              <w:rPr>
                <w:rFonts w:ascii="Times New Roman" w:hAnsi="Times New Roman" w:eastAsia="仿宋_GB2312" w:cs="Times New Roman"/>
                <w:kern w:val="0"/>
                <w:sz w:val="24"/>
                <w:szCs w:val="24"/>
              </w:rPr>
            </w:pPr>
          </w:p>
        </w:tc>
        <w:tc>
          <w:tcPr>
            <w:tcW w:w="315" w:type="pct"/>
            <w:vMerge w:val="continue"/>
            <w:tcBorders>
              <w:top w:val="single" w:color="auto" w:sz="4" w:space="0"/>
              <w:left w:val="single" w:color="auto" w:sz="4" w:space="0"/>
              <w:bottom w:val="single" w:color="auto" w:sz="4" w:space="0"/>
              <w:right w:val="single" w:color="auto" w:sz="4" w:space="0"/>
            </w:tcBorders>
            <w:vAlign w:val="center"/>
          </w:tcPr>
          <w:p w14:paraId="67B792C2">
            <w:pPr>
              <w:widowControl/>
              <w:jc w:val="left"/>
              <w:rPr>
                <w:rFonts w:ascii="Times New Roman" w:hAnsi="Times New Roman" w:eastAsia="仿宋_GB2312" w:cs="Times New Roman"/>
                <w:kern w:val="0"/>
                <w:sz w:val="24"/>
                <w:szCs w:val="24"/>
              </w:rPr>
            </w:pPr>
          </w:p>
        </w:tc>
        <w:tc>
          <w:tcPr>
            <w:tcW w:w="315" w:type="pct"/>
            <w:vMerge w:val="continue"/>
            <w:tcBorders>
              <w:top w:val="single" w:color="auto" w:sz="4" w:space="0"/>
              <w:left w:val="single" w:color="auto" w:sz="4" w:space="0"/>
              <w:bottom w:val="single" w:color="auto" w:sz="4" w:space="0"/>
              <w:right w:val="single" w:color="auto" w:sz="4" w:space="0"/>
            </w:tcBorders>
            <w:vAlign w:val="center"/>
          </w:tcPr>
          <w:p w14:paraId="52CBB95B">
            <w:pPr>
              <w:widowControl/>
              <w:jc w:val="left"/>
              <w:rPr>
                <w:rFonts w:ascii="Times New Roman" w:hAnsi="Times New Roman" w:eastAsia="仿宋_GB2312" w:cs="Times New Roman"/>
                <w:kern w:val="0"/>
                <w:sz w:val="24"/>
                <w:szCs w:val="24"/>
              </w:rPr>
            </w:pPr>
          </w:p>
        </w:tc>
        <w:tc>
          <w:tcPr>
            <w:tcW w:w="506" w:type="pct"/>
            <w:vMerge w:val="continue"/>
            <w:tcBorders>
              <w:top w:val="single" w:color="auto" w:sz="4" w:space="0"/>
              <w:left w:val="single" w:color="auto" w:sz="4" w:space="0"/>
              <w:bottom w:val="single" w:color="auto" w:sz="4" w:space="0"/>
              <w:right w:val="single" w:color="auto" w:sz="4" w:space="0"/>
            </w:tcBorders>
            <w:vAlign w:val="center"/>
          </w:tcPr>
          <w:p w14:paraId="12A8EB0A">
            <w:pPr>
              <w:widowControl/>
              <w:jc w:val="left"/>
              <w:rPr>
                <w:rFonts w:ascii="Times New Roman" w:hAnsi="Times New Roman" w:eastAsia="仿宋_GB2312" w:cs="Times New Roman"/>
                <w:kern w:val="0"/>
                <w:sz w:val="24"/>
                <w:szCs w:val="24"/>
              </w:rPr>
            </w:pPr>
          </w:p>
        </w:tc>
        <w:tc>
          <w:tcPr>
            <w:tcW w:w="315" w:type="pct"/>
            <w:vMerge w:val="continue"/>
            <w:tcBorders>
              <w:top w:val="single" w:color="auto" w:sz="4" w:space="0"/>
              <w:left w:val="single" w:color="auto" w:sz="4" w:space="0"/>
              <w:bottom w:val="single" w:color="auto" w:sz="4" w:space="0"/>
              <w:right w:val="single" w:color="auto" w:sz="4" w:space="0"/>
            </w:tcBorders>
            <w:vAlign w:val="center"/>
          </w:tcPr>
          <w:p w14:paraId="18EA575E">
            <w:pPr>
              <w:widowControl/>
              <w:jc w:val="left"/>
              <w:rPr>
                <w:rFonts w:ascii="Times New Roman" w:hAnsi="Times New Roman" w:eastAsia="仿宋_GB2312" w:cs="Times New Roman"/>
                <w:kern w:val="0"/>
                <w:sz w:val="24"/>
                <w:szCs w:val="24"/>
              </w:rPr>
            </w:pPr>
          </w:p>
        </w:tc>
        <w:tc>
          <w:tcPr>
            <w:tcW w:w="794" w:type="pct"/>
            <w:vMerge w:val="continue"/>
            <w:tcBorders>
              <w:top w:val="single" w:color="auto" w:sz="4" w:space="0"/>
              <w:left w:val="single" w:color="auto" w:sz="4" w:space="0"/>
              <w:bottom w:val="single" w:color="auto" w:sz="4" w:space="0"/>
              <w:right w:val="single" w:color="auto" w:sz="4" w:space="0"/>
            </w:tcBorders>
            <w:vAlign w:val="center"/>
          </w:tcPr>
          <w:p w14:paraId="2E086728">
            <w:pPr>
              <w:widowControl/>
              <w:jc w:val="left"/>
              <w:rPr>
                <w:rFonts w:ascii="Times New Roman" w:hAnsi="Times New Roman" w:eastAsia="仿宋_GB2312" w:cs="Times New Roman"/>
                <w:kern w:val="0"/>
                <w:sz w:val="24"/>
                <w:szCs w:val="24"/>
              </w:rPr>
            </w:pPr>
          </w:p>
        </w:tc>
      </w:tr>
      <w:tr w14:paraId="53D3DD13">
        <w:tblPrEx>
          <w:tblCellMar>
            <w:top w:w="0" w:type="dxa"/>
            <w:left w:w="108" w:type="dxa"/>
            <w:bottom w:w="0" w:type="dxa"/>
            <w:right w:w="108" w:type="dxa"/>
          </w:tblCellMar>
        </w:tblPrEx>
        <w:trPr>
          <w:trHeight w:val="595" w:hRule="atLeast"/>
          <w:jc w:val="center"/>
        </w:trPr>
        <w:tc>
          <w:tcPr>
            <w:tcW w:w="2245"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A4D7181">
            <w:pPr>
              <w:keepNext w:val="0"/>
              <w:keepLines w:val="0"/>
              <w:pageBreakBefore w:val="0"/>
              <w:widowControl w:val="0"/>
              <w:kinsoku/>
              <w:wordWrap/>
              <w:overflowPunct/>
              <w:topLinePunct w:val="0"/>
              <w:autoSpaceDE/>
              <w:autoSpaceDN/>
              <w:bidi w:val="0"/>
              <w:adjustRightInd/>
              <w:snapToGrid/>
              <w:spacing w:line="40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06" w:type="pct"/>
            <w:tcBorders>
              <w:top w:val="nil"/>
              <w:left w:val="nil"/>
              <w:bottom w:val="single" w:color="auto" w:sz="4" w:space="0"/>
              <w:right w:val="single" w:color="auto" w:sz="4" w:space="0"/>
            </w:tcBorders>
            <w:shd w:val="clear" w:color="000000" w:fill="FFFFFF"/>
            <w:noWrap/>
            <w:vAlign w:val="center"/>
          </w:tcPr>
          <w:p w14:paraId="3FE01F57">
            <w:pPr>
              <w:keepNext w:val="0"/>
              <w:keepLines w:val="0"/>
              <w:pageBreakBefore w:val="0"/>
              <w:widowControl w:val="0"/>
              <w:kinsoku/>
              <w:wordWrap/>
              <w:overflowPunct/>
              <w:topLinePunct w:val="0"/>
              <w:autoSpaceDE/>
              <w:autoSpaceDN/>
              <w:bidi w:val="0"/>
              <w:adjustRightInd/>
              <w:snapToGrid/>
              <w:spacing w:line="40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15" w:type="pct"/>
            <w:tcBorders>
              <w:top w:val="nil"/>
              <w:left w:val="nil"/>
              <w:bottom w:val="single" w:color="auto" w:sz="4" w:space="0"/>
              <w:right w:val="single" w:color="auto" w:sz="4" w:space="0"/>
            </w:tcBorders>
            <w:shd w:val="clear" w:color="000000" w:fill="FFFFFF"/>
            <w:noWrap/>
            <w:vAlign w:val="center"/>
          </w:tcPr>
          <w:p w14:paraId="1C72481D">
            <w:pPr>
              <w:keepNext w:val="0"/>
              <w:keepLines w:val="0"/>
              <w:pageBreakBefore w:val="0"/>
              <w:widowControl w:val="0"/>
              <w:kinsoku/>
              <w:wordWrap/>
              <w:overflowPunct/>
              <w:topLinePunct w:val="0"/>
              <w:autoSpaceDE/>
              <w:autoSpaceDN/>
              <w:bidi w:val="0"/>
              <w:adjustRightInd/>
              <w:snapToGrid/>
              <w:spacing w:line="40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15" w:type="pct"/>
            <w:tcBorders>
              <w:top w:val="nil"/>
              <w:left w:val="nil"/>
              <w:bottom w:val="single" w:color="auto" w:sz="4" w:space="0"/>
              <w:right w:val="single" w:color="auto" w:sz="4" w:space="0"/>
            </w:tcBorders>
            <w:shd w:val="clear" w:color="000000" w:fill="FFFFFF"/>
            <w:noWrap/>
            <w:vAlign w:val="center"/>
          </w:tcPr>
          <w:p w14:paraId="18BF63B0">
            <w:pPr>
              <w:keepNext w:val="0"/>
              <w:keepLines w:val="0"/>
              <w:pageBreakBefore w:val="0"/>
              <w:widowControl w:val="0"/>
              <w:kinsoku/>
              <w:wordWrap/>
              <w:overflowPunct/>
              <w:topLinePunct w:val="0"/>
              <w:autoSpaceDE/>
              <w:autoSpaceDN/>
              <w:bidi w:val="0"/>
              <w:adjustRightInd/>
              <w:snapToGrid/>
              <w:spacing w:line="40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06" w:type="pct"/>
            <w:tcBorders>
              <w:top w:val="nil"/>
              <w:left w:val="nil"/>
              <w:bottom w:val="single" w:color="auto" w:sz="4" w:space="0"/>
              <w:right w:val="single" w:color="auto" w:sz="4" w:space="0"/>
            </w:tcBorders>
            <w:shd w:val="clear" w:color="000000" w:fill="FFFFFF"/>
            <w:noWrap/>
            <w:vAlign w:val="center"/>
          </w:tcPr>
          <w:p w14:paraId="56D41341">
            <w:pPr>
              <w:keepNext w:val="0"/>
              <w:keepLines w:val="0"/>
              <w:pageBreakBefore w:val="0"/>
              <w:widowControl w:val="0"/>
              <w:kinsoku/>
              <w:wordWrap/>
              <w:overflowPunct/>
              <w:topLinePunct w:val="0"/>
              <w:autoSpaceDE/>
              <w:autoSpaceDN/>
              <w:bidi w:val="0"/>
              <w:adjustRightInd/>
              <w:snapToGrid/>
              <w:spacing w:line="40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15" w:type="pct"/>
            <w:tcBorders>
              <w:top w:val="nil"/>
              <w:left w:val="nil"/>
              <w:bottom w:val="single" w:color="auto" w:sz="4" w:space="0"/>
              <w:right w:val="single" w:color="auto" w:sz="4" w:space="0"/>
            </w:tcBorders>
            <w:shd w:val="clear" w:color="000000" w:fill="FFFFFF"/>
            <w:noWrap/>
            <w:vAlign w:val="center"/>
          </w:tcPr>
          <w:p w14:paraId="272FC52F">
            <w:pPr>
              <w:keepNext w:val="0"/>
              <w:keepLines w:val="0"/>
              <w:pageBreakBefore w:val="0"/>
              <w:widowControl w:val="0"/>
              <w:kinsoku/>
              <w:wordWrap/>
              <w:overflowPunct/>
              <w:topLinePunct w:val="0"/>
              <w:autoSpaceDE/>
              <w:autoSpaceDN/>
              <w:bidi w:val="0"/>
              <w:adjustRightInd/>
              <w:snapToGrid/>
              <w:spacing w:line="40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794" w:type="pct"/>
            <w:tcBorders>
              <w:top w:val="nil"/>
              <w:left w:val="nil"/>
              <w:bottom w:val="single" w:color="auto" w:sz="4" w:space="0"/>
              <w:right w:val="single" w:color="auto" w:sz="4" w:space="0"/>
            </w:tcBorders>
            <w:shd w:val="clear" w:color="000000" w:fill="FFFFFF"/>
            <w:noWrap/>
            <w:vAlign w:val="center"/>
          </w:tcPr>
          <w:p w14:paraId="3E816859">
            <w:pPr>
              <w:keepNext w:val="0"/>
              <w:keepLines w:val="0"/>
              <w:pageBreakBefore w:val="0"/>
              <w:widowControl w:val="0"/>
              <w:kinsoku/>
              <w:wordWrap/>
              <w:overflowPunct/>
              <w:topLinePunct w:val="0"/>
              <w:autoSpaceDE/>
              <w:autoSpaceDN/>
              <w:bidi w:val="0"/>
              <w:adjustRightInd/>
              <w:snapToGrid/>
              <w:spacing w:line="40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7E14B0BC">
        <w:tblPrEx>
          <w:tblCellMar>
            <w:top w:w="0" w:type="dxa"/>
            <w:left w:w="108" w:type="dxa"/>
            <w:bottom w:w="0" w:type="dxa"/>
            <w:right w:w="108" w:type="dxa"/>
          </w:tblCellMar>
        </w:tblPrEx>
        <w:trPr>
          <w:trHeight w:val="482" w:hRule="exact"/>
          <w:jc w:val="center"/>
        </w:trPr>
        <w:tc>
          <w:tcPr>
            <w:tcW w:w="2245"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D29376C">
            <w:pPr>
              <w:keepNext w:val="0"/>
              <w:keepLines w:val="0"/>
              <w:pageBreakBefore w:val="0"/>
              <w:widowControl w:val="0"/>
              <w:kinsoku/>
              <w:wordWrap/>
              <w:overflowPunct/>
              <w:topLinePunct w:val="0"/>
              <w:autoSpaceDE/>
              <w:autoSpaceDN/>
              <w:bidi w:val="0"/>
              <w:adjustRightInd/>
              <w:snapToGrid/>
              <w:spacing w:line="400" w:lineRule="exact"/>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39" w:type="dxa"/>
            <w:tcBorders>
              <w:top w:val="nil"/>
              <w:left w:val="nil"/>
              <w:bottom w:val="single" w:color="auto" w:sz="4" w:space="0"/>
              <w:right w:val="single" w:color="auto" w:sz="4" w:space="0"/>
            </w:tcBorders>
            <w:shd w:val="clear" w:color="auto" w:fill="auto"/>
            <w:noWrap/>
            <w:vAlign w:val="center"/>
          </w:tcPr>
          <w:p w14:paraId="444D38A4">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562.93</w:t>
            </w:r>
          </w:p>
        </w:tc>
        <w:tc>
          <w:tcPr>
            <w:tcW w:w="896" w:type="dxa"/>
            <w:tcBorders>
              <w:top w:val="nil"/>
              <w:left w:val="nil"/>
              <w:bottom w:val="single" w:color="auto" w:sz="4" w:space="0"/>
              <w:right w:val="single" w:color="auto" w:sz="4" w:space="0"/>
            </w:tcBorders>
            <w:shd w:val="clear" w:color="auto" w:fill="auto"/>
            <w:noWrap/>
            <w:vAlign w:val="center"/>
          </w:tcPr>
          <w:p w14:paraId="3659C22A">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278.52</w:t>
            </w:r>
          </w:p>
        </w:tc>
        <w:tc>
          <w:tcPr>
            <w:tcW w:w="896" w:type="dxa"/>
            <w:tcBorders>
              <w:top w:val="nil"/>
              <w:left w:val="nil"/>
              <w:bottom w:val="single" w:color="auto" w:sz="4" w:space="0"/>
              <w:right w:val="single" w:color="auto" w:sz="4" w:space="0"/>
            </w:tcBorders>
            <w:shd w:val="clear" w:color="auto" w:fill="auto"/>
            <w:noWrap/>
            <w:vAlign w:val="center"/>
          </w:tcPr>
          <w:p w14:paraId="6D9C81F1">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284.41</w:t>
            </w:r>
          </w:p>
        </w:tc>
        <w:tc>
          <w:tcPr>
            <w:tcW w:w="506" w:type="pct"/>
            <w:tcBorders>
              <w:top w:val="nil"/>
              <w:left w:val="nil"/>
              <w:bottom w:val="single" w:color="auto" w:sz="4" w:space="0"/>
              <w:right w:val="single" w:color="auto" w:sz="4" w:space="0"/>
            </w:tcBorders>
            <w:shd w:val="clear" w:color="auto" w:fill="auto"/>
            <w:noWrap/>
            <w:vAlign w:val="center"/>
          </w:tcPr>
          <w:p w14:paraId="7C63C450">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2"/>
                <w:szCs w:val="22"/>
                <w:u w:val="none"/>
                <w:lang w:val="en-US" w:eastAsia="zh-CN" w:bidi="ar"/>
              </w:rPr>
            </w:pPr>
          </w:p>
        </w:tc>
        <w:tc>
          <w:tcPr>
            <w:tcW w:w="315" w:type="pct"/>
            <w:tcBorders>
              <w:top w:val="nil"/>
              <w:left w:val="nil"/>
              <w:bottom w:val="single" w:color="auto" w:sz="4" w:space="0"/>
              <w:right w:val="single" w:color="auto" w:sz="4" w:space="0"/>
            </w:tcBorders>
            <w:shd w:val="clear" w:color="auto" w:fill="auto"/>
            <w:noWrap/>
            <w:vAlign w:val="center"/>
          </w:tcPr>
          <w:p w14:paraId="66BC6E09">
            <w:pPr>
              <w:keepNext w:val="0"/>
              <w:keepLines w:val="0"/>
              <w:pageBreakBefore w:val="0"/>
              <w:widowControl w:val="0"/>
              <w:kinsoku/>
              <w:wordWrap/>
              <w:overflowPunct/>
              <w:topLinePunct w:val="0"/>
              <w:autoSpaceDE/>
              <w:autoSpaceDN/>
              <w:bidi w:val="0"/>
              <w:adjustRightInd/>
              <w:snapToGrid/>
              <w:spacing w:line="400" w:lineRule="exact"/>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94" w:type="pct"/>
            <w:tcBorders>
              <w:top w:val="nil"/>
              <w:left w:val="nil"/>
              <w:bottom w:val="single" w:color="auto" w:sz="4" w:space="0"/>
              <w:right w:val="single" w:color="auto" w:sz="4" w:space="0"/>
            </w:tcBorders>
            <w:shd w:val="clear" w:color="auto" w:fill="auto"/>
            <w:noWrap/>
            <w:vAlign w:val="center"/>
          </w:tcPr>
          <w:p w14:paraId="03A3027F">
            <w:pPr>
              <w:keepNext w:val="0"/>
              <w:keepLines w:val="0"/>
              <w:pageBreakBefore w:val="0"/>
              <w:widowControl w:val="0"/>
              <w:kinsoku/>
              <w:wordWrap/>
              <w:overflowPunct/>
              <w:topLinePunct w:val="0"/>
              <w:autoSpaceDE/>
              <w:autoSpaceDN/>
              <w:bidi w:val="0"/>
              <w:adjustRightInd/>
              <w:snapToGrid/>
              <w:spacing w:line="400" w:lineRule="exact"/>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87C09EF">
        <w:tblPrEx>
          <w:tblCellMar>
            <w:top w:w="0" w:type="dxa"/>
            <w:left w:w="108" w:type="dxa"/>
            <w:bottom w:w="0" w:type="dxa"/>
            <w:right w:w="108" w:type="dxa"/>
          </w:tblCellMar>
        </w:tblPrEx>
        <w:trPr>
          <w:trHeight w:val="482" w:hRule="exact"/>
          <w:jc w:val="center"/>
        </w:trPr>
        <w:tc>
          <w:tcPr>
            <w:tcW w:w="4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220748F">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2013101</w:t>
            </w:r>
          </w:p>
        </w:tc>
        <w:tc>
          <w:tcPr>
            <w:tcW w:w="1826" w:type="pct"/>
            <w:tcBorders>
              <w:top w:val="nil"/>
              <w:left w:val="nil"/>
              <w:bottom w:val="single" w:color="auto" w:sz="4" w:space="0"/>
              <w:right w:val="single" w:color="auto" w:sz="4" w:space="0"/>
            </w:tcBorders>
            <w:shd w:val="clear" w:color="000000" w:fill="FFFFFF"/>
            <w:noWrap/>
            <w:vAlign w:val="center"/>
          </w:tcPr>
          <w:p w14:paraId="6A648663">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439" w:type="dxa"/>
            <w:tcBorders>
              <w:top w:val="nil"/>
              <w:left w:val="nil"/>
              <w:bottom w:val="single" w:color="auto" w:sz="4" w:space="0"/>
              <w:right w:val="single" w:color="auto" w:sz="4" w:space="0"/>
            </w:tcBorders>
            <w:shd w:val="clear" w:color="auto" w:fill="auto"/>
            <w:noWrap/>
            <w:vAlign w:val="center"/>
          </w:tcPr>
          <w:p w14:paraId="76B28006">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183.88</w:t>
            </w:r>
          </w:p>
        </w:tc>
        <w:tc>
          <w:tcPr>
            <w:tcW w:w="896" w:type="dxa"/>
            <w:tcBorders>
              <w:top w:val="nil"/>
              <w:left w:val="nil"/>
              <w:bottom w:val="single" w:color="auto" w:sz="4" w:space="0"/>
              <w:right w:val="single" w:color="auto" w:sz="4" w:space="0"/>
            </w:tcBorders>
            <w:shd w:val="clear" w:color="auto" w:fill="auto"/>
            <w:noWrap/>
            <w:vAlign w:val="center"/>
          </w:tcPr>
          <w:p w14:paraId="751A08EF">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183.88</w:t>
            </w:r>
          </w:p>
        </w:tc>
        <w:tc>
          <w:tcPr>
            <w:tcW w:w="896" w:type="dxa"/>
            <w:tcBorders>
              <w:top w:val="nil"/>
              <w:left w:val="nil"/>
              <w:bottom w:val="single" w:color="auto" w:sz="4" w:space="0"/>
              <w:right w:val="single" w:color="auto" w:sz="4" w:space="0"/>
            </w:tcBorders>
            <w:shd w:val="clear" w:color="auto" w:fill="auto"/>
            <w:noWrap/>
            <w:vAlign w:val="center"/>
          </w:tcPr>
          <w:p w14:paraId="5ED2BCB7">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p>
        </w:tc>
        <w:tc>
          <w:tcPr>
            <w:tcW w:w="506" w:type="pct"/>
            <w:tcBorders>
              <w:top w:val="nil"/>
              <w:left w:val="nil"/>
              <w:bottom w:val="single" w:color="auto" w:sz="4" w:space="0"/>
              <w:right w:val="single" w:color="auto" w:sz="4" w:space="0"/>
            </w:tcBorders>
            <w:shd w:val="clear" w:color="auto" w:fill="auto"/>
            <w:noWrap/>
            <w:vAlign w:val="center"/>
          </w:tcPr>
          <w:p w14:paraId="6407AD7B">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2"/>
                <w:szCs w:val="22"/>
                <w:u w:val="none"/>
                <w:lang w:val="en-US" w:eastAsia="zh-CN" w:bidi="ar"/>
              </w:rPr>
            </w:pPr>
          </w:p>
        </w:tc>
        <w:tc>
          <w:tcPr>
            <w:tcW w:w="315" w:type="pct"/>
            <w:tcBorders>
              <w:top w:val="nil"/>
              <w:left w:val="nil"/>
              <w:bottom w:val="single" w:color="auto" w:sz="4" w:space="0"/>
              <w:right w:val="single" w:color="auto" w:sz="4" w:space="0"/>
            </w:tcBorders>
            <w:shd w:val="clear" w:color="auto" w:fill="auto"/>
            <w:noWrap/>
            <w:vAlign w:val="center"/>
          </w:tcPr>
          <w:p w14:paraId="77E9B1CF">
            <w:pPr>
              <w:keepNext w:val="0"/>
              <w:keepLines w:val="0"/>
              <w:pageBreakBefore w:val="0"/>
              <w:widowControl w:val="0"/>
              <w:kinsoku/>
              <w:wordWrap/>
              <w:overflowPunct/>
              <w:topLinePunct w:val="0"/>
              <w:autoSpaceDE/>
              <w:autoSpaceDN/>
              <w:bidi w:val="0"/>
              <w:adjustRightInd/>
              <w:snapToGrid/>
              <w:spacing w:line="400" w:lineRule="exact"/>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94" w:type="pct"/>
            <w:tcBorders>
              <w:top w:val="nil"/>
              <w:left w:val="nil"/>
              <w:bottom w:val="single" w:color="auto" w:sz="4" w:space="0"/>
              <w:right w:val="single" w:color="auto" w:sz="4" w:space="0"/>
            </w:tcBorders>
            <w:shd w:val="clear" w:color="auto" w:fill="auto"/>
            <w:noWrap/>
            <w:vAlign w:val="center"/>
          </w:tcPr>
          <w:p w14:paraId="63286833">
            <w:pPr>
              <w:keepNext w:val="0"/>
              <w:keepLines w:val="0"/>
              <w:pageBreakBefore w:val="0"/>
              <w:widowControl w:val="0"/>
              <w:kinsoku/>
              <w:wordWrap/>
              <w:overflowPunct/>
              <w:topLinePunct w:val="0"/>
              <w:autoSpaceDE/>
              <w:autoSpaceDN/>
              <w:bidi w:val="0"/>
              <w:adjustRightInd/>
              <w:snapToGrid/>
              <w:spacing w:line="400" w:lineRule="exact"/>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84E7144">
        <w:tblPrEx>
          <w:tblCellMar>
            <w:top w:w="0" w:type="dxa"/>
            <w:left w:w="108" w:type="dxa"/>
            <w:bottom w:w="0" w:type="dxa"/>
            <w:right w:w="108" w:type="dxa"/>
          </w:tblCellMar>
        </w:tblPrEx>
        <w:trPr>
          <w:trHeight w:val="482" w:hRule="exact"/>
          <w:jc w:val="center"/>
        </w:trPr>
        <w:tc>
          <w:tcPr>
            <w:tcW w:w="4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0363EB4">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2013102</w:t>
            </w:r>
          </w:p>
        </w:tc>
        <w:tc>
          <w:tcPr>
            <w:tcW w:w="1826" w:type="pct"/>
            <w:tcBorders>
              <w:top w:val="nil"/>
              <w:left w:val="nil"/>
              <w:bottom w:val="single" w:color="auto" w:sz="4" w:space="0"/>
              <w:right w:val="single" w:color="auto" w:sz="4" w:space="0"/>
            </w:tcBorders>
            <w:shd w:val="clear" w:color="000000" w:fill="FFFFFF"/>
            <w:noWrap/>
            <w:vAlign w:val="center"/>
          </w:tcPr>
          <w:p w14:paraId="7306ED71">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一般行政管理事务</w:t>
            </w:r>
          </w:p>
        </w:tc>
        <w:tc>
          <w:tcPr>
            <w:tcW w:w="1439" w:type="dxa"/>
            <w:tcBorders>
              <w:top w:val="nil"/>
              <w:left w:val="nil"/>
              <w:bottom w:val="single" w:color="auto" w:sz="4" w:space="0"/>
              <w:right w:val="single" w:color="auto" w:sz="4" w:space="0"/>
            </w:tcBorders>
            <w:shd w:val="clear" w:color="auto" w:fill="auto"/>
            <w:noWrap/>
            <w:vAlign w:val="center"/>
          </w:tcPr>
          <w:p w14:paraId="7B1D6F5F">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140.26</w:t>
            </w:r>
          </w:p>
        </w:tc>
        <w:tc>
          <w:tcPr>
            <w:tcW w:w="896" w:type="dxa"/>
            <w:tcBorders>
              <w:top w:val="nil"/>
              <w:left w:val="nil"/>
              <w:bottom w:val="single" w:color="auto" w:sz="4" w:space="0"/>
              <w:right w:val="single" w:color="auto" w:sz="4" w:space="0"/>
            </w:tcBorders>
            <w:shd w:val="clear" w:color="auto" w:fill="auto"/>
            <w:noWrap/>
            <w:vAlign w:val="center"/>
          </w:tcPr>
          <w:p w14:paraId="68B061F6">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p>
        </w:tc>
        <w:tc>
          <w:tcPr>
            <w:tcW w:w="896" w:type="dxa"/>
            <w:tcBorders>
              <w:top w:val="nil"/>
              <w:left w:val="nil"/>
              <w:bottom w:val="single" w:color="auto" w:sz="4" w:space="0"/>
              <w:right w:val="single" w:color="auto" w:sz="4" w:space="0"/>
            </w:tcBorders>
            <w:shd w:val="clear" w:color="auto" w:fill="auto"/>
            <w:noWrap/>
            <w:vAlign w:val="center"/>
          </w:tcPr>
          <w:p w14:paraId="1536311C">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140.26</w:t>
            </w:r>
          </w:p>
        </w:tc>
        <w:tc>
          <w:tcPr>
            <w:tcW w:w="506" w:type="pct"/>
            <w:tcBorders>
              <w:top w:val="nil"/>
              <w:left w:val="nil"/>
              <w:bottom w:val="single" w:color="auto" w:sz="4" w:space="0"/>
              <w:right w:val="single" w:color="auto" w:sz="4" w:space="0"/>
            </w:tcBorders>
            <w:shd w:val="clear" w:color="auto" w:fill="auto"/>
            <w:noWrap/>
            <w:vAlign w:val="center"/>
          </w:tcPr>
          <w:p w14:paraId="69AE95C7">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2"/>
                <w:szCs w:val="22"/>
                <w:u w:val="none"/>
                <w:lang w:val="en-US" w:eastAsia="zh-CN" w:bidi="ar"/>
              </w:rPr>
            </w:pPr>
          </w:p>
        </w:tc>
        <w:tc>
          <w:tcPr>
            <w:tcW w:w="315" w:type="pct"/>
            <w:tcBorders>
              <w:top w:val="nil"/>
              <w:left w:val="nil"/>
              <w:bottom w:val="single" w:color="auto" w:sz="4" w:space="0"/>
              <w:right w:val="single" w:color="auto" w:sz="4" w:space="0"/>
            </w:tcBorders>
            <w:shd w:val="clear" w:color="auto" w:fill="auto"/>
            <w:noWrap/>
            <w:vAlign w:val="center"/>
          </w:tcPr>
          <w:p w14:paraId="0CBD457E">
            <w:pPr>
              <w:keepNext w:val="0"/>
              <w:keepLines w:val="0"/>
              <w:pageBreakBefore w:val="0"/>
              <w:widowControl w:val="0"/>
              <w:kinsoku/>
              <w:wordWrap/>
              <w:overflowPunct/>
              <w:topLinePunct w:val="0"/>
              <w:autoSpaceDE/>
              <w:autoSpaceDN/>
              <w:bidi w:val="0"/>
              <w:adjustRightInd/>
              <w:snapToGrid/>
              <w:spacing w:line="400" w:lineRule="exact"/>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94" w:type="pct"/>
            <w:tcBorders>
              <w:top w:val="nil"/>
              <w:left w:val="nil"/>
              <w:bottom w:val="single" w:color="auto" w:sz="4" w:space="0"/>
              <w:right w:val="single" w:color="auto" w:sz="4" w:space="0"/>
            </w:tcBorders>
            <w:shd w:val="clear" w:color="auto" w:fill="auto"/>
            <w:noWrap/>
            <w:vAlign w:val="center"/>
          </w:tcPr>
          <w:p w14:paraId="07A11F77">
            <w:pPr>
              <w:keepNext w:val="0"/>
              <w:keepLines w:val="0"/>
              <w:pageBreakBefore w:val="0"/>
              <w:widowControl w:val="0"/>
              <w:kinsoku/>
              <w:wordWrap/>
              <w:overflowPunct/>
              <w:topLinePunct w:val="0"/>
              <w:autoSpaceDE/>
              <w:autoSpaceDN/>
              <w:bidi w:val="0"/>
              <w:adjustRightInd/>
              <w:snapToGrid/>
              <w:spacing w:line="400" w:lineRule="exact"/>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1A20D5D">
        <w:tblPrEx>
          <w:tblCellMar>
            <w:top w:w="0" w:type="dxa"/>
            <w:left w:w="108" w:type="dxa"/>
            <w:bottom w:w="0" w:type="dxa"/>
            <w:right w:w="108" w:type="dxa"/>
          </w:tblCellMar>
        </w:tblPrEx>
        <w:trPr>
          <w:trHeight w:val="482" w:hRule="exact"/>
          <w:jc w:val="center"/>
        </w:trPr>
        <w:tc>
          <w:tcPr>
            <w:tcW w:w="4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638DD94">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2013199</w:t>
            </w:r>
          </w:p>
        </w:tc>
        <w:tc>
          <w:tcPr>
            <w:tcW w:w="1826" w:type="pct"/>
            <w:tcBorders>
              <w:top w:val="nil"/>
              <w:left w:val="nil"/>
              <w:bottom w:val="single" w:color="auto" w:sz="4" w:space="0"/>
              <w:right w:val="single" w:color="auto" w:sz="4" w:space="0"/>
            </w:tcBorders>
            <w:shd w:val="clear" w:color="000000" w:fill="FFFFFF"/>
            <w:noWrap/>
            <w:vAlign w:val="center"/>
          </w:tcPr>
          <w:p w14:paraId="1AC53B99">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其他党委办公厅（室）及相关机构事务支出</w:t>
            </w:r>
          </w:p>
        </w:tc>
        <w:tc>
          <w:tcPr>
            <w:tcW w:w="1439" w:type="dxa"/>
            <w:tcBorders>
              <w:top w:val="nil"/>
              <w:left w:val="nil"/>
              <w:bottom w:val="single" w:color="auto" w:sz="4" w:space="0"/>
              <w:right w:val="single" w:color="auto" w:sz="4" w:space="0"/>
            </w:tcBorders>
            <w:shd w:val="clear" w:color="auto" w:fill="auto"/>
            <w:noWrap/>
            <w:vAlign w:val="center"/>
          </w:tcPr>
          <w:p w14:paraId="2727EE23">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11.50</w:t>
            </w:r>
          </w:p>
        </w:tc>
        <w:tc>
          <w:tcPr>
            <w:tcW w:w="896" w:type="dxa"/>
            <w:tcBorders>
              <w:top w:val="nil"/>
              <w:left w:val="nil"/>
              <w:bottom w:val="single" w:color="auto" w:sz="4" w:space="0"/>
              <w:right w:val="single" w:color="auto" w:sz="4" w:space="0"/>
            </w:tcBorders>
            <w:shd w:val="clear" w:color="auto" w:fill="auto"/>
            <w:noWrap/>
            <w:vAlign w:val="center"/>
          </w:tcPr>
          <w:p w14:paraId="3F687BE3">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p>
        </w:tc>
        <w:tc>
          <w:tcPr>
            <w:tcW w:w="896" w:type="dxa"/>
            <w:tcBorders>
              <w:top w:val="nil"/>
              <w:left w:val="nil"/>
              <w:bottom w:val="single" w:color="auto" w:sz="4" w:space="0"/>
              <w:right w:val="single" w:color="auto" w:sz="4" w:space="0"/>
            </w:tcBorders>
            <w:shd w:val="clear" w:color="auto" w:fill="auto"/>
            <w:noWrap/>
            <w:vAlign w:val="center"/>
          </w:tcPr>
          <w:p w14:paraId="3E21CD17">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11.50</w:t>
            </w:r>
          </w:p>
        </w:tc>
        <w:tc>
          <w:tcPr>
            <w:tcW w:w="506" w:type="pct"/>
            <w:tcBorders>
              <w:top w:val="nil"/>
              <w:left w:val="nil"/>
              <w:bottom w:val="single" w:color="auto" w:sz="4" w:space="0"/>
              <w:right w:val="single" w:color="auto" w:sz="4" w:space="0"/>
            </w:tcBorders>
            <w:shd w:val="clear" w:color="auto" w:fill="auto"/>
            <w:noWrap/>
            <w:vAlign w:val="center"/>
          </w:tcPr>
          <w:p w14:paraId="502061AA">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2"/>
                <w:szCs w:val="22"/>
                <w:u w:val="none"/>
                <w:lang w:val="en-US" w:eastAsia="zh-CN" w:bidi="ar"/>
              </w:rPr>
            </w:pPr>
          </w:p>
        </w:tc>
        <w:tc>
          <w:tcPr>
            <w:tcW w:w="315" w:type="pct"/>
            <w:tcBorders>
              <w:top w:val="nil"/>
              <w:left w:val="nil"/>
              <w:bottom w:val="single" w:color="auto" w:sz="4" w:space="0"/>
              <w:right w:val="single" w:color="auto" w:sz="4" w:space="0"/>
            </w:tcBorders>
            <w:shd w:val="clear" w:color="auto" w:fill="auto"/>
            <w:noWrap/>
            <w:vAlign w:val="center"/>
          </w:tcPr>
          <w:p w14:paraId="20AB35E5">
            <w:pPr>
              <w:keepNext w:val="0"/>
              <w:keepLines w:val="0"/>
              <w:pageBreakBefore w:val="0"/>
              <w:widowControl w:val="0"/>
              <w:kinsoku/>
              <w:wordWrap/>
              <w:overflowPunct/>
              <w:topLinePunct w:val="0"/>
              <w:autoSpaceDE/>
              <w:autoSpaceDN/>
              <w:bidi w:val="0"/>
              <w:adjustRightInd/>
              <w:snapToGrid/>
              <w:spacing w:line="400" w:lineRule="exact"/>
              <w:jc w:val="right"/>
              <w:rPr>
                <w:rFonts w:ascii="Times New Roman" w:hAnsi="Times New Roman" w:eastAsia="仿宋_GB2312" w:cs="Times New Roman"/>
                <w:kern w:val="0"/>
                <w:sz w:val="24"/>
                <w:szCs w:val="24"/>
              </w:rPr>
            </w:pPr>
          </w:p>
        </w:tc>
        <w:tc>
          <w:tcPr>
            <w:tcW w:w="794" w:type="pct"/>
            <w:tcBorders>
              <w:top w:val="nil"/>
              <w:left w:val="nil"/>
              <w:bottom w:val="single" w:color="auto" w:sz="4" w:space="0"/>
              <w:right w:val="single" w:color="auto" w:sz="4" w:space="0"/>
            </w:tcBorders>
            <w:shd w:val="clear" w:color="auto" w:fill="auto"/>
            <w:noWrap/>
            <w:vAlign w:val="center"/>
          </w:tcPr>
          <w:p w14:paraId="7367816A">
            <w:pPr>
              <w:keepNext w:val="0"/>
              <w:keepLines w:val="0"/>
              <w:pageBreakBefore w:val="0"/>
              <w:widowControl w:val="0"/>
              <w:kinsoku/>
              <w:wordWrap/>
              <w:overflowPunct/>
              <w:topLinePunct w:val="0"/>
              <w:autoSpaceDE/>
              <w:autoSpaceDN/>
              <w:bidi w:val="0"/>
              <w:adjustRightInd/>
              <w:snapToGrid/>
              <w:spacing w:line="400" w:lineRule="exact"/>
              <w:jc w:val="right"/>
              <w:rPr>
                <w:rFonts w:ascii="Times New Roman" w:hAnsi="Times New Roman" w:eastAsia="仿宋_GB2312" w:cs="Times New Roman"/>
                <w:kern w:val="0"/>
                <w:sz w:val="24"/>
                <w:szCs w:val="24"/>
              </w:rPr>
            </w:pPr>
          </w:p>
        </w:tc>
      </w:tr>
      <w:tr w14:paraId="7875073C">
        <w:tblPrEx>
          <w:tblCellMar>
            <w:top w:w="0" w:type="dxa"/>
            <w:left w:w="108" w:type="dxa"/>
            <w:bottom w:w="0" w:type="dxa"/>
            <w:right w:w="108" w:type="dxa"/>
          </w:tblCellMar>
        </w:tblPrEx>
        <w:trPr>
          <w:trHeight w:val="482" w:hRule="exact"/>
          <w:jc w:val="center"/>
        </w:trPr>
        <w:tc>
          <w:tcPr>
            <w:tcW w:w="4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4973A7D">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1826" w:type="pct"/>
            <w:tcBorders>
              <w:top w:val="nil"/>
              <w:left w:val="nil"/>
              <w:bottom w:val="single" w:color="auto" w:sz="4" w:space="0"/>
              <w:right w:val="single" w:color="auto" w:sz="4" w:space="0"/>
            </w:tcBorders>
            <w:shd w:val="clear" w:color="000000" w:fill="FFFFFF"/>
            <w:noWrap/>
            <w:vAlign w:val="center"/>
          </w:tcPr>
          <w:p w14:paraId="7A8DF2DC">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439" w:type="dxa"/>
            <w:tcBorders>
              <w:top w:val="nil"/>
              <w:left w:val="nil"/>
              <w:bottom w:val="single" w:color="auto" w:sz="4" w:space="0"/>
              <w:right w:val="single" w:color="auto" w:sz="4" w:space="0"/>
            </w:tcBorders>
            <w:shd w:val="clear" w:color="auto" w:fill="auto"/>
            <w:noWrap/>
            <w:vAlign w:val="center"/>
          </w:tcPr>
          <w:p w14:paraId="01EC8F3B">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122.84</w:t>
            </w:r>
          </w:p>
        </w:tc>
        <w:tc>
          <w:tcPr>
            <w:tcW w:w="896" w:type="dxa"/>
            <w:tcBorders>
              <w:top w:val="nil"/>
              <w:left w:val="nil"/>
              <w:bottom w:val="single" w:color="auto" w:sz="4" w:space="0"/>
              <w:right w:val="single" w:color="auto" w:sz="4" w:space="0"/>
            </w:tcBorders>
            <w:shd w:val="clear" w:color="auto" w:fill="auto"/>
            <w:noWrap/>
            <w:vAlign w:val="center"/>
          </w:tcPr>
          <w:p w14:paraId="323DB23D">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p>
        </w:tc>
        <w:tc>
          <w:tcPr>
            <w:tcW w:w="896" w:type="dxa"/>
            <w:tcBorders>
              <w:top w:val="nil"/>
              <w:left w:val="nil"/>
              <w:bottom w:val="single" w:color="auto" w:sz="4" w:space="0"/>
              <w:right w:val="single" w:color="auto" w:sz="4" w:space="0"/>
            </w:tcBorders>
            <w:shd w:val="clear" w:color="auto" w:fill="auto"/>
            <w:noWrap/>
            <w:vAlign w:val="center"/>
          </w:tcPr>
          <w:p w14:paraId="17F83755">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122.84</w:t>
            </w:r>
          </w:p>
        </w:tc>
        <w:tc>
          <w:tcPr>
            <w:tcW w:w="506" w:type="pct"/>
            <w:tcBorders>
              <w:top w:val="nil"/>
              <w:left w:val="nil"/>
              <w:bottom w:val="single" w:color="auto" w:sz="4" w:space="0"/>
              <w:right w:val="single" w:color="auto" w:sz="4" w:space="0"/>
            </w:tcBorders>
            <w:shd w:val="clear" w:color="auto" w:fill="auto"/>
            <w:noWrap/>
            <w:vAlign w:val="center"/>
          </w:tcPr>
          <w:p w14:paraId="17B40819">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2"/>
                <w:szCs w:val="22"/>
                <w:u w:val="none"/>
                <w:lang w:val="en-US" w:eastAsia="zh-CN" w:bidi="ar"/>
              </w:rPr>
            </w:pPr>
          </w:p>
        </w:tc>
        <w:tc>
          <w:tcPr>
            <w:tcW w:w="315" w:type="pct"/>
            <w:tcBorders>
              <w:top w:val="nil"/>
              <w:left w:val="nil"/>
              <w:bottom w:val="single" w:color="auto" w:sz="4" w:space="0"/>
              <w:right w:val="single" w:color="auto" w:sz="4" w:space="0"/>
            </w:tcBorders>
            <w:shd w:val="clear" w:color="auto" w:fill="auto"/>
            <w:noWrap/>
            <w:vAlign w:val="center"/>
          </w:tcPr>
          <w:p w14:paraId="1325FF90">
            <w:pPr>
              <w:keepNext w:val="0"/>
              <w:keepLines w:val="0"/>
              <w:pageBreakBefore w:val="0"/>
              <w:widowControl w:val="0"/>
              <w:kinsoku/>
              <w:wordWrap/>
              <w:overflowPunct/>
              <w:topLinePunct w:val="0"/>
              <w:autoSpaceDE/>
              <w:autoSpaceDN/>
              <w:bidi w:val="0"/>
              <w:adjustRightInd/>
              <w:snapToGrid/>
              <w:spacing w:line="400" w:lineRule="exact"/>
              <w:jc w:val="right"/>
              <w:rPr>
                <w:rFonts w:ascii="Times New Roman" w:hAnsi="Times New Roman" w:eastAsia="仿宋_GB2312" w:cs="Times New Roman"/>
                <w:kern w:val="0"/>
                <w:sz w:val="24"/>
                <w:szCs w:val="24"/>
              </w:rPr>
            </w:pPr>
          </w:p>
        </w:tc>
        <w:tc>
          <w:tcPr>
            <w:tcW w:w="794" w:type="pct"/>
            <w:tcBorders>
              <w:top w:val="nil"/>
              <w:left w:val="nil"/>
              <w:bottom w:val="single" w:color="auto" w:sz="4" w:space="0"/>
              <w:right w:val="single" w:color="auto" w:sz="4" w:space="0"/>
            </w:tcBorders>
            <w:shd w:val="clear" w:color="auto" w:fill="auto"/>
            <w:noWrap/>
            <w:vAlign w:val="center"/>
          </w:tcPr>
          <w:p w14:paraId="027D069D">
            <w:pPr>
              <w:keepNext w:val="0"/>
              <w:keepLines w:val="0"/>
              <w:pageBreakBefore w:val="0"/>
              <w:widowControl w:val="0"/>
              <w:kinsoku/>
              <w:wordWrap/>
              <w:overflowPunct/>
              <w:topLinePunct w:val="0"/>
              <w:autoSpaceDE/>
              <w:autoSpaceDN/>
              <w:bidi w:val="0"/>
              <w:adjustRightInd/>
              <w:snapToGrid/>
              <w:spacing w:line="400" w:lineRule="exact"/>
              <w:jc w:val="right"/>
              <w:rPr>
                <w:rFonts w:ascii="Times New Roman" w:hAnsi="Times New Roman" w:eastAsia="仿宋_GB2312" w:cs="Times New Roman"/>
                <w:kern w:val="0"/>
                <w:sz w:val="24"/>
                <w:szCs w:val="24"/>
              </w:rPr>
            </w:pPr>
          </w:p>
        </w:tc>
      </w:tr>
      <w:tr w14:paraId="62A235E7">
        <w:tblPrEx>
          <w:tblCellMar>
            <w:top w:w="0" w:type="dxa"/>
            <w:left w:w="108" w:type="dxa"/>
            <w:bottom w:w="0" w:type="dxa"/>
            <w:right w:w="108" w:type="dxa"/>
          </w:tblCellMar>
        </w:tblPrEx>
        <w:trPr>
          <w:trHeight w:val="482" w:hRule="exact"/>
          <w:jc w:val="center"/>
        </w:trPr>
        <w:tc>
          <w:tcPr>
            <w:tcW w:w="4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86F5C93">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2080501</w:t>
            </w:r>
          </w:p>
        </w:tc>
        <w:tc>
          <w:tcPr>
            <w:tcW w:w="1826" w:type="pct"/>
            <w:tcBorders>
              <w:top w:val="nil"/>
              <w:left w:val="nil"/>
              <w:bottom w:val="single" w:color="auto" w:sz="4" w:space="0"/>
              <w:right w:val="single" w:color="auto" w:sz="4" w:space="0"/>
            </w:tcBorders>
            <w:shd w:val="clear" w:color="000000" w:fill="FFFFFF"/>
            <w:noWrap/>
            <w:vAlign w:val="center"/>
          </w:tcPr>
          <w:p w14:paraId="5F07EDFB">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行政单位离退休</w:t>
            </w:r>
          </w:p>
        </w:tc>
        <w:tc>
          <w:tcPr>
            <w:tcW w:w="1439" w:type="dxa"/>
            <w:tcBorders>
              <w:top w:val="nil"/>
              <w:left w:val="nil"/>
              <w:bottom w:val="single" w:color="auto" w:sz="4" w:space="0"/>
              <w:right w:val="single" w:color="auto" w:sz="4" w:space="0"/>
            </w:tcBorders>
            <w:shd w:val="clear" w:color="auto" w:fill="auto"/>
            <w:noWrap/>
            <w:vAlign w:val="center"/>
          </w:tcPr>
          <w:p w14:paraId="4346ACFE">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49.34</w:t>
            </w:r>
          </w:p>
        </w:tc>
        <w:tc>
          <w:tcPr>
            <w:tcW w:w="896" w:type="dxa"/>
            <w:tcBorders>
              <w:top w:val="nil"/>
              <w:left w:val="nil"/>
              <w:bottom w:val="single" w:color="auto" w:sz="4" w:space="0"/>
              <w:right w:val="single" w:color="auto" w:sz="4" w:space="0"/>
            </w:tcBorders>
            <w:shd w:val="clear" w:color="auto" w:fill="auto"/>
            <w:noWrap/>
            <w:vAlign w:val="center"/>
          </w:tcPr>
          <w:p w14:paraId="69E1B61F">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49.34</w:t>
            </w:r>
          </w:p>
        </w:tc>
        <w:tc>
          <w:tcPr>
            <w:tcW w:w="896" w:type="dxa"/>
            <w:tcBorders>
              <w:top w:val="nil"/>
              <w:left w:val="nil"/>
              <w:bottom w:val="single" w:color="auto" w:sz="4" w:space="0"/>
              <w:right w:val="single" w:color="auto" w:sz="4" w:space="0"/>
            </w:tcBorders>
            <w:shd w:val="clear" w:color="auto" w:fill="auto"/>
            <w:noWrap/>
            <w:vAlign w:val="center"/>
          </w:tcPr>
          <w:p w14:paraId="22D7F259">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p>
        </w:tc>
        <w:tc>
          <w:tcPr>
            <w:tcW w:w="506" w:type="pct"/>
            <w:tcBorders>
              <w:top w:val="nil"/>
              <w:left w:val="nil"/>
              <w:bottom w:val="single" w:color="auto" w:sz="4" w:space="0"/>
              <w:right w:val="single" w:color="auto" w:sz="4" w:space="0"/>
            </w:tcBorders>
            <w:shd w:val="clear" w:color="auto" w:fill="auto"/>
            <w:noWrap/>
            <w:vAlign w:val="center"/>
          </w:tcPr>
          <w:p w14:paraId="1588ADB5">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2"/>
                <w:szCs w:val="22"/>
                <w:u w:val="none"/>
                <w:lang w:val="en-US" w:eastAsia="zh-CN" w:bidi="ar"/>
              </w:rPr>
            </w:pPr>
          </w:p>
        </w:tc>
        <w:tc>
          <w:tcPr>
            <w:tcW w:w="315" w:type="pct"/>
            <w:tcBorders>
              <w:top w:val="nil"/>
              <w:left w:val="nil"/>
              <w:bottom w:val="single" w:color="auto" w:sz="4" w:space="0"/>
              <w:right w:val="single" w:color="auto" w:sz="4" w:space="0"/>
            </w:tcBorders>
            <w:shd w:val="clear" w:color="auto" w:fill="auto"/>
            <w:noWrap/>
            <w:vAlign w:val="center"/>
          </w:tcPr>
          <w:p w14:paraId="268640F7">
            <w:pPr>
              <w:keepNext w:val="0"/>
              <w:keepLines w:val="0"/>
              <w:pageBreakBefore w:val="0"/>
              <w:widowControl w:val="0"/>
              <w:kinsoku/>
              <w:wordWrap/>
              <w:overflowPunct/>
              <w:topLinePunct w:val="0"/>
              <w:autoSpaceDE/>
              <w:autoSpaceDN/>
              <w:bidi w:val="0"/>
              <w:adjustRightInd/>
              <w:snapToGrid/>
              <w:spacing w:line="400" w:lineRule="exact"/>
              <w:jc w:val="right"/>
              <w:rPr>
                <w:rFonts w:ascii="Times New Roman" w:hAnsi="Times New Roman" w:eastAsia="仿宋_GB2312" w:cs="Times New Roman"/>
                <w:kern w:val="0"/>
                <w:sz w:val="24"/>
                <w:szCs w:val="24"/>
              </w:rPr>
            </w:pPr>
          </w:p>
        </w:tc>
        <w:tc>
          <w:tcPr>
            <w:tcW w:w="794" w:type="pct"/>
            <w:tcBorders>
              <w:top w:val="nil"/>
              <w:left w:val="nil"/>
              <w:bottom w:val="single" w:color="auto" w:sz="4" w:space="0"/>
              <w:right w:val="single" w:color="auto" w:sz="4" w:space="0"/>
            </w:tcBorders>
            <w:shd w:val="clear" w:color="auto" w:fill="auto"/>
            <w:noWrap/>
            <w:vAlign w:val="center"/>
          </w:tcPr>
          <w:p w14:paraId="25EDE79F">
            <w:pPr>
              <w:keepNext w:val="0"/>
              <w:keepLines w:val="0"/>
              <w:pageBreakBefore w:val="0"/>
              <w:widowControl w:val="0"/>
              <w:kinsoku/>
              <w:wordWrap/>
              <w:overflowPunct/>
              <w:topLinePunct w:val="0"/>
              <w:autoSpaceDE/>
              <w:autoSpaceDN/>
              <w:bidi w:val="0"/>
              <w:adjustRightInd/>
              <w:snapToGrid/>
              <w:spacing w:line="400" w:lineRule="exact"/>
              <w:jc w:val="right"/>
              <w:rPr>
                <w:rFonts w:ascii="Times New Roman" w:hAnsi="Times New Roman" w:eastAsia="仿宋_GB2312" w:cs="Times New Roman"/>
                <w:kern w:val="0"/>
                <w:sz w:val="24"/>
                <w:szCs w:val="24"/>
              </w:rPr>
            </w:pPr>
          </w:p>
        </w:tc>
      </w:tr>
      <w:tr w14:paraId="368ECDEF">
        <w:tblPrEx>
          <w:tblCellMar>
            <w:top w:w="0" w:type="dxa"/>
            <w:left w:w="108" w:type="dxa"/>
            <w:bottom w:w="0" w:type="dxa"/>
            <w:right w:w="108" w:type="dxa"/>
          </w:tblCellMar>
        </w:tblPrEx>
        <w:trPr>
          <w:trHeight w:val="482" w:hRule="exact"/>
          <w:jc w:val="center"/>
        </w:trPr>
        <w:tc>
          <w:tcPr>
            <w:tcW w:w="4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1FBECDD">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1826" w:type="pct"/>
            <w:tcBorders>
              <w:top w:val="nil"/>
              <w:left w:val="nil"/>
              <w:bottom w:val="single" w:color="auto" w:sz="4" w:space="0"/>
              <w:right w:val="single" w:color="auto" w:sz="4" w:space="0"/>
            </w:tcBorders>
            <w:shd w:val="clear" w:color="000000" w:fill="FFFFFF"/>
            <w:noWrap/>
            <w:vAlign w:val="center"/>
          </w:tcPr>
          <w:p w14:paraId="635528AF">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439" w:type="dxa"/>
            <w:tcBorders>
              <w:top w:val="nil"/>
              <w:left w:val="nil"/>
              <w:bottom w:val="single" w:color="auto" w:sz="4" w:space="0"/>
              <w:right w:val="single" w:color="auto" w:sz="4" w:space="0"/>
            </w:tcBorders>
            <w:shd w:val="clear" w:color="auto" w:fill="auto"/>
            <w:noWrap/>
            <w:vAlign w:val="center"/>
          </w:tcPr>
          <w:p w14:paraId="6AF1B13A">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19.84</w:t>
            </w:r>
          </w:p>
        </w:tc>
        <w:tc>
          <w:tcPr>
            <w:tcW w:w="896" w:type="dxa"/>
            <w:tcBorders>
              <w:top w:val="nil"/>
              <w:left w:val="nil"/>
              <w:bottom w:val="single" w:color="auto" w:sz="4" w:space="0"/>
              <w:right w:val="single" w:color="auto" w:sz="4" w:space="0"/>
            </w:tcBorders>
            <w:shd w:val="clear" w:color="auto" w:fill="auto"/>
            <w:noWrap/>
            <w:vAlign w:val="center"/>
          </w:tcPr>
          <w:p w14:paraId="4EE52936">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19.84</w:t>
            </w:r>
          </w:p>
        </w:tc>
        <w:tc>
          <w:tcPr>
            <w:tcW w:w="896" w:type="dxa"/>
            <w:tcBorders>
              <w:top w:val="nil"/>
              <w:left w:val="nil"/>
              <w:bottom w:val="single" w:color="auto" w:sz="4" w:space="0"/>
              <w:right w:val="single" w:color="auto" w:sz="4" w:space="0"/>
            </w:tcBorders>
            <w:shd w:val="clear" w:color="auto" w:fill="auto"/>
            <w:noWrap/>
            <w:vAlign w:val="center"/>
          </w:tcPr>
          <w:p w14:paraId="01073997">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p>
        </w:tc>
        <w:tc>
          <w:tcPr>
            <w:tcW w:w="506" w:type="pct"/>
            <w:tcBorders>
              <w:top w:val="nil"/>
              <w:left w:val="nil"/>
              <w:bottom w:val="single" w:color="auto" w:sz="4" w:space="0"/>
              <w:right w:val="single" w:color="auto" w:sz="4" w:space="0"/>
            </w:tcBorders>
            <w:shd w:val="clear" w:color="auto" w:fill="auto"/>
            <w:noWrap/>
            <w:vAlign w:val="center"/>
          </w:tcPr>
          <w:p w14:paraId="3B8A977B">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2"/>
                <w:szCs w:val="22"/>
                <w:u w:val="none"/>
                <w:lang w:val="en-US" w:eastAsia="zh-CN" w:bidi="ar"/>
              </w:rPr>
            </w:pPr>
          </w:p>
        </w:tc>
        <w:tc>
          <w:tcPr>
            <w:tcW w:w="315" w:type="pct"/>
            <w:tcBorders>
              <w:top w:val="nil"/>
              <w:left w:val="nil"/>
              <w:bottom w:val="single" w:color="auto" w:sz="4" w:space="0"/>
              <w:right w:val="single" w:color="auto" w:sz="4" w:space="0"/>
            </w:tcBorders>
            <w:shd w:val="clear" w:color="auto" w:fill="auto"/>
            <w:noWrap/>
            <w:vAlign w:val="center"/>
          </w:tcPr>
          <w:p w14:paraId="377AA500">
            <w:pPr>
              <w:keepNext w:val="0"/>
              <w:keepLines w:val="0"/>
              <w:pageBreakBefore w:val="0"/>
              <w:widowControl w:val="0"/>
              <w:kinsoku/>
              <w:wordWrap/>
              <w:overflowPunct/>
              <w:topLinePunct w:val="0"/>
              <w:autoSpaceDE/>
              <w:autoSpaceDN/>
              <w:bidi w:val="0"/>
              <w:adjustRightInd/>
              <w:snapToGrid/>
              <w:spacing w:line="400" w:lineRule="exact"/>
              <w:jc w:val="right"/>
              <w:rPr>
                <w:rFonts w:ascii="Times New Roman" w:hAnsi="Times New Roman" w:eastAsia="仿宋_GB2312" w:cs="Times New Roman"/>
                <w:kern w:val="0"/>
                <w:sz w:val="24"/>
                <w:szCs w:val="24"/>
              </w:rPr>
            </w:pPr>
          </w:p>
        </w:tc>
        <w:tc>
          <w:tcPr>
            <w:tcW w:w="794" w:type="pct"/>
            <w:tcBorders>
              <w:top w:val="nil"/>
              <w:left w:val="nil"/>
              <w:bottom w:val="single" w:color="auto" w:sz="4" w:space="0"/>
              <w:right w:val="single" w:color="auto" w:sz="4" w:space="0"/>
            </w:tcBorders>
            <w:shd w:val="clear" w:color="auto" w:fill="auto"/>
            <w:noWrap/>
            <w:vAlign w:val="center"/>
          </w:tcPr>
          <w:p w14:paraId="57105986">
            <w:pPr>
              <w:keepNext w:val="0"/>
              <w:keepLines w:val="0"/>
              <w:pageBreakBefore w:val="0"/>
              <w:widowControl w:val="0"/>
              <w:kinsoku/>
              <w:wordWrap/>
              <w:overflowPunct/>
              <w:topLinePunct w:val="0"/>
              <w:autoSpaceDE/>
              <w:autoSpaceDN/>
              <w:bidi w:val="0"/>
              <w:adjustRightInd/>
              <w:snapToGrid/>
              <w:spacing w:line="400" w:lineRule="exact"/>
              <w:jc w:val="right"/>
              <w:rPr>
                <w:rFonts w:ascii="Times New Roman" w:hAnsi="Times New Roman" w:eastAsia="仿宋_GB2312" w:cs="Times New Roman"/>
                <w:kern w:val="0"/>
                <w:sz w:val="24"/>
                <w:szCs w:val="24"/>
              </w:rPr>
            </w:pPr>
          </w:p>
        </w:tc>
      </w:tr>
      <w:tr w14:paraId="40EAA112">
        <w:tblPrEx>
          <w:tblCellMar>
            <w:top w:w="0" w:type="dxa"/>
            <w:left w:w="108" w:type="dxa"/>
            <w:bottom w:w="0" w:type="dxa"/>
            <w:right w:w="108" w:type="dxa"/>
          </w:tblCellMar>
        </w:tblPrEx>
        <w:trPr>
          <w:trHeight w:val="482" w:hRule="exact"/>
          <w:jc w:val="center"/>
        </w:trPr>
        <w:tc>
          <w:tcPr>
            <w:tcW w:w="4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79F0DDC">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2089999</w:t>
            </w:r>
          </w:p>
        </w:tc>
        <w:tc>
          <w:tcPr>
            <w:tcW w:w="1826" w:type="pct"/>
            <w:tcBorders>
              <w:top w:val="nil"/>
              <w:left w:val="nil"/>
              <w:bottom w:val="single" w:color="auto" w:sz="4" w:space="0"/>
              <w:right w:val="single" w:color="auto" w:sz="4" w:space="0"/>
            </w:tcBorders>
            <w:shd w:val="clear" w:color="000000" w:fill="FFFFFF"/>
            <w:noWrap/>
            <w:vAlign w:val="center"/>
          </w:tcPr>
          <w:p w14:paraId="5A343CAF">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439" w:type="dxa"/>
            <w:tcBorders>
              <w:top w:val="nil"/>
              <w:left w:val="nil"/>
              <w:bottom w:val="single" w:color="auto" w:sz="4" w:space="0"/>
              <w:right w:val="single" w:color="auto" w:sz="4" w:space="0"/>
            </w:tcBorders>
            <w:shd w:val="clear" w:color="auto" w:fill="auto"/>
            <w:noWrap/>
            <w:vAlign w:val="center"/>
          </w:tcPr>
          <w:p w14:paraId="67024CFB">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9.00</w:t>
            </w:r>
          </w:p>
        </w:tc>
        <w:tc>
          <w:tcPr>
            <w:tcW w:w="896" w:type="dxa"/>
            <w:tcBorders>
              <w:top w:val="nil"/>
              <w:left w:val="nil"/>
              <w:bottom w:val="single" w:color="auto" w:sz="4" w:space="0"/>
              <w:right w:val="single" w:color="auto" w:sz="4" w:space="0"/>
            </w:tcBorders>
            <w:shd w:val="clear" w:color="auto" w:fill="auto"/>
            <w:noWrap/>
            <w:vAlign w:val="center"/>
          </w:tcPr>
          <w:p w14:paraId="47B31046">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p>
        </w:tc>
        <w:tc>
          <w:tcPr>
            <w:tcW w:w="896" w:type="dxa"/>
            <w:tcBorders>
              <w:top w:val="nil"/>
              <w:left w:val="nil"/>
              <w:bottom w:val="single" w:color="auto" w:sz="4" w:space="0"/>
              <w:right w:val="single" w:color="auto" w:sz="4" w:space="0"/>
            </w:tcBorders>
            <w:shd w:val="clear" w:color="auto" w:fill="auto"/>
            <w:noWrap/>
            <w:vAlign w:val="center"/>
          </w:tcPr>
          <w:p w14:paraId="1F42AD16">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9.00</w:t>
            </w:r>
          </w:p>
        </w:tc>
        <w:tc>
          <w:tcPr>
            <w:tcW w:w="506" w:type="pct"/>
            <w:tcBorders>
              <w:top w:val="nil"/>
              <w:left w:val="nil"/>
              <w:bottom w:val="single" w:color="auto" w:sz="4" w:space="0"/>
              <w:right w:val="single" w:color="auto" w:sz="4" w:space="0"/>
            </w:tcBorders>
            <w:shd w:val="clear" w:color="auto" w:fill="auto"/>
            <w:noWrap/>
            <w:vAlign w:val="center"/>
          </w:tcPr>
          <w:p w14:paraId="21A3469D">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2"/>
                <w:szCs w:val="22"/>
                <w:u w:val="none"/>
                <w:lang w:val="en-US" w:eastAsia="zh-CN" w:bidi="ar"/>
              </w:rPr>
            </w:pPr>
          </w:p>
        </w:tc>
        <w:tc>
          <w:tcPr>
            <w:tcW w:w="315" w:type="pct"/>
            <w:tcBorders>
              <w:top w:val="nil"/>
              <w:left w:val="nil"/>
              <w:bottom w:val="single" w:color="auto" w:sz="4" w:space="0"/>
              <w:right w:val="single" w:color="auto" w:sz="4" w:space="0"/>
            </w:tcBorders>
            <w:shd w:val="clear" w:color="auto" w:fill="auto"/>
            <w:noWrap/>
            <w:vAlign w:val="center"/>
          </w:tcPr>
          <w:p w14:paraId="057B7D07">
            <w:pPr>
              <w:keepNext w:val="0"/>
              <w:keepLines w:val="0"/>
              <w:pageBreakBefore w:val="0"/>
              <w:widowControl w:val="0"/>
              <w:kinsoku/>
              <w:wordWrap/>
              <w:overflowPunct/>
              <w:topLinePunct w:val="0"/>
              <w:autoSpaceDE/>
              <w:autoSpaceDN/>
              <w:bidi w:val="0"/>
              <w:adjustRightInd/>
              <w:snapToGrid/>
              <w:spacing w:line="400" w:lineRule="exact"/>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94" w:type="pct"/>
            <w:tcBorders>
              <w:top w:val="nil"/>
              <w:left w:val="nil"/>
              <w:bottom w:val="single" w:color="auto" w:sz="4" w:space="0"/>
              <w:right w:val="single" w:color="auto" w:sz="4" w:space="0"/>
            </w:tcBorders>
            <w:shd w:val="clear" w:color="auto" w:fill="auto"/>
            <w:noWrap/>
            <w:vAlign w:val="center"/>
          </w:tcPr>
          <w:p w14:paraId="039EA122">
            <w:pPr>
              <w:keepNext w:val="0"/>
              <w:keepLines w:val="0"/>
              <w:pageBreakBefore w:val="0"/>
              <w:widowControl w:val="0"/>
              <w:kinsoku/>
              <w:wordWrap/>
              <w:overflowPunct/>
              <w:topLinePunct w:val="0"/>
              <w:autoSpaceDE/>
              <w:autoSpaceDN/>
              <w:bidi w:val="0"/>
              <w:adjustRightInd/>
              <w:snapToGrid/>
              <w:spacing w:line="400" w:lineRule="exact"/>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3370BD6">
        <w:tblPrEx>
          <w:tblCellMar>
            <w:top w:w="0" w:type="dxa"/>
            <w:left w:w="108" w:type="dxa"/>
            <w:bottom w:w="0" w:type="dxa"/>
            <w:right w:w="108" w:type="dxa"/>
          </w:tblCellMar>
        </w:tblPrEx>
        <w:trPr>
          <w:trHeight w:val="482" w:hRule="exact"/>
          <w:jc w:val="center"/>
        </w:trPr>
        <w:tc>
          <w:tcPr>
            <w:tcW w:w="4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A55850A">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1826" w:type="pct"/>
            <w:tcBorders>
              <w:top w:val="nil"/>
              <w:left w:val="nil"/>
              <w:bottom w:val="single" w:color="auto" w:sz="4" w:space="0"/>
              <w:right w:val="single" w:color="auto" w:sz="4" w:space="0"/>
            </w:tcBorders>
            <w:shd w:val="clear" w:color="000000" w:fill="FFFFFF"/>
            <w:noWrap/>
            <w:vAlign w:val="center"/>
          </w:tcPr>
          <w:p w14:paraId="2F227FCF">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1439" w:type="dxa"/>
            <w:tcBorders>
              <w:top w:val="nil"/>
              <w:left w:val="nil"/>
              <w:bottom w:val="single" w:color="auto" w:sz="4" w:space="0"/>
              <w:right w:val="single" w:color="auto" w:sz="4" w:space="0"/>
            </w:tcBorders>
            <w:shd w:val="clear" w:color="auto" w:fill="auto"/>
            <w:noWrap/>
            <w:vAlign w:val="center"/>
          </w:tcPr>
          <w:p w14:paraId="531B7195">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7.91</w:t>
            </w:r>
          </w:p>
        </w:tc>
        <w:tc>
          <w:tcPr>
            <w:tcW w:w="896" w:type="dxa"/>
            <w:tcBorders>
              <w:top w:val="nil"/>
              <w:left w:val="nil"/>
              <w:bottom w:val="single" w:color="auto" w:sz="4" w:space="0"/>
              <w:right w:val="single" w:color="auto" w:sz="4" w:space="0"/>
            </w:tcBorders>
            <w:shd w:val="clear" w:color="auto" w:fill="auto"/>
            <w:noWrap/>
            <w:vAlign w:val="center"/>
          </w:tcPr>
          <w:p w14:paraId="475EFAE4">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7.91</w:t>
            </w:r>
          </w:p>
        </w:tc>
        <w:tc>
          <w:tcPr>
            <w:tcW w:w="896" w:type="dxa"/>
            <w:tcBorders>
              <w:top w:val="nil"/>
              <w:left w:val="nil"/>
              <w:bottom w:val="single" w:color="auto" w:sz="4" w:space="0"/>
              <w:right w:val="single" w:color="auto" w:sz="4" w:space="0"/>
            </w:tcBorders>
            <w:shd w:val="clear" w:color="auto" w:fill="auto"/>
            <w:noWrap/>
            <w:vAlign w:val="center"/>
          </w:tcPr>
          <w:p w14:paraId="315D929B">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p>
        </w:tc>
        <w:tc>
          <w:tcPr>
            <w:tcW w:w="506" w:type="pct"/>
            <w:tcBorders>
              <w:top w:val="nil"/>
              <w:left w:val="nil"/>
              <w:bottom w:val="single" w:color="auto" w:sz="4" w:space="0"/>
              <w:right w:val="single" w:color="auto" w:sz="4" w:space="0"/>
            </w:tcBorders>
            <w:shd w:val="clear" w:color="auto" w:fill="auto"/>
            <w:noWrap/>
            <w:vAlign w:val="center"/>
          </w:tcPr>
          <w:p w14:paraId="408A2407">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2"/>
                <w:szCs w:val="22"/>
                <w:u w:val="none"/>
                <w:lang w:val="en-US" w:eastAsia="zh-CN" w:bidi="ar"/>
              </w:rPr>
            </w:pPr>
          </w:p>
        </w:tc>
        <w:tc>
          <w:tcPr>
            <w:tcW w:w="315" w:type="pct"/>
            <w:tcBorders>
              <w:top w:val="nil"/>
              <w:left w:val="nil"/>
              <w:bottom w:val="single" w:color="auto" w:sz="4" w:space="0"/>
              <w:right w:val="single" w:color="auto" w:sz="4" w:space="0"/>
            </w:tcBorders>
            <w:shd w:val="clear" w:color="auto" w:fill="auto"/>
            <w:noWrap/>
            <w:vAlign w:val="center"/>
          </w:tcPr>
          <w:p w14:paraId="541409C9">
            <w:pPr>
              <w:keepNext w:val="0"/>
              <w:keepLines w:val="0"/>
              <w:pageBreakBefore w:val="0"/>
              <w:widowControl w:val="0"/>
              <w:kinsoku/>
              <w:wordWrap/>
              <w:overflowPunct/>
              <w:topLinePunct w:val="0"/>
              <w:autoSpaceDE/>
              <w:autoSpaceDN/>
              <w:bidi w:val="0"/>
              <w:adjustRightInd/>
              <w:snapToGrid/>
              <w:spacing w:line="400" w:lineRule="exact"/>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94" w:type="pct"/>
            <w:tcBorders>
              <w:top w:val="nil"/>
              <w:left w:val="nil"/>
              <w:bottom w:val="single" w:color="auto" w:sz="4" w:space="0"/>
              <w:right w:val="single" w:color="auto" w:sz="4" w:space="0"/>
            </w:tcBorders>
            <w:shd w:val="clear" w:color="auto" w:fill="auto"/>
            <w:noWrap/>
            <w:vAlign w:val="center"/>
          </w:tcPr>
          <w:p w14:paraId="38CFC34B">
            <w:pPr>
              <w:keepNext w:val="0"/>
              <w:keepLines w:val="0"/>
              <w:pageBreakBefore w:val="0"/>
              <w:widowControl w:val="0"/>
              <w:kinsoku/>
              <w:wordWrap/>
              <w:overflowPunct/>
              <w:topLinePunct w:val="0"/>
              <w:autoSpaceDE/>
              <w:autoSpaceDN/>
              <w:bidi w:val="0"/>
              <w:adjustRightInd/>
              <w:snapToGrid/>
              <w:spacing w:line="400" w:lineRule="exact"/>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5CA7D19">
        <w:tblPrEx>
          <w:tblCellMar>
            <w:top w:w="0" w:type="dxa"/>
            <w:left w:w="108" w:type="dxa"/>
            <w:bottom w:w="0" w:type="dxa"/>
            <w:right w:w="108" w:type="dxa"/>
          </w:tblCellMar>
        </w:tblPrEx>
        <w:trPr>
          <w:trHeight w:val="482" w:hRule="exact"/>
          <w:jc w:val="center"/>
        </w:trPr>
        <w:tc>
          <w:tcPr>
            <w:tcW w:w="4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F7B0425">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2101199</w:t>
            </w:r>
          </w:p>
        </w:tc>
        <w:tc>
          <w:tcPr>
            <w:tcW w:w="182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33624B6">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其他行政事业单位医疗支出</w:t>
            </w:r>
          </w:p>
        </w:tc>
        <w:tc>
          <w:tcPr>
            <w:tcW w:w="143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42C843">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0.80</w:t>
            </w:r>
          </w:p>
        </w:tc>
        <w:tc>
          <w:tcPr>
            <w:tcW w:w="8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100FD9">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p>
        </w:tc>
        <w:tc>
          <w:tcPr>
            <w:tcW w:w="8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B67A09">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0.80</w:t>
            </w:r>
          </w:p>
        </w:tc>
        <w:tc>
          <w:tcPr>
            <w:tcW w:w="5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41AC5B">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2"/>
                <w:szCs w:val="22"/>
                <w:u w:val="none"/>
                <w:lang w:val="en-US" w:eastAsia="zh-CN" w:bidi="ar"/>
              </w:rPr>
            </w:pPr>
          </w:p>
        </w:tc>
        <w:tc>
          <w:tcPr>
            <w:tcW w:w="31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095268">
            <w:pPr>
              <w:keepNext w:val="0"/>
              <w:keepLines w:val="0"/>
              <w:pageBreakBefore w:val="0"/>
              <w:widowControl w:val="0"/>
              <w:kinsoku/>
              <w:wordWrap/>
              <w:overflowPunct/>
              <w:topLinePunct w:val="0"/>
              <w:autoSpaceDE/>
              <w:autoSpaceDN/>
              <w:bidi w:val="0"/>
              <w:adjustRightInd/>
              <w:snapToGrid/>
              <w:spacing w:line="400" w:lineRule="exact"/>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9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10668D">
            <w:pPr>
              <w:keepNext w:val="0"/>
              <w:keepLines w:val="0"/>
              <w:pageBreakBefore w:val="0"/>
              <w:widowControl w:val="0"/>
              <w:kinsoku/>
              <w:wordWrap/>
              <w:overflowPunct/>
              <w:topLinePunct w:val="0"/>
              <w:autoSpaceDE/>
              <w:autoSpaceDN/>
              <w:bidi w:val="0"/>
              <w:adjustRightInd/>
              <w:snapToGrid/>
              <w:spacing w:line="400" w:lineRule="exact"/>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7016E1E">
        <w:tblPrEx>
          <w:tblCellMar>
            <w:top w:w="0" w:type="dxa"/>
            <w:left w:w="108" w:type="dxa"/>
            <w:bottom w:w="0" w:type="dxa"/>
            <w:right w:w="108" w:type="dxa"/>
          </w:tblCellMar>
        </w:tblPrEx>
        <w:trPr>
          <w:trHeight w:val="482" w:hRule="exact"/>
          <w:jc w:val="center"/>
        </w:trPr>
        <w:tc>
          <w:tcPr>
            <w:tcW w:w="4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A2B0A7F">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1826" w:type="pct"/>
            <w:tcBorders>
              <w:top w:val="single" w:color="auto" w:sz="4" w:space="0"/>
              <w:left w:val="nil"/>
              <w:bottom w:val="single" w:color="auto" w:sz="4" w:space="0"/>
              <w:right w:val="single" w:color="auto" w:sz="4" w:space="0"/>
            </w:tcBorders>
            <w:shd w:val="clear" w:color="000000" w:fill="FFFFFF"/>
            <w:noWrap/>
            <w:vAlign w:val="center"/>
          </w:tcPr>
          <w:p w14:paraId="75575E56">
            <w:pPr>
              <w:keepNext w:val="0"/>
              <w:keepLines w:val="0"/>
              <w:pageBreakBefore w:val="0"/>
              <w:widowControl w:val="0"/>
              <w:suppressLineNumbers w:val="0"/>
              <w:kinsoku/>
              <w:wordWrap/>
              <w:overflowPunct/>
              <w:topLinePunct w:val="0"/>
              <w:autoSpaceDE/>
              <w:autoSpaceDN/>
              <w:bidi w:val="0"/>
              <w:adjustRightInd/>
              <w:snapToGrid/>
              <w:spacing w:line="400" w:lineRule="exact"/>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住房公积金</w:t>
            </w:r>
          </w:p>
        </w:tc>
        <w:tc>
          <w:tcPr>
            <w:tcW w:w="1439" w:type="dxa"/>
            <w:tcBorders>
              <w:top w:val="single" w:color="auto" w:sz="4" w:space="0"/>
              <w:left w:val="nil"/>
              <w:bottom w:val="single" w:color="auto" w:sz="4" w:space="0"/>
              <w:right w:val="single" w:color="auto" w:sz="4" w:space="0"/>
            </w:tcBorders>
            <w:shd w:val="clear" w:color="auto" w:fill="auto"/>
            <w:noWrap/>
            <w:vAlign w:val="center"/>
          </w:tcPr>
          <w:p w14:paraId="6FE1B68E">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17.55</w:t>
            </w:r>
          </w:p>
        </w:tc>
        <w:tc>
          <w:tcPr>
            <w:tcW w:w="896" w:type="dxa"/>
            <w:tcBorders>
              <w:top w:val="single" w:color="auto" w:sz="4" w:space="0"/>
              <w:left w:val="nil"/>
              <w:bottom w:val="single" w:color="auto" w:sz="4" w:space="0"/>
              <w:right w:val="single" w:color="auto" w:sz="4" w:space="0"/>
            </w:tcBorders>
            <w:shd w:val="clear" w:color="auto" w:fill="auto"/>
            <w:noWrap/>
            <w:vAlign w:val="center"/>
          </w:tcPr>
          <w:p w14:paraId="2599D4D9">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17.55</w:t>
            </w:r>
          </w:p>
        </w:tc>
        <w:tc>
          <w:tcPr>
            <w:tcW w:w="896" w:type="dxa"/>
            <w:tcBorders>
              <w:top w:val="single" w:color="auto" w:sz="4" w:space="0"/>
              <w:left w:val="nil"/>
              <w:bottom w:val="single" w:color="auto" w:sz="4" w:space="0"/>
              <w:right w:val="single" w:color="auto" w:sz="4" w:space="0"/>
            </w:tcBorders>
            <w:shd w:val="clear" w:color="auto" w:fill="auto"/>
            <w:noWrap/>
            <w:vAlign w:val="center"/>
          </w:tcPr>
          <w:p w14:paraId="3CDA5E96">
            <w:pPr>
              <w:keepNext w:val="0"/>
              <w:keepLines w:val="0"/>
              <w:pageBreakBefore w:val="0"/>
              <w:widowControl w:val="0"/>
              <w:suppressLineNumbers w:val="0"/>
              <w:kinsoku/>
              <w:wordWrap/>
              <w:overflowPunct/>
              <w:topLinePunct w:val="0"/>
              <w:autoSpaceDE/>
              <w:autoSpaceDN/>
              <w:bidi w:val="0"/>
              <w:adjustRightInd/>
              <w:snapToGrid/>
              <w:spacing w:line="420" w:lineRule="exact"/>
              <w:jc w:val="center"/>
              <w:textAlignment w:val="center"/>
              <w:rPr>
                <w:rFonts w:hint="eastAsia" w:ascii="宋体" w:hAnsi="宋体" w:eastAsia="宋体" w:cs="宋体"/>
                <w:i w:val="0"/>
                <w:iCs w:val="0"/>
                <w:color w:val="000000"/>
                <w:kern w:val="0"/>
                <w:sz w:val="22"/>
                <w:szCs w:val="22"/>
                <w:u w:val="none"/>
                <w:lang w:val="en-US" w:eastAsia="zh-CN" w:bidi="ar"/>
              </w:rPr>
            </w:pPr>
          </w:p>
        </w:tc>
        <w:tc>
          <w:tcPr>
            <w:tcW w:w="506" w:type="pct"/>
            <w:tcBorders>
              <w:top w:val="single" w:color="auto" w:sz="4" w:space="0"/>
              <w:left w:val="nil"/>
              <w:bottom w:val="single" w:color="auto" w:sz="4" w:space="0"/>
              <w:right w:val="single" w:color="auto" w:sz="4" w:space="0"/>
            </w:tcBorders>
            <w:shd w:val="clear" w:color="auto" w:fill="auto"/>
            <w:noWrap/>
            <w:vAlign w:val="center"/>
          </w:tcPr>
          <w:p w14:paraId="5005D482">
            <w:pPr>
              <w:keepNext w:val="0"/>
              <w:keepLines w:val="0"/>
              <w:pageBreakBefore w:val="0"/>
              <w:widowControl w:val="0"/>
              <w:suppressLineNumbers w:val="0"/>
              <w:kinsoku/>
              <w:wordWrap/>
              <w:overflowPunct/>
              <w:topLinePunct w:val="0"/>
              <w:autoSpaceDE/>
              <w:autoSpaceDN/>
              <w:bidi w:val="0"/>
              <w:adjustRightInd/>
              <w:snapToGrid/>
              <w:spacing w:line="500" w:lineRule="exact"/>
              <w:jc w:val="center"/>
              <w:textAlignment w:val="center"/>
              <w:rPr>
                <w:rFonts w:hint="eastAsia" w:ascii="宋体" w:hAnsi="宋体" w:eastAsia="宋体" w:cs="宋体"/>
                <w:i w:val="0"/>
                <w:iCs w:val="0"/>
                <w:color w:val="000000"/>
                <w:kern w:val="0"/>
                <w:sz w:val="22"/>
                <w:szCs w:val="22"/>
                <w:u w:val="none"/>
                <w:lang w:val="en-US" w:eastAsia="zh-CN" w:bidi="ar"/>
              </w:rPr>
            </w:pPr>
          </w:p>
        </w:tc>
        <w:tc>
          <w:tcPr>
            <w:tcW w:w="315" w:type="pct"/>
            <w:tcBorders>
              <w:top w:val="single" w:color="auto" w:sz="4" w:space="0"/>
              <w:left w:val="nil"/>
              <w:bottom w:val="single" w:color="auto" w:sz="4" w:space="0"/>
              <w:right w:val="single" w:color="auto" w:sz="4" w:space="0"/>
            </w:tcBorders>
            <w:shd w:val="clear" w:color="auto" w:fill="auto"/>
            <w:noWrap/>
            <w:vAlign w:val="center"/>
          </w:tcPr>
          <w:p w14:paraId="62117F6F">
            <w:pPr>
              <w:keepNext w:val="0"/>
              <w:keepLines w:val="0"/>
              <w:pageBreakBefore w:val="0"/>
              <w:widowControl w:val="0"/>
              <w:kinsoku/>
              <w:wordWrap/>
              <w:overflowPunct/>
              <w:topLinePunct w:val="0"/>
              <w:autoSpaceDE/>
              <w:autoSpaceDN/>
              <w:bidi w:val="0"/>
              <w:adjustRightInd/>
              <w:snapToGrid/>
              <w:spacing w:line="400" w:lineRule="exact"/>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94" w:type="pct"/>
            <w:tcBorders>
              <w:top w:val="single" w:color="auto" w:sz="4" w:space="0"/>
              <w:left w:val="nil"/>
              <w:bottom w:val="single" w:color="auto" w:sz="4" w:space="0"/>
              <w:right w:val="single" w:color="auto" w:sz="4" w:space="0"/>
            </w:tcBorders>
            <w:shd w:val="clear" w:color="auto" w:fill="auto"/>
            <w:noWrap/>
            <w:vAlign w:val="center"/>
          </w:tcPr>
          <w:p w14:paraId="1F2DB081">
            <w:pPr>
              <w:keepNext w:val="0"/>
              <w:keepLines w:val="0"/>
              <w:pageBreakBefore w:val="0"/>
              <w:widowControl w:val="0"/>
              <w:kinsoku/>
              <w:wordWrap/>
              <w:overflowPunct/>
              <w:topLinePunct w:val="0"/>
              <w:autoSpaceDE/>
              <w:autoSpaceDN/>
              <w:bidi w:val="0"/>
              <w:adjustRightInd/>
              <w:snapToGrid/>
              <w:spacing w:line="400" w:lineRule="exact"/>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2723322B">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4D545464">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4A1216E9">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53FB8D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6341C05D">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1317F95D">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bidi="ar"/>
        </w:rPr>
        <w:t>中共怀化市委老干部局</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fixed"/>
        <w:tblCellMar>
          <w:top w:w="0" w:type="dxa"/>
          <w:left w:w="108" w:type="dxa"/>
          <w:bottom w:w="0" w:type="dxa"/>
          <w:right w:w="108" w:type="dxa"/>
        </w:tblCellMar>
      </w:tblPr>
      <w:tblGrid>
        <w:gridCol w:w="3238"/>
        <w:gridCol w:w="637"/>
        <w:gridCol w:w="957"/>
        <w:gridCol w:w="3540"/>
        <w:gridCol w:w="601"/>
        <w:gridCol w:w="865"/>
        <w:gridCol w:w="1369"/>
        <w:gridCol w:w="1406"/>
        <w:gridCol w:w="1607"/>
      </w:tblGrid>
      <w:tr w14:paraId="52B0CC02">
        <w:tblPrEx>
          <w:tblCellMar>
            <w:top w:w="0" w:type="dxa"/>
            <w:left w:w="108" w:type="dxa"/>
            <w:bottom w:w="0" w:type="dxa"/>
            <w:right w:w="108" w:type="dxa"/>
          </w:tblCellMar>
        </w:tblPrEx>
        <w:trPr>
          <w:trHeight w:val="533" w:hRule="atLeast"/>
          <w:jc w:val="center"/>
        </w:trPr>
        <w:tc>
          <w:tcPr>
            <w:tcW w:w="4832"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F4355BB">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收入</w:t>
            </w:r>
          </w:p>
        </w:tc>
        <w:tc>
          <w:tcPr>
            <w:tcW w:w="9388" w:type="dxa"/>
            <w:gridSpan w:val="6"/>
            <w:tcBorders>
              <w:top w:val="single" w:color="auto" w:sz="4" w:space="0"/>
              <w:left w:val="nil"/>
              <w:bottom w:val="single" w:color="auto" w:sz="4" w:space="0"/>
              <w:right w:val="single" w:color="auto" w:sz="4" w:space="0"/>
            </w:tcBorders>
            <w:shd w:val="clear" w:color="000000" w:fill="FFFFFF"/>
            <w:noWrap/>
            <w:vAlign w:val="center"/>
          </w:tcPr>
          <w:p w14:paraId="2FE644F0">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支出</w:t>
            </w:r>
          </w:p>
        </w:tc>
      </w:tr>
      <w:tr w14:paraId="14F4BDF1">
        <w:tblPrEx>
          <w:tblCellMar>
            <w:top w:w="0" w:type="dxa"/>
            <w:left w:w="108" w:type="dxa"/>
            <w:bottom w:w="0" w:type="dxa"/>
            <w:right w:w="108" w:type="dxa"/>
          </w:tblCellMar>
        </w:tblPrEx>
        <w:trPr>
          <w:trHeight w:val="533" w:hRule="atLeast"/>
          <w:jc w:val="center"/>
        </w:trPr>
        <w:tc>
          <w:tcPr>
            <w:tcW w:w="3238" w:type="dxa"/>
            <w:tcBorders>
              <w:top w:val="nil"/>
              <w:left w:val="single" w:color="auto" w:sz="4" w:space="0"/>
              <w:bottom w:val="single" w:color="auto" w:sz="4" w:space="0"/>
              <w:right w:val="single" w:color="auto" w:sz="4" w:space="0"/>
            </w:tcBorders>
            <w:shd w:val="clear" w:color="auto" w:fill="auto"/>
            <w:noWrap/>
            <w:vAlign w:val="center"/>
          </w:tcPr>
          <w:p w14:paraId="7EDA9583">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项目</w:t>
            </w:r>
          </w:p>
        </w:tc>
        <w:tc>
          <w:tcPr>
            <w:tcW w:w="637" w:type="dxa"/>
            <w:tcBorders>
              <w:top w:val="nil"/>
              <w:left w:val="nil"/>
              <w:bottom w:val="single" w:color="auto" w:sz="4" w:space="0"/>
              <w:right w:val="single" w:color="auto" w:sz="4" w:space="0"/>
            </w:tcBorders>
            <w:shd w:val="clear" w:color="auto" w:fill="auto"/>
            <w:noWrap/>
            <w:vAlign w:val="center"/>
          </w:tcPr>
          <w:p w14:paraId="08AAABEE">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0"/>
                <w:szCs w:val="20"/>
              </w:rPr>
            </w:pPr>
            <w:r>
              <w:rPr>
                <w:rFonts w:hint="eastAsia" w:ascii="宋体" w:hAnsi="宋体" w:eastAsia="宋体" w:cs="宋体"/>
                <w:i w:val="0"/>
                <w:iCs w:val="0"/>
                <w:color w:val="000000"/>
                <w:kern w:val="0"/>
                <w:sz w:val="22"/>
                <w:szCs w:val="22"/>
                <w:u w:val="none"/>
                <w:lang w:val="en-US" w:eastAsia="zh-CN" w:bidi="ar"/>
              </w:rPr>
              <w:t>行次</w:t>
            </w:r>
          </w:p>
        </w:tc>
        <w:tc>
          <w:tcPr>
            <w:tcW w:w="957" w:type="dxa"/>
            <w:tcBorders>
              <w:top w:val="nil"/>
              <w:left w:val="nil"/>
              <w:bottom w:val="single" w:color="auto" w:sz="4" w:space="0"/>
              <w:right w:val="single" w:color="auto" w:sz="4" w:space="0"/>
            </w:tcBorders>
            <w:shd w:val="clear" w:color="auto" w:fill="auto"/>
            <w:noWrap/>
            <w:vAlign w:val="center"/>
          </w:tcPr>
          <w:p w14:paraId="5B9ACB85">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金额</w:t>
            </w:r>
          </w:p>
        </w:tc>
        <w:tc>
          <w:tcPr>
            <w:tcW w:w="3540" w:type="dxa"/>
            <w:tcBorders>
              <w:top w:val="nil"/>
              <w:left w:val="nil"/>
              <w:bottom w:val="single" w:color="auto" w:sz="4" w:space="0"/>
              <w:right w:val="single" w:color="auto" w:sz="4" w:space="0"/>
            </w:tcBorders>
            <w:shd w:val="clear" w:color="auto" w:fill="auto"/>
            <w:noWrap/>
            <w:vAlign w:val="center"/>
          </w:tcPr>
          <w:p w14:paraId="085AA2DD">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项目</w:t>
            </w:r>
          </w:p>
        </w:tc>
        <w:tc>
          <w:tcPr>
            <w:tcW w:w="601" w:type="dxa"/>
            <w:tcBorders>
              <w:top w:val="nil"/>
              <w:left w:val="nil"/>
              <w:bottom w:val="single" w:color="auto" w:sz="4" w:space="0"/>
              <w:right w:val="single" w:color="auto" w:sz="4" w:space="0"/>
            </w:tcBorders>
            <w:shd w:val="clear" w:color="auto" w:fill="auto"/>
            <w:vAlign w:val="center"/>
          </w:tcPr>
          <w:p w14:paraId="5E0D8EA1">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行次</w:t>
            </w:r>
          </w:p>
        </w:tc>
        <w:tc>
          <w:tcPr>
            <w:tcW w:w="865" w:type="dxa"/>
            <w:tcBorders>
              <w:top w:val="nil"/>
              <w:left w:val="nil"/>
              <w:bottom w:val="single" w:color="auto" w:sz="4" w:space="0"/>
              <w:right w:val="single" w:color="auto" w:sz="4" w:space="0"/>
            </w:tcBorders>
            <w:shd w:val="clear" w:color="auto" w:fill="auto"/>
            <w:vAlign w:val="center"/>
          </w:tcPr>
          <w:p w14:paraId="53150BE7">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pPr>
            <w:r>
              <w:rPr>
                <w:rFonts w:hint="eastAsia" w:ascii="宋体" w:hAnsi="宋体" w:eastAsia="宋体" w:cs="宋体"/>
                <w:i w:val="0"/>
                <w:iCs w:val="0"/>
                <w:color w:val="000000"/>
                <w:kern w:val="0"/>
                <w:sz w:val="22"/>
                <w:szCs w:val="22"/>
                <w:u w:val="none"/>
                <w:lang w:val="en-US" w:eastAsia="zh-CN" w:bidi="ar"/>
              </w:rPr>
              <w:t>合计</w:t>
            </w:r>
          </w:p>
        </w:tc>
        <w:tc>
          <w:tcPr>
            <w:tcW w:w="1369" w:type="dxa"/>
            <w:tcBorders>
              <w:top w:val="nil"/>
              <w:left w:val="nil"/>
              <w:bottom w:val="single" w:color="auto" w:sz="4" w:space="0"/>
              <w:right w:val="single" w:color="auto" w:sz="4" w:space="0"/>
            </w:tcBorders>
            <w:shd w:val="clear" w:color="auto" w:fill="auto"/>
            <w:vAlign w:val="center"/>
          </w:tcPr>
          <w:p w14:paraId="456D97D1">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406" w:type="dxa"/>
            <w:tcBorders>
              <w:top w:val="nil"/>
              <w:left w:val="nil"/>
              <w:bottom w:val="single" w:color="auto" w:sz="4" w:space="0"/>
              <w:right w:val="single" w:color="auto" w:sz="4" w:space="0"/>
            </w:tcBorders>
            <w:shd w:val="clear" w:color="auto" w:fill="auto"/>
            <w:vAlign w:val="center"/>
          </w:tcPr>
          <w:p w14:paraId="5EFE9F8C">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607" w:type="dxa"/>
            <w:tcBorders>
              <w:top w:val="nil"/>
              <w:left w:val="nil"/>
              <w:bottom w:val="single" w:color="auto" w:sz="4" w:space="0"/>
              <w:right w:val="single" w:color="auto" w:sz="4" w:space="0"/>
            </w:tcBorders>
            <w:shd w:val="clear" w:color="auto" w:fill="auto"/>
            <w:vAlign w:val="center"/>
          </w:tcPr>
          <w:p w14:paraId="5D92CA96">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1BB36084">
        <w:tblPrEx>
          <w:tblCellMar>
            <w:top w:w="0" w:type="dxa"/>
            <w:left w:w="108" w:type="dxa"/>
            <w:bottom w:w="0" w:type="dxa"/>
            <w:right w:w="108" w:type="dxa"/>
          </w:tblCellMar>
        </w:tblPrEx>
        <w:trPr>
          <w:trHeight w:val="533" w:hRule="atLeast"/>
          <w:jc w:val="center"/>
        </w:trPr>
        <w:tc>
          <w:tcPr>
            <w:tcW w:w="3238" w:type="dxa"/>
            <w:tcBorders>
              <w:top w:val="nil"/>
              <w:left w:val="single" w:color="auto" w:sz="4" w:space="0"/>
              <w:bottom w:val="single" w:color="auto" w:sz="4" w:space="0"/>
              <w:right w:val="single" w:color="auto" w:sz="4" w:space="0"/>
            </w:tcBorders>
            <w:shd w:val="clear" w:color="auto" w:fill="auto"/>
            <w:noWrap/>
            <w:vAlign w:val="center"/>
          </w:tcPr>
          <w:p w14:paraId="2A794BF0">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637" w:type="dxa"/>
            <w:tcBorders>
              <w:top w:val="nil"/>
              <w:left w:val="nil"/>
              <w:bottom w:val="single" w:color="auto" w:sz="4" w:space="0"/>
              <w:right w:val="single" w:color="auto" w:sz="4" w:space="0"/>
            </w:tcBorders>
            <w:shd w:val="clear" w:color="auto" w:fill="auto"/>
            <w:noWrap/>
            <w:vAlign w:val="center"/>
          </w:tcPr>
          <w:p w14:paraId="6934103B">
            <w:pPr>
              <w:keepNext w:val="0"/>
              <w:keepLines w:val="0"/>
              <w:pageBreakBefore w:val="0"/>
              <w:widowControl w:val="0"/>
              <w:kinsoku/>
              <w:wordWrap/>
              <w:overflowPunct/>
              <w:topLinePunct w:val="0"/>
              <w:autoSpaceDE/>
              <w:autoSpaceDN/>
              <w:bidi w:val="0"/>
              <w:adjustRightInd/>
              <w:snapToGrid/>
              <w:spacing w:line="460" w:lineRule="exact"/>
              <w:jc w:val="center"/>
              <w:rPr>
                <w:rFonts w:ascii="Times New Roman" w:hAnsi="Times New Roman" w:eastAsia="仿宋_GB2312" w:cs="Times New Roman"/>
                <w:kern w:val="0"/>
                <w:sz w:val="24"/>
                <w:szCs w:val="24"/>
              </w:rPr>
            </w:pPr>
          </w:p>
        </w:tc>
        <w:tc>
          <w:tcPr>
            <w:tcW w:w="957" w:type="dxa"/>
            <w:tcBorders>
              <w:top w:val="nil"/>
              <w:left w:val="nil"/>
              <w:bottom w:val="single" w:color="auto" w:sz="4" w:space="0"/>
              <w:right w:val="single" w:color="auto" w:sz="4" w:space="0"/>
            </w:tcBorders>
            <w:shd w:val="clear" w:color="auto" w:fill="auto"/>
            <w:noWrap/>
            <w:vAlign w:val="center"/>
          </w:tcPr>
          <w:p w14:paraId="02BB8642">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540" w:type="dxa"/>
            <w:tcBorders>
              <w:top w:val="nil"/>
              <w:left w:val="nil"/>
              <w:bottom w:val="single" w:color="auto" w:sz="4" w:space="0"/>
              <w:right w:val="single" w:color="auto" w:sz="4" w:space="0"/>
            </w:tcBorders>
            <w:shd w:val="clear" w:color="auto" w:fill="auto"/>
            <w:noWrap/>
            <w:vAlign w:val="center"/>
          </w:tcPr>
          <w:p w14:paraId="6C65AAE5">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601" w:type="dxa"/>
            <w:tcBorders>
              <w:top w:val="nil"/>
              <w:left w:val="nil"/>
              <w:bottom w:val="single" w:color="auto" w:sz="4" w:space="0"/>
              <w:right w:val="single" w:color="auto" w:sz="4" w:space="0"/>
            </w:tcBorders>
            <w:shd w:val="clear" w:color="auto" w:fill="auto"/>
            <w:noWrap/>
            <w:vAlign w:val="center"/>
          </w:tcPr>
          <w:p w14:paraId="4648B354">
            <w:pPr>
              <w:keepNext w:val="0"/>
              <w:keepLines w:val="0"/>
              <w:pageBreakBefore w:val="0"/>
              <w:widowControl w:val="0"/>
              <w:kinsoku/>
              <w:wordWrap/>
              <w:overflowPunct/>
              <w:topLinePunct w:val="0"/>
              <w:autoSpaceDE/>
              <w:autoSpaceDN/>
              <w:bidi w:val="0"/>
              <w:adjustRightInd/>
              <w:snapToGrid/>
              <w:spacing w:line="460" w:lineRule="exact"/>
              <w:jc w:val="center"/>
              <w:rPr>
                <w:rFonts w:ascii="Times New Roman" w:hAnsi="Times New Roman" w:eastAsia="仿宋_GB2312" w:cs="Times New Roman"/>
                <w:kern w:val="0"/>
                <w:sz w:val="24"/>
                <w:szCs w:val="24"/>
              </w:rPr>
            </w:pPr>
          </w:p>
        </w:tc>
        <w:tc>
          <w:tcPr>
            <w:tcW w:w="865" w:type="dxa"/>
            <w:tcBorders>
              <w:top w:val="nil"/>
              <w:left w:val="nil"/>
              <w:bottom w:val="single" w:color="auto" w:sz="4" w:space="0"/>
              <w:right w:val="single" w:color="auto" w:sz="4" w:space="0"/>
            </w:tcBorders>
            <w:shd w:val="clear" w:color="auto" w:fill="auto"/>
            <w:noWrap/>
            <w:vAlign w:val="center"/>
          </w:tcPr>
          <w:p w14:paraId="3EAD4CD9">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pPr>
            <w:r>
              <w:rPr>
                <w:rFonts w:hint="eastAsia" w:ascii="宋体" w:hAnsi="宋体" w:eastAsia="宋体" w:cs="宋体"/>
                <w:i w:val="0"/>
                <w:iCs w:val="0"/>
                <w:color w:val="000000"/>
                <w:kern w:val="0"/>
                <w:sz w:val="22"/>
                <w:szCs w:val="22"/>
                <w:u w:val="none"/>
                <w:lang w:val="en-US" w:eastAsia="zh-CN" w:bidi="ar"/>
              </w:rPr>
              <w:t>2</w:t>
            </w:r>
          </w:p>
        </w:tc>
        <w:tc>
          <w:tcPr>
            <w:tcW w:w="1369" w:type="dxa"/>
            <w:tcBorders>
              <w:top w:val="nil"/>
              <w:left w:val="nil"/>
              <w:bottom w:val="single" w:color="auto" w:sz="4" w:space="0"/>
              <w:right w:val="single" w:color="auto" w:sz="4" w:space="0"/>
            </w:tcBorders>
            <w:shd w:val="clear" w:color="auto" w:fill="auto"/>
            <w:noWrap/>
            <w:vAlign w:val="center"/>
          </w:tcPr>
          <w:p w14:paraId="6367A2A6">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406" w:type="dxa"/>
            <w:tcBorders>
              <w:top w:val="nil"/>
              <w:left w:val="nil"/>
              <w:bottom w:val="single" w:color="auto" w:sz="4" w:space="0"/>
              <w:right w:val="single" w:color="auto" w:sz="4" w:space="0"/>
            </w:tcBorders>
            <w:shd w:val="clear" w:color="auto" w:fill="auto"/>
            <w:noWrap/>
            <w:vAlign w:val="center"/>
          </w:tcPr>
          <w:p w14:paraId="6CB3BBC6">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pPr>
            <w:r>
              <w:rPr>
                <w:rFonts w:hint="eastAsia" w:ascii="宋体" w:hAnsi="宋体" w:eastAsia="宋体" w:cs="宋体"/>
                <w:i w:val="0"/>
                <w:iCs w:val="0"/>
                <w:color w:val="000000"/>
                <w:kern w:val="0"/>
                <w:sz w:val="22"/>
                <w:szCs w:val="22"/>
                <w:u w:val="none"/>
                <w:lang w:val="en-US" w:eastAsia="zh-CN" w:bidi="ar"/>
              </w:rPr>
              <w:t>4</w:t>
            </w:r>
          </w:p>
        </w:tc>
        <w:tc>
          <w:tcPr>
            <w:tcW w:w="1607" w:type="dxa"/>
            <w:tcBorders>
              <w:top w:val="nil"/>
              <w:left w:val="nil"/>
              <w:bottom w:val="single" w:color="auto" w:sz="4" w:space="0"/>
              <w:right w:val="single" w:color="auto" w:sz="4" w:space="0"/>
            </w:tcBorders>
            <w:shd w:val="clear" w:color="auto" w:fill="auto"/>
            <w:noWrap/>
            <w:vAlign w:val="center"/>
          </w:tcPr>
          <w:p w14:paraId="77AF8AAA">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w:t>
            </w:r>
          </w:p>
        </w:tc>
      </w:tr>
      <w:tr w14:paraId="74D4CA4A">
        <w:tblPrEx>
          <w:tblCellMar>
            <w:top w:w="0" w:type="dxa"/>
            <w:left w:w="108" w:type="dxa"/>
            <w:bottom w:w="0" w:type="dxa"/>
            <w:right w:w="108" w:type="dxa"/>
          </w:tblCellMar>
        </w:tblPrEx>
        <w:trPr>
          <w:trHeight w:val="533" w:hRule="atLeast"/>
          <w:jc w:val="center"/>
        </w:trPr>
        <w:tc>
          <w:tcPr>
            <w:tcW w:w="3238" w:type="dxa"/>
            <w:tcBorders>
              <w:top w:val="nil"/>
              <w:left w:val="single" w:color="auto" w:sz="4" w:space="0"/>
              <w:bottom w:val="single" w:color="auto" w:sz="4" w:space="0"/>
              <w:right w:val="single" w:color="auto" w:sz="4" w:space="0"/>
            </w:tcBorders>
            <w:shd w:val="clear" w:color="auto" w:fill="auto"/>
            <w:noWrap/>
            <w:vAlign w:val="center"/>
          </w:tcPr>
          <w:p w14:paraId="2F26DF70">
            <w:pPr>
              <w:keepNext w:val="0"/>
              <w:keepLines w:val="0"/>
              <w:pageBreakBefore w:val="0"/>
              <w:widowControl w:val="0"/>
              <w:suppressLineNumbers w:val="0"/>
              <w:kinsoku/>
              <w:wordWrap/>
              <w:overflowPunct/>
              <w:topLinePunct w:val="0"/>
              <w:autoSpaceDE/>
              <w:autoSpaceDN/>
              <w:bidi w:val="0"/>
              <w:adjustRightInd/>
              <w:snapToGrid/>
              <w:spacing w:line="460" w:lineRule="exact"/>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637" w:type="dxa"/>
            <w:tcBorders>
              <w:top w:val="nil"/>
              <w:left w:val="nil"/>
              <w:bottom w:val="single" w:color="auto" w:sz="4" w:space="0"/>
              <w:right w:val="single" w:color="auto" w:sz="4" w:space="0"/>
            </w:tcBorders>
            <w:shd w:val="clear" w:color="auto" w:fill="auto"/>
            <w:noWrap/>
            <w:vAlign w:val="center"/>
          </w:tcPr>
          <w:p w14:paraId="1D39A79B">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w:t>
            </w:r>
          </w:p>
        </w:tc>
        <w:tc>
          <w:tcPr>
            <w:tcW w:w="957" w:type="dxa"/>
            <w:tcBorders>
              <w:top w:val="nil"/>
              <w:left w:val="nil"/>
              <w:bottom w:val="single" w:color="auto" w:sz="4" w:space="0"/>
              <w:right w:val="single" w:color="auto" w:sz="4" w:space="0"/>
            </w:tcBorders>
            <w:shd w:val="clear" w:color="auto" w:fill="auto"/>
            <w:noWrap/>
            <w:vAlign w:val="center"/>
          </w:tcPr>
          <w:p w14:paraId="169D9BFA">
            <w:pPr>
              <w:keepNext w:val="0"/>
              <w:keepLines w:val="0"/>
              <w:pageBreakBefore w:val="0"/>
              <w:widowControl w:val="0"/>
              <w:suppressLineNumbers w:val="0"/>
              <w:kinsoku/>
              <w:wordWrap/>
              <w:overflowPunct/>
              <w:topLinePunct w:val="0"/>
              <w:autoSpaceDE/>
              <w:autoSpaceDN/>
              <w:bidi w:val="0"/>
              <w:adjustRightInd/>
              <w:snapToGrid/>
              <w:spacing w:line="46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562.93 </w:t>
            </w:r>
          </w:p>
        </w:tc>
        <w:tc>
          <w:tcPr>
            <w:tcW w:w="3540" w:type="dxa"/>
            <w:tcBorders>
              <w:top w:val="nil"/>
              <w:left w:val="nil"/>
              <w:bottom w:val="single" w:color="auto" w:sz="4" w:space="0"/>
              <w:right w:val="single" w:color="auto" w:sz="4" w:space="0"/>
            </w:tcBorders>
            <w:shd w:val="clear" w:color="auto" w:fill="auto"/>
            <w:noWrap/>
            <w:vAlign w:val="center"/>
          </w:tcPr>
          <w:p w14:paraId="5526EC9D">
            <w:pPr>
              <w:keepNext w:val="0"/>
              <w:keepLines w:val="0"/>
              <w:pageBreakBefore w:val="0"/>
              <w:widowControl w:val="0"/>
              <w:suppressLineNumbers w:val="0"/>
              <w:kinsoku/>
              <w:wordWrap/>
              <w:overflowPunct/>
              <w:topLinePunct w:val="0"/>
              <w:autoSpaceDE/>
              <w:autoSpaceDN/>
              <w:bidi w:val="0"/>
              <w:adjustRightInd/>
              <w:snapToGrid/>
              <w:spacing w:line="460" w:lineRule="exact"/>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601" w:type="dxa"/>
            <w:tcBorders>
              <w:top w:val="nil"/>
              <w:left w:val="nil"/>
              <w:bottom w:val="single" w:color="auto" w:sz="4" w:space="0"/>
              <w:right w:val="single" w:color="auto" w:sz="4" w:space="0"/>
            </w:tcBorders>
            <w:shd w:val="clear" w:color="auto" w:fill="auto"/>
            <w:noWrap/>
            <w:vAlign w:val="center"/>
          </w:tcPr>
          <w:p w14:paraId="240C9A30">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33</w:t>
            </w:r>
          </w:p>
        </w:tc>
        <w:tc>
          <w:tcPr>
            <w:tcW w:w="865" w:type="dxa"/>
            <w:tcBorders>
              <w:top w:val="nil"/>
              <w:left w:val="nil"/>
              <w:bottom w:val="single" w:color="auto" w:sz="4" w:space="0"/>
              <w:right w:val="single" w:color="auto" w:sz="4" w:space="0"/>
            </w:tcBorders>
            <w:shd w:val="clear" w:color="auto" w:fill="auto"/>
            <w:noWrap/>
            <w:vAlign w:val="center"/>
          </w:tcPr>
          <w:p w14:paraId="15865171">
            <w:pPr>
              <w:keepNext w:val="0"/>
              <w:keepLines w:val="0"/>
              <w:pageBreakBefore w:val="0"/>
              <w:widowControl w:val="0"/>
              <w:suppressLineNumbers w:val="0"/>
              <w:kinsoku/>
              <w:wordWrap/>
              <w:overflowPunct/>
              <w:topLinePunct w:val="0"/>
              <w:autoSpaceDE/>
              <w:autoSpaceDN/>
              <w:bidi w:val="0"/>
              <w:adjustRightInd/>
              <w:snapToGrid/>
              <w:spacing w:line="460" w:lineRule="exact"/>
              <w:jc w:val="right"/>
              <w:textAlignment w:val="center"/>
            </w:pPr>
            <w:r>
              <w:rPr>
                <w:rFonts w:hint="eastAsia" w:ascii="宋体" w:hAnsi="宋体" w:eastAsia="宋体" w:cs="宋体"/>
                <w:i w:val="0"/>
                <w:iCs w:val="0"/>
                <w:color w:val="000000"/>
                <w:kern w:val="0"/>
                <w:sz w:val="22"/>
                <w:szCs w:val="22"/>
                <w:u w:val="none"/>
                <w:lang w:val="en-US" w:eastAsia="zh-CN" w:bidi="ar"/>
              </w:rPr>
              <w:t xml:space="preserve">458.49 </w:t>
            </w:r>
          </w:p>
        </w:tc>
        <w:tc>
          <w:tcPr>
            <w:tcW w:w="1369" w:type="dxa"/>
            <w:tcBorders>
              <w:top w:val="nil"/>
              <w:left w:val="nil"/>
              <w:bottom w:val="single" w:color="auto" w:sz="4" w:space="0"/>
              <w:right w:val="single" w:color="auto" w:sz="4" w:space="0"/>
            </w:tcBorders>
            <w:shd w:val="clear" w:color="auto" w:fill="auto"/>
            <w:noWrap/>
            <w:vAlign w:val="center"/>
          </w:tcPr>
          <w:p w14:paraId="6AF5F279">
            <w:pPr>
              <w:keepNext w:val="0"/>
              <w:keepLines w:val="0"/>
              <w:pageBreakBefore w:val="0"/>
              <w:widowControl w:val="0"/>
              <w:suppressLineNumbers w:val="0"/>
              <w:kinsoku/>
              <w:wordWrap/>
              <w:overflowPunct/>
              <w:topLinePunct w:val="0"/>
              <w:autoSpaceDE/>
              <w:autoSpaceDN/>
              <w:bidi w:val="0"/>
              <w:adjustRightInd/>
              <w:snapToGrid/>
              <w:spacing w:line="46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458.49 </w:t>
            </w:r>
          </w:p>
        </w:tc>
        <w:tc>
          <w:tcPr>
            <w:tcW w:w="1406" w:type="dxa"/>
            <w:tcBorders>
              <w:top w:val="nil"/>
              <w:left w:val="nil"/>
              <w:bottom w:val="single" w:color="auto" w:sz="4" w:space="0"/>
              <w:right w:val="single" w:color="auto" w:sz="4" w:space="0"/>
            </w:tcBorders>
            <w:shd w:val="clear" w:color="auto" w:fill="auto"/>
            <w:noWrap/>
            <w:vAlign w:val="center"/>
          </w:tcPr>
          <w:p w14:paraId="77D7DB0D">
            <w:pPr>
              <w:keepNext w:val="0"/>
              <w:keepLines w:val="0"/>
              <w:pageBreakBefore w:val="0"/>
              <w:widowControl w:val="0"/>
              <w:kinsoku/>
              <w:wordWrap/>
              <w:overflowPunct/>
              <w:topLinePunct w:val="0"/>
              <w:autoSpaceDE/>
              <w:autoSpaceDN/>
              <w:bidi w:val="0"/>
              <w:adjustRightInd/>
              <w:snapToGrid/>
              <w:spacing w:line="460" w:lineRule="exact"/>
              <w:jc w:val="right"/>
            </w:pPr>
          </w:p>
        </w:tc>
        <w:tc>
          <w:tcPr>
            <w:tcW w:w="1607" w:type="dxa"/>
            <w:tcBorders>
              <w:top w:val="nil"/>
              <w:left w:val="nil"/>
              <w:bottom w:val="single" w:color="auto" w:sz="4" w:space="0"/>
              <w:right w:val="single" w:color="auto" w:sz="4" w:space="0"/>
            </w:tcBorders>
            <w:shd w:val="clear" w:color="auto" w:fill="auto"/>
            <w:noWrap/>
            <w:vAlign w:val="center"/>
          </w:tcPr>
          <w:p w14:paraId="534DFAB2">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r>
      <w:tr w14:paraId="58289DE2">
        <w:tblPrEx>
          <w:tblCellMar>
            <w:top w:w="0" w:type="dxa"/>
            <w:left w:w="108" w:type="dxa"/>
            <w:bottom w:w="0" w:type="dxa"/>
            <w:right w:w="108" w:type="dxa"/>
          </w:tblCellMar>
        </w:tblPrEx>
        <w:trPr>
          <w:trHeight w:val="533" w:hRule="atLeast"/>
          <w:jc w:val="center"/>
        </w:trPr>
        <w:tc>
          <w:tcPr>
            <w:tcW w:w="3238" w:type="dxa"/>
            <w:tcBorders>
              <w:top w:val="nil"/>
              <w:left w:val="single" w:color="auto" w:sz="4" w:space="0"/>
              <w:bottom w:val="single" w:color="auto" w:sz="4" w:space="0"/>
              <w:right w:val="single" w:color="auto" w:sz="4" w:space="0"/>
            </w:tcBorders>
            <w:shd w:val="clear" w:color="auto" w:fill="auto"/>
            <w:noWrap/>
            <w:vAlign w:val="center"/>
          </w:tcPr>
          <w:p w14:paraId="055333E0">
            <w:pPr>
              <w:keepNext w:val="0"/>
              <w:keepLines w:val="0"/>
              <w:pageBreakBefore w:val="0"/>
              <w:widowControl w:val="0"/>
              <w:suppressLineNumbers w:val="0"/>
              <w:kinsoku/>
              <w:wordWrap/>
              <w:overflowPunct/>
              <w:topLinePunct w:val="0"/>
              <w:autoSpaceDE/>
              <w:autoSpaceDN/>
              <w:bidi w:val="0"/>
              <w:adjustRightInd/>
              <w:snapToGrid/>
              <w:spacing w:line="460" w:lineRule="exact"/>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637" w:type="dxa"/>
            <w:tcBorders>
              <w:top w:val="nil"/>
              <w:left w:val="nil"/>
              <w:bottom w:val="single" w:color="auto" w:sz="4" w:space="0"/>
              <w:right w:val="single" w:color="auto" w:sz="4" w:space="0"/>
            </w:tcBorders>
            <w:shd w:val="clear" w:color="auto" w:fill="auto"/>
            <w:noWrap/>
            <w:vAlign w:val="center"/>
          </w:tcPr>
          <w:p w14:paraId="2DC9A6C4">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w:t>
            </w:r>
          </w:p>
        </w:tc>
        <w:tc>
          <w:tcPr>
            <w:tcW w:w="957" w:type="dxa"/>
            <w:tcBorders>
              <w:top w:val="nil"/>
              <w:left w:val="nil"/>
              <w:bottom w:val="single" w:color="auto" w:sz="4" w:space="0"/>
              <w:right w:val="single" w:color="auto" w:sz="4" w:space="0"/>
            </w:tcBorders>
            <w:shd w:val="clear" w:color="auto" w:fill="auto"/>
            <w:noWrap/>
            <w:vAlign w:val="center"/>
          </w:tcPr>
          <w:p w14:paraId="170E14D8">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c>
          <w:tcPr>
            <w:tcW w:w="3540" w:type="dxa"/>
            <w:tcBorders>
              <w:top w:val="nil"/>
              <w:left w:val="nil"/>
              <w:bottom w:val="single" w:color="auto" w:sz="4" w:space="0"/>
              <w:right w:val="single" w:color="auto" w:sz="4" w:space="0"/>
            </w:tcBorders>
            <w:shd w:val="clear" w:color="auto" w:fill="auto"/>
            <w:noWrap/>
            <w:vAlign w:val="center"/>
          </w:tcPr>
          <w:p w14:paraId="3D9142D4">
            <w:pPr>
              <w:keepNext w:val="0"/>
              <w:keepLines w:val="0"/>
              <w:pageBreakBefore w:val="0"/>
              <w:widowControl w:val="0"/>
              <w:suppressLineNumbers w:val="0"/>
              <w:kinsoku/>
              <w:wordWrap/>
              <w:overflowPunct/>
              <w:topLinePunct w:val="0"/>
              <w:autoSpaceDE/>
              <w:autoSpaceDN/>
              <w:bidi w:val="0"/>
              <w:adjustRightInd/>
              <w:snapToGrid/>
              <w:spacing w:line="460" w:lineRule="exact"/>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601" w:type="dxa"/>
            <w:tcBorders>
              <w:top w:val="nil"/>
              <w:left w:val="nil"/>
              <w:bottom w:val="single" w:color="auto" w:sz="4" w:space="0"/>
              <w:right w:val="single" w:color="auto" w:sz="4" w:space="0"/>
            </w:tcBorders>
            <w:shd w:val="clear" w:color="auto" w:fill="auto"/>
            <w:noWrap/>
            <w:vAlign w:val="center"/>
          </w:tcPr>
          <w:p w14:paraId="7F77A08B">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34</w:t>
            </w:r>
          </w:p>
        </w:tc>
        <w:tc>
          <w:tcPr>
            <w:tcW w:w="865" w:type="dxa"/>
            <w:tcBorders>
              <w:top w:val="nil"/>
              <w:left w:val="nil"/>
              <w:bottom w:val="single" w:color="auto" w:sz="4" w:space="0"/>
              <w:right w:val="single" w:color="auto" w:sz="4" w:space="0"/>
            </w:tcBorders>
            <w:shd w:val="clear" w:color="auto" w:fill="auto"/>
            <w:noWrap/>
            <w:vAlign w:val="center"/>
          </w:tcPr>
          <w:p w14:paraId="672F93B3">
            <w:pPr>
              <w:keepNext w:val="0"/>
              <w:keepLines w:val="0"/>
              <w:pageBreakBefore w:val="0"/>
              <w:widowControl w:val="0"/>
              <w:kinsoku/>
              <w:wordWrap/>
              <w:overflowPunct/>
              <w:topLinePunct w:val="0"/>
              <w:autoSpaceDE/>
              <w:autoSpaceDN/>
              <w:bidi w:val="0"/>
              <w:adjustRightInd/>
              <w:snapToGrid/>
              <w:spacing w:line="460" w:lineRule="exact"/>
              <w:jc w:val="right"/>
            </w:pPr>
          </w:p>
        </w:tc>
        <w:tc>
          <w:tcPr>
            <w:tcW w:w="1369" w:type="dxa"/>
            <w:tcBorders>
              <w:top w:val="nil"/>
              <w:left w:val="nil"/>
              <w:bottom w:val="single" w:color="auto" w:sz="4" w:space="0"/>
              <w:right w:val="single" w:color="auto" w:sz="4" w:space="0"/>
            </w:tcBorders>
            <w:shd w:val="clear" w:color="auto" w:fill="auto"/>
            <w:noWrap/>
            <w:vAlign w:val="center"/>
          </w:tcPr>
          <w:p w14:paraId="003C18EA">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c>
          <w:tcPr>
            <w:tcW w:w="1406" w:type="dxa"/>
            <w:tcBorders>
              <w:top w:val="nil"/>
              <w:left w:val="nil"/>
              <w:bottom w:val="single" w:color="auto" w:sz="4" w:space="0"/>
              <w:right w:val="single" w:color="auto" w:sz="4" w:space="0"/>
            </w:tcBorders>
            <w:shd w:val="clear" w:color="auto" w:fill="auto"/>
            <w:noWrap/>
            <w:vAlign w:val="center"/>
          </w:tcPr>
          <w:p w14:paraId="2DFE6769">
            <w:pPr>
              <w:keepNext w:val="0"/>
              <w:keepLines w:val="0"/>
              <w:pageBreakBefore w:val="0"/>
              <w:widowControl w:val="0"/>
              <w:kinsoku/>
              <w:wordWrap/>
              <w:overflowPunct/>
              <w:topLinePunct w:val="0"/>
              <w:autoSpaceDE/>
              <w:autoSpaceDN/>
              <w:bidi w:val="0"/>
              <w:adjustRightInd/>
              <w:snapToGrid/>
              <w:spacing w:line="460" w:lineRule="exact"/>
              <w:jc w:val="right"/>
            </w:pPr>
          </w:p>
        </w:tc>
        <w:tc>
          <w:tcPr>
            <w:tcW w:w="1607" w:type="dxa"/>
            <w:tcBorders>
              <w:top w:val="nil"/>
              <w:left w:val="nil"/>
              <w:bottom w:val="single" w:color="auto" w:sz="4" w:space="0"/>
              <w:right w:val="single" w:color="auto" w:sz="4" w:space="0"/>
            </w:tcBorders>
            <w:shd w:val="clear" w:color="auto" w:fill="auto"/>
            <w:noWrap/>
            <w:vAlign w:val="center"/>
          </w:tcPr>
          <w:p w14:paraId="2FF1385A">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r>
      <w:tr w14:paraId="2AEA123A">
        <w:tblPrEx>
          <w:tblCellMar>
            <w:top w:w="0" w:type="dxa"/>
            <w:left w:w="108" w:type="dxa"/>
            <w:bottom w:w="0" w:type="dxa"/>
            <w:right w:w="108" w:type="dxa"/>
          </w:tblCellMar>
        </w:tblPrEx>
        <w:trPr>
          <w:trHeight w:val="533" w:hRule="atLeast"/>
          <w:jc w:val="center"/>
        </w:trPr>
        <w:tc>
          <w:tcPr>
            <w:tcW w:w="3238" w:type="dxa"/>
            <w:tcBorders>
              <w:top w:val="nil"/>
              <w:left w:val="single" w:color="auto" w:sz="4" w:space="0"/>
              <w:bottom w:val="single" w:color="auto" w:sz="4" w:space="0"/>
              <w:right w:val="single" w:color="auto" w:sz="4" w:space="0"/>
            </w:tcBorders>
            <w:shd w:val="clear" w:color="auto" w:fill="auto"/>
            <w:noWrap/>
            <w:vAlign w:val="center"/>
          </w:tcPr>
          <w:p w14:paraId="3207F34A">
            <w:pPr>
              <w:keepNext w:val="0"/>
              <w:keepLines w:val="0"/>
              <w:pageBreakBefore w:val="0"/>
              <w:widowControl w:val="0"/>
              <w:suppressLineNumbers w:val="0"/>
              <w:kinsoku/>
              <w:wordWrap/>
              <w:overflowPunct/>
              <w:topLinePunct w:val="0"/>
              <w:autoSpaceDE/>
              <w:autoSpaceDN/>
              <w:bidi w:val="0"/>
              <w:adjustRightInd/>
              <w:snapToGrid/>
              <w:spacing w:line="460" w:lineRule="exact"/>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637" w:type="dxa"/>
            <w:tcBorders>
              <w:top w:val="nil"/>
              <w:left w:val="nil"/>
              <w:bottom w:val="single" w:color="auto" w:sz="4" w:space="0"/>
              <w:right w:val="single" w:color="auto" w:sz="4" w:space="0"/>
            </w:tcBorders>
            <w:shd w:val="clear" w:color="auto" w:fill="auto"/>
            <w:noWrap/>
            <w:vAlign w:val="center"/>
          </w:tcPr>
          <w:p w14:paraId="154F3493">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w:t>
            </w:r>
          </w:p>
        </w:tc>
        <w:tc>
          <w:tcPr>
            <w:tcW w:w="957" w:type="dxa"/>
            <w:tcBorders>
              <w:top w:val="nil"/>
              <w:left w:val="nil"/>
              <w:bottom w:val="single" w:color="auto" w:sz="4" w:space="0"/>
              <w:right w:val="single" w:color="auto" w:sz="4" w:space="0"/>
            </w:tcBorders>
            <w:shd w:val="clear" w:color="auto" w:fill="auto"/>
            <w:noWrap/>
            <w:vAlign w:val="center"/>
          </w:tcPr>
          <w:p w14:paraId="12AF1AF8">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c>
          <w:tcPr>
            <w:tcW w:w="3540" w:type="dxa"/>
            <w:tcBorders>
              <w:top w:val="nil"/>
              <w:left w:val="nil"/>
              <w:bottom w:val="single" w:color="auto" w:sz="4" w:space="0"/>
              <w:right w:val="single" w:color="auto" w:sz="4" w:space="0"/>
            </w:tcBorders>
            <w:shd w:val="clear" w:color="auto" w:fill="auto"/>
            <w:noWrap/>
            <w:vAlign w:val="center"/>
          </w:tcPr>
          <w:p w14:paraId="717F688A">
            <w:pPr>
              <w:keepNext w:val="0"/>
              <w:keepLines w:val="0"/>
              <w:pageBreakBefore w:val="0"/>
              <w:widowControl w:val="0"/>
              <w:suppressLineNumbers w:val="0"/>
              <w:kinsoku/>
              <w:wordWrap/>
              <w:overflowPunct/>
              <w:topLinePunct w:val="0"/>
              <w:autoSpaceDE/>
              <w:autoSpaceDN/>
              <w:bidi w:val="0"/>
              <w:adjustRightInd/>
              <w:snapToGrid/>
              <w:spacing w:line="460" w:lineRule="exact"/>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601" w:type="dxa"/>
            <w:tcBorders>
              <w:top w:val="nil"/>
              <w:left w:val="nil"/>
              <w:bottom w:val="single" w:color="auto" w:sz="4" w:space="0"/>
              <w:right w:val="single" w:color="auto" w:sz="4" w:space="0"/>
            </w:tcBorders>
            <w:shd w:val="clear" w:color="auto" w:fill="auto"/>
            <w:noWrap/>
            <w:vAlign w:val="center"/>
          </w:tcPr>
          <w:p w14:paraId="290F0F48">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35</w:t>
            </w:r>
          </w:p>
        </w:tc>
        <w:tc>
          <w:tcPr>
            <w:tcW w:w="865" w:type="dxa"/>
            <w:tcBorders>
              <w:top w:val="nil"/>
              <w:left w:val="nil"/>
              <w:bottom w:val="single" w:color="auto" w:sz="4" w:space="0"/>
              <w:right w:val="single" w:color="auto" w:sz="4" w:space="0"/>
            </w:tcBorders>
            <w:shd w:val="clear" w:color="auto" w:fill="auto"/>
            <w:noWrap/>
            <w:vAlign w:val="center"/>
          </w:tcPr>
          <w:p w14:paraId="78572E88">
            <w:pPr>
              <w:keepNext w:val="0"/>
              <w:keepLines w:val="0"/>
              <w:pageBreakBefore w:val="0"/>
              <w:widowControl w:val="0"/>
              <w:kinsoku/>
              <w:wordWrap/>
              <w:overflowPunct/>
              <w:topLinePunct w:val="0"/>
              <w:autoSpaceDE/>
              <w:autoSpaceDN/>
              <w:bidi w:val="0"/>
              <w:adjustRightInd/>
              <w:snapToGrid/>
              <w:spacing w:line="460" w:lineRule="exact"/>
              <w:jc w:val="right"/>
            </w:pPr>
          </w:p>
        </w:tc>
        <w:tc>
          <w:tcPr>
            <w:tcW w:w="1369" w:type="dxa"/>
            <w:tcBorders>
              <w:top w:val="nil"/>
              <w:left w:val="nil"/>
              <w:bottom w:val="single" w:color="auto" w:sz="4" w:space="0"/>
              <w:right w:val="single" w:color="auto" w:sz="4" w:space="0"/>
            </w:tcBorders>
            <w:shd w:val="clear" w:color="auto" w:fill="auto"/>
            <w:noWrap/>
            <w:vAlign w:val="center"/>
          </w:tcPr>
          <w:p w14:paraId="026B7F48">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c>
          <w:tcPr>
            <w:tcW w:w="1406" w:type="dxa"/>
            <w:tcBorders>
              <w:top w:val="nil"/>
              <w:left w:val="nil"/>
              <w:bottom w:val="single" w:color="auto" w:sz="4" w:space="0"/>
              <w:right w:val="single" w:color="auto" w:sz="4" w:space="0"/>
            </w:tcBorders>
            <w:shd w:val="clear" w:color="auto" w:fill="auto"/>
            <w:noWrap/>
            <w:vAlign w:val="center"/>
          </w:tcPr>
          <w:p w14:paraId="4C12E840">
            <w:pPr>
              <w:keepNext w:val="0"/>
              <w:keepLines w:val="0"/>
              <w:pageBreakBefore w:val="0"/>
              <w:widowControl w:val="0"/>
              <w:kinsoku/>
              <w:wordWrap/>
              <w:overflowPunct/>
              <w:topLinePunct w:val="0"/>
              <w:autoSpaceDE/>
              <w:autoSpaceDN/>
              <w:bidi w:val="0"/>
              <w:adjustRightInd/>
              <w:snapToGrid/>
              <w:spacing w:line="460" w:lineRule="exact"/>
              <w:jc w:val="right"/>
            </w:pPr>
          </w:p>
        </w:tc>
        <w:tc>
          <w:tcPr>
            <w:tcW w:w="1607" w:type="dxa"/>
            <w:tcBorders>
              <w:top w:val="nil"/>
              <w:left w:val="nil"/>
              <w:bottom w:val="single" w:color="auto" w:sz="4" w:space="0"/>
              <w:right w:val="single" w:color="auto" w:sz="4" w:space="0"/>
            </w:tcBorders>
            <w:shd w:val="clear" w:color="auto" w:fill="auto"/>
            <w:noWrap/>
            <w:vAlign w:val="center"/>
          </w:tcPr>
          <w:p w14:paraId="602C3FCB">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r>
      <w:tr w14:paraId="5A4287EF">
        <w:tblPrEx>
          <w:tblCellMar>
            <w:top w:w="0" w:type="dxa"/>
            <w:left w:w="108" w:type="dxa"/>
            <w:bottom w:w="0" w:type="dxa"/>
            <w:right w:w="108" w:type="dxa"/>
          </w:tblCellMar>
        </w:tblPrEx>
        <w:trPr>
          <w:trHeight w:val="533" w:hRule="atLeast"/>
          <w:jc w:val="center"/>
        </w:trPr>
        <w:tc>
          <w:tcPr>
            <w:tcW w:w="3238" w:type="dxa"/>
            <w:tcBorders>
              <w:top w:val="nil"/>
              <w:left w:val="single" w:color="auto" w:sz="4" w:space="0"/>
              <w:bottom w:val="single" w:color="auto" w:sz="4" w:space="0"/>
              <w:right w:val="single" w:color="auto" w:sz="4" w:space="0"/>
            </w:tcBorders>
            <w:shd w:val="clear" w:color="auto" w:fill="auto"/>
            <w:noWrap/>
            <w:vAlign w:val="center"/>
          </w:tcPr>
          <w:p w14:paraId="6A254293">
            <w:pPr>
              <w:keepNext w:val="0"/>
              <w:keepLines w:val="0"/>
              <w:pageBreakBefore w:val="0"/>
              <w:widowControl w:val="0"/>
              <w:kinsoku/>
              <w:wordWrap/>
              <w:overflowPunct/>
              <w:topLinePunct w:val="0"/>
              <w:autoSpaceDE/>
              <w:autoSpaceDN/>
              <w:bidi w:val="0"/>
              <w:adjustRightInd/>
              <w:snapToGrid/>
              <w:spacing w:line="460" w:lineRule="exact"/>
              <w:jc w:val="left"/>
              <w:rPr>
                <w:rFonts w:ascii="Times New Roman" w:hAnsi="Times New Roman" w:eastAsia="仿宋_GB2312" w:cs="Times New Roman"/>
                <w:kern w:val="0"/>
                <w:sz w:val="22"/>
              </w:rPr>
            </w:pPr>
          </w:p>
        </w:tc>
        <w:tc>
          <w:tcPr>
            <w:tcW w:w="637" w:type="dxa"/>
            <w:tcBorders>
              <w:top w:val="nil"/>
              <w:left w:val="nil"/>
              <w:bottom w:val="single" w:color="auto" w:sz="4" w:space="0"/>
              <w:right w:val="single" w:color="auto" w:sz="4" w:space="0"/>
            </w:tcBorders>
            <w:shd w:val="clear" w:color="auto" w:fill="auto"/>
            <w:noWrap/>
            <w:vAlign w:val="center"/>
          </w:tcPr>
          <w:p w14:paraId="454600F6">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w:t>
            </w:r>
          </w:p>
        </w:tc>
        <w:tc>
          <w:tcPr>
            <w:tcW w:w="957" w:type="dxa"/>
            <w:tcBorders>
              <w:top w:val="nil"/>
              <w:left w:val="nil"/>
              <w:bottom w:val="single" w:color="auto" w:sz="4" w:space="0"/>
              <w:right w:val="single" w:color="auto" w:sz="4" w:space="0"/>
            </w:tcBorders>
            <w:shd w:val="clear" w:color="auto" w:fill="auto"/>
            <w:noWrap/>
            <w:vAlign w:val="center"/>
          </w:tcPr>
          <w:p w14:paraId="62002493">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c>
          <w:tcPr>
            <w:tcW w:w="3540" w:type="dxa"/>
            <w:tcBorders>
              <w:top w:val="nil"/>
              <w:left w:val="nil"/>
              <w:bottom w:val="single" w:color="auto" w:sz="4" w:space="0"/>
              <w:right w:val="single" w:color="auto" w:sz="4" w:space="0"/>
            </w:tcBorders>
            <w:shd w:val="clear" w:color="auto" w:fill="auto"/>
            <w:noWrap/>
            <w:vAlign w:val="center"/>
          </w:tcPr>
          <w:p w14:paraId="6E91BF6E">
            <w:pPr>
              <w:keepNext w:val="0"/>
              <w:keepLines w:val="0"/>
              <w:pageBreakBefore w:val="0"/>
              <w:widowControl w:val="0"/>
              <w:suppressLineNumbers w:val="0"/>
              <w:kinsoku/>
              <w:wordWrap/>
              <w:overflowPunct/>
              <w:topLinePunct w:val="0"/>
              <w:autoSpaceDE/>
              <w:autoSpaceDN/>
              <w:bidi w:val="0"/>
              <w:adjustRightInd/>
              <w:snapToGrid/>
              <w:spacing w:line="460" w:lineRule="exact"/>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601" w:type="dxa"/>
            <w:tcBorders>
              <w:top w:val="nil"/>
              <w:left w:val="nil"/>
              <w:bottom w:val="single" w:color="auto" w:sz="4" w:space="0"/>
              <w:right w:val="single" w:color="auto" w:sz="4" w:space="0"/>
            </w:tcBorders>
            <w:shd w:val="clear" w:color="auto" w:fill="auto"/>
            <w:noWrap/>
            <w:vAlign w:val="center"/>
          </w:tcPr>
          <w:p w14:paraId="7F41309A">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36</w:t>
            </w:r>
          </w:p>
        </w:tc>
        <w:tc>
          <w:tcPr>
            <w:tcW w:w="865" w:type="dxa"/>
            <w:tcBorders>
              <w:top w:val="nil"/>
              <w:left w:val="nil"/>
              <w:bottom w:val="single" w:color="auto" w:sz="4" w:space="0"/>
              <w:right w:val="single" w:color="auto" w:sz="4" w:space="0"/>
            </w:tcBorders>
            <w:shd w:val="clear" w:color="auto" w:fill="auto"/>
            <w:noWrap/>
            <w:vAlign w:val="center"/>
          </w:tcPr>
          <w:p w14:paraId="6C8BB341">
            <w:pPr>
              <w:keepNext w:val="0"/>
              <w:keepLines w:val="0"/>
              <w:pageBreakBefore w:val="0"/>
              <w:widowControl w:val="0"/>
              <w:kinsoku/>
              <w:wordWrap/>
              <w:overflowPunct/>
              <w:topLinePunct w:val="0"/>
              <w:autoSpaceDE/>
              <w:autoSpaceDN/>
              <w:bidi w:val="0"/>
              <w:adjustRightInd/>
              <w:snapToGrid/>
              <w:spacing w:line="460" w:lineRule="exact"/>
              <w:jc w:val="right"/>
            </w:pPr>
          </w:p>
        </w:tc>
        <w:tc>
          <w:tcPr>
            <w:tcW w:w="1369" w:type="dxa"/>
            <w:tcBorders>
              <w:top w:val="nil"/>
              <w:left w:val="nil"/>
              <w:bottom w:val="single" w:color="auto" w:sz="4" w:space="0"/>
              <w:right w:val="single" w:color="auto" w:sz="4" w:space="0"/>
            </w:tcBorders>
            <w:shd w:val="clear" w:color="auto" w:fill="auto"/>
            <w:noWrap/>
            <w:vAlign w:val="center"/>
          </w:tcPr>
          <w:p w14:paraId="3F0BBE9E">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c>
          <w:tcPr>
            <w:tcW w:w="1406" w:type="dxa"/>
            <w:tcBorders>
              <w:top w:val="nil"/>
              <w:left w:val="nil"/>
              <w:bottom w:val="single" w:color="auto" w:sz="4" w:space="0"/>
              <w:right w:val="single" w:color="auto" w:sz="4" w:space="0"/>
            </w:tcBorders>
            <w:shd w:val="clear" w:color="auto" w:fill="auto"/>
            <w:noWrap/>
            <w:vAlign w:val="center"/>
          </w:tcPr>
          <w:p w14:paraId="1FDC3192">
            <w:pPr>
              <w:keepNext w:val="0"/>
              <w:keepLines w:val="0"/>
              <w:pageBreakBefore w:val="0"/>
              <w:widowControl w:val="0"/>
              <w:kinsoku/>
              <w:wordWrap/>
              <w:overflowPunct/>
              <w:topLinePunct w:val="0"/>
              <w:autoSpaceDE/>
              <w:autoSpaceDN/>
              <w:bidi w:val="0"/>
              <w:adjustRightInd/>
              <w:snapToGrid/>
              <w:spacing w:line="460" w:lineRule="exact"/>
              <w:jc w:val="right"/>
            </w:pPr>
          </w:p>
        </w:tc>
        <w:tc>
          <w:tcPr>
            <w:tcW w:w="1607" w:type="dxa"/>
            <w:tcBorders>
              <w:top w:val="nil"/>
              <w:left w:val="nil"/>
              <w:bottom w:val="single" w:color="auto" w:sz="4" w:space="0"/>
              <w:right w:val="single" w:color="auto" w:sz="4" w:space="0"/>
            </w:tcBorders>
            <w:shd w:val="clear" w:color="auto" w:fill="auto"/>
            <w:noWrap/>
            <w:vAlign w:val="center"/>
          </w:tcPr>
          <w:p w14:paraId="792B1641">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r>
      <w:tr w14:paraId="53535570">
        <w:tblPrEx>
          <w:tblCellMar>
            <w:top w:w="0" w:type="dxa"/>
            <w:left w:w="108" w:type="dxa"/>
            <w:bottom w:w="0" w:type="dxa"/>
            <w:right w:w="108" w:type="dxa"/>
          </w:tblCellMar>
        </w:tblPrEx>
        <w:trPr>
          <w:trHeight w:val="533" w:hRule="atLeast"/>
          <w:jc w:val="center"/>
        </w:trPr>
        <w:tc>
          <w:tcPr>
            <w:tcW w:w="3238" w:type="dxa"/>
            <w:tcBorders>
              <w:top w:val="nil"/>
              <w:left w:val="single" w:color="auto" w:sz="4" w:space="0"/>
              <w:bottom w:val="single" w:color="auto" w:sz="4" w:space="0"/>
              <w:right w:val="single" w:color="auto" w:sz="4" w:space="0"/>
            </w:tcBorders>
            <w:shd w:val="clear" w:color="auto" w:fill="auto"/>
            <w:noWrap/>
            <w:vAlign w:val="center"/>
          </w:tcPr>
          <w:p w14:paraId="2BFBD742">
            <w:pPr>
              <w:keepNext w:val="0"/>
              <w:keepLines w:val="0"/>
              <w:pageBreakBefore w:val="0"/>
              <w:widowControl w:val="0"/>
              <w:kinsoku/>
              <w:wordWrap/>
              <w:overflowPunct/>
              <w:topLinePunct w:val="0"/>
              <w:autoSpaceDE/>
              <w:autoSpaceDN/>
              <w:bidi w:val="0"/>
              <w:adjustRightInd/>
              <w:snapToGrid/>
              <w:spacing w:line="460" w:lineRule="exact"/>
              <w:jc w:val="left"/>
              <w:rPr>
                <w:rFonts w:ascii="Times New Roman" w:hAnsi="Times New Roman" w:eastAsia="仿宋_GB2312" w:cs="Times New Roman"/>
                <w:kern w:val="0"/>
                <w:sz w:val="22"/>
              </w:rPr>
            </w:pPr>
          </w:p>
        </w:tc>
        <w:tc>
          <w:tcPr>
            <w:tcW w:w="637" w:type="dxa"/>
            <w:tcBorders>
              <w:top w:val="nil"/>
              <w:left w:val="nil"/>
              <w:bottom w:val="single" w:color="auto" w:sz="4" w:space="0"/>
              <w:right w:val="single" w:color="auto" w:sz="4" w:space="0"/>
            </w:tcBorders>
            <w:shd w:val="clear" w:color="auto" w:fill="auto"/>
            <w:noWrap/>
            <w:vAlign w:val="center"/>
          </w:tcPr>
          <w:p w14:paraId="1C8B63E7">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w:t>
            </w:r>
          </w:p>
        </w:tc>
        <w:tc>
          <w:tcPr>
            <w:tcW w:w="957" w:type="dxa"/>
            <w:tcBorders>
              <w:top w:val="nil"/>
              <w:left w:val="nil"/>
              <w:bottom w:val="single" w:color="auto" w:sz="4" w:space="0"/>
              <w:right w:val="single" w:color="auto" w:sz="4" w:space="0"/>
            </w:tcBorders>
            <w:shd w:val="clear" w:color="auto" w:fill="auto"/>
            <w:noWrap/>
            <w:vAlign w:val="center"/>
          </w:tcPr>
          <w:p w14:paraId="768A5851">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c>
          <w:tcPr>
            <w:tcW w:w="3540" w:type="dxa"/>
            <w:tcBorders>
              <w:top w:val="nil"/>
              <w:left w:val="nil"/>
              <w:bottom w:val="single" w:color="auto" w:sz="4" w:space="0"/>
              <w:right w:val="single" w:color="auto" w:sz="4" w:space="0"/>
            </w:tcBorders>
            <w:shd w:val="clear" w:color="auto" w:fill="auto"/>
            <w:noWrap/>
            <w:vAlign w:val="center"/>
          </w:tcPr>
          <w:p w14:paraId="25ECC288">
            <w:pPr>
              <w:keepNext w:val="0"/>
              <w:keepLines w:val="0"/>
              <w:pageBreakBefore w:val="0"/>
              <w:widowControl w:val="0"/>
              <w:suppressLineNumbers w:val="0"/>
              <w:kinsoku/>
              <w:wordWrap/>
              <w:overflowPunct/>
              <w:topLinePunct w:val="0"/>
              <w:autoSpaceDE/>
              <w:autoSpaceDN/>
              <w:bidi w:val="0"/>
              <w:adjustRightInd/>
              <w:snapToGrid/>
              <w:spacing w:line="460" w:lineRule="exact"/>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601" w:type="dxa"/>
            <w:tcBorders>
              <w:top w:val="nil"/>
              <w:left w:val="nil"/>
              <w:bottom w:val="single" w:color="auto" w:sz="4" w:space="0"/>
              <w:right w:val="single" w:color="auto" w:sz="4" w:space="0"/>
            </w:tcBorders>
            <w:shd w:val="clear" w:color="auto" w:fill="auto"/>
            <w:noWrap/>
            <w:vAlign w:val="center"/>
          </w:tcPr>
          <w:p w14:paraId="70F874FE">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37</w:t>
            </w:r>
          </w:p>
        </w:tc>
        <w:tc>
          <w:tcPr>
            <w:tcW w:w="865" w:type="dxa"/>
            <w:tcBorders>
              <w:top w:val="nil"/>
              <w:left w:val="nil"/>
              <w:bottom w:val="single" w:color="auto" w:sz="4" w:space="0"/>
              <w:right w:val="single" w:color="auto" w:sz="4" w:space="0"/>
            </w:tcBorders>
            <w:shd w:val="clear" w:color="auto" w:fill="auto"/>
            <w:noWrap/>
            <w:vAlign w:val="center"/>
          </w:tcPr>
          <w:p w14:paraId="6ED5EB6A">
            <w:pPr>
              <w:keepNext w:val="0"/>
              <w:keepLines w:val="0"/>
              <w:pageBreakBefore w:val="0"/>
              <w:widowControl w:val="0"/>
              <w:kinsoku/>
              <w:wordWrap/>
              <w:overflowPunct/>
              <w:topLinePunct w:val="0"/>
              <w:autoSpaceDE/>
              <w:autoSpaceDN/>
              <w:bidi w:val="0"/>
              <w:adjustRightInd/>
              <w:snapToGrid/>
              <w:spacing w:line="460" w:lineRule="exact"/>
              <w:jc w:val="right"/>
            </w:pPr>
          </w:p>
        </w:tc>
        <w:tc>
          <w:tcPr>
            <w:tcW w:w="1369" w:type="dxa"/>
            <w:tcBorders>
              <w:top w:val="nil"/>
              <w:left w:val="nil"/>
              <w:bottom w:val="single" w:color="auto" w:sz="4" w:space="0"/>
              <w:right w:val="single" w:color="auto" w:sz="4" w:space="0"/>
            </w:tcBorders>
            <w:shd w:val="clear" w:color="auto" w:fill="auto"/>
            <w:noWrap/>
            <w:vAlign w:val="center"/>
          </w:tcPr>
          <w:p w14:paraId="1A0B66F0">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c>
          <w:tcPr>
            <w:tcW w:w="1406" w:type="dxa"/>
            <w:tcBorders>
              <w:top w:val="nil"/>
              <w:left w:val="nil"/>
              <w:bottom w:val="single" w:color="auto" w:sz="4" w:space="0"/>
              <w:right w:val="single" w:color="auto" w:sz="4" w:space="0"/>
            </w:tcBorders>
            <w:shd w:val="clear" w:color="auto" w:fill="auto"/>
            <w:noWrap/>
            <w:vAlign w:val="center"/>
          </w:tcPr>
          <w:p w14:paraId="0CDB8DC5">
            <w:pPr>
              <w:keepNext w:val="0"/>
              <w:keepLines w:val="0"/>
              <w:pageBreakBefore w:val="0"/>
              <w:widowControl w:val="0"/>
              <w:kinsoku/>
              <w:wordWrap/>
              <w:overflowPunct/>
              <w:topLinePunct w:val="0"/>
              <w:autoSpaceDE/>
              <w:autoSpaceDN/>
              <w:bidi w:val="0"/>
              <w:adjustRightInd/>
              <w:snapToGrid/>
              <w:spacing w:line="460" w:lineRule="exact"/>
              <w:jc w:val="right"/>
            </w:pPr>
          </w:p>
        </w:tc>
        <w:tc>
          <w:tcPr>
            <w:tcW w:w="1607" w:type="dxa"/>
            <w:tcBorders>
              <w:top w:val="nil"/>
              <w:left w:val="nil"/>
              <w:bottom w:val="single" w:color="auto" w:sz="4" w:space="0"/>
              <w:right w:val="single" w:color="auto" w:sz="4" w:space="0"/>
            </w:tcBorders>
            <w:shd w:val="clear" w:color="auto" w:fill="auto"/>
            <w:noWrap/>
            <w:vAlign w:val="center"/>
          </w:tcPr>
          <w:p w14:paraId="10C57805">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r>
      <w:tr w14:paraId="37092B85">
        <w:tblPrEx>
          <w:tblCellMar>
            <w:top w:w="0" w:type="dxa"/>
            <w:left w:w="108" w:type="dxa"/>
            <w:bottom w:w="0" w:type="dxa"/>
            <w:right w:w="108" w:type="dxa"/>
          </w:tblCellMar>
        </w:tblPrEx>
        <w:trPr>
          <w:trHeight w:val="533" w:hRule="atLeast"/>
          <w:jc w:val="center"/>
        </w:trPr>
        <w:tc>
          <w:tcPr>
            <w:tcW w:w="3238" w:type="dxa"/>
            <w:tcBorders>
              <w:top w:val="nil"/>
              <w:left w:val="single" w:color="auto" w:sz="4" w:space="0"/>
              <w:bottom w:val="single" w:color="auto" w:sz="4" w:space="0"/>
              <w:right w:val="single" w:color="auto" w:sz="4" w:space="0"/>
            </w:tcBorders>
            <w:shd w:val="clear" w:color="auto" w:fill="auto"/>
            <w:noWrap/>
            <w:vAlign w:val="center"/>
          </w:tcPr>
          <w:p w14:paraId="79AC7448">
            <w:pPr>
              <w:keepNext w:val="0"/>
              <w:keepLines w:val="0"/>
              <w:pageBreakBefore w:val="0"/>
              <w:widowControl w:val="0"/>
              <w:kinsoku/>
              <w:wordWrap/>
              <w:overflowPunct/>
              <w:topLinePunct w:val="0"/>
              <w:autoSpaceDE/>
              <w:autoSpaceDN/>
              <w:bidi w:val="0"/>
              <w:adjustRightInd/>
              <w:snapToGrid/>
              <w:spacing w:line="460" w:lineRule="exact"/>
              <w:jc w:val="left"/>
              <w:rPr>
                <w:rFonts w:ascii="Times New Roman" w:hAnsi="Times New Roman" w:eastAsia="仿宋_GB2312" w:cs="Times New Roman"/>
                <w:kern w:val="0"/>
                <w:sz w:val="22"/>
              </w:rPr>
            </w:pPr>
          </w:p>
        </w:tc>
        <w:tc>
          <w:tcPr>
            <w:tcW w:w="637" w:type="dxa"/>
            <w:tcBorders>
              <w:top w:val="nil"/>
              <w:left w:val="nil"/>
              <w:bottom w:val="single" w:color="auto" w:sz="4" w:space="0"/>
              <w:right w:val="single" w:color="auto" w:sz="4" w:space="0"/>
            </w:tcBorders>
            <w:shd w:val="clear" w:color="auto" w:fill="auto"/>
            <w:noWrap/>
            <w:vAlign w:val="center"/>
          </w:tcPr>
          <w:p w14:paraId="3D4AB8E5">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w:t>
            </w:r>
          </w:p>
        </w:tc>
        <w:tc>
          <w:tcPr>
            <w:tcW w:w="957" w:type="dxa"/>
            <w:tcBorders>
              <w:top w:val="nil"/>
              <w:left w:val="nil"/>
              <w:bottom w:val="single" w:color="auto" w:sz="4" w:space="0"/>
              <w:right w:val="single" w:color="auto" w:sz="4" w:space="0"/>
            </w:tcBorders>
            <w:shd w:val="clear" w:color="auto" w:fill="auto"/>
            <w:noWrap/>
            <w:vAlign w:val="center"/>
          </w:tcPr>
          <w:p w14:paraId="01BF4AE8">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c>
          <w:tcPr>
            <w:tcW w:w="3540" w:type="dxa"/>
            <w:tcBorders>
              <w:top w:val="nil"/>
              <w:left w:val="nil"/>
              <w:bottom w:val="single" w:color="auto" w:sz="4" w:space="0"/>
              <w:right w:val="single" w:color="auto" w:sz="4" w:space="0"/>
            </w:tcBorders>
            <w:shd w:val="clear" w:color="auto" w:fill="auto"/>
            <w:noWrap/>
            <w:vAlign w:val="center"/>
          </w:tcPr>
          <w:p w14:paraId="15B5B6FB">
            <w:pPr>
              <w:keepNext w:val="0"/>
              <w:keepLines w:val="0"/>
              <w:pageBreakBefore w:val="0"/>
              <w:widowControl w:val="0"/>
              <w:suppressLineNumbers w:val="0"/>
              <w:kinsoku/>
              <w:wordWrap/>
              <w:overflowPunct/>
              <w:topLinePunct w:val="0"/>
              <w:autoSpaceDE/>
              <w:autoSpaceDN/>
              <w:bidi w:val="0"/>
              <w:adjustRightInd/>
              <w:snapToGrid/>
              <w:spacing w:line="460" w:lineRule="exact"/>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601" w:type="dxa"/>
            <w:tcBorders>
              <w:top w:val="nil"/>
              <w:left w:val="nil"/>
              <w:bottom w:val="single" w:color="auto" w:sz="4" w:space="0"/>
              <w:right w:val="single" w:color="auto" w:sz="4" w:space="0"/>
            </w:tcBorders>
            <w:shd w:val="clear" w:color="auto" w:fill="auto"/>
            <w:noWrap/>
            <w:vAlign w:val="center"/>
          </w:tcPr>
          <w:p w14:paraId="7436EF6E">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38</w:t>
            </w:r>
          </w:p>
        </w:tc>
        <w:tc>
          <w:tcPr>
            <w:tcW w:w="865" w:type="dxa"/>
            <w:tcBorders>
              <w:top w:val="nil"/>
              <w:left w:val="nil"/>
              <w:bottom w:val="single" w:color="auto" w:sz="4" w:space="0"/>
              <w:right w:val="single" w:color="auto" w:sz="4" w:space="0"/>
            </w:tcBorders>
            <w:shd w:val="clear" w:color="auto" w:fill="auto"/>
            <w:noWrap/>
            <w:vAlign w:val="center"/>
          </w:tcPr>
          <w:p w14:paraId="3D265787">
            <w:pPr>
              <w:keepNext w:val="0"/>
              <w:keepLines w:val="0"/>
              <w:pageBreakBefore w:val="0"/>
              <w:widowControl w:val="0"/>
              <w:kinsoku/>
              <w:wordWrap/>
              <w:overflowPunct/>
              <w:topLinePunct w:val="0"/>
              <w:autoSpaceDE/>
              <w:autoSpaceDN/>
              <w:bidi w:val="0"/>
              <w:adjustRightInd/>
              <w:snapToGrid/>
              <w:spacing w:line="460" w:lineRule="exact"/>
              <w:jc w:val="right"/>
            </w:pPr>
          </w:p>
        </w:tc>
        <w:tc>
          <w:tcPr>
            <w:tcW w:w="1369" w:type="dxa"/>
            <w:tcBorders>
              <w:top w:val="nil"/>
              <w:left w:val="nil"/>
              <w:bottom w:val="single" w:color="auto" w:sz="4" w:space="0"/>
              <w:right w:val="single" w:color="auto" w:sz="4" w:space="0"/>
            </w:tcBorders>
            <w:shd w:val="clear" w:color="auto" w:fill="auto"/>
            <w:noWrap/>
            <w:vAlign w:val="center"/>
          </w:tcPr>
          <w:p w14:paraId="1B921CC2">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c>
          <w:tcPr>
            <w:tcW w:w="1406" w:type="dxa"/>
            <w:tcBorders>
              <w:top w:val="nil"/>
              <w:left w:val="nil"/>
              <w:bottom w:val="single" w:color="auto" w:sz="4" w:space="0"/>
              <w:right w:val="single" w:color="auto" w:sz="4" w:space="0"/>
            </w:tcBorders>
            <w:shd w:val="clear" w:color="auto" w:fill="auto"/>
            <w:noWrap/>
            <w:vAlign w:val="center"/>
          </w:tcPr>
          <w:p w14:paraId="42D00A63">
            <w:pPr>
              <w:keepNext w:val="0"/>
              <w:keepLines w:val="0"/>
              <w:pageBreakBefore w:val="0"/>
              <w:widowControl w:val="0"/>
              <w:kinsoku/>
              <w:wordWrap/>
              <w:overflowPunct/>
              <w:topLinePunct w:val="0"/>
              <w:autoSpaceDE/>
              <w:autoSpaceDN/>
              <w:bidi w:val="0"/>
              <w:adjustRightInd/>
              <w:snapToGrid/>
              <w:spacing w:line="460" w:lineRule="exact"/>
              <w:jc w:val="right"/>
            </w:pPr>
          </w:p>
        </w:tc>
        <w:tc>
          <w:tcPr>
            <w:tcW w:w="1607" w:type="dxa"/>
            <w:tcBorders>
              <w:top w:val="nil"/>
              <w:left w:val="nil"/>
              <w:bottom w:val="single" w:color="auto" w:sz="4" w:space="0"/>
              <w:right w:val="single" w:color="auto" w:sz="4" w:space="0"/>
            </w:tcBorders>
            <w:shd w:val="clear" w:color="auto" w:fill="auto"/>
            <w:noWrap/>
            <w:vAlign w:val="center"/>
          </w:tcPr>
          <w:p w14:paraId="1BB10A90">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r>
      <w:tr w14:paraId="6ECA8BE8">
        <w:tblPrEx>
          <w:tblCellMar>
            <w:top w:w="0" w:type="dxa"/>
            <w:left w:w="108" w:type="dxa"/>
            <w:bottom w:w="0" w:type="dxa"/>
            <w:right w:w="108" w:type="dxa"/>
          </w:tblCellMar>
        </w:tblPrEx>
        <w:trPr>
          <w:trHeight w:val="533" w:hRule="atLeast"/>
          <w:jc w:val="center"/>
        </w:trPr>
        <w:tc>
          <w:tcPr>
            <w:tcW w:w="3238" w:type="dxa"/>
            <w:tcBorders>
              <w:top w:val="nil"/>
              <w:left w:val="single" w:color="auto" w:sz="4" w:space="0"/>
              <w:bottom w:val="single" w:color="auto" w:sz="4" w:space="0"/>
              <w:right w:val="single" w:color="auto" w:sz="4" w:space="0"/>
            </w:tcBorders>
            <w:shd w:val="clear" w:color="auto" w:fill="auto"/>
            <w:noWrap/>
            <w:vAlign w:val="center"/>
          </w:tcPr>
          <w:p w14:paraId="0463CA79">
            <w:pPr>
              <w:keepNext w:val="0"/>
              <w:keepLines w:val="0"/>
              <w:pageBreakBefore w:val="0"/>
              <w:widowControl w:val="0"/>
              <w:kinsoku/>
              <w:wordWrap/>
              <w:overflowPunct/>
              <w:topLinePunct w:val="0"/>
              <w:autoSpaceDE/>
              <w:autoSpaceDN/>
              <w:bidi w:val="0"/>
              <w:adjustRightInd/>
              <w:snapToGrid/>
              <w:spacing w:line="460" w:lineRule="exact"/>
              <w:jc w:val="left"/>
              <w:rPr>
                <w:rFonts w:ascii="Times New Roman" w:hAnsi="Times New Roman" w:eastAsia="仿宋_GB2312" w:cs="Times New Roman"/>
                <w:kern w:val="0"/>
                <w:sz w:val="22"/>
              </w:rPr>
            </w:pPr>
          </w:p>
        </w:tc>
        <w:tc>
          <w:tcPr>
            <w:tcW w:w="637" w:type="dxa"/>
            <w:tcBorders>
              <w:top w:val="nil"/>
              <w:left w:val="nil"/>
              <w:bottom w:val="single" w:color="auto" w:sz="4" w:space="0"/>
              <w:right w:val="single" w:color="auto" w:sz="4" w:space="0"/>
            </w:tcBorders>
            <w:shd w:val="clear" w:color="auto" w:fill="auto"/>
            <w:noWrap/>
            <w:vAlign w:val="center"/>
          </w:tcPr>
          <w:p w14:paraId="6CD42226">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7</w:t>
            </w:r>
          </w:p>
        </w:tc>
        <w:tc>
          <w:tcPr>
            <w:tcW w:w="957" w:type="dxa"/>
            <w:tcBorders>
              <w:top w:val="nil"/>
              <w:left w:val="nil"/>
              <w:bottom w:val="single" w:color="auto" w:sz="4" w:space="0"/>
              <w:right w:val="single" w:color="auto" w:sz="4" w:space="0"/>
            </w:tcBorders>
            <w:shd w:val="clear" w:color="auto" w:fill="auto"/>
            <w:noWrap/>
            <w:vAlign w:val="center"/>
          </w:tcPr>
          <w:p w14:paraId="542B1B49">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c>
          <w:tcPr>
            <w:tcW w:w="3540" w:type="dxa"/>
            <w:tcBorders>
              <w:top w:val="nil"/>
              <w:left w:val="nil"/>
              <w:bottom w:val="single" w:color="auto" w:sz="4" w:space="0"/>
              <w:right w:val="single" w:color="auto" w:sz="4" w:space="0"/>
            </w:tcBorders>
            <w:shd w:val="clear" w:color="auto" w:fill="auto"/>
            <w:noWrap/>
            <w:vAlign w:val="center"/>
          </w:tcPr>
          <w:p w14:paraId="1358639E">
            <w:pPr>
              <w:keepNext w:val="0"/>
              <w:keepLines w:val="0"/>
              <w:pageBreakBefore w:val="0"/>
              <w:widowControl w:val="0"/>
              <w:suppressLineNumbers w:val="0"/>
              <w:kinsoku/>
              <w:wordWrap/>
              <w:overflowPunct/>
              <w:topLinePunct w:val="0"/>
              <w:autoSpaceDE/>
              <w:autoSpaceDN/>
              <w:bidi w:val="0"/>
              <w:adjustRightInd/>
              <w:snapToGrid/>
              <w:spacing w:line="460" w:lineRule="exact"/>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601" w:type="dxa"/>
            <w:tcBorders>
              <w:top w:val="nil"/>
              <w:left w:val="nil"/>
              <w:bottom w:val="single" w:color="auto" w:sz="4" w:space="0"/>
              <w:right w:val="single" w:color="auto" w:sz="4" w:space="0"/>
            </w:tcBorders>
            <w:shd w:val="clear" w:color="auto" w:fill="auto"/>
            <w:noWrap/>
            <w:vAlign w:val="center"/>
          </w:tcPr>
          <w:p w14:paraId="428FD996">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39</w:t>
            </w:r>
          </w:p>
        </w:tc>
        <w:tc>
          <w:tcPr>
            <w:tcW w:w="865" w:type="dxa"/>
            <w:tcBorders>
              <w:top w:val="nil"/>
              <w:left w:val="nil"/>
              <w:bottom w:val="single" w:color="auto" w:sz="4" w:space="0"/>
              <w:right w:val="single" w:color="auto" w:sz="4" w:space="0"/>
            </w:tcBorders>
            <w:shd w:val="clear" w:color="auto" w:fill="auto"/>
            <w:noWrap/>
            <w:vAlign w:val="center"/>
          </w:tcPr>
          <w:p w14:paraId="3E453667">
            <w:pPr>
              <w:keepNext w:val="0"/>
              <w:keepLines w:val="0"/>
              <w:pageBreakBefore w:val="0"/>
              <w:widowControl w:val="0"/>
              <w:kinsoku/>
              <w:wordWrap/>
              <w:overflowPunct/>
              <w:topLinePunct w:val="0"/>
              <w:autoSpaceDE/>
              <w:autoSpaceDN/>
              <w:bidi w:val="0"/>
              <w:adjustRightInd/>
              <w:snapToGrid/>
              <w:spacing w:line="460" w:lineRule="exact"/>
              <w:jc w:val="right"/>
            </w:pPr>
          </w:p>
        </w:tc>
        <w:tc>
          <w:tcPr>
            <w:tcW w:w="1369" w:type="dxa"/>
            <w:tcBorders>
              <w:top w:val="nil"/>
              <w:left w:val="nil"/>
              <w:bottom w:val="single" w:color="auto" w:sz="4" w:space="0"/>
              <w:right w:val="single" w:color="auto" w:sz="4" w:space="0"/>
            </w:tcBorders>
            <w:shd w:val="clear" w:color="auto" w:fill="auto"/>
            <w:noWrap/>
            <w:vAlign w:val="center"/>
          </w:tcPr>
          <w:p w14:paraId="7D24649B">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c>
          <w:tcPr>
            <w:tcW w:w="1406" w:type="dxa"/>
            <w:tcBorders>
              <w:top w:val="nil"/>
              <w:left w:val="nil"/>
              <w:bottom w:val="single" w:color="auto" w:sz="4" w:space="0"/>
              <w:right w:val="single" w:color="auto" w:sz="4" w:space="0"/>
            </w:tcBorders>
            <w:shd w:val="clear" w:color="auto" w:fill="auto"/>
            <w:noWrap/>
            <w:vAlign w:val="center"/>
          </w:tcPr>
          <w:p w14:paraId="10D08D23">
            <w:pPr>
              <w:keepNext w:val="0"/>
              <w:keepLines w:val="0"/>
              <w:pageBreakBefore w:val="0"/>
              <w:widowControl w:val="0"/>
              <w:kinsoku/>
              <w:wordWrap/>
              <w:overflowPunct/>
              <w:topLinePunct w:val="0"/>
              <w:autoSpaceDE/>
              <w:autoSpaceDN/>
              <w:bidi w:val="0"/>
              <w:adjustRightInd/>
              <w:snapToGrid/>
              <w:spacing w:line="460" w:lineRule="exact"/>
              <w:jc w:val="right"/>
            </w:pPr>
          </w:p>
        </w:tc>
        <w:tc>
          <w:tcPr>
            <w:tcW w:w="1607" w:type="dxa"/>
            <w:tcBorders>
              <w:top w:val="nil"/>
              <w:left w:val="nil"/>
              <w:bottom w:val="single" w:color="auto" w:sz="4" w:space="0"/>
              <w:right w:val="single" w:color="auto" w:sz="4" w:space="0"/>
            </w:tcBorders>
            <w:shd w:val="clear" w:color="auto" w:fill="auto"/>
            <w:noWrap/>
            <w:vAlign w:val="center"/>
          </w:tcPr>
          <w:p w14:paraId="128C9611">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r>
      <w:tr w14:paraId="54D459E9">
        <w:tblPrEx>
          <w:tblCellMar>
            <w:top w:w="0" w:type="dxa"/>
            <w:left w:w="108" w:type="dxa"/>
            <w:bottom w:w="0" w:type="dxa"/>
            <w:right w:w="108" w:type="dxa"/>
          </w:tblCellMar>
        </w:tblPrEx>
        <w:trPr>
          <w:trHeight w:val="533" w:hRule="atLeast"/>
          <w:jc w:val="center"/>
        </w:trPr>
        <w:tc>
          <w:tcPr>
            <w:tcW w:w="3238" w:type="dxa"/>
            <w:tcBorders>
              <w:top w:val="nil"/>
              <w:left w:val="single" w:color="auto" w:sz="4" w:space="0"/>
              <w:bottom w:val="single" w:color="auto" w:sz="4" w:space="0"/>
              <w:right w:val="single" w:color="auto" w:sz="4" w:space="0"/>
            </w:tcBorders>
            <w:shd w:val="clear" w:color="auto" w:fill="auto"/>
            <w:noWrap/>
            <w:vAlign w:val="center"/>
          </w:tcPr>
          <w:p w14:paraId="5EF3160E">
            <w:pPr>
              <w:keepNext w:val="0"/>
              <w:keepLines w:val="0"/>
              <w:pageBreakBefore w:val="0"/>
              <w:widowControl w:val="0"/>
              <w:kinsoku/>
              <w:wordWrap/>
              <w:overflowPunct/>
              <w:topLinePunct w:val="0"/>
              <w:autoSpaceDE/>
              <w:autoSpaceDN/>
              <w:bidi w:val="0"/>
              <w:adjustRightInd/>
              <w:snapToGrid/>
              <w:spacing w:line="460" w:lineRule="exact"/>
              <w:jc w:val="left"/>
              <w:rPr>
                <w:rFonts w:ascii="Times New Roman" w:hAnsi="Times New Roman" w:eastAsia="仿宋_GB2312" w:cs="Times New Roman"/>
                <w:kern w:val="0"/>
                <w:sz w:val="22"/>
              </w:rPr>
            </w:pPr>
          </w:p>
        </w:tc>
        <w:tc>
          <w:tcPr>
            <w:tcW w:w="637" w:type="dxa"/>
            <w:tcBorders>
              <w:top w:val="nil"/>
              <w:left w:val="nil"/>
              <w:bottom w:val="single" w:color="auto" w:sz="4" w:space="0"/>
              <w:right w:val="single" w:color="auto" w:sz="4" w:space="0"/>
            </w:tcBorders>
            <w:shd w:val="clear" w:color="auto" w:fill="auto"/>
            <w:noWrap/>
            <w:vAlign w:val="center"/>
          </w:tcPr>
          <w:p w14:paraId="1914ABB3">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w:t>
            </w:r>
          </w:p>
        </w:tc>
        <w:tc>
          <w:tcPr>
            <w:tcW w:w="957" w:type="dxa"/>
            <w:tcBorders>
              <w:top w:val="nil"/>
              <w:left w:val="nil"/>
              <w:bottom w:val="single" w:color="auto" w:sz="4" w:space="0"/>
              <w:right w:val="single" w:color="auto" w:sz="4" w:space="0"/>
            </w:tcBorders>
            <w:shd w:val="clear" w:color="auto" w:fill="auto"/>
            <w:noWrap/>
            <w:vAlign w:val="center"/>
          </w:tcPr>
          <w:p w14:paraId="0C283775">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c>
          <w:tcPr>
            <w:tcW w:w="3540" w:type="dxa"/>
            <w:tcBorders>
              <w:top w:val="nil"/>
              <w:left w:val="nil"/>
              <w:bottom w:val="single" w:color="auto" w:sz="4" w:space="0"/>
              <w:right w:val="single" w:color="auto" w:sz="4" w:space="0"/>
            </w:tcBorders>
            <w:shd w:val="clear" w:color="auto" w:fill="auto"/>
            <w:noWrap/>
            <w:vAlign w:val="center"/>
          </w:tcPr>
          <w:p w14:paraId="1AD3BA2C">
            <w:pPr>
              <w:keepNext w:val="0"/>
              <w:keepLines w:val="0"/>
              <w:pageBreakBefore w:val="0"/>
              <w:widowControl w:val="0"/>
              <w:suppressLineNumbers w:val="0"/>
              <w:kinsoku/>
              <w:wordWrap/>
              <w:overflowPunct/>
              <w:topLinePunct w:val="0"/>
              <w:autoSpaceDE/>
              <w:autoSpaceDN/>
              <w:bidi w:val="0"/>
              <w:adjustRightInd/>
              <w:snapToGrid/>
              <w:spacing w:line="460" w:lineRule="exact"/>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601" w:type="dxa"/>
            <w:tcBorders>
              <w:top w:val="nil"/>
              <w:left w:val="nil"/>
              <w:bottom w:val="single" w:color="auto" w:sz="4" w:space="0"/>
              <w:right w:val="single" w:color="auto" w:sz="4" w:space="0"/>
            </w:tcBorders>
            <w:shd w:val="clear" w:color="auto" w:fill="auto"/>
            <w:noWrap/>
            <w:vAlign w:val="center"/>
          </w:tcPr>
          <w:p w14:paraId="11985CD8">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40</w:t>
            </w:r>
          </w:p>
        </w:tc>
        <w:tc>
          <w:tcPr>
            <w:tcW w:w="865" w:type="dxa"/>
            <w:tcBorders>
              <w:top w:val="nil"/>
              <w:left w:val="nil"/>
              <w:bottom w:val="single" w:color="auto" w:sz="4" w:space="0"/>
              <w:right w:val="single" w:color="auto" w:sz="4" w:space="0"/>
            </w:tcBorders>
            <w:shd w:val="clear" w:color="auto" w:fill="auto"/>
            <w:noWrap/>
            <w:vAlign w:val="center"/>
          </w:tcPr>
          <w:p w14:paraId="306784B1">
            <w:pPr>
              <w:keepNext w:val="0"/>
              <w:keepLines w:val="0"/>
              <w:pageBreakBefore w:val="0"/>
              <w:widowControl w:val="0"/>
              <w:suppressLineNumbers w:val="0"/>
              <w:kinsoku/>
              <w:wordWrap/>
              <w:overflowPunct/>
              <w:topLinePunct w:val="0"/>
              <w:autoSpaceDE/>
              <w:autoSpaceDN/>
              <w:bidi w:val="0"/>
              <w:adjustRightInd/>
              <w:snapToGrid/>
              <w:spacing w:line="460" w:lineRule="exact"/>
              <w:jc w:val="right"/>
              <w:textAlignment w:val="center"/>
            </w:pPr>
            <w:r>
              <w:rPr>
                <w:rFonts w:hint="eastAsia" w:ascii="宋体" w:hAnsi="宋体" w:eastAsia="宋体" w:cs="宋体"/>
                <w:i w:val="0"/>
                <w:iCs w:val="0"/>
                <w:color w:val="000000"/>
                <w:kern w:val="0"/>
                <w:sz w:val="22"/>
                <w:szCs w:val="22"/>
                <w:u w:val="none"/>
                <w:lang w:val="en-US" w:eastAsia="zh-CN" w:bidi="ar"/>
              </w:rPr>
              <w:t xml:space="preserve">78.18 </w:t>
            </w:r>
          </w:p>
        </w:tc>
        <w:tc>
          <w:tcPr>
            <w:tcW w:w="1369" w:type="dxa"/>
            <w:tcBorders>
              <w:top w:val="nil"/>
              <w:left w:val="nil"/>
              <w:bottom w:val="single" w:color="auto" w:sz="4" w:space="0"/>
              <w:right w:val="single" w:color="auto" w:sz="4" w:space="0"/>
            </w:tcBorders>
            <w:shd w:val="clear" w:color="auto" w:fill="auto"/>
            <w:noWrap/>
            <w:vAlign w:val="center"/>
          </w:tcPr>
          <w:p w14:paraId="2775D173">
            <w:pPr>
              <w:keepNext w:val="0"/>
              <w:keepLines w:val="0"/>
              <w:pageBreakBefore w:val="0"/>
              <w:widowControl w:val="0"/>
              <w:suppressLineNumbers w:val="0"/>
              <w:kinsoku/>
              <w:wordWrap/>
              <w:overflowPunct/>
              <w:topLinePunct w:val="0"/>
              <w:autoSpaceDE/>
              <w:autoSpaceDN/>
              <w:bidi w:val="0"/>
              <w:adjustRightInd/>
              <w:snapToGrid/>
              <w:spacing w:line="46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78.18 </w:t>
            </w:r>
          </w:p>
        </w:tc>
        <w:tc>
          <w:tcPr>
            <w:tcW w:w="1406" w:type="dxa"/>
            <w:tcBorders>
              <w:top w:val="nil"/>
              <w:left w:val="nil"/>
              <w:bottom w:val="single" w:color="auto" w:sz="4" w:space="0"/>
              <w:right w:val="single" w:color="auto" w:sz="4" w:space="0"/>
            </w:tcBorders>
            <w:shd w:val="clear" w:color="auto" w:fill="auto"/>
            <w:noWrap/>
            <w:vAlign w:val="center"/>
          </w:tcPr>
          <w:p w14:paraId="7BDAF9A1">
            <w:pPr>
              <w:keepNext w:val="0"/>
              <w:keepLines w:val="0"/>
              <w:pageBreakBefore w:val="0"/>
              <w:widowControl w:val="0"/>
              <w:kinsoku/>
              <w:wordWrap/>
              <w:overflowPunct/>
              <w:topLinePunct w:val="0"/>
              <w:autoSpaceDE/>
              <w:autoSpaceDN/>
              <w:bidi w:val="0"/>
              <w:adjustRightInd/>
              <w:snapToGrid/>
              <w:spacing w:line="460" w:lineRule="exact"/>
              <w:jc w:val="right"/>
            </w:pPr>
          </w:p>
        </w:tc>
        <w:tc>
          <w:tcPr>
            <w:tcW w:w="1607" w:type="dxa"/>
            <w:tcBorders>
              <w:top w:val="nil"/>
              <w:left w:val="nil"/>
              <w:bottom w:val="single" w:color="auto" w:sz="4" w:space="0"/>
              <w:right w:val="single" w:color="auto" w:sz="4" w:space="0"/>
            </w:tcBorders>
            <w:shd w:val="clear" w:color="auto" w:fill="auto"/>
            <w:noWrap/>
            <w:vAlign w:val="center"/>
          </w:tcPr>
          <w:p w14:paraId="135B8D45">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r>
      <w:tr w14:paraId="78263E60">
        <w:tblPrEx>
          <w:tblCellMar>
            <w:top w:w="0" w:type="dxa"/>
            <w:left w:w="108" w:type="dxa"/>
            <w:bottom w:w="0" w:type="dxa"/>
            <w:right w:w="108" w:type="dxa"/>
          </w:tblCellMar>
        </w:tblPrEx>
        <w:trPr>
          <w:trHeight w:val="533" w:hRule="atLeast"/>
          <w:jc w:val="center"/>
        </w:trPr>
        <w:tc>
          <w:tcPr>
            <w:tcW w:w="3238" w:type="dxa"/>
            <w:tcBorders>
              <w:top w:val="nil"/>
              <w:left w:val="single" w:color="auto" w:sz="4" w:space="0"/>
              <w:bottom w:val="single" w:color="auto" w:sz="4" w:space="0"/>
              <w:right w:val="single" w:color="auto" w:sz="4" w:space="0"/>
            </w:tcBorders>
            <w:shd w:val="clear" w:color="auto" w:fill="auto"/>
            <w:noWrap/>
            <w:vAlign w:val="center"/>
          </w:tcPr>
          <w:p w14:paraId="5A39FC3A">
            <w:pPr>
              <w:keepNext w:val="0"/>
              <w:keepLines w:val="0"/>
              <w:pageBreakBefore w:val="0"/>
              <w:widowControl w:val="0"/>
              <w:kinsoku/>
              <w:wordWrap/>
              <w:overflowPunct/>
              <w:topLinePunct w:val="0"/>
              <w:autoSpaceDE/>
              <w:autoSpaceDN/>
              <w:bidi w:val="0"/>
              <w:adjustRightInd/>
              <w:snapToGrid/>
              <w:spacing w:line="460" w:lineRule="exact"/>
              <w:jc w:val="left"/>
              <w:rPr>
                <w:rFonts w:ascii="Times New Roman" w:hAnsi="Times New Roman" w:eastAsia="仿宋_GB2312" w:cs="Times New Roman"/>
                <w:b/>
                <w:bCs/>
                <w:kern w:val="0"/>
                <w:sz w:val="22"/>
              </w:rPr>
            </w:pPr>
          </w:p>
        </w:tc>
        <w:tc>
          <w:tcPr>
            <w:tcW w:w="637" w:type="dxa"/>
            <w:tcBorders>
              <w:top w:val="nil"/>
              <w:left w:val="nil"/>
              <w:bottom w:val="single" w:color="auto" w:sz="4" w:space="0"/>
              <w:right w:val="single" w:color="auto" w:sz="4" w:space="0"/>
            </w:tcBorders>
            <w:shd w:val="clear" w:color="auto" w:fill="auto"/>
            <w:noWrap/>
            <w:vAlign w:val="center"/>
          </w:tcPr>
          <w:p w14:paraId="449DDBFE">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9</w:t>
            </w:r>
          </w:p>
        </w:tc>
        <w:tc>
          <w:tcPr>
            <w:tcW w:w="957" w:type="dxa"/>
            <w:tcBorders>
              <w:top w:val="nil"/>
              <w:left w:val="nil"/>
              <w:bottom w:val="single" w:color="auto" w:sz="4" w:space="0"/>
              <w:right w:val="single" w:color="auto" w:sz="4" w:space="0"/>
            </w:tcBorders>
            <w:shd w:val="clear" w:color="auto" w:fill="auto"/>
            <w:noWrap/>
            <w:vAlign w:val="center"/>
          </w:tcPr>
          <w:p w14:paraId="2A8CF74D">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c>
          <w:tcPr>
            <w:tcW w:w="3540" w:type="dxa"/>
            <w:tcBorders>
              <w:top w:val="nil"/>
              <w:left w:val="nil"/>
              <w:bottom w:val="single" w:color="auto" w:sz="4" w:space="0"/>
              <w:right w:val="single" w:color="auto" w:sz="4" w:space="0"/>
            </w:tcBorders>
            <w:shd w:val="clear" w:color="auto" w:fill="auto"/>
            <w:noWrap/>
            <w:vAlign w:val="center"/>
          </w:tcPr>
          <w:p w14:paraId="2865CBD2">
            <w:pPr>
              <w:keepNext w:val="0"/>
              <w:keepLines w:val="0"/>
              <w:pageBreakBefore w:val="0"/>
              <w:widowControl w:val="0"/>
              <w:suppressLineNumbers w:val="0"/>
              <w:kinsoku/>
              <w:wordWrap/>
              <w:overflowPunct/>
              <w:topLinePunct w:val="0"/>
              <w:autoSpaceDE/>
              <w:autoSpaceDN/>
              <w:bidi w:val="0"/>
              <w:adjustRightInd/>
              <w:snapToGrid/>
              <w:spacing w:line="460" w:lineRule="exact"/>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601" w:type="dxa"/>
            <w:tcBorders>
              <w:top w:val="nil"/>
              <w:left w:val="nil"/>
              <w:bottom w:val="single" w:color="auto" w:sz="4" w:space="0"/>
              <w:right w:val="single" w:color="auto" w:sz="4" w:space="0"/>
            </w:tcBorders>
            <w:shd w:val="clear" w:color="auto" w:fill="auto"/>
            <w:noWrap/>
            <w:vAlign w:val="center"/>
          </w:tcPr>
          <w:p w14:paraId="037BEB59">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41</w:t>
            </w:r>
          </w:p>
        </w:tc>
        <w:tc>
          <w:tcPr>
            <w:tcW w:w="865" w:type="dxa"/>
            <w:tcBorders>
              <w:top w:val="nil"/>
              <w:left w:val="nil"/>
              <w:bottom w:val="single" w:color="auto" w:sz="4" w:space="0"/>
              <w:right w:val="single" w:color="auto" w:sz="4" w:space="0"/>
            </w:tcBorders>
            <w:shd w:val="clear" w:color="auto" w:fill="auto"/>
            <w:noWrap/>
            <w:vAlign w:val="center"/>
          </w:tcPr>
          <w:p w14:paraId="7D045D56">
            <w:pPr>
              <w:keepNext w:val="0"/>
              <w:keepLines w:val="0"/>
              <w:pageBreakBefore w:val="0"/>
              <w:widowControl w:val="0"/>
              <w:suppressLineNumbers w:val="0"/>
              <w:kinsoku/>
              <w:wordWrap/>
              <w:overflowPunct/>
              <w:topLinePunct w:val="0"/>
              <w:autoSpaceDE/>
              <w:autoSpaceDN/>
              <w:bidi w:val="0"/>
              <w:adjustRightInd/>
              <w:snapToGrid/>
              <w:spacing w:line="460" w:lineRule="exact"/>
              <w:jc w:val="right"/>
              <w:textAlignment w:val="center"/>
            </w:pPr>
            <w:r>
              <w:rPr>
                <w:rFonts w:hint="eastAsia" w:ascii="宋体" w:hAnsi="宋体" w:eastAsia="宋体" w:cs="宋体"/>
                <w:i w:val="0"/>
                <w:iCs w:val="0"/>
                <w:color w:val="000000"/>
                <w:kern w:val="0"/>
                <w:sz w:val="22"/>
                <w:szCs w:val="22"/>
                <w:u w:val="none"/>
                <w:lang w:val="en-US" w:eastAsia="zh-CN" w:bidi="ar"/>
              </w:rPr>
              <w:t xml:space="preserve">8.71 </w:t>
            </w:r>
          </w:p>
        </w:tc>
        <w:tc>
          <w:tcPr>
            <w:tcW w:w="1369" w:type="dxa"/>
            <w:tcBorders>
              <w:top w:val="nil"/>
              <w:left w:val="nil"/>
              <w:bottom w:val="single" w:color="auto" w:sz="4" w:space="0"/>
              <w:right w:val="single" w:color="auto" w:sz="4" w:space="0"/>
            </w:tcBorders>
            <w:shd w:val="clear" w:color="auto" w:fill="auto"/>
            <w:noWrap/>
            <w:vAlign w:val="center"/>
          </w:tcPr>
          <w:p w14:paraId="1B76C25A">
            <w:pPr>
              <w:keepNext w:val="0"/>
              <w:keepLines w:val="0"/>
              <w:pageBreakBefore w:val="0"/>
              <w:widowControl w:val="0"/>
              <w:suppressLineNumbers w:val="0"/>
              <w:kinsoku/>
              <w:wordWrap/>
              <w:overflowPunct/>
              <w:topLinePunct w:val="0"/>
              <w:autoSpaceDE/>
              <w:autoSpaceDN/>
              <w:bidi w:val="0"/>
              <w:adjustRightInd/>
              <w:snapToGrid/>
              <w:spacing w:line="460" w:lineRule="exact"/>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8.71 </w:t>
            </w:r>
          </w:p>
        </w:tc>
        <w:tc>
          <w:tcPr>
            <w:tcW w:w="1406" w:type="dxa"/>
            <w:tcBorders>
              <w:top w:val="nil"/>
              <w:left w:val="nil"/>
              <w:bottom w:val="single" w:color="auto" w:sz="4" w:space="0"/>
              <w:right w:val="single" w:color="auto" w:sz="4" w:space="0"/>
            </w:tcBorders>
            <w:shd w:val="clear" w:color="auto" w:fill="auto"/>
            <w:noWrap/>
            <w:vAlign w:val="center"/>
          </w:tcPr>
          <w:p w14:paraId="262008C1">
            <w:pPr>
              <w:keepNext w:val="0"/>
              <w:keepLines w:val="0"/>
              <w:pageBreakBefore w:val="0"/>
              <w:widowControl w:val="0"/>
              <w:kinsoku/>
              <w:wordWrap/>
              <w:overflowPunct/>
              <w:topLinePunct w:val="0"/>
              <w:autoSpaceDE/>
              <w:autoSpaceDN/>
              <w:bidi w:val="0"/>
              <w:adjustRightInd/>
              <w:snapToGrid/>
              <w:spacing w:line="460" w:lineRule="exact"/>
              <w:jc w:val="right"/>
            </w:pPr>
          </w:p>
        </w:tc>
        <w:tc>
          <w:tcPr>
            <w:tcW w:w="1607" w:type="dxa"/>
            <w:tcBorders>
              <w:top w:val="nil"/>
              <w:left w:val="nil"/>
              <w:bottom w:val="single" w:color="auto" w:sz="4" w:space="0"/>
              <w:right w:val="single" w:color="auto" w:sz="4" w:space="0"/>
            </w:tcBorders>
            <w:shd w:val="clear" w:color="auto" w:fill="auto"/>
            <w:noWrap/>
            <w:vAlign w:val="center"/>
          </w:tcPr>
          <w:p w14:paraId="74381436">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b/>
                <w:bCs/>
                <w:kern w:val="0"/>
                <w:sz w:val="22"/>
              </w:rPr>
            </w:pPr>
          </w:p>
        </w:tc>
      </w:tr>
      <w:tr w14:paraId="0342CDA0">
        <w:tblPrEx>
          <w:tblCellMar>
            <w:top w:w="0" w:type="dxa"/>
            <w:left w:w="108" w:type="dxa"/>
            <w:bottom w:w="0" w:type="dxa"/>
            <w:right w:w="108" w:type="dxa"/>
          </w:tblCellMar>
        </w:tblPrEx>
        <w:trPr>
          <w:trHeight w:val="533" w:hRule="atLeast"/>
          <w:jc w:val="center"/>
        </w:trPr>
        <w:tc>
          <w:tcPr>
            <w:tcW w:w="3238" w:type="dxa"/>
            <w:tcBorders>
              <w:top w:val="nil"/>
              <w:left w:val="single" w:color="auto" w:sz="4" w:space="0"/>
              <w:bottom w:val="single" w:color="auto" w:sz="4" w:space="0"/>
              <w:right w:val="single" w:color="auto" w:sz="4" w:space="0"/>
            </w:tcBorders>
            <w:shd w:val="clear" w:color="auto" w:fill="auto"/>
            <w:noWrap/>
            <w:vAlign w:val="center"/>
          </w:tcPr>
          <w:p w14:paraId="25AB6D53">
            <w:pPr>
              <w:keepNext w:val="0"/>
              <w:keepLines w:val="0"/>
              <w:pageBreakBefore w:val="0"/>
              <w:widowControl w:val="0"/>
              <w:kinsoku/>
              <w:wordWrap/>
              <w:overflowPunct/>
              <w:topLinePunct w:val="0"/>
              <w:autoSpaceDE/>
              <w:autoSpaceDN/>
              <w:bidi w:val="0"/>
              <w:adjustRightInd/>
              <w:snapToGrid/>
              <w:spacing w:line="460" w:lineRule="exact"/>
              <w:jc w:val="left"/>
              <w:rPr>
                <w:rFonts w:ascii="Times New Roman" w:hAnsi="Times New Roman" w:eastAsia="仿宋_GB2312" w:cs="Times New Roman"/>
                <w:kern w:val="0"/>
                <w:sz w:val="22"/>
              </w:rPr>
            </w:pPr>
          </w:p>
        </w:tc>
        <w:tc>
          <w:tcPr>
            <w:tcW w:w="637" w:type="dxa"/>
            <w:tcBorders>
              <w:top w:val="nil"/>
              <w:left w:val="nil"/>
              <w:bottom w:val="single" w:color="auto" w:sz="4" w:space="0"/>
              <w:right w:val="single" w:color="auto" w:sz="4" w:space="0"/>
            </w:tcBorders>
            <w:shd w:val="clear" w:color="auto" w:fill="auto"/>
            <w:noWrap/>
            <w:vAlign w:val="center"/>
          </w:tcPr>
          <w:p w14:paraId="7F37FC0E">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10</w:t>
            </w:r>
          </w:p>
        </w:tc>
        <w:tc>
          <w:tcPr>
            <w:tcW w:w="957" w:type="dxa"/>
            <w:tcBorders>
              <w:top w:val="nil"/>
              <w:left w:val="nil"/>
              <w:bottom w:val="single" w:color="auto" w:sz="4" w:space="0"/>
              <w:right w:val="single" w:color="auto" w:sz="4" w:space="0"/>
            </w:tcBorders>
            <w:shd w:val="clear" w:color="auto" w:fill="auto"/>
            <w:noWrap/>
            <w:vAlign w:val="center"/>
          </w:tcPr>
          <w:p w14:paraId="04447C50">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c>
          <w:tcPr>
            <w:tcW w:w="3540" w:type="dxa"/>
            <w:tcBorders>
              <w:top w:val="nil"/>
              <w:left w:val="nil"/>
              <w:bottom w:val="single" w:color="auto" w:sz="4" w:space="0"/>
              <w:right w:val="single" w:color="auto" w:sz="4" w:space="0"/>
            </w:tcBorders>
            <w:shd w:val="clear" w:color="auto" w:fill="auto"/>
            <w:noWrap/>
            <w:vAlign w:val="center"/>
          </w:tcPr>
          <w:p w14:paraId="1B6DF6FD">
            <w:pPr>
              <w:keepNext w:val="0"/>
              <w:keepLines w:val="0"/>
              <w:pageBreakBefore w:val="0"/>
              <w:widowControl w:val="0"/>
              <w:suppressLineNumbers w:val="0"/>
              <w:kinsoku/>
              <w:wordWrap/>
              <w:overflowPunct/>
              <w:topLinePunct w:val="0"/>
              <w:autoSpaceDE/>
              <w:autoSpaceDN/>
              <w:bidi w:val="0"/>
              <w:adjustRightInd/>
              <w:snapToGrid/>
              <w:spacing w:line="460" w:lineRule="exact"/>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十、节能环保支出</w:t>
            </w:r>
          </w:p>
        </w:tc>
        <w:tc>
          <w:tcPr>
            <w:tcW w:w="601" w:type="dxa"/>
            <w:tcBorders>
              <w:top w:val="nil"/>
              <w:left w:val="nil"/>
              <w:bottom w:val="single" w:color="auto" w:sz="4" w:space="0"/>
              <w:right w:val="single" w:color="auto" w:sz="4" w:space="0"/>
            </w:tcBorders>
            <w:shd w:val="clear" w:color="auto" w:fill="auto"/>
            <w:noWrap/>
            <w:vAlign w:val="center"/>
          </w:tcPr>
          <w:p w14:paraId="51EC8376">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42</w:t>
            </w:r>
          </w:p>
        </w:tc>
        <w:tc>
          <w:tcPr>
            <w:tcW w:w="865" w:type="dxa"/>
            <w:tcBorders>
              <w:top w:val="nil"/>
              <w:left w:val="nil"/>
              <w:bottom w:val="single" w:color="auto" w:sz="4" w:space="0"/>
              <w:right w:val="single" w:color="auto" w:sz="4" w:space="0"/>
            </w:tcBorders>
            <w:shd w:val="clear" w:color="auto" w:fill="auto"/>
            <w:noWrap/>
            <w:vAlign w:val="center"/>
          </w:tcPr>
          <w:p w14:paraId="6C877F50">
            <w:pPr>
              <w:keepNext w:val="0"/>
              <w:keepLines w:val="0"/>
              <w:pageBreakBefore w:val="0"/>
              <w:widowControl w:val="0"/>
              <w:kinsoku/>
              <w:wordWrap/>
              <w:overflowPunct/>
              <w:topLinePunct w:val="0"/>
              <w:autoSpaceDE/>
              <w:autoSpaceDN/>
              <w:bidi w:val="0"/>
              <w:adjustRightInd/>
              <w:snapToGrid/>
              <w:spacing w:line="460" w:lineRule="exact"/>
              <w:jc w:val="right"/>
            </w:pPr>
          </w:p>
        </w:tc>
        <w:tc>
          <w:tcPr>
            <w:tcW w:w="1369" w:type="dxa"/>
            <w:tcBorders>
              <w:top w:val="nil"/>
              <w:left w:val="nil"/>
              <w:bottom w:val="single" w:color="auto" w:sz="4" w:space="0"/>
              <w:right w:val="single" w:color="auto" w:sz="4" w:space="0"/>
            </w:tcBorders>
            <w:shd w:val="clear" w:color="auto" w:fill="auto"/>
            <w:noWrap/>
            <w:vAlign w:val="center"/>
          </w:tcPr>
          <w:p w14:paraId="25299084">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c>
          <w:tcPr>
            <w:tcW w:w="1406" w:type="dxa"/>
            <w:tcBorders>
              <w:top w:val="nil"/>
              <w:left w:val="nil"/>
              <w:bottom w:val="single" w:color="auto" w:sz="4" w:space="0"/>
              <w:right w:val="single" w:color="auto" w:sz="4" w:space="0"/>
            </w:tcBorders>
            <w:shd w:val="clear" w:color="auto" w:fill="auto"/>
            <w:noWrap/>
            <w:vAlign w:val="center"/>
          </w:tcPr>
          <w:p w14:paraId="69BD1452">
            <w:pPr>
              <w:keepNext w:val="0"/>
              <w:keepLines w:val="0"/>
              <w:pageBreakBefore w:val="0"/>
              <w:widowControl w:val="0"/>
              <w:kinsoku/>
              <w:wordWrap/>
              <w:overflowPunct/>
              <w:topLinePunct w:val="0"/>
              <w:autoSpaceDE/>
              <w:autoSpaceDN/>
              <w:bidi w:val="0"/>
              <w:adjustRightInd/>
              <w:snapToGrid/>
              <w:spacing w:line="460" w:lineRule="exact"/>
              <w:jc w:val="right"/>
            </w:pPr>
          </w:p>
        </w:tc>
        <w:tc>
          <w:tcPr>
            <w:tcW w:w="1607" w:type="dxa"/>
            <w:tcBorders>
              <w:top w:val="nil"/>
              <w:left w:val="nil"/>
              <w:bottom w:val="single" w:color="auto" w:sz="4" w:space="0"/>
              <w:right w:val="single" w:color="auto" w:sz="4" w:space="0"/>
            </w:tcBorders>
            <w:shd w:val="clear" w:color="auto" w:fill="auto"/>
            <w:noWrap/>
            <w:vAlign w:val="center"/>
          </w:tcPr>
          <w:p w14:paraId="664AE645">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r>
      <w:tr w14:paraId="75F04808">
        <w:tblPrEx>
          <w:tblCellMar>
            <w:top w:w="0" w:type="dxa"/>
            <w:left w:w="108" w:type="dxa"/>
            <w:bottom w:w="0" w:type="dxa"/>
            <w:right w:w="108" w:type="dxa"/>
          </w:tblCellMar>
        </w:tblPrEx>
        <w:trPr>
          <w:trHeight w:val="533" w:hRule="atLeast"/>
          <w:jc w:val="center"/>
        </w:trPr>
        <w:tc>
          <w:tcPr>
            <w:tcW w:w="3238" w:type="dxa"/>
            <w:tcBorders>
              <w:top w:val="nil"/>
              <w:left w:val="single" w:color="auto" w:sz="4" w:space="0"/>
              <w:bottom w:val="single" w:color="auto" w:sz="4" w:space="0"/>
              <w:right w:val="single" w:color="auto" w:sz="4" w:space="0"/>
            </w:tcBorders>
            <w:shd w:val="clear" w:color="auto" w:fill="auto"/>
            <w:noWrap/>
            <w:vAlign w:val="center"/>
          </w:tcPr>
          <w:p w14:paraId="17EBBED9">
            <w:pPr>
              <w:keepNext w:val="0"/>
              <w:keepLines w:val="0"/>
              <w:pageBreakBefore w:val="0"/>
              <w:widowControl w:val="0"/>
              <w:kinsoku/>
              <w:wordWrap/>
              <w:overflowPunct/>
              <w:topLinePunct w:val="0"/>
              <w:autoSpaceDE/>
              <w:autoSpaceDN/>
              <w:bidi w:val="0"/>
              <w:adjustRightInd/>
              <w:snapToGrid/>
              <w:spacing w:line="460" w:lineRule="exact"/>
              <w:jc w:val="left"/>
              <w:rPr>
                <w:rFonts w:ascii="Times New Roman" w:hAnsi="Times New Roman" w:eastAsia="仿宋_GB2312" w:cs="Times New Roman"/>
                <w:kern w:val="0"/>
                <w:sz w:val="22"/>
              </w:rPr>
            </w:pPr>
          </w:p>
        </w:tc>
        <w:tc>
          <w:tcPr>
            <w:tcW w:w="637" w:type="dxa"/>
            <w:tcBorders>
              <w:top w:val="nil"/>
              <w:left w:val="nil"/>
              <w:bottom w:val="single" w:color="auto" w:sz="4" w:space="0"/>
              <w:right w:val="single" w:color="auto" w:sz="4" w:space="0"/>
            </w:tcBorders>
            <w:shd w:val="clear" w:color="auto" w:fill="auto"/>
            <w:noWrap/>
            <w:vAlign w:val="center"/>
          </w:tcPr>
          <w:p w14:paraId="22359C65">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11</w:t>
            </w:r>
          </w:p>
        </w:tc>
        <w:tc>
          <w:tcPr>
            <w:tcW w:w="957" w:type="dxa"/>
            <w:tcBorders>
              <w:top w:val="nil"/>
              <w:left w:val="nil"/>
              <w:bottom w:val="single" w:color="auto" w:sz="4" w:space="0"/>
              <w:right w:val="single" w:color="auto" w:sz="4" w:space="0"/>
            </w:tcBorders>
            <w:shd w:val="clear" w:color="auto" w:fill="auto"/>
            <w:noWrap/>
            <w:vAlign w:val="center"/>
          </w:tcPr>
          <w:p w14:paraId="76BCC17C">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c>
          <w:tcPr>
            <w:tcW w:w="3540" w:type="dxa"/>
            <w:tcBorders>
              <w:top w:val="nil"/>
              <w:left w:val="nil"/>
              <w:bottom w:val="single" w:color="auto" w:sz="4" w:space="0"/>
              <w:right w:val="single" w:color="auto" w:sz="4" w:space="0"/>
            </w:tcBorders>
            <w:shd w:val="clear" w:color="auto" w:fill="auto"/>
            <w:noWrap/>
            <w:vAlign w:val="center"/>
          </w:tcPr>
          <w:p w14:paraId="03AB7B3D">
            <w:pPr>
              <w:keepNext w:val="0"/>
              <w:keepLines w:val="0"/>
              <w:pageBreakBefore w:val="0"/>
              <w:widowControl w:val="0"/>
              <w:suppressLineNumbers w:val="0"/>
              <w:kinsoku/>
              <w:wordWrap/>
              <w:overflowPunct/>
              <w:topLinePunct w:val="0"/>
              <w:autoSpaceDE/>
              <w:autoSpaceDN/>
              <w:bidi w:val="0"/>
              <w:adjustRightInd/>
              <w:snapToGrid/>
              <w:spacing w:line="460" w:lineRule="exact"/>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十一、城乡社区支出</w:t>
            </w:r>
          </w:p>
        </w:tc>
        <w:tc>
          <w:tcPr>
            <w:tcW w:w="601" w:type="dxa"/>
            <w:tcBorders>
              <w:top w:val="nil"/>
              <w:left w:val="nil"/>
              <w:bottom w:val="single" w:color="auto" w:sz="4" w:space="0"/>
              <w:right w:val="single" w:color="auto" w:sz="4" w:space="0"/>
            </w:tcBorders>
            <w:shd w:val="clear" w:color="auto" w:fill="auto"/>
            <w:noWrap/>
            <w:vAlign w:val="center"/>
          </w:tcPr>
          <w:p w14:paraId="41281848">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43</w:t>
            </w:r>
          </w:p>
        </w:tc>
        <w:tc>
          <w:tcPr>
            <w:tcW w:w="865" w:type="dxa"/>
            <w:tcBorders>
              <w:top w:val="nil"/>
              <w:left w:val="nil"/>
              <w:bottom w:val="single" w:color="auto" w:sz="4" w:space="0"/>
              <w:right w:val="single" w:color="auto" w:sz="4" w:space="0"/>
            </w:tcBorders>
            <w:shd w:val="clear" w:color="auto" w:fill="auto"/>
            <w:noWrap/>
            <w:vAlign w:val="center"/>
          </w:tcPr>
          <w:p w14:paraId="6147F6B9">
            <w:pPr>
              <w:keepNext w:val="0"/>
              <w:keepLines w:val="0"/>
              <w:pageBreakBefore w:val="0"/>
              <w:widowControl w:val="0"/>
              <w:kinsoku/>
              <w:wordWrap/>
              <w:overflowPunct/>
              <w:topLinePunct w:val="0"/>
              <w:autoSpaceDE/>
              <w:autoSpaceDN/>
              <w:bidi w:val="0"/>
              <w:adjustRightInd/>
              <w:snapToGrid/>
              <w:spacing w:line="460" w:lineRule="exact"/>
              <w:jc w:val="right"/>
            </w:pPr>
          </w:p>
        </w:tc>
        <w:tc>
          <w:tcPr>
            <w:tcW w:w="1369" w:type="dxa"/>
            <w:tcBorders>
              <w:top w:val="nil"/>
              <w:left w:val="nil"/>
              <w:bottom w:val="single" w:color="auto" w:sz="4" w:space="0"/>
              <w:right w:val="single" w:color="auto" w:sz="4" w:space="0"/>
            </w:tcBorders>
            <w:shd w:val="clear" w:color="auto" w:fill="auto"/>
            <w:noWrap/>
            <w:vAlign w:val="center"/>
          </w:tcPr>
          <w:p w14:paraId="697BB76B">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c>
          <w:tcPr>
            <w:tcW w:w="1406" w:type="dxa"/>
            <w:tcBorders>
              <w:top w:val="nil"/>
              <w:left w:val="nil"/>
              <w:bottom w:val="single" w:color="auto" w:sz="4" w:space="0"/>
              <w:right w:val="single" w:color="auto" w:sz="4" w:space="0"/>
            </w:tcBorders>
            <w:shd w:val="clear" w:color="auto" w:fill="auto"/>
            <w:noWrap/>
            <w:vAlign w:val="center"/>
          </w:tcPr>
          <w:p w14:paraId="67F85372">
            <w:pPr>
              <w:keepNext w:val="0"/>
              <w:keepLines w:val="0"/>
              <w:pageBreakBefore w:val="0"/>
              <w:widowControl w:val="0"/>
              <w:kinsoku/>
              <w:wordWrap/>
              <w:overflowPunct/>
              <w:topLinePunct w:val="0"/>
              <w:autoSpaceDE/>
              <w:autoSpaceDN/>
              <w:bidi w:val="0"/>
              <w:adjustRightInd/>
              <w:snapToGrid/>
              <w:spacing w:line="460" w:lineRule="exact"/>
              <w:jc w:val="right"/>
            </w:pPr>
          </w:p>
        </w:tc>
        <w:tc>
          <w:tcPr>
            <w:tcW w:w="1607" w:type="dxa"/>
            <w:tcBorders>
              <w:top w:val="nil"/>
              <w:left w:val="nil"/>
              <w:bottom w:val="single" w:color="auto" w:sz="4" w:space="0"/>
              <w:right w:val="single" w:color="auto" w:sz="4" w:space="0"/>
            </w:tcBorders>
            <w:shd w:val="clear" w:color="auto" w:fill="auto"/>
            <w:noWrap/>
            <w:vAlign w:val="center"/>
          </w:tcPr>
          <w:p w14:paraId="2BE112CE">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r>
      <w:tr w14:paraId="0844EA27">
        <w:tblPrEx>
          <w:tblCellMar>
            <w:top w:w="0" w:type="dxa"/>
            <w:left w:w="108" w:type="dxa"/>
            <w:bottom w:w="0" w:type="dxa"/>
            <w:right w:w="108" w:type="dxa"/>
          </w:tblCellMar>
        </w:tblPrEx>
        <w:trPr>
          <w:trHeight w:val="533" w:hRule="atLeast"/>
          <w:jc w:val="center"/>
        </w:trPr>
        <w:tc>
          <w:tcPr>
            <w:tcW w:w="3238" w:type="dxa"/>
            <w:tcBorders>
              <w:top w:val="nil"/>
              <w:left w:val="single" w:color="auto" w:sz="4" w:space="0"/>
              <w:bottom w:val="single" w:color="auto" w:sz="4" w:space="0"/>
              <w:right w:val="single" w:color="auto" w:sz="4" w:space="0"/>
            </w:tcBorders>
            <w:shd w:val="clear" w:color="auto" w:fill="auto"/>
            <w:noWrap/>
            <w:vAlign w:val="center"/>
          </w:tcPr>
          <w:p w14:paraId="16BF0BD6">
            <w:pPr>
              <w:keepNext w:val="0"/>
              <w:keepLines w:val="0"/>
              <w:pageBreakBefore w:val="0"/>
              <w:widowControl w:val="0"/>
              <w:kinsoku/>
              <w:wordWrap/>
              <w:overflowPunct/>
              <w:topLinePunct w:val="0"/>
              <w:autoSpaceDE/>
              <w:autoSpaceDN/>
              <w:bidi w:val="0"/>
              <w:adjustRightInd/>
              <w:snapToGrid/>
              <w:spacing w:line="460" w:lineRule="exact"/>
              <w:jc w:val="left"/>
              <w:rPr>
                <w:rFonts w:ascii="Times New Roman" w:hAnsi="Times New Roman" w:eastAsia="仿宋_GB2312" w:cs="Times New Roman"/>
                <w:kern w:val="0"/>
                <w:sz w:val="22"/>
              </w:rPr>
            </w:pPr>
          </w:p>
        </w:tc>
        <w:tc>
          <w:tcPr>
            <w:tcW w:w="637" w:type="dxa"/>
            <w:tcBorders>
              <w:top w:val="nil"/>
              <w:left w:val="nil"/>
              <w:bottom w:val="single" w:color="auto" w:sz="4" w:space="0"/>
              <w:right w:val="single" w:color="auto" w:sz="4" w:space="0"/>
            </w:tcBorders>
            <w:shd w:val="clear" w:color="auto" w:fill="auto"/>
            <w:noWrap/>
            <w:vAlign w:val="center"/>
          </w:tcPr>
          <w:p w14:paraId="7D075C6F">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12</w:t>
            </w:r>
          </w:p>
        </w:tc>
        <w:tc>
          <w:tcPr>
            <w:tcW w:w="957" w:type="dxa"/>
            <w:tcBorders>
              <w:top w:val="nil"/>
              <w:left w:val="nil"/>
              <w:bottom w:val="single" w:color="auto" w:sz="4" w:space="0"/>
              <w:right w:val="single" w:color="auto" w:sz="4" w:space="0"/>
            </w:tcBorders>
            <w:shd w:val="clear" w:color="auto" w:fill="auto"/>
            <w:noWrap/>
            <w:vAlign w:val="center"/>
          </w:tcPr>
          <w:p w14:paraId="4C3160F6">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c>
          <w:tcPr>
            <w:tcW w:w="3540" w:type="dxa"/>
            <w:tcBorders>
              <w:top w:val="nil"/>
              <w:left w:val="nil"/>
              <w:bottom w:val="single" w:color="auto" w:sz="4" w:space="0"/>
              <w:right w:val="single" w:color="auto" w:sz="4" w:space="0"/>
            </w:tcBorders>
            <w:shd w:val="clear" w:color="auto" w:fill="auto"/>
            <w:noWrap/>
            <w:vAlign w:val="center"/>
          </w:tcPr>
          <w:p w14:paraId="6560EA7C">
            <w:pPr>
              <w:keepNext w:val="0"/>
              <w:keepLines w:val="0"/>
              <w:pageBreakBefore w:val="0"/>
              <w:widowControl w:val="0"/>
              <w:suppressLineNumbers w:val="0"/>
              <w:kinsoku/>
              <w:wordWrap/>
              <w:overflowPunct/>
              <w:topLinePunct w:val="0"/>
              <w:autoSpaceDE/>
              <w:autoSpaceDN/>
              <w:bidi w:val="0"/>
              <w:adjustRightInd/>
              <w:snapToGrid/>
              <w:spacing w:line="460" w:lineRule="exact"/>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十二、农林水支出</w:t>
            </w:r>
          </w:p>
        </w:tc>
        <w:tc>
          <w:tcPr>
            <w:tcW w:w="601" w:type="dxa"/>
            <w:tcBorders>
              <w:top w:val="nil"/>
              <w:left w:val="nil"/>
              <w:bottom w:val="single" w:color="auto" w:sz="4" w:space="0"/>
              <w:right w:val="single" w:color="auto" w:sz="4" w:space="0"/>
            </w:tcBorders>
            <w:shd w:val="clear" w:color="auto" w:fill="auto"/>
            <w:noWrap/>
            <w:vAlign w:val="center"/>
          </w:tcPr>
          <w:p w14:paraId="28A68BA5">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44</w:t>
            </w:r>
          </w:p>
        </w:tc>
        <w:tc>
          <w:tcPr>
            <w:tcW w:w="865" w:type="dxa"/>
            <w:tcBorders>
              <w:top w:val="nil"/>
              <w:left w:val="nil"/>
              <w:bottom w:val="single" w:color="auto" w:sz="4" w:space="0"/>
              <w:right w:val="single" w:color="auto" w:sz="4" w:space="0"/>
            </w:tcBorders>
            <w:shd w:val="clear" w:color="auto" w:fill="auto"/>
            <w:noWrap/>
            <w:vAlign w:val="center"/>
          </w:tcPr>
          <w:p w14:paraId="6F436801">
            <w:pPr>
              <w:keepNext w:val="0"/>
              <w:keepLines w:val="0"/>
              <w:pageBreakBefore w:val="0"/>
              <w:widowControl w:val="0"/>
              <w:kinsoku/>
              <w:wordWrap/>
              <w:overflowPunct/>
              <w:topLinePunct w:val="0"/>
              <w:autoSpaceDE/>
              <w:autoSpaceDN/>
              <w:bidi w:val="0"/>
              <w:adjustRightInd/>
              <w:snapToGrid/>
              <w:spacing w:line="460" w:lineRule="exact"/>
              <w:jc w:val="right"/>
            </w:pPr>
          </w:p>
        </w:tc>
        <w:tc>
          <w:tcPr>
            <w:tcW w:w="1369" w:type="dxa"/>
            <w:tcBorders>
              <w:top w:val="nil"/>
              <w:left w:val="nil"/>
              <w:bottom w:val="single" w:color="auto" w:sz="4" w:space="0"/>
              <w:right w:val="single" w:color="auto" w:sz="4" w:space="0"/>
            </w:tcBorders>
            <w:shd w:val="clear" w:color="auto" w:fill="auto"/>
            <w:noWrap/>
            <w:vAlign w:val="center"/>
          </w:tcPr>
          <w:p w14:paraId="1E5FFC74">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c>
          <w:tcPr>
            <w:tcW w:w="1406" w:type="dxa"/>
            <w:tcBorders>
              <w:top w:val="nil"/>
              <w:left w:val="nil"/>
              <w:bottom w:val="single" w:color="auto" w:sz="4" w:space="0"/>
              <w:right w:val="single" w:color="auto" w:sz="4" w:space="0"/>
            </w:tcBorders>
            <w:shd w:val="clear" w:color="auto" w:fill="auto"/>
            <w:noWrap/>
            <w:vAlign w:val="center"/>
          </w:tcPr>
          <w:p w14:paraId="06322B6A">
            <w:pPr>
              <w:keepNext w:val="0"/>
              <w:keepLines w:val="0"/>
              <w:pageBreakBefore w:val="0"/>
              <w:widowControl w:val="0"/>
              <w:kinsoku/>
              <w:wordWrap/>
              <w:overflowPunct/>
              <w:topLinePunct w:val="0"/>
              <w:autoSpaceDE/>
              <w:autoSpaceDN/>
              <w:bidi w:val="0"/>
              <w:adjustRightInd/>
              <w:snapToGrid/>
              <w:spacing w:line="460" w:lineRule="exact"/>
              <w:jc w:val="right"/>
            </w:pPr>
          </w:p>
        </w:tc>
        <w:tc>
          <w:tcPr>
            <w:tcW w:w="1607" w:type="dxa"/>
            <w:tcBorders>
              <w:top w:val="nil"/>
              <w:left w:val="nil"/>
              <w:bottom w:val="single" w:color="auto" w:sz="4" w:space="0"/>
              <w:right w:val="single" w:color="auto" w:sz="4" w:space="0"/>
            </w:tcBorders>
            <w:shd w:val="clear" w:color="auto" w:fill="auto"/>
            <w:noWrap/>
            <w:vAlign w:val="center"/>
          </w:tcPr>
          <w:p w14:paraId="106410BC">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r>
      <w:tr w14:paraId="7E30EF68">
        <w:tblPrEx>
          <w:tblCellMar>
            <w:top w:w="0" w:type="dxa"/>
            <w:left w:w="108" w:type="dxa"/>
            <w:bottom w:w="0" w:type="dxa"/>
            <w:right w:w="108" w:type="dxa"/>
          </w:tblCellMar>
        </w:tblPrEx>
        <w:trPr>
          <w:trHeight w:val="533" w:hRule="atLeast"/>
          <w:jc w:val="center"/>
        </w:trPr>
        <w:tc>
          <w:tcPr>
            <w:tcW w:w="3238" w:type="dxa"/>
            <w:tcBorders>
              <w:top w:val="nil"/>
              <w:left w:val="single" w:color="auto" w:sz="4" w:space="0"/>
              <w:bottom w:val="single" w:color="auto" w:sz="4" w:space="0"/>
              <w:right w:val="single" w:color="auto" w:sz="4" w:space="0"/>
            </w:tcBorders>
            <w:shd w:val="clear" w:color="auto" w:fill="auto"/>
            <w:noWrap/>
            <w:vAlign w:val="center"/>
          </w:tcPr>
          <w:p w14:paraId="0B7B844E">
            <w:pPr>
              <w:keepNext w:val="0"/>
              <w:keepLines w:val="0"/>
              <w:pageBreakBefore w:val="0"/>
              <w:widowControl w:val="0"/>
              <w:kinsoku/>
              <w:wordWrap/>
              <w:overflowPunct/>
              <w:topLinePunct w:val="0"/>
              <w:autoSpaceDE/>
              <w:autoSpaceDN/>
              <w:bidi w:val="0"/>
              <w:adjustRightInd/>
              <w:snapToGrid/>
              <w:spacing w:line="460" w:lineRule="exact"/>
              <w:jc w:val="left"/>
              <w:rPr>
                <w:rFonts w:ascii="Times New Roman" w:hAnsi="Times New Roman" w:eastAsia="仿宋_GB2312" w:cs="Times New Roman"/>
                <w:kern w:val="0"/>
                <w:sz w:val="22"/>
              </w:rPr>
            </w:pPr>
          </w:p>
        </w:tc>
        <w:tc>
          <w:tcPr>
            <w:tcW w:w="637" w:type="dxa"/>
            <w:tcBorders>
              <w:top w:val="nil"/>
              <w:left w:val="nil"/>
              <w:bottom w:val="single" w:color="auto" w:sz="4" w:space="0"/>
              <w:right w:val="single" w:color="auto" w:sz="4" w:space="0"/>
            </w:tcBorders>
            <w:shd w:val="clear" w:color="auto" w:fill="auto"/>
            <w:noWrap/>
            <w:vAlign w:val="center"/>
          </w:tcPr>
          <w:p w14:paraId="17FA12EB">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13</w:t>
            </w:r>
          </w:p>
        </w:tc>
        <w:tc>
          <w:tcPr>
            <w:tcW w:w="957" w:type="dxa"/>
            <w:tcBorders>
              <w:top w:val="nil"/>
              <w:left w:val="nil"/>
              <w:bottom w:val="single" w:color="auto" w:sz="4" w:space="0"/>
              <w:right w:val="single" w:color="auto" w:sz="4" w:space="0"/>
            </w:tcBorders>
            <w:shd w:val="clear" w:color="auto" w:fill="auto"/>
            <w:noWrap/>
            <w:vAlign w:val="center"/>
          </w:tcPr>
          <w:p w14:paraId="6DD85E60">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c>
          <w:tcPr>
            <w:tcW w:w="3540" w:type="dxa"/>
            <w:tcBorders>
              <w:top w:val="nil"/>
              <w:left w:val="nil"/>
              <w:bottom w:val="single" w:color="auto" w:sz="4" w:space="0"/>
              <w:right w:val="single" w:color="auto" w:sz="4" w:space="0"/>
            </w:tcBorders>
            <w:shd w:val="clear" w:color="auto" w:fill="auto"/>
            <w:noWrap/>
            <w:vAlign w:val="center"/>
          </w:tcPr>
          <w:p w14:paraId="2BC242BB">
            <w:pPr>
              <w:keepNext w:val="0"/>
              <w:keepLines w:val="0"/>
              <w:pageBreakBefore w:val="0"/>
              <w:widowControl w:val="0"/>
              <w:suppressLineNumbers w:val="0"/>
              <w:kinsoku/>
              <w:wordWrap/>
              <w:overflowPunct/>
              <w:topLinePunct w:val="0"/>
              <w:autoSpaceDE/>
              <w:autoSpaceDN/>
              <w:bidi w:val="0"/>
              <w:adjustRightInd/>
              <w:snapToGrid/>
              <w:spacing w:line="460" w:lineRule="exact"/>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十三、交通运输支出</w:t>
            </w:r>
          </w:p>
        </w:tc>
        <w:tc>
          <w:tcPr>
            <w:tcW w:w="601" w:type="dxa"/>
            <w:tcBorders>
              <w:top w:val="nil"/>
              <w:left w:val="nil"/>
              <w:bottom w:val="single" w:color="auto" w:sz="4" w:space="0"/>
              <w:right w:val="single" w:color="auto" w:sz="4" w:space="0"/>
            </w:tcBorders>
            <w:shd w:val="clear" w:color="auto" w:fill="auto"/>
            <w:noWrap/>
            <w:vAlign w:val="center"/>
          </w:tcPr>
          <w:p w14:paraId="195BD02A">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45</w:t>
            </w:r>
          </w:p>
        </w:tc>
        <w:tc>
          <w:tcPr>
            <w:tcW w:w="865" w:type="dxa"/>
            <w:tcBorders>
              <w:top w:val="nil"/>
              <w:left w:val="nil"/>
              <w:bottom w:val="single" w:color="auto" w:sz="4" w:space="0"/>
              <w:right w:val="single" w:color="auto" w:sz="4" w:space="0"/>
            </w:tcBorders>
            <w:shd w:val="clear" w:color="auto" w:fill="auto"/>
            <w:noWrap/>
            <w:vAlign w:val="center"/>
          </w:tcPr>
          <w:p w14:paraId="2729BACF">
            <w:pPr>
              <w:keepNext w:val="0"/>
              <w:keepLines w:val="0"/>
              <w:pageBreakBefore w:val="0"/>
              <w:widowControl w:val="0"/>
              <w:kinsoku/>
              <w:wordWrap/>
              <w:overflowPunct/>
              <w:topLinePunct w:val="0"/>
              <w:autoSpaceDE/>
              <w:autoSpaceDN/>
              <w:bidi w:val="0"/>
              <w:adjustRightInd/>
              <w:snapToGrid/>
              <w:spacing w:line="460" w:lineRule="exact"/>
              <w:jc w:val="right"/>
            </w:pPr>
          </w:p>
        </w:tc>
        <w:tc>
          <w:tcPr>
            <w:tcW w:w="1369" w:type="dxa"/>
            <w:tcBorders>
              <w:top w:val="nil"/>
              <w:left w:val="nil"/>
              <w:bottom w:val="single" w:color="auto" w:sz="4" w:space="0"/>
              <w:right w:val="single" w:color="auto" w:sz="4" w:space="0"/>
            </w:tcBorders>
            <w:shd w:val="clear" w:color="auto" w:fill="auto"/>
            <w:noWrap/>
            <w:vAlign w:val="center"/>
          </w:tcPr>
          <w:p w14:paraId="3E8E1B00">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c>
          <w:tcPr>
            <w:tcW w:w="1406" w:type="dxa"/>
            <w:tcBorders>
              <w:top w:val="nil"/>
              <w:left w:val="nil"/>
              <w:bottom w:val="single" w:color="auto" w:sz="4" w:space="0"/>
              <w:right w:val="single" w:color="auto" w:sz="4" w:space="0"/>
            </w:tcBorders>
            <w:shd w:val="clear" w:color="auto" w:fill="auto"/>
            <w:noWrap/>
            <w:vAlign w:val="center"/>
          </w:tcPr>
          <w:p w14:paraId="4565C6E7">
            <w:pPr>
              <w:keepNext w:val="0"/>
              <w:keepLines w:val="0"/>
              <w:pageBreakBefore w:val="0"/>
              <w:widowControl w:val="0"/>
              <w:kinsoku/>
              <w:wordWrap/>
              <w:overflowPunct/>
              <w:topLinePunct w:val="0"/>
              <w:autoSpaceDE/>
              <w:autoSpaceDN/>
              <w:bidi w:val="0"/>
              <w:adjustRightInd/>
              <w:snapToGrid/>
              <w:spacing w:line="460" w:lineRule="exact"/>
              <w:jc w:val="right"/>
            </w:pPr>
          </w:p>
        </w:tc>
        <w:tc>
          <w:tcPr>
            <w:tcW w:w="1607" w:type="dxa"/>
            <w:tcBorders>
              <w:top w:val="nil"/>
              <w:left w:val="nil"/>
              <w:bottom w:val="single" w:color="auto" w:sz="4" w:space="0"/>
              <w:right w:val="single" w:color="auto" w:sz="4" w:space="0"/>
            </w:tcBorders>
            <w:shd w:val="clear" w:color="auto" w:fill="auto"/>
            <w:noWrap/>
            <w:vAlign w:val="center"/>
          </w:tcPr>
          <w:p w14:paraId="173014D3">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r>
      <w:tr w14:paraId="6ADB3074">
        <w:tblPrEx>
          <w:tblCellMar>
            <w:top w:w="0" w:type="dxa"/>
            <w:left w:w="108" w:type="dxa"/>
            <w:bottom w:w="0" w:type="dxa"/>
            <w:right w:w="108" w:type="dxa"/>
          </w:tblCellMar>
        </w:tblPrEx>
        <w:trPr>
          <w:trHeight w:val="533" w:hRule="atLeast"/>
          <w:jc w:val="center"/>
        </w:trPr>
        <w:tc>
          <w:tcPr>
            <w:tcW w:w="3238" w:type="dxa"/>
            <w:tcBorders>
              <w:top w:val="nil"/>
              <w:left w:val="single" w:color="auto" w:sz="4" w:space="0"/>
              <w:bottom w:val="single" w:color="auto" w:sz="4" w:space="0"/>
              <w:right w:val="single" w:color="auto" w:sz="4" w:space="0"/>
            </w:tcBorders>
            <w:shd w:val="clear" w:color="000000" w:fill="FFFFFF"/>
            <w:noWrap/>
            <w:vAlign w:val="center"/>
          </w:tcPr>
          <w:p w14:paraId="21E3969E">
            <w:pPr>
              <w:keepNext w:val="0"/>
              <w:keepLines w:val="0"/>
              <w:pageBreakBefore w:val="0"/>
              <w:widowControl w:val="0"/>
              <w:kinsoku/>
              <w:wordWrap/>
              <w:overflowPunct/>
              <w:topLinePunct w:val="0"/>
              <w:autoSpaceDE/>
              <w:autoSpaceDN/>
              <w:bidi w:val="0"/>
              <w:adjustRightInd/>
              <w:snapToGrid/>
              <w:spacing w:line="460" w:lineRule="exact"/>
              <w:jc w:val="left"/>
              <w:rPr>
                <w:rFonts w:ascii="Times New Roman" w:hAnsi="Times New Roman" w:eastAsia="仿宋_GB2312" w:cs="Times New Roman"/>
                <w:b/>
                <w:bCs/>
                <w:kern w:val="0"/>
                <w:sz w:val="22"/>
              </w:rPr>
            </w:pPr>
          </w:p>
        </w:tc>
        <w:tc>
          <w:tcPr>
            <w:tcW w:w="637" w:type="dxa"/>
            <w:tcBorders>
              <w:top w:val="nil"/>
              <w:left w:val="nil"/>
              <w:bottom w:val="single" w:color="auto" w:sz="4" w:space="0"/>
              <w:right w:val="single" w:color="auto" w:sz="4" w:space="0"/>
            </w:tcBorders>
            <w:shd w:val="clear" w:color="000000" w:fill="FFFFFF"/>
            <w:noWrap/>
            <w:vAlign w:val="center"/>
          </w:tcPr>
          <w:p w14:paraId="52EA6137">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14</w:t>
            </w:r>
          </w:p>
        </w:tc>
        <w:tc>
          <w:tcPr>
            <w:tcW w:w="957" w:type="dxa"/>
            <w:tcBorders>
              <w:top w:val="nil"/>
              <w:left w:val="nil"/>
              <w:bottom w:val="single" w:color="auto" w:sz="4" w:space="0"/>
              <w:right w:val="single" w:color="auto" w:sz="4" w:space="0"/>
            </w:tcBorders>
            <w:shd w:val="clear" w:color="auto" w:fill="auto"/>
            <w:noWrap/>
            <w:vAlign w:val="center"/>
          </w:tcPr>
          <w:p w14:paraId="7266A314">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kern w:val="0"/>
                <w:sz w:val="22"/>
              </w:rPr>
            </w:pPr>
          </w:p>
        </w:tc>
        <w:tc>
          <w:tcPr>
            <w:tcW w:w="3540" w:type="dxa"/>
            <w:tcBorders>
              <w:top w:val="nil"/>
              <w:left w:val="nil"/>
              <w:bottom w:val="single" w:color="auto" w:sz="4" w:space="0"/>
              <w:right w:val="single" w:color="auto" w:sz="4" w:space="0"/>
            </w:tcBorders>
            <w:shd w:val="clear" w:color="000000" w:fill="FFFFFF"/>
            <w:noWrap/>
            <w:vAlign w:val="center"/>
          </w:tcPr>
          <w:p w14:paraId="503D1D1A">
            <w:pPr>
              <w:keepNext w:val="0"/>
              <w:keepLines w:val="0"/>
              <w:pageBreakBefore w:val="0"/>
              <w:widowControl w:val="0"/>
              <w:suppressLineNumbers w:val="0"/>
              <w:kinsoku/>
              <w:wordWrap/>
              <w:overflowPunct/>
              <w:topLinePunct w:val="0"/>
              <w:autoSpaceDE/>
              <w:autoSpaceDN/>
              <w:bidi w:val="0"/>
              <w:adjustRightInd/>
              <w:snapToGrid/>
              <w:spacing w:line="460" w:lineRule="exact"/>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601" w:type="dxa"/>
            <w:tcBorders>
              <w:top w:val="nil"/>
              <w:left w:val="nil"/>
              <w:bottom w:val="single" w:color="auto" w:sz="4" w:space="0"/>
              <w:right w:val="single" w:color="auto" w:sz="4" w:space="0"/>
            </w:tcBorders>
            <w:shd w:val="clear" w:color="000000" w:fill="FFFFFF"/>
            <w:noWrap/>
            <w:vAlign w:val="center"/>
          </w:tcPr>
          <w:p w14:paraId="02D71FFA">
            <w:pPr>
              <w:keepNext w:val="0"/>
              <w:keepLines w:val="0"/>
              <w:pageBreakBefore w:val="0"/>
              <w:widowControl w:val="0"/>
              <w:suppressLineNumbers w:val="0"/>
              <w:kinsoku/>
              <w:wordWrap/>
              <w:overflowPunct/>
              <w:topLinePunct w:val="0"/>
              <w:autoSpaceDE/>
              <w:autoSpaceDN/>
              <w:bidi w:val="0"/>
              <w:adjustRightInd/>
              <w:snapToGrid/>
              <w:spacing w:line="460" w:lineRule="exact"/>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46</w:t>
            </w:r>
          </w:p>
        </w:tc>
        <w:tc>
          <w:tcPr>
            <w:tcW w:w="865" w:type="dxa"/>
            <w:tcBorders>
              <w:top w:val="nil"/>
              <w:left w:val="nil"/>
              <w:bottom w:val="single" w:color="auto" w:sz="4" w:space="0"/>
              <w:right w:val="single" w:color="auto" w:sz="4" w:space="0"/>
            </w:tcBorders>
            <w:shd w:val="clear" w:color="000000" w:fill="FFFFFF"/>
            <w:noWrap/>
            <w:vAlign w:val="center"/>
          </w:tcPr>
          <w:p w14:paraId="7E46C3D0">
            <w:pPr>
              <w:keepNext w:val="0"/>
              <w:keepLines w:val="0"/>
              <w:pageBreakBefore w:val="0"/>
              <w:widowControl w:val="0"/>
              <w:kinsoku/>
              <w:wordWrap/>
              <w:overflowPunct/>
              <w:topLinePunct w:val="0"/>
              <w:autoSpaceDE/>
              <w:autoSpaceDN/>
              <w:bidi w:val="0"/>
              <w:adjustRightInd/>
              <w:snapToGrid/>
              <w:spacing w:line="460" w:lineRule="exact"/>
              <w:jc w:val="right"/>
            </w:pPr>
          </w:p>
        </w:tc>
        <w:tc>
          <w:tcPr>
            <w:tcW w:w="1369" w:type="dxa"/>
            <w:tcBorders>
              <w:top w:val="nil"/>
              <w:left w:val="nil"/>
              <w:bottom w:val="single" w:color="auto" w:sz="4" w:space="0"/>
              <w:right w:val="single" w:color="auto" w:sz="4" w:space="0"/>
            </w:tcBorders>
            <w:shd w:val="clear" w:color="auto" w:fill="auto"/>
            <w:noWrap/>
            <w:vAlign w:val="center"/>
          </w:tcPr>
          <w:p w14:paraId="49F10723">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b/>
                <w:bCs/>
                <w:kern w:val="0"/>
                <w:sz w:val="22"/>
              </w:rPr>
            </w:pPr>
          </w:p>
        </w:tc>
        <w:tc>
          <w:tcPr>
            <w:tcW w:w="1406" w:type="dxa"/>
            <w:tcBorders>
              <w:top w:val="nil"/>
              <w:left w:val="nil"/>
              <w:bottom w:val="single" w:color="auto" w:sz="4" w:space="0"/>
              <w:right w:val="single" w:color="auto" w:sz="4" w:space="0"/>
            </w:tcBorders>
            <w:shd w:val="clear" w:color="auto" w:fill="auto"/>
            <w:noWrap/>
            <w:vAlign w:val="center"/>
          </w:tcPr>
          <w:p w14:paraId="0F616091">
            <w:pPr>
              <w:keepNext w:val="0"/>
              <w:keepLines w:val="0"/>
              <w:pageBreakBefore w:val="0"/>
              <w:widowControl w:val="0"/>
              <w:kinsoku/>
              <w:wordWrap/>
              <w:overflowPunct/>
              <w:topLinePunct w:val="0"/>
              <w:autoSpaceDE/>
              <w:autoSpaceDN/>
              <w:bidi w:val="0"/>
              <w:adjustRightInd/>
              <w:snapToGrid/>
              <w:spacing w:line="460" w:lineRule="exact"/>
              <w:jc w:val="right"/>
            </w:pPr>
          </w:p>
        </w:tc>
        <w:tc>
          <w:tcPr>
            <w:tcW w:w="1607" w:type="dxa"/>
            <w:tcBorders>
              <w:top w:val="nil"/>
              <w:left w:val="nil"/>
              <w:bottom w:val="single" w:color="auto" w:sz="4" w:space="0"/>
              <w:right w:val="single" w:color="auto" w:sz="4" w:space="0"/>
            </w:tcBorders>
            <w:shd w:val="clear" w:color="auto" w:fill="auto"/>
            <w:noWrap/>
            <w:vAlign w:val="center"/>
          </w:tcPr>
          <w:p w14:paraId="56DD349B">
            <w:pPr>
              <w:keepNext w:val="0"/>
              <w:keepLines w:val="0"/>
              <w:pageBreakBefore w:val="0"/>
              <w:widowControl w:val="0"/>
              <w:kinsoku/>
              <w:wordWrap/>
              <w:overflowPunct/>
              <w:topLinePunct w:val="0"/>
              <w:autoSpaceDE/>
              <w:autoSpaceDN/>
              <w:bidi w:val="0"/>
              <w:adjustRightInd/>
              <w:snapToGrid/>
              <w:spacing w:line="460" w:lineRule="exact"/>
              <w:jc w:val="right"/>
              <w:rPr>
                <w:rFonts w:ascii="Times New Roman" w:hAnsi="Times New Roman" w:eastAsia="仿宋_GB2312" w:cs="Times New Roman"/>
                <w:b/>
                <w:bCs/>
                <w:kern w:val="0"/>
                <w:sz w:val="22"/>
              </w:rPr>
            </w:pPr>
          </w:p>
        </w:tc>
      </w:tr>
    </w:tbl>
    <w:p w14:paraId="1D218E9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43BBFE0C">
      <w:pPr>
        <w:widowControl/>
        <w:jc w:val="center"/>
        <w:rPr>
          <w:rFonts w:ascii="Times New Roman" w:hAnsi="Times New Roman" w:eastAsia="方正小标宋_GBK" w:cs="Times New Roman"/>
          <w:kern w:val="0"/>
          <w:sz w:val="36"/>
          <w:szCs w:val="36"/>
        </w:rPr>
      </w:pPr>
    </w:p>
    <w:p w14:paraId="1719550B">
      <w:pPr>
        <w:pStyle w:val="7"/>
        <w:rPr>
          <w:rFonts w:ascii="Times New Roman" w:hAnsi="Times New Roman" w:eastAsia="方正小标宋_GBK" w:cs="Times New Roman"/>
          <w:kern w:val="0"/>
          <w:sz w:val="36"/>
          <w:szCs w:val="36"/>
        </w:rPr>
      </w:pPr>
    </w:p>
    <w:p w14:paraId="03F0A3F1">
      <w:pPr>
        <w:pStyle w:val="8"/>
        <w:rPr>
          <w:rFonts w:ascii="Times New Roman" w:hAnsi="Times New Roman" w:eastAsia="方正小标宋_GBK" w:cs="Times New Roman"/>
          <w:kern w:val="0"/>
          <w:sz w:val="36"/>
          <w:szCs w:val="36"/>
        </w:rPr>
      </w:pPr>
    </w:p>
    <w:p w14:paraId="64029E5A">
      <w:pPr>
        <w:rPr>
          <w:rFonts w:ascii="Times New Roman" w:hAnsi="Times New Roman" w:eastAsia="方正小标宋_GBK" w:cs="Times New Roman"/>
          <w:kern w:val="0"/>
          <w:sz w:val="36"/>
          <w:szCs w:val="36"/>
        </w:rPr>
      </w:pPr>
    </w:p>
    <w:p w14:paraId="61CD614D">
      <w:pPr>
        <w:pStyle w:val="7"/>
        <w:rPr>
          <w:rFonts w:ascii="Times New Roman" w:hAnsi="Times New Roman" w:eastAsia="方正小标宋_GBK" w:cs="Times New Roman"/>
          <w:kern w:val="0"/>
          <w:sz w:val="36"/>
          <w:szCs w:val="36"/>
        </w:rPr>
      </w:pPr>
    </w:p>
    <w:p w14:paraId="42D3C1C8">
      <w:pPr>
        <w:pStyle w:val="8"/>
        <w:rPr>
          <w:rFonts w:ascii="Times New Roman" w:hAnsi="Times New Roman" w:eastAsia="方正小标宋_GBK" w:cs="Times New Roman"/>
          <w:kern w:val="0"/>
          <w:sz w:val="36"/>
          <w:szCs w:val="36"/>
        </w:rPr>
      </w:pPr>
    </w:p>
    <w:p w14:paraId="533070F8">
      <w:pPr>
        <w:rPr>
          <w:rFonts w:ascii="Times New Roman" w:hAnsi="Times New Roman" w:eastAsia="方正小标宋_GBK" w:cs="Times New Roman"/>
          <w:kern w:val="0"/>
          <w:sz w:val="36"/>
          <w:szCs w:val="36"/>
        </w:rPr>
      </w:pPr>
    </w:p>
    <w:p w14:paraId="592AE668">
      <w:pPr>
        <w:pStyle w:val="7"/>
        <w:rPr>
          <w:rFonts w:ascii="Times New Roman" w:hAnsi="Times New Roman" w:eastAsia="方正小标宋_GBK" w:cs="Times New Roman"/>
          <w:kern w:val="0"/>
          <w:sz w:val="36"/>
          <w:szCs w:val="36"/>
        </w:rPr>
      </w:pPr>
    </w:p>
    <w:p w14:paraId="1350E65D">
      <w:pPr>
        <w:pStyle w:val="8"/>
        <w:rPr>
          <w:rFonts w:ascii="Times New Roman" w:hAnsi="Times New Roman" w:eastAsia="方正小标宋_GBK" w:cs="Times New Roman"/>
          <w:kern w:val="0"/>
          <w:sz w:val="36"/>
          <w:szCs w:val="36"/>
        </w:rPr>
      </w:pPr>
    </w:p>
    <w:p w14:paraId="0D737333">
      <w:pPr>
        <w:rPr>
          <w:rFonts w:ascii="Times New Roman" w:hAnsi="Times New Roman" w:eastAsia="方正小标宋_GBK" w:cs="Times New Roman"/>
          <w:kern w:val="0"/>
          <w:sz w:val="36"/>
          <w:szCs w:val="36"/>
        </w:rPr>
      </w:pPr>
    </w:p>
    <w:p w14:paraId="1E5462E8">
      <w:pPr>
        <w:pStyle w:val="7"/>
      </w:pPr>
    </w:p>
    <w:p w14:paraId="1F67FFC1">
      <w:pPr>
        <w:widowControl/>
        <w:spacing w:after="156" w:afterLines="50"/>
        <w:jc w:val="center"/>
        <w:textAlignment w:val="center"/>
        <w:rPr>
          <w:rFonts w:hint="eastAsia" w:ascii="Times New Roman" w:hAnsi="Times New Roman" w:eastAsia="黑体" w:cs="Times New Roman"/>
          <w:color w:val="000000"/>
          <w:kern w:val="0"/>
          <w:sz w:val="36"/>
          <w:szCs w:val="36"/>
          <w:lang w:val="en-US" w:eastAsia="zh-CN" w:bidi="ar"/>
        </w:rPr>
      </w:pPr>
      <w:r>
        <w:rPr>
          <w:rFonts w:ascii="Times New Roman" w:hAnsi="Times New Roman" w:eastAsia="黑体" w:cs="Times New Roman"/>
          <w:color w:val="000000"/>
          <w:kern w:val="0"/>
          <w:sz w:val="36"/>
          <w:szCs w:val="36"/>
          <w:lang w:bidi="ar"/>
        </w:rPr>
        <w:t>一般公共预算财政拨款支出决算表</w:t>
      </w:r>
      <w:bookmarkEnd w:id="1"/>
      <w:r>
        <w:rPr>
          <w:rFonts w:hint="eastAsia" w:ascii="Times New Roman" w:hAnsi="Times New Roman" w:eastAsia="黑体" w:cs="Times New Roman"/>
          <w:color w:val="000000"/>
          <w:kern w:val="0"/>
          <w:sz w:val="36"/>
          <w:szCs w:val="36"/>
          <w:lang w:val="en-US" w:eastAsia="zh-CN" w:bidi="ar"/>
        </w:rPr>
        <w:t xml:space="preserve"> </w:t>
      </w:r>
    </w:p>
    <w:p w14:paraId="1933DC45">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 w:val="20"/>
          <w:szCs w:val="20"/>
          <w:lang w:bidi="ar"/>
        </w:rPr>
        <w:t>中共怀化市委老干部局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428528FF">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4513"/>
        <w:gridCol w:w="2906"/>
        <w:gridCol w:w="2600"/>
        <w:gridCol w:w="3000"/>
      </w:tblGrid>
      <w:tr w14:paraId="1AF2880F">
        <w:tblPrEx>
          <w:tblCellMar>
            <w:top w:w="0" w:type="dxa"/>
            <w:left w:w="108" w:type="dxa"/>
            <w:bottom w:w="0" w:type="dxa"/>
            <w:right w:w="108" w:type="dxa"/>
          </w:tblCellMar>
        </w:tblPrEx>
        <w:trPr>
          <w:trHeight w:val="545" w:hRule="atLeast"/>
          <w:jc w:val="center"/>
        </w:trPr>
        <w:tc>
          <w:tcPr>
            <w:tcW w:w="5713"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4F741BC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506" w:type="dxa"/>
            <w:gridSpan w:val="3"/>
            <w:tcBorders>
              <w:top w:val="single" w:color="auto" w:sz="8" w:space="0"/>
              <w:left w:val="nil"/>
              <w:bottom w:val="single" w:color="auto" w:sz="4" w:space="0"/>
              <w:right w:val="single" w:color="000000" w:sz="8" w:space="0"/>
            </w:tcBorders>
            <w:shd w:val="clear" w:color="auto" w:fill="auto"/>
            <w:vAlign w:val="center"/>
          </w:tcPr>
          <w:p w14:paraId="695BE3D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04A862E">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D5FFD4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4513" w:type="dxa"/>
            <w:vMerge w:val="restart"/>
            <w:tcBorders>
              <w:top w:val="nil"/>
              <w:left w:val="single" w:color="auto" w:sz="4" w:space="0"/>
              <w:bottom w:val="single" w:color="auto" w:sz="4" w:space="0"/>
              <w:right w:val="single" w:color="auto" w:sz="4" w:space="0"/>
            </w:tcBorders>
            <w:shd w:val="clear" w:color="auto" w:fill="auto"/>
            <w:vAlign w:val="center"/>
          </w:tcPr>
          <w:p w14:paraId="3C8DB19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906" w:type="dxa"/>
            <w:vMerge w:val="restart"/>
            <w:tcBorders>
              <w:top w:val="nil"/>
              <w:left w:val="single" w:color="auto" w:sz="4" w:space="0"/>
              <w:bottom w:val="single" w:color="000000" w:sz="4" w:space="0"/>
              <w:right w:val="single" w:color="auto" w:sz="4" w:space="0"/>
            </w:tcBorders>
            <w:shd w:val="clear" w:color="auto" w:fill="auto"/>
            <w:vAlign w:val="center"/>
          </w:tcPr>
          <w:p w14:paraId="4DC28B8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600" w:type="dxa"/>
            <w:vMerge w:val="restart"/>
            <w:tcBorders>
              <w:top w:val="nil"/>
              <w:left w:val="single" w:color="auto" w:sz="4" w:space="0"/>
              <w:bottom w:val="single" w:color="000000" w:sz="4" w:space="0"/>
              <w:right w:val="single" w:color="auto" w:sz="4" w:space="0"/>
            </w:tcBorders>
            <w:shd w:val="clear" w:color="auto" w:fill="auto"/>
            <w:vAlign w:val="center"/>
          </w:tcPr>
          <w:p w14:paraId="0F891A6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31526A1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3054E664">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332215D">
            <w:pPr>
              <w:widowControl/>
              <w:jc w:val="left"/>
              <w:rPr>
                <w:rFonts w:ascii="Times New Roman" w:hAnsi="Times New Roman" w:eastAsia="仿宋_GB2312" w:cs="Times New Roman"/>
                <w:kern w:val="0"/>
                <w:szCs w:val="21"/>
              </w:rPr>
            </w:pPr>
          </w:p>
        </w:tc>
        <w:tc>
          <w:tcPr>
            <w:tcW w:w="4513" w:type="dxa"/>
            <w:vMerge w:val="continue"/>
            <w:tcBorders>
              <w:top w:val="nil"/>
              <w:left w:val="single" w:color="auto" w:sz="4" w:space="0"/>
              <w:bottom w:val="single" w:color="auto" w:sz="4" w:space="0"/>
              <w:right w:val="single" w:color="auto" w:sz="4" w:space="0"/>
            </w:tcBorders>
            <w:vAlign w:val="center"/>
          </w:tcPr>
          <w:p w14:paraId="4C1B1B0E">
            <w:pPr>
              <w:widowControl/>
              <w:jc w:val="left"/>
              <w:rPr>
                <w:rFonts w:ascii="Times New Roman" w:hAnsi="Times New Roman" w:eastAsia="仿宋_GB2312" w:cs="Times New Roman"/>
                <w:kern w:val="0"/>
                <w:szCs w:val="21"/>
              </w:rPr>
            </w:pPr>
          </w:p>
        </w:tc>
        <w:tc>
          <w:tcPr>
            <w:tcW w:w="2906" w:type="dxa"/>
            <w:vMerge w:val="continue"/>
            <w:tcBorders>
              <w:top w:val="nil"/>
              <w:left w:val="single" w:color="auto" w:sz="4" w:space="0"/>
              <w:bottom w:val="single" w:color="000000" w:sz="4" w:space="0"/>
              <w:right w:val="single" w:color="auto" w:sz="4" w:space="0"/>
            </w:tcBorders>
            <w:vAlign w:val="center"/>
          </w:tcPr>
          <w:p w14:paraId="366BFFDB">
            <w:pPr>
              <w:widowControl/>
              <w:jc w:val="left"/>
              <w:rPr>
                <w:rFonts w:ascii="Times New Roman" w:hAnsi="Times New Roman" w:eastAsia="仿宋_GB2312" w:cs="Times New Roman"/>
                <w:kern w:val="0"/>
                <w:szCs w:val="21"/>
              </w:rPr>
            </w:pPr>
          </w:p>
        </w:tc>
        <w:tc>
          <w:tcPr>
            <w:tcW w:w="2600" w:type="dxa"/>
            <w:vMerge w:val="continue"/>
            <w:tcBorders>
              <w:top w:val="nil"/>
              <w:left w:val="single" w:color="auto" w:sz="4" w:space="0"/>
              <w:bottom w:val="single" w:color="000000" w:sz="4" w:space="0"/>
              <w:right w:val="single" w:color="auto" w:sz="4" w:space="0"/>
            </w:tcBorders>
            <w:vAlign w:val="center"/>
          </w:tcPr>
          <w:p w14:paraId="64B7D7E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C6F51B3">
            <w:pPr>
              <w:widowControl/>
              <w:jc w:val="left"/>
              <w:rPr>
                <w:rFonts w:ascii="Times New Roman" w:hAnsi="Times New Roman" w:eastAsia="仿宋_GB2312" w:cs="Times New Roman"/>
                <w:kern w:val="0"/>
                <w:szCs w:val="21"/>
              </w:rPr>
            </w:pPr>
          </w:p>
        </w:tc>
      </w:tr>
      <w:tr w14:paraId="0FEDC735">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4E25D5D">
            <w:pPr>
              <w:widowControl/>
              <w:jc w:val="left"/>
              <w:rPr>
                <w:rFonts w:ascii="Times New Roman" w:hAnsi="Times New Roman" w:eastAsia="仿宋_GB2312" w:cs="Times New Roman"/>
                <w:kern w:val="0"/>
                <w:szCs w:val="21"/>
              </w:rPr>
            </w:pPr>
          </w:p>
        </w:tc>
        <w:tc>
          <w:tcPr>
            <w:tcW w:w="4513" w:type="dxa"/>
            <w:vMerge w:val="continue"/>
            <w:tcBorders>
              <w:top w:val="nil"/>
              <w:left w:val="single" w:color="auto" w:sz="4" w:space="0"/>
              <w:bottom w:val="single" w:color="auto" w:sz="4" w:space="0"/>
              <w:right w:val="single" w:color="auto" w:sz="4" w:space="0"/>
            </w:tcBorders>
            <w:vAlign w:val="center"/>
          </w:tcPr>
          <w:p w14:paraId="51A51761">
            <w:pPr>
              <w:widowControl/>
              <w:jc w:val="left"/>
              <w:rPr>
                <w:rFonts w:ascii="Times New Roman" w:hAnsi="Times New Roman" w:eastAsia="仿宋_GB2312" w:cs="Times New Roman"/>
                <w:kern w:val="0"/>
                <w:szCs w:val="21"/>
              </w:rPr>
            </w:pPr>
          </w:p>
        </w:tc>
        <w:tc>
          <w:tcPr>
            <w:tcW w:w="2906" w:type="dxa"/>
            <w:vMerge w:val="continue"/>
            <w:tcBorders>
              <w:top w:val="nil"/>
              <w:left w:val="single" w:color="auto" w:sz="4" w:space="0"/>
              <w:bottom w:val="single" w:color="000000" w:sz="4" w:space="0"/>
              <w:right w:val="single" w:color="auto" w:sz="4" w:space="0"/>
            </w:tcBorders>
            <w:vAlign w:val="center"/>
          </w:tcPr>
          <w:p w14:paraId="43960C69">
            <w:pPr>
              <w:widowControl/>
              <w:jc w:val="left"/>
              <w:rPr>
                <w:rFonts w:ascii="Times New Roman" w:hAnsi="Times New Roman" w:eastAsia="仿宋_GB2312" w:cs="Times New Roman"/>
                <w:kern w:val="0"/>
                <w:szCs w:val="21"/>
              </w:rPr>
            </w:pPr>
          </w:p>
        </w:tc>
        <w:tc>
          <w:tcPr>
            <w:tcW w:w="2600" w:type="dxa"/>
            <w:vMerge w:val="continue"/>
            <w:tcBorders>
              <w:top w:val="nil"/>
              <w:left w:val="single" w:color="auto" w:sz="4" w:space="0"/>
              <w:bottom w:val="single" w:color="000000" w:sz="4" w:space="0"/>
              <w:right w:val="single" w:color="auto" w:sz="4" w:space="0"/>
            </w:tcBorders>
            <w:vAlign w:val="center"/>
          </w:tcPr>
          <w:p w14:paraId="768C1CC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3D71950">
            <w:pPr>
              <w:widowControl/>
              <w:jc w:val="left"/>
              <w:rPr>
                <w:rFonts w:ascii="Times New Roman" w:hAnsi="Times New Roman" w:eastAsia="仿宋_GB2312" w:cs="Times New Roman"/>
                <w:kern w:val="0"/>
                <w:szCs w:val="21"/>
              </w:rPr>
            </w:pPr>
          </w:p>
        </w:tc>
      </w:tr>
      <w:tr w14:paraId="23EFE59D">
        <w:tblPrEx>
          <w:tblCellMar>
            <w:top w:w="0" w:type="dxa"/>
            <w:left w:w="108" w:type="dxa"/>
            <w:bottom w:w="0" w:type="dxa"/>
            <w:right w:w="108" w:type="dxa"/>
          </w:tblCellMar>
        </w:tblPrEx>
        <w:trPr>
          <w:trHeight w:val="450" w:hRule="atLeast"/>
          <w:jc w:val="center"/>
        </w:trPr>
        <w:tc>
          <w:tcPr>
            <w:tcW w:w="5713"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1F5D4E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906" w:type="dxa"/>
            <w:tcBorders>
              <w:top w:val="nil"/>
              <w:left w:val="nil"/>
              <w:bottom w:val="single" w:color="auto" w:sz="4" w:space="0"/>
              <w:right w:val="single" w:color="auto" w:sz="4" w:space="0"/>
            </w:tcBorders>
            <w:shd w:val="clear" w:color="auto" w:fill="auto"/>
            <w:vAlign w:val="center"/>
          </w:tcPr>
          <w:p w14:paraId="0830A64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600" w:type="dxa"/>
            <w:tcBorders>
              <w:top w:val="nil"/>
              <w:left w:val="nil"/>
              <w:bottom w:val="single" w:color="auto" w:sz="4" w:space="0"/>
              <w:right w:val="single" w:color="auto" w:sz="4" w:space="0"/>
            </w:tcBorders>
            <w:shd w:val="clear" w:color="auto" w:fill="auto"/>
            <w:vAlign w:val="center"/>
          </w:tcPr>
          <w:p w14:paraId="7AF9381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22D45B4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74886D8">
        <w:tblPrEx>
          <w:tblCellMar>
            <w:top w:w="0" w:type="dxa"/>
            <w:left w:w="108" w:type="dxa"/>
            <w:bottom w:w="0" w:type="dxa"/>
            <w:right w:w="108" w:type="dxa"/>
          </w:tblCellMar>
        </w:tblPrEx>
        <w:trPr>
          <w:trHeight w:val="482" w:hRule="exact"/>
          <w:jc w:val="center"/>
        </w:trPr>
        <w:tc>
          <w:tcPr>
            <w:tcW w:w="571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343E1C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906" w:type="dxa"/>
            <w:tcBorders>
              <w:top w:val="single" w:color="auto" w:sz="4" w:space="0"/>
              <w:left w:val="single" w:color="auto" w:sz="4" w:space="0"/>
              <w:bottom w:val="single" w:color="auto" w:sz="4" w:space="0"/>
              <w:right w:val="single" w:color="auto" w:sz="4" w:space="0"/>
            </w:tcBorders>
            <w:shd w:val="clear" w:color="auto" w:fill="auto"/>
            <w:vAlign w:val="center"/>
          </w:tcPr>
          <w:p w14:paraId="0C91FB3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562.93</w:t>
            </w:r>
          </w:p>
        </w:tc>
        <w:tc>
          <w:tcPr>
            <w:tcW w:w="2600" w:type="dxa"/>
            <w:tcBorders>
              <w:top w:val="single" w:color="auto" w:sz="4" w:space="0"/>
              <w:left w:val="single" w:color="auto" w:sz="4" w:space="0"/>
              <w:bottom w:val="single" w:color="auto" w:sz="4" w:space="0"/>
              <w:right w:val="single" w:color="auto" w:sz="4" w:space="0"/>
            </w:tcBorders>
            <w:shd w:val="clear" w:color="auto" w:fill="auto"/>
            <w:vAlign w:val="center"/>
          </w:tcPr>
          <w:p w14:paraId="19514CE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278.52</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CB64C89">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284.41</w:t>
            </w:r>
          </w:p>
        </w:tc>
      </w:tr>
      <w:tr w14:paraId="077871C3">
        <w:tblPrEx>
          <w:tblCellMar>
            <w:top w:w="0" w:type="dxa"/>
            <w:left w:w="108" w:type="dxa"/>
            <w:bottom w:w="0" w:type="dxa"/>
            <w:right w:w="108" w:type="dxa"/>
          </w:tblCellMar>
        </w:tblPrEx>
        <w:trPr>
          <w:trHeight w:val="482" w:hRule="exac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C32E99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2013101</w:t>
            </w:r>
          </w:p>
        </w:tc>
        <w:tc>
          <w:tcPr>
            <w:tcW w:w="4513" w:type="dxa"/>
            <w:tcBorders>
              <w:top w:val="single" w:color="auto" w:sz="4" w:space="0"/>
              <w:left w:val="single" w:color="auto" w:sz="4" w:space="0"/>
              <w:bottom w:val="single" w:color="auto" w:sz="4" w:space="0"/>
              <w:right w:val="single" w:color="auto" w:sz="4" w:space="0"/>
            </w:tcBorders>
            <w:shd w:val="clear" w:color="auto" w:fill="auto"/>
            <w:vAlign w:val="center"/>
          </w:tcPr>
          <w:p w14:paraId="1BDA1C1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2906" w:type="dxa"/>
            <w:tcBorders>
              <w:top w:val="single" w:color="auto" w:sz="4" w:space="0"/>
              <w:left w:val="single" w:color="auto" w:sz="4" w:space="0"/>
              <w:bottom w:val="single" w:color="auto" w:sz="4" w:space="0"/>
              <w:right w:val="single" w:color="auto" w:sz="4" w:space="0"/>
            </w:tcBorders>
            <w:shd w:val="clear" w:color="auto" w:fill="auto"/>
            <w:vAlign w:val="center"/>
          </w:tcPr>
          <w:p w14:paraId="5F9EF86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183.88</w:t>
            </w:r>
          </w:p>
        </w:tc>
        <w:tc>
          <w:tcPr>
            <w:tcW w:w="2600" w:type="dxa"/>
            <w:tcBorders>
              <w:top w:val="single" w:color="auto" w:sz="4" w:space="0"/>
              <w:left w:val="single" w:color="auto" w:sz="4" w:space="0"/>
              <w:bottom w:val="single" w:color="auto" w:sz="4" w:space="0"/>
              <w:right w:val="single" w:color="auto" w:sz="4" w:space="0"/>
            </w:tcBorders>
            <w:shd w:val="clear" w:color="auto" w:fill="auto"/>
            <w:vAlign w:val="center"/>
          </w:tcPr>
          <w:p w14:paraId="1097B23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183.88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27F1F9B">
            <w:pPr>
              <w:jc w:val="center"/>
              <w:rPr>
                <w:rFonts w:ascii="Times New Roman" w:hAnsi="Times New Roman" w:eastAsia="仿宋_GB2312" w:cs="Times New Roman"/>
                <w:kern w:val="0"/>
                <w:szCs w:val="21"/>
              </w:rPr>
            </w:pPr>
          </w:p>
        </w:tc>
      </w:tr>
      <w:tr w14:paraId="1782CB82">
        <w:tblPrEx>
          <w:tblCellMar>
            <w:top w:w="0" w:type="dxa"/>
            <w:left w:w="108" w:type="dxa"/>
            <w:bottom w:w="0" w:type="dxa"/>
            <w:right w:w="108" w:type="dxa"/>
          </w:tblCellMar>
        </w:tblPrEx>
        <w:trPr>
          <w:trHeight w:val="482" w:hRule="exac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6D7676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2013102</w:t>
            </w:r>
          </w:p>
        </w:tc>
        <w:tc>
          <w:tcPr>
            <w:tcW w:w="4513" w:type="dxa"/>
            <w:tcBorders>
              <w:top w:val="single" w:color="auto" w:sz="4" w:space="0"/>
              <w:left w:val="single" w:color="auto" w:sz="4" w:space="0"/>
              <w:bottom w:val="single" w:color="auto" w:sz="4" w:space="0"/>
              <w:right w:val="single" w:color="auto" w:sz="4" w:space="0"/>
            </w:tcBorders>
            <w:shd w:val="clear" w:color="auto" w:fill="auto"/>
            <w:vAlign w:val="center"/>
          </w:tcPr>
          <w:p w14:paraId="0768DB7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一般行政管理事务</w:t>
            </w:r>
          </w:p>
        </w:tc>
        <w:tc>
          <w:tcPr>
            <w:tcW w:w="2906" w:type="dxa"/>
            <w:tcBorders>
              <w:top w:val="single" w:color="auto" w:sz="4" w:space="0"/>
              <w:left w:val="single" w:color="auto" w:sz="4" w:space="0"/>
              <w:bottom w:val="single" w:color="auto" w:sz="4" w:space="0"/>
              <w:right w:val="single" w:color="auto" w:sz="4" w:space="0"/>
            </w:tcBorders>
            <w:shd w:val="clear" w:color="auto" w:fill="auto"/>
            <w:vAlign w:val="center"/>
          </w:tcPr>
          <w:p w14:paraId="07A0587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140.26</w:t>
            </w:r>
          </w:p>
        </w:tc>
        <w:tc>
          <w:tcPr>
            <w:tcW w:w="2600" w:type="dxa"/>
            <w:tcBorders>
              <w:top w:val="single" w:color="auto" w:sz="4" w:space="0"/>
              <w:left w:val="single" w:color="auto" w:sz="4" w:space="0"/>
              <w:bottom w:val="single" w:color="auto" w:sz="4" w:space="0"/>
              <w:right w:val="single" w:color="auto" w:sz="4" w:space="0"/>
            </w:tcBorders>
            <w:shd w:val="clear" w:color="auto" w:fill="auto"/>
            <w:vAlign w:val="center"/>
          </w:tcPr>
          <w:p w14:paraId="02BE5E26">
            <w:pPr>
              <w:jc w:val="center"/>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BD8A8F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140.26</w:t>
            </w:r>
          </w:p>
        </w:tc>
      </w:tr>
      <w:tr w14:paraId="49C572A6">
        <w:tblPrEx>
          <w:tblCellMar>
            <w:top w:w="0" w:type="dxa"/>
            <w:left w:w="108" w:type="dxa"/>
            <w:bottom w:w="0" w:type="dxa"/>
            <w:right w:w="108" w:type="dxa"/>
          </w:tblCellMar>
        </w:tblPrEx>
        <w:trPr>
          <w:trHeight w:val="482" w:hRule="exac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0CA1E5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2013199</w:t>
            </w:r>
          </w:p>
        </w:tc>
        <w:tc>
          <w:tcPr>
            <w:tcW w:w="4513" w:type="dxa"/>
            <w:tcBorders>
              <w:top w:val="single" w:color="auto" w:sz="4" w:space="0"/>
              <w:left w:val="single" w:color="auto" w:sz="4" w:space="0"/>
              <w:bottom w:val="single" w:color="auto" w:sz="4" w:space="0"/>
              <w:right w:val="single" w:color="auto" w:sz="4" w:space="0"/>
            </w:tcBorders>
            <w:shd w:val="clear" w:color="auto" w:fill="auto"/>
            <w:vAlign w:val="center"/>
          </w:tcPr>
          <w:p w14:paraId="5BDED0C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其他党委办公厅（室）及相关机构事务支出</w:t>
            </w:r>
          </w:p>
        </w:tc>
        <w:tc>
          <w:tcPr>
            <w:tcW w:w="2906" w:type="dxa"/>
            <w:tcBorders>
              <w:top w:val="single" w:color="auto" w:sz="4" w:space="0"/>
              <w:left w:val="single" w:color="auto" w:sz="4" w:space="0"/>
              <w:bottom w:val="single" w:color="auto" w:sz="4" w:space="0"/>
              <w:right w:val="single" w:color="auto" w:sz="4" w:space="0"/>
            </w:tcBorders>
            <w:shd w:val="clear" w:color="auto" w:fill="auto"/>
            <w:vAlign w:val="center"/>
          </w:tcPr>
          <w:p w14:paraId="5C0A5BD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11.50</w:t>
            </w:r>
          </w:p>
        </w:tc>
        <w:tc>
          <w:tcPr>
            <w:tcW w:w="2600" w:type="dxa"/>
            <w:tcBorders>
              <w:top w:val="single" w:color="auto" w:sz="4" w:space="0"/>
              <w:left w:val="single" w:color="auto" w:sz="4" w:space="0"/>
              <w:bottom w:val="single" w:color="auto" w:sz="4" w:space="0"/>
              <w:right w:val="single" w:color="auto" w:sz="4" w:space="0"/>
            </w:tcBorders>
            <w:shd w:val="clear" w:color="auto" w:fill="auto"/>
            <w:vAlign w:val="center"/>
          </w:tcPr>
          <w:p w14:paraId="1FE1E372">
            <w:pPr>
              <w:jc w:val="center"/>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8F05C0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11.50</w:t>
            </w:r>
          </w:p>
        </w:tc>
      </w:tr>
      <w:tr w14:paraId="288BDE72">
        <w:tblPrEx>
          <w:tblCellMar>
            <w:top w:w="0" w:type="dxa"/>
            <w:left w:w="108" w:type="dxa"/>
            <w:bottom w:w="0" w:type="dxa"/>
            <w:right w:w="108" w:type="dxa"/>
          </w:tblCellMar>
        </w:tblPrEx>
        <w:trPr>
          <w:trHeight w:val="482" w:hRule="exac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30544A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2019999</w:t>
            </w:r>
          </w:p>
        </w:tc>
        <w:tc>
          <w:tcPr>
            <w:tcW w:w="4513" w:type="dxa"/>
            <w:tcBorders>
              <w:top w:val="single" w:color="auto" w:sz="4" w:space="0"/>
              <w:left w:val="single" w:color="auto" w:sz="4" w:space="0"/>
              <w:bottom w:val="single" w:color="auto" w:sz="4" w:space="0"/>
              <w:right w:val="single" w:color="auto" w:sz="4" w:space="0"/>
            </w:tcBorders>
            <w:shd w:val="clear" w:color="auto" w:fill="auto"/>
            <w:vAlign w:val="center"/>
          </w:tcPr>
          <w:p w14:paraId="76D957C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2906" w:type="dxa"/>
            <w:tcBorders>
              <w:top w:val="single" w:color="auto" w:sz="4" w:space="0"/>
              <w:left w:val="single" w:color="auto" w:sz="4" w:space="0"/>
              <w:bottom w:val="single" w:color="auto" w:sz="4" w:space="0"/>
              <w:right w:val="single" w:color="auto" w:sz="4" w:space="0"/>
            </w:tcBorders>
            <w:shd w:val="clear" w:color="auto" w:fill="auto"/>
            <w:vAlign w:val="center"/>
          </w:tcPr>
          <w:p w14:paraId="04CA264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122.84</w:t>
            </w:r>
          </w:p>
        </w:tc>
        <w:tc>
          <w:tcPr>
            <w:tcW w:w="2600" w:type="dxa"/>
            <w:tcBorders>
              <w:top w:val="single" w:color="auto" w:sz="4" w:space="0"/>
              <w:left w:val="single" w:color="auto" w:sz="4" w:space="0"/>
              <w:bottom w:val="single" w:color="auto" w:sz="4" w:space="0"/>
              <w:right w:val="single" w:color="auto" w:sz="4" w:space="0"/>
            </w:tcBorders>
            <w:shd w:val="clear" w:color="auto" w:fill="auto"/>
            <w:vAlign w:val="center"/>
          </w:tcPr>
          <w:p w14:paraId="53B5C45C">
            <w:pPr>
              <w:jc w:val="center"/>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048368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122.84</w:t>
            </w:r>
          </w:p>
        </w:tc>
      </w:tr>
      <w:tr w14:paraId="68445543">
        <w:tblPrEx>
          <w:tblCellMar>
            <w:top w:w="0" w:type="dxa"/>
            <w:left w:w="108" w:type="dxa"/>
            <w:bottom w:w="0" w:type="dxa"/>
            <w:right w:w="108" w:type="dxa"/>
          </w:tblCellMar>
        </w:tblPrEx>
        <w:trPr>
          <w:trHeight w:val="482" w:hRule="exac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634BE1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2080501</w:t>
            </w:r>
          </w:p>
        </w:tc>
        <w:tc>
          <w:tcPr>
            <w:tcW w:w="4513" w:type="dxa"/>
            <w:tcBorders>
              <w:top w:val="single" w:color="auto" w:sz="4" w:space="0"/>
              <w:left w:val="single" w:color="auto" w:sz="4" w:space="0"/>
              <w:bottom w:val="single" w:color="auto" w:sz="4" w:space="0"/>
              <w:right w:val="single" w:color="auto" w:sz="4" w:space="0"/>
            </w:tcBorders>
            <w:shd w:val="clear" w:color="auto" w:fill="auto"/>
            <w:vAlign w:val="center"/>
          </w:tcPr>
          <w:p w14:paraId="45450C0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行政单位离退休</w:t>
            </w:r>
          </w:p>
        </w:tc>
        <w:tc>
          <w:tcPr>
            <w:tcW w:w="2906" w:type="dxa"/>
            <w:tcBorders>
              <w:top w:val="single" w:color="auto" w:sz="4" w:space="0"/>
              <w:left w:val="single" w:color="auto" w:sz="4" w:space="0"/>
              <w:bottom w:val="single" w:color="auto" w:sz="4" w:space="0"/>
              <w:right w:val="single" w:color="auto" w:sz="4" w:space="0"/>
            </w:tcBorders>
            <w:shd w:val="clear" w:color="auto" w:fill="auto"/>
            <w:vAlign w:val="center"/>
          </w:tcPr>
          <w:p w14:paraId="3FA6CC8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49.34</w:t>
            </w:r>
          </w:p>
        </w:tc>
        <w:tc>
          <w:tcPr>
            <w:tcW w:w="2600" w:type="dxa"/>
            <w:tcBorders>
              <w:top w:val="single" w:color="auto" w:sz="4" w:space="0"/>
              <w:left w:val="single" w:color="auto" w:sz="4" w:space="0"/>
              <w:bottom w:val="single" w:color="auto" w:sz="4" w:space="0"/>
              <w:right w:val="single" w:color="auto" w:sz="4" w:space="0"/>
            </w:tcBorders>
            <w:shd w:val="clear" w:color="auto" w:fill="auto"/>
            <w:vAlign w:val="center"/>
          </w:tcPr>
          <w:p w14:paraId="3077AE7B">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49.34</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93BF13B">
            <w:pPr>
              <w:jc w:val="center"/>
              <w:rPr>
                <w:rFonts w:ascii="Times New Roman" w:hAnsi="Times New Roman" w:eastAsia="仿宋_GB2312" w:cs="Times New Roman"/>
                <w:kern w:val="0"/>
                <w:szCs w:val="21"/>
              </w:rPr>
            </w:pPr>
          </w:p>
        </w:tc>
      </w:tr>
      <w:tr w14:paraId="2384659C">
        <w:tblPrEx>
          <w:tblCellMar>
            <w:top w:w="0" w:type="dxa"/>
            <w:left w:w="108" w:type="dxa"/>
            <w:bottom w:w="0" w:type="dxa"/>
            <w:right w:w="108" w:type="dxa"/>
          </w:tblCellMar>
        </w:tblPrEx>
        <w:trPr>
          <w:trHeight w:val="482" w:hRule="exac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E00281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4513" w:type="dxa"/>
            <w:tcBorders>
              <w:top w:val="single" w:color="auto" w:sz="4" w:space="0"/>
              <w:left w:val="single" w:color="auto" w:sz="4" w:space="0"/>
              <w:bottom w:val="single" w:color="auto" w:sz="4" w:space="0"/>
              <w:right w:val="single" w:color="auto" w:sz="4" w:space="0"/>
            </w:tcBorders>
            <w:shd w:val="clear" w:color="auto" w:fill="auto"/>
            <w:vAlign w:val="center"/>
          </w:tcPr>
          <w:p w14:paraId="4EF6964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906" w:type="dxa"/>
            <w:tcBorders>
              <w:top w:val="single" w:color="auto" w:sz="4" w:space="0"/>
              <w:left w:val="single" w:color="auto" w:sz="4" w:space="0"/>
              <w:bottom w:val="single" w:color="auto" w:sz="4" w:space="0"/>
              <w:right w:val="single" w:color="auto" w:sz="4" w:space="0"/>
            </w:tcBorders>
            <w:shd w:val="clear" w:color="auto" w:fill="auto"/>
            <w:vAlign w:val="center"/>
          </w:tcPr>
          <w:p w14:paraId="4F1B13EF">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19.84</w:t>
            </w:r>
          </w:p>
        </w:tc>
        <w:tc>
          <w:tcPr>
            <w:tcW w:w="2600" w:type="dxa"/>
            <w:tcBorders>
              <w:top w:val="single" w:color="auto" w:sz="4" w:space="0"/>
              <w:left w:val="single" w:color="auto" w:sz="4" w:space="0"/>
              <w:bottom w:val="single" w:color="auto" w:sz="4" w:space="0"/>
              <w:right w:val="single" w:color="auto" w:sz="4" w:space="0"/>
            </w:tcBorders>
            <w:shd w:val="clear" w:color="auto" w:fill="auto"/>
            <w:vAlign w:val="center"/>
          </w:tcPr>
          <w:p w14:paraId="390554CB">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19.84</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225A6CD">
            <w:pPr>
              <w:jc w:val="center"/>
              <w:rPr>
                <w:rFonts w:ascii="Times New Roman" w:hAnsi="Times New Roman" w:eastAsia="仿宋_GB2312" w:cs="Times New Roman"/>
                <w:kern w:val="0"/>
                <w:szCs w:val="21"/>
              </w:rPr>
            </w:pPr>
          </w:p>
        </w:tc>
      </w:tr>
      <w:tr w14:paraId="6311CB0C">
        <w:tblPrEx>
          <w:tblCellMar>
            <w:top w:w="0" w:type="dxa"/>
            <w:left w:w="108" w:type="dxa"/>
            <w:bottom w:w="0" w:type="dxa"/>
            <w:right w:w="108" w:type="dxa"/>
          </w:tblCellMar>
        </w:tblPrEx>
        <w:trPr>
          <w:trHeight w:val="482" w:hRule="exac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A8A83C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2089999</w:t>
            </w:r>
          </w:p>
        </w:tc>
        <w:tc>
          <w:tcPr>
            <w:tcW w:w="4513" w:type="dxa"/>
            <w:tcBorders>
              <w:top w:val="single" w:color="auto" w:sz="4" w:space="0"/>
              <w:left w:val="single" w:color="auto" w:sz="4" w:space="0"/>
              <w:bottom w:val="single" w:color="auto" w:sz="4" w:space="0"/>
              <w:right w:val="single" w:color="auto" w:sz="4" w:space="0"/>
            </w:tcBorders>
            <w:shd w:val="clear" w:color="auto" w:fill="auto"/>
            <w:vAlign w:val="center"/>
          </w:tcPr>
          <w:p w14:paraId="48560C1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2906" w:type="dxa"/>
            <w:tcBorders>
              <w:top w:val="single" w:color="auto" w:sz="4" w:space="0"/>
              <w:left w:val="single" w:color="auto" w:sz="4" w:space="0"/>
              <w:bottom w:val="single" w:color="auto" w:sz="4" w:space="0"/>
              <w:right w:val="single" w:color="auto" w:sz="4" w:space="0"/>
            </w:tcBorders>
            <w:shd w:val="clear" w:color="auto" w:fill="auto"/>
            <w:vAlign w:val="center"/>
          </w:tcPr>
          <w:p w14:paraId="1CC2701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9.00</w:t>
            </w:r>
          </w:p>
        </w:tc>
        <w:tc>
          <w:tcPr>
            <w:tcW w:w="2600" w:type="dxa"/>
            <w:tcBorders>
              <w:top w:val="single" w:color="auto" w:sz="4" w:space="0"/>
              <w:left w:val="single" w:color="auto" w:sz="4" w:space="0"/>
              <w:bottom w:val="single" w:color="auto" w:sz="4" w:space="0"/>
              <w:right w:val="single" w:color="auto" w:sz="4" w:space="0"/>
            </w:tcBorders>
            <w:shd w:val="clear" w:color="auto" w:fill="auto"/>
            <w:vAlign w:val="center"/>
          </w:tcPr>
          <w:p w14:paraId="226B2B03">
            <w:pPr>
              <w:jc w:val="center"/>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C00167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9.00</w:t>
            </w:r>
          </w:p>
        </w:tc>
      </w:tr>
      <w:tr w14:paraId="265C68F0">
        <w:tblPrEx>
          <w:tblCellMar>
            <w:top w:w="0" w:type="dxa"/>
            <w:left w:w="108" w:type="dxa"/>
            <w:bottom w:w="0" w:type="dxa"/>
            <w:right w:w="108" w:type="dxa"/>
          </w:tblCellMar>
        </w:tblPrEx>
        <w:trPr>
          <w:trHeight w:val="482" w:hRule="exac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0B53C6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4513" w:type="dxa"/>
            <w:tcBorders>
              <w:top w:val="single" w:color="auto" w:sz="4" w:space="0"/>
              <w:left w:val="single" w:color="auto" w:sz="4" w:space="0"/>
              <w:bottom w:val="single" w:color="auto" w:sz="4" w:space="0"/>
              <w:right w:val="single" w:color="auto" w:sz="4" w:space="0"/>
            </w:tcBorders>
            <w:shd w:val="clear" w:color="auto" w:fill="auto"/>
            <w:vAlign w:val="center"/>
          </w:tcPr>
          <w:p w14:paraId="5493CC4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行政单位医疗</w:t>
            </w:r>
          </w:p>
        </w:tc>
        <w:tc>
          <w:tcPr>
            <w:tcW w:w="2906" w:type="dxa"/>
            <w:tcBorders>
              <w:top w:val="single" w:color="auto" w:sz="4" w:space="0"/>
              <w:left w:val="single" w:color="auto" w:sz="4" w:space="0"/>
              <w:bottom w:val="single" w:color="auto" w:sz="4" w:space="0"/>
              <w:right w:val="single" w:color="auto" w:sz="4" w:space="0"/>
            </w:tcBorders>
            <w:shd w:val="clear" w:color="auto" w:fill="auto"/>
            <w:vAlign w:val="center"/>
          </w:tcPr>
          <w:p w14:paraId="0FB71EDB">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7.91</w:t>
            </w:r>
          </w:p>
        </w:tc>
        <w:tc>
          <w:tcPr>
            <w:tcW w:w="2600" w:type="dxa"/>
            <w:tcBorders>
              <w:top w:val="single" w:color="auto" w:sz="4" w:space="0"/>
              <w:left w:val="single" w:color="auto" w:sz="4" w:space="0"/>
              <w:bottom w:val="single" w:color="auto" w:sz="4" w:space="0"/>
              <w:right w:val="single" w:color="auto" w:sz="4" w:space="0"/>
            </w:tcBorders>
            <w:shd w:val="clear" w:color="auto" w:fill="auto"/>
            <w:vAlign w:val="center"/>
          </w:tcPr>
          <w:p w14:paraId="4E04780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7.91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FF0BED4">
            <w:pPr>
              <w:jc w:val="center"/>
              <w:rPr>
                <w:rFonts w:ascii="Times New Roman" w:hAnsi="Times New Roman" w:eastAsia="仿宋_GB2312" w:cs="Times New Roman"/>
                <w:kern w:val="0"/>
                <w:szCs w:val="21"/>
              </w:rPr>
            </w:pPr>
          </w:p>
        </w:tc>
      </w:tr>
      <w:tr w14:paraId="585DD4DE">
        <w:tblPrEx>
          <w:tblCellMar>
            <w:top w:w="0" w:type="dxa"/>
            <w:left w:w="108" w:type="dxa"/>
            <w:bottom w:w="0" w:type="dxa"/>
            <w:right w:w="108" w:type="dxa"/>
          </w:tblCellMar>
        </w:tblPrEx>
        <w:trPr>
          <w:trHeight w:val="482" w:hRule="exac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1B6167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2101199</w:t>
            </w:r>
          </w:p>
        </w:tc>
        <w:tc>
          <w:tcPr>
            <w:tcW w:w="4513" w:type="dxa"/>
            <w:tcBorders>
              <w:top w:val="single" w:color="auto" w:sz="4" w:space="0"/>
              <w:left w:val="single" w:color="auto" w:sz="4" w:space="0"/>
              <w:bottom w:val="single" w:color="auto" w:sz="4" w:space="0"/>
              <w:right w:val="single" w:color="auto" w:sz="4" w:space="0"/>
            </w:tcBorders>
            <w:shd w:val="clear" w:color="auto" w:fill="auto"/>
            <w:vAlign w:val="center"/>
          </w:tcPr>
          <w:p w14:paraId="1E24C6F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其他行政事业单位医疗支出</w:t>
            </w:r>
          </w:p>
        </w:tc>
        <w:tc>
          <w:tcPr>
            <w:tcW w:w="2906" w:type="dxa"/>
            <w:tcBorders>
              <w:top w:val="single" w:color="auto" w:sz="4" w:space="0"/>
              <w:left w:val="single" w:color="auto" w:sz="4" w:space="0"/>
              <w:bottom w:val="single" w:color="auto" w:sz="4" w:space="0"/>
              <w:right w:val="single" w:color="auto" w:sz="4" w:space="0"/>
            </w:tcBorders>
            <w:shd w:val="clear" w:color="auto" w:fill="auto"/>
            <w:vAlign w:val="center"/>
          </w:tcPr>
          <w:p w14:paraId="1AF2266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600" w:type="dxa"/>
            <w:tcBorders>
              <w:top w:val="single" w:color="auto" w:sz="4" w:space="0"/>
              <w:left w:val="single" w:color="auto" w:sz="4" w:space="0"/>
              <w:bottom w:val="single" w:color="auto" w:sz="4" w:space="0"/>
              <w:right w:val="single" w:color="auto" w:sz="4" w:space="0"/>
            </w:tcBorders>
            <w:shd w:val="clear" w:color="auto" w:fill="auto"/>
            <w:vAlign w:val="center"/>
          </w:tcPr>
          <w:p w14:paraId="06847AD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1D469D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481079C">
        <w:tblPrEx>
          <w:tblCellMar>
            <w:top w:w="0" w:type="dxa"/>
            <w:left w:w="108" w:type="dxa"/>
            <w:bottom w:w="0" w:type="dxa"/>
            <w:right w:w="108" w:type="dxa"/>
          </w:tblCellMar>
        </w:tblPrEx>
        <w:trPr>
          <w:trHeight w:val="482" w:hRule="exac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CA499A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4513" w:type="dxa"/>
            <w:tcBorders>
              <w:top w:val="single" w:color="auto" w:sz="4" w:space="0"/>
              <w:left w:val="single" w:color="auto" w:sz="4" w:space="0"/>
              <w:bottom w:val="single" w:color="auto" w:sz="4" w:space="0"/>
              <w:right w:val="single" w:color="auto" w:sz="4" w:space="0"/>
            </w:tcBorders>
            <w:shd w:val="clear" w:color="auto" w:fill="auto"/>
            <w:vAlign w:val="center"/>
          </w:tcPr>
          <w:p w14:paraId="5BBC062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住房公积金</w:t>
            </w:r>
          </w:p>
        </w:tc>
        <w:tc>
          <w:tcPr>
            <w:tcW w:w="2906" w:type="dxa"/>
            <w:tcBorders>
              <w:top w:val="single" w:color="auto" w:sz="4" w:space="0"/>
              <w:left w:val="single" w:color="auto" w:sz="4" w:space="0"/>
              <w:bottom w:val="single" w:color="auto" w:sz="4" w:space="0"/>
              <w:right w:val="single" w:color="auto" w:sz="4" w:space="0"/>
            </w:tcBorders>
            <w:shd w:val="clear" w:color="auto" w:fill="auto"/>
            <w:vAlign w:val="center"/>
          </w:tcPr>
          <w:p w14:paraId="6A1F6E7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600" w:type="dxa"/>
            <w:tcBorders>
              <w:top w:val="single" w:color="auto" w:sz="4" w:space="0"/>
              <w:left w:val="single" w:color="auto" w:sz="4" w:space="0"/>
              <w:bottom w:val="single" w:color="auto" w:sz="4" w:space="0"/>
              <w:right w:val="single" w:color="auto" w:sz="4" w:space="0"/>
            </w:tcBorders>
            <w:shd w:val="clear" w:color="auto" w:fill="auto"/>
            <w:vAlign w:val="center"/>
          </w:tcPr>
          <w:p w14:paraId="2BFDF4A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E64D06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4D953E67">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24BBA8A1">
      <w:pPr>
        <w:widowControl/>
        <w:jc w:val="left"/>
        <w:rPr>
          <w:rFonts w:ascii="Times New Roman" w:hAnsi="Times New Roman" w:eastAsia="仿宋_GB2312" w:cs="Times New Roman"/>
          <w:bCs/>
          <w:kern w:val="0"/>
          <w:szCs w:val="21"/>
        </w:rPr>
      </w:pPr>
    </w:p>
    <w:p w14:paraId="63683625">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1A460EA1">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143E3E42">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bidi="ar"/>
        </w:rPr>
        <w:t>中共怀化市委老干部局</w:t>
      </w:r>
      <w:r>
        <w:rPr>
          <w:rFonts w:ascii="Times New Roman" w:hAnsi="Times New Roman" w:eastAsia="仿宋_GB2312" w:cs="Times New Roman"/>
          <w:color w:val="000000"/>
          <w:kern w:val="0"/>
          <w:szCs w:val="21"/>
        </w:rPr>
        <w:t xml:space="preserve">                                                                                                  公开06表</w:t>
      </w:r>
    </w:p>
    <w:p w14:paraId="52CB46B3">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2C0B4FAC">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006A4A0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74A7140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39452AF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182C594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6EE3A29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E39217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093FA7C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79B5575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44B02EA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5D3B43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5139D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75B641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5F435AE9">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204.21</w:t>
            </w:r>
          </w:p>
        </w:tc>
        <w:tc>
          <w:tcPr>
            <w:tcW w:w="1116" w:type="dxa"/>
            <w:tcBorders>
              <w:top w:val="nil"/>
              <w:left w:val="nil"/>
              <w:bottom w:val="single" w:color="auto" w:sz="4" w:space="0"/>
              <w:right w:val="single" w:color="auto" w:sz="4" w:space="0"/>
            </w:tcBorders>
            <w:shd w:val="clear" w:color="auto" w:fill="auto"/>
            <w:noWrap/>
            <w:vAlign w:val="center"/>
          </w:tcPr>
          <w:p w14:paraId="47B727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00E86A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EA62BA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25.09 </w:t>
            </w:r>
          </w:p>
        </w:tc>
        <w:tc>
          <w:tcPr>
            <w:tcW w:w="1217" w:type="dxa"/>
            <w:tcBorders>
              <w:top w:val="nil"/>
              <w:left w:val="nil"/>
              <w:bottom w:val="single" w:color="auto" w:sz="4" w:space="0"/>
              <w:right w:val="single" w:color="auto" w:sz="4" w:space="0"/>
            </w:tcBorders>
            <w:shd w:val="clear" w:color="auto" w:fill="auto"/>
            <w:noWrap/>
            <w:vAlign w:val="center"/>
          </w:tcPr>
          <w:p w14:paraId="3D8790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098231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51D28DB9">
            <w:pPr>
              <w:widowControl/>
              <w:jc w:val="center"/>
              <w:rPr>
                <w:rFonts w:hint="eastAsia"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r>
      <w:tr w14:paraId="77BB094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D6EC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03FCBF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1B0BEAAF">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76.11</w:t>
            </w:r>
          </w:p>
        </w:tc>
        <w:tc>
          <w:tcPr>
            <w:tcW w:w="1116" w:type="dxa"/>
            <w:tcBorders>
              <w:top w:val="nil"/>
              <w:left w:val="nil"/>
              <w:bottom w:val="single" w:color="auto" w:sz="4" w:space="0"/>
              <w:right w:val="single" w:color="auto" w:sz="4" w:space="0"/>
            </w:tcBorders>
            <w:shd w:val="clear" w:color="auto" w:fill="auto"/>
            <w:noWrap/>
            <w:vAlign w:val="center"/>
          </w:tcPr>
          <w:p w14:paraId="32396A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4A96E7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15BDBA8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0.13 </w:t>
            </w:r>
          </w:p>
        </w:tc>
        <w:tc>
          <w:tcPr>
            <w:tcW w:w="1217" w:type="dxa"/>
            <w:tcBorders>
              <w:top w:val="nil"/>
              <w:left w:val="nil"/>
              <w:bottom w:val="single" w:color="auto" w:sz="4" w:space="0"/>
              <w:right w:val="single" w:color="auto" w:sz="4" w:space="0"/>
            </w:tcBorders>
            <w:shd w:val="clear" w:color="auto" w:fill="auto"/>
            <w:noWrap/>
            <w:vAlign w:val="center"/>
          </w:tcPr>
          <w:p w14:paraId="6D929D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2EAC4F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341148AC">
            <w:pPr>
              <w:widowControl/>
              <w:jc w:val="center"/>
              <w:rPr>
                <w:rFonts w:hint="eastAsia"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r>
      <w:tr w14:paraId="428C065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44C2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73E7DD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159298FE">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31.78</w:t>
            </w:r>
          </w:p>
        </w:tc>
        <w:tc>
          <w:tcPr>
            <w:tcW w:w="1116" w:type="dxa"/>
            <w:tcBorders>
              <w:top w:val="nil"/>
              <w:left w:val="nil"/>
              <w:bottom w:val="single" w:color="auto" w:sz="4" w:space="0"/>
              <w:right w:val="single" w:color="auto" w:sz="4" w:space="0"/>
            </w:tcBorders>
            <w:shd w:val="clear" w:color="auto" w:fill="auto"/>
            <w:noWrap/>
            <w:vAlign w:val="center"/>
          </w:tcPr>
          <w:p w14:paraId="1B195A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326314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25F478A0">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40CF2C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32A709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7AC8C9F0">
            <w:pPr>
              <w:widowControl/>
              <w:jc w:val="center"/>
              <w:rPr>
                <w:rFonts w:hint="eastAsia"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r>
      <w:tr w14:paraId="2670AA0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FE7D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5742D9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702ED2C1">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48.37</w:t>
            </w:r>
          </w:p>
        </w:tc>
        <w:tc>
          <w:tcPr>
            <w:tcW w:w="1116" w:type="dxa"/>
            <w:tcBorders>
              <w:top w:val="nil"/>
              <w:left w:val="nil"/>
              <w:bottom w:val="single" w:color="auto" w:sz="4" w:space="0"/>
              <w:right w:val="single" w:color="auto" w:sz="4" w:space="0"/>
            </w:tcBorders>
            <w:shd w:val="clear" w:color="auto" w:fill="auto"/>
            <w:noWrap/>
            <w:vAlign w:val="center"/>
          </w:tcPr>
          <w:p w14:paraId="4418FC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4D01D2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75EDA97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244518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7CFB54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5C4F89AE">
            <w:pPr>
              <w:widowControl/>
              <w:jc w:val="center"/>
              <w:rPr>
                <w:rFonts w:hint="eastAsia"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r>
      <w:tr w14:paraId="5C14747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153B1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7BBBA5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19AB9104">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77C366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6DBCF0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108D14D8">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2B0C6C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74373C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44B72346">
            <w:pPr>
              <w:widowControl/>
              <w:jc w:val="center"/>
              <w:rPr>
                <w:rFonts w:hint="eastAsia"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r>
      <w:tr w14:paraId="264E8E0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F7892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2B1C3E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00D433DE">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5FA76D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1D6DD8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42C685D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6B328C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33DAD7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614E5CF4">
            <w:pPr>
              <w:widowControl/>
              <w:jc w:val="center"/>
              <w:rPr>
                <w:rFonts w:hint="eastAsia"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r>
      <w:tr w14:paraId="67669E9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D478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622B91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109602B4">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19.84</w:t>
            </w:r>
          </w:p>
        </w:tc>
        <w:tc>
          <w:tcPr>
            <w:tcW w:w="1116" w:type="dxa"/>
            <w:tcBorders>
              <w:top w:val="nil"/>
              <w:left w:val="nil"/>
              <w:bottom w:val="single" w:color="auto" w:sz="4" w:space="0"/>
              <w:right w:val="single" w:color="auto" w:sz="4" w:space="0"/>
            </w:tcBorders>
            <w:shd w:val="clear" w:color="auto" w:fill="auto"/>
            <w:noWrap/>
            <w:vAlign w:val="center"/>
          </w:tcPr>
          <w:p w14:paraId="7CB871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1DE3A9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09492B8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56E6F2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7BA138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07A7EBD9">
            <w:pPr>
              <w:widowControl/>
              <w:jc w:val="center"/>
              <w:rPr>
                <w:rFonts w:hint="eastAsia"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r>
      <w:tr w14:paraId="3F5EE55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8638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107F62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4CAC6554">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31863E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4F6E59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6D03CC3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39966A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105861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7FD55F78">
            <w:pPr>
              <w:widowControl/>
              <w:jc w:val="center"/>
              <w:rPr>
                <w:rFonts w:hint="eastAsia"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r>
      <w:tr w14:paraId="1DA39ED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95C5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6BB2B8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49ADDB05">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7.91</w:t>
            </w:r>
          </w:p>
        </w:tc>
        <w:tc>
          <w:tcPr>
            <w:tcW w:w="1116" w:type="dxa"/>
            <w:tcBorders>
              <w:top w:val="nil"/>
              <w:left w:val="nil"/>
              <w:bottom w:val="single" w:color="auto" w:sz="4" w:space="0"/>
              <w:right w:val="single" w:color="auto" w:sz="4" w:space="0"/>
            </w:tcBorders>
            <w:shd w:val="clear" w:color="auto" w:fill="auto"/>
            <w:noWrap/>
            <w:vAlign w:val="center"/>
          </w:tcPr>
          <w:p w14:paraId="5AAB3C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2076C5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0AD916D1">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1BEF2C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5BF0CA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3A641858">
            <w:pPr>
              <w:widowControl/>
              <w:jc w:val="center"/>
              <w:rPr>
                <w:rFonts w:hint="eastAsia"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r>
      <w:tr w14:paraId="79CFC88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E299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315176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03587E67">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3E9066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6678B9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1D75F3B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701B9F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749004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6AFBB241">
            <w:pPr>
              <w:widowControl/>
              <w:jc w:val="center"/>
              <w:rPr>
                <w:rFonts w:hint="eastAsia"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r>
      <w:tr w14:paraId="5231E98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2270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023451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0ACB2C9A">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2.66</w:t>
            </w:r>
          </w:p>
        </w:tc>
        <w:tc>
          <w:tcPr>
            <w:tcW w:w="1116" w:type="dxa"/>
            <w:tcBorders>
              <w:top w:val="nil"/>
              <w:left w:val="nil"/>
              <w:bottom w:val="single" w:color="auto" w:sz="4" w:space="0"/>
              <w:right w:val="single" w:color="auto" w:sz="4" w:space="0"/>
            </w:tcBorders>
            <w:shd w:val="clear" w:color="auto" w:fill="auto"/>
            <w:noWrap/>
            <w:vAlign w:val="center"/>
          </w:tcPr>
          <w:p w14:paraId="3F312E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03B2BD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3C497DB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3A2C30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4302D4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78172E9F">
            <w:pPr>
              <w:widowControl/>
              <w:jc w:val="center"/>
              <w:rPr>
                <w:rFonts w:hint="eastAsia"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r>
      <w:tr w14:paraId="5E4D3F8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C0EB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7D5464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1D14047B">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17.55</w:t>
            </w:r>
          </w:p>
        </w:tc>
        <w:tc>
          <w:tcPr>
            <w:tcW w:w="1116" w:type="dxa"/>
            <w:tcBorders>
              <w:top w:val="nil"/>
              <w:left w:val="nil"/>
              <w:bottom w:val="single" w:color="auto" w:sz="4" w:space="0"/>
              <w:right w:val="single" w:color="auto" w:sz="4" w:space="0"/>
            </w:tcBorders>
            <w:shd w:val="clear" w:color="auto" w:fill="auto"/>
            <w:noWrap/>
            <w:vAlign w:val="center"/>
          </w:tcPr>
          <w:p w14:paraId="3210DF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0C0B91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66F78FB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165528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375026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0DBA131D">
            <w:pPr>
              <w:widowControl/>
              <w:jc w:val="center"/>
              <w:rPr>
                <w:rFonts w:hint="eastAsia"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r>
      <w:tr w14:paraId="15478FC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16B7E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7EE38C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6547F591">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5F4A16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75C451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BF2990E">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4BE182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30D222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004FCDDC">
            <w:pPr>
              <w:widowControl/>
              <w:jc w:val="center"/>
              <w:rPr>
                <w:rFonts w:hint="eastAsia"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r>
      <w:tr w14:paraId="6266908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870C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320509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6D214AF3">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2B26DD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688261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33898585">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18B43D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005D2F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05D05CC1">
            <w:pPr>
              <w:widowControl/>
              <w:jc w:val="center"/>
              <w:rPr>
                <w:rFonts w:hint="eastAsia"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r>
      <w:tr w14:paraId="223805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B7D6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54B2D4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6BCEF1D1">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49.21</w:t>
            </w:r>
          </w:p>
        </w:tc>
        <w:tc>
          <w:tcPr>
            <w:tcW w:w="1116" w:type="dxa"/>
            <w:tcBorders>
              <w:top w:val="nil"/>
              <w:left w:val="nil"/>
              <w:bottom w:val="single" w:color="auto" w:sz="4" w:space="0"/>
              <w:right w:val="single" w:color="auto" w:sz="4" w:space="0"/>
            </w:tcBorders>
            <w:shd w:val="clear" w:color="auto" w:fill="auto"/>
            <w:noWrap/>
            <w:vAlign w:val="center"/>
          </w:tcPr>
          <w:p w14:paraId="4ACEBB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290DA9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AF91B6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323C55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0F659B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785EC9B2">
            <w:pPr>
              <w:widowControl/>
              <w:jc w:val="center"/>
              <w:rPr>
                <w:rFonts w:hint="eastAsia"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r>
      <w:tr w14:paraId="6F16B63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C8BC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13C769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510D66BC">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28D10C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11B620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17D04153">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2D41E7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03D49B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13BE4E01">
            <w:pPr>
              <w:widowControl/>
              <w:jc w:val="center"/>
              <w:rPr>
                <w:rFonts w:hint="eastAsia"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r>
      <w:tr w14:paraId="4931303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6723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154A8A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341A6CB3">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0316F9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1FEC53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7D1A4CF9">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376A4E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00459A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299D6720">
            <w:pPr>
              <w:widowControl/>
              <w:jc w:val="center"/>
              <w:rPr>
                <w:rFonts w:hint="eastAsia"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r>
      <w:tr w14:paraId="57D82E7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35EF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603B06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439C806C">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69D555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303983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50C1EF3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48D593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0C63DA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1100BA53">
            <w:pPr>
              <w:widowControl/>
              <w:jc w:val="center"/>
              <w:rPr>
                <w:rFonts w:hint="eastAsia"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r>
      <w:tr w14:paraId="42701B7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25CAB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5442C8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4BC5AB49">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10CC35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327A08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3263D2B7">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4A950E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3CA74C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45197C90">
            <w:pPr>
              <w:widowControl/>
              <w:jc w:val="center"/>
              <w:rPr>
                <w:rFonts w:hint="eastAsia"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r>
      <w:tr w14:paraId="6385B18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F535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3BCEC4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79A5BC42">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48.62</w:t>
            </w:r>
          </w:p>
        </w:tc>
        <w:tc>
          <w:tcPr>
            <w:tcW w:w="1116" w:type="dxa"/>
            <w:tcBorders>
              <w:top w:val="nil"/>
              <w:left w:val="nil"/>
              <w:bottom w:val="single" w:color="auto" w:sz="4" w:space="0"/>
              <w:right w:val="single" w:color="auto" w:sz="4" w:space="0"/>
            </w:tcBorders>
            <w:shd w:val="clear" w:color="auto" w:fill="auto"/>
            <w:noWrap/>
            <w:vAlign w:val="center"/>
          </w:tcPr>
          <w:p w14:paraId="11F7C3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61089A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2EACC9C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03F2E9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02AFE7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1B4774BB">
            <w:pPr>
              <w:widowControl/>
              <w:jc w:val="center"/>
              <w:rPr>
                <w:rFonts w:hint="eastAsia"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r>
      <w:tr w14:paraId="1D31596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55109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4B2A20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26F62DFB">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3C5384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3FFB77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321FEB02">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670BC2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7EFE75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30E37113">
            <w:pPr>
              <w:widowControl/>
              <w:jc w:val="center"/>
              <w:rPr>
                <w:rFonts w:hint="eastAsia"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r>
      <w:tr w14:paraId="5C5C9A8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22BCB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57B170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1A3858C8">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1F89EF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1A6C93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46EF9CC6">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705266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314398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0250CFC0">
            <w:pPr>
              <w:widowControl/>
              <w:jc w:val="center"/>
              <w:rPr>
                <w:rFonts w:hint="eastAsia"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r>
      <w:tr w14:paraId="15F145A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58F88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3DEEC8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7C76091D">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1B1D2D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5D6AB6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60CAEC84">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9.88 </w:t>
            </w:r>
          </w:p>
        </w:tc>
        <w:tc>
          <w:tcPr>
            <w:tcW w:w="1217" w:type="dxa"/>
            <w:tcBorders>
              <w:top w:val="nil"/>
              <w:left w:val="nil"/>
              <w:bottom w:val="single" w:color="auto" w:sz="4" w:space="0"/>
              <w:right w:val="single" w:color="auto" w:sz="4" w:space="0"/>
            </w:tcBorders>
            <w:shd w:val="clear" w:color="auto" w:fill="auto"/>
            <w:noWrap/>
            <w:vAlign w:val="center"/>
          </w:tcPr>
          <w:p w14:paraId="26B86B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08BD6D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6A00C892">
            <w:pPr>
              <w:widowControl/>
              <w:jc w:val="center"/>
              <w:rPr>
                <w:rFonts w:hint="eastAsia"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r>
      <w:tr w14:paraId="63647EB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82ED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6CB8ED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1E700259">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0.50</w:t>
            </w:r>
          </w:p>
        </w:tc>
        <w:tc>
          <w:tcPr>
            <w:tcW w:w="1116" w:type="dxa"/>
            <w:tcBorders>
              <w:top w:val="nil"/>
              <w:left w:val="nil"/>
              <w:bottom w:val="single" w:color="auto" w:sz="4" w:space="0"/>
              <w:right w:val="single" w:color="auto" w:sz="4" w:space="0"/>
            </w:tcBorders>
            <w:shd w:val="clear" w:color="auto" w:fill="auto"/>
            <w:noWrap/>
            <w:vAlign w:val="center"/>
          </w:tcPr>
          <w:p w14:paraId="1F8A7B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6FE937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407A7CEA">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3.66 </w:t>
            </w:r>
          </w:p>
        </w:tc>
        <w:tc>
          <w:tcPr>
            <w:tcW w:w="1217" w:type="dxa"/>
            <w:tcBorders>
              <w:top w:val="nil"/>
              <w:left w:val="nil"/>
              <w:bottom w:val="single" w:color="auto" w:sz="4" w:space="0"/>
              <w:right w:val="single" w:color="auto" w:sz="4" w:space="0"/>
            </w:tcBorders>
            <w:shd w:val="clear" w:color="auto" w:fill="auto"/>
            <w:noWrap/>
            <w:vAlign w:val="center"/>
          </w:tcPr>
          <w:p w14:paraId="25A485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2C20A0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41F72D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7742EB6F">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1DA940E2">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B2FE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09B7A6C7">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B9C4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7068A65B">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1435A217">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8FC4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0D9C988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E4AD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5651121A">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54E61118">
            <w:pPr>
              <w:widowControl/>
              <w:jc w:val="center"/>
              <w:rPr>
                <w:rFonts w:hint="eastAsia" w:ascii="Times New Roman" w:hAnsi="Times New Roman" w:eastAsia="仿宋_GB2312" w:cs="Times New Roman"/>
                <w:color w:val="000000"/>
                <w:kern w:val="0"/>
                <w:sz w:val="21"/>
                <w:szCs w:val="20"/>
                <w:lang w:val="en-US" w:eastAsia="zh-CN" w:bidi="ar-SA"/>
              </w:rPr>
            </w:pPr>
            <w:r>
              <w:rPr>
                <w:rFonts w:hint="eastAsia" w:ascii="Times New Roman" w:hAnsi="Times New Roman" w:eastAsia="仿宋_GB2312" w:cs="Times New Roman"/>
                <w:color w:val="000000"/>
                <w:kern w:val="0"/>
                <w:szCs w:val="20"/>
                <w:lang w:val="en-US" w:eastAsia="zh-CN"/>
              </w:rPr>
              <w:t xml:space="preserve">0.00 </w:t>
            </w:r>
          </w:p>
        </w:tc>
      </w:tr>
      <w:tr w14:paraId="47BFBC3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213F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51CAF4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1059974F">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12E090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12D905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015CDBAD">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1FA268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3813A5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7401163E">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p w14:paraId="171F975C">
            <w:pPr>
              <w:pStyle w:val="7"/>
              <w:rPr>
                <w:rFonts w:hint="default"/>
                <w:lang w:val="en-US" w:eastAsia="zh-CN"/>
              </w:rPr>
            </w:pPr>
            <w:r>
              <w:rPr>
                <w:rFonts w:hint="eastAsia" w:ascii="Times New Roman" w:hAnsi="Times New Roman" w:eastAsia="仿宋_GB2312" w:cs="Times New Roman"/>
                <w:color w:val="000000"/>
                <w:kern w:val="0"/>
                <w:szCs w:val="20"/>
                <w:lang w:val="en-US" w:eastAsia="zh-CN"/>
              </w:rPr>
              <w:t>0.00</w:t>
            </w:r>
          </w:p>
        </w:tc>
      </w:tr>
      <w:tr w14:paraId="5BDA64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DB09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72477B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512A83C7">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1FF766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2D3C72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64C3BFC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11.20 </w:t>
            </w:r>
          </w:p>
        </w:tc>
        <w:tc>
          <w:tcPr>
            <w:tcW w:w="1217" w:type="dxa"/>
            <w:tcBorders>
              <w:top w:val="nil"/>
              <w:left w:val="nil"/>
              <w:bottom w:val="single" w:color="auto" w:sz="4" w:space="0"/>
              <w:right w:val="single" w:color="auto" w:sz="4" w:space="0"/>
            </w:tcBorders>
            <w:shd w:val="clear" w:color="auto" w:fill="auto"/>
            <w:noWrap/>
            <w:vAlign w:val="center"/>
          </w:tcPr>
          <w:p w14:paraId="4E9BFA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202796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1D2D09C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46E418A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C5A2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076BEB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5BC09ED7">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0.09</w:t>
            </w:r>
          </w:p>
        </w:tc>
        <w:tc>
          <w:tcPr>
            <w:tcW w:w="1116" w:type="dxa"/>
            <w:tcBorders>
              <w:top w:val="nil"/>
              <w:left w:val="nil"/>
              <w:bottom w:val="single" w:color="auto" w:sz="4" w:space="0"/>
              <w:right w:val="single" w:color="auto" w:sz="4" w:space="0"/>
            </w:tcBorders>
            <w:shd w:val="clear" w:color="auto" w:fill="auto"/>
            <w:noWrap/>
            <w:vAlign w:val="center"/>
          </w:tcPr>
          <w:p w14:paraId="0A1E5B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719F2A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4D224ACC">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5349B152">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7499306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355EBC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1FDA7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A055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596746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177A4F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573BA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124615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1318D246">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0.22 </w:t>
            </w:r>
          </w:p>
        </w:tc>
        <w:tc>
          <w:tcPr>
            <w:tcW w:w="1217" w:type="dxa"/>
            <w:tcBorders>
              <w:top w:val="nil"/>
              <w:left w:val="nil"/>
              <w:bottom w:val="single" w:color="auto" w:sz="4" w:space="0"/>
              <w:right w:val="single" w:color="auto" w:sz="4" w:space="0"/>
            </w:tcBorders>
            <w:shd w:val="clear" w:color="auto" w:fill="auto"/>
            <w:noWrap/>
            <w:vAlign w:val="center"/>
          </w:tcPr>
          <w:p w14:paraId="1042851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23698B4">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64AECD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5F772D2">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0725B7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1B687C33">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253.43</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4620C21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68AE9C6F">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25.09</w:t>
            </w:r>
          </w:p>
        </w:tc>
      </w:tr>
    </w:tbl>
    <w:p w14:paraId="3176A1ED">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A3E4003">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78A655D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3431F45E">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77BA4032">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中共怀化市委老干部局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5F509A36">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7082D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18B33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8E9D0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2B701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B1A1D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31B1DF67">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5656D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C7039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BC23A">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429F1">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24DC4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1F148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062B3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868A2">
            <w:pPr>
              <w:widowControl/>
              <w:jc w:val="center"/>
              <w:rPr>
                <w:rFonts w:ascii="Times New Roman" w:hAnsi="Times New Roman" w:eastAsia="仿宋_GB2312" w:cs="Times New Roman"/>
                <w:color w:val="000000"/>
                <w:sz w:val="24"/>
                <w:szCs w:val="24"/>
              </w:rPr>
            </w:pPr>
          </w:p>
        </w:tc>
      </w:tr>
      <w:tr w14:paraId="04FC016C">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C679E">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C303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2C3DD">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9C053">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EC14B">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F159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857B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767E6">
            <w:pPr>
              <w:jc w:val="center"/>
              <w:rPr>
                <w:rFonts w:ascii="Times New Roman" w:hAnsi="Times New Roman" w:eastAsia="仿宋_GB2312" w:cs="Times New Roman"/>
                <w:color w:val="000000"/>
                <w:sz w:val="24"/>
                <w:szCs w:val="24"/>
              </w:rPr>
            </w:pPr>
          </w:p>
        </w:tc>
      </w:tr>
      <w:tr w14:paraId="3262453D">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42670">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86AD8">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F5C36">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CE7B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489FC">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B9DE8">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633A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D3D38">
            <w:pPr>
              <w:jc w:val="center"/>
              <w:rPr>
                <w:rFonts w:ascii="Times New Roman" w:hAnsi="Times New Roman" w:eastAsia="仿宋_GB2312" w:cs="Times New Roman"/>
                <w:color w:val="000000"/>
                <w:sz w:val="24"/>
                <w:szCs w:val="24"/>
              </w:rPr>
            </w:pPr>
          </w:p>
        </w:tc>
      </w:tr>
      <w:tr w14:paraId="6644053B">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1C1FD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0A19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D98B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D493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5055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3345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5381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5AF3D4E8">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6C9F9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BFFA6">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0B8D5">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AE22A">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E1713">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5E741">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9B0CF">
            <w:pPr>
              <w:jc w:val="center"/>
              <w:rPr>
                <w:rFonts w:ascii="Times New Roman" w:hAnsi="Times New Roman" w:eastAsia="仿宋_GB2312" w:cs="Times New Roman"/>
                <w:color w:val="000000"/>
                <w:sz w:val="24"/>
                <w:szCs w:val="24"/>
              </w:rPr>
            </w:pPr>
          </w:p>
        </w:tc>
      </w:tr>
      <w:tr w14:paraId="3DEFCF4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1B82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C8A28">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5A8F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6823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65D6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0760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1950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46B00">
            <w:pPr>
              <w:rPr>
                <w:rFonts w:ascii="Times New Roman" w:hAnsi="Times New Roman" w:eastAsia="仿宋_GB2312" w:cs="Times New Roman"/>
                <w:color w:val="000000"/>
                <w:sz w:val="24"/>
                <w:szCs w:val="24"/>
              </w:rPr>
            </w:pPr>
          </w:p>
        </w:tc>
      </w:tr>
      <w:tr w14:paraId="43A65E0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7D92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777A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B277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2090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E782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A918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B3FD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9F0F7">
            <w:pPr>
              <w:rPr>
                <w:rFonts w:ascii="Times New Roman" w:hAnsi="Times New Roman" w:eastAsia="仿宋_GB2312" w:cs="Times New Roman"/>
                <w:color w:val="000000"/>
                <w:sz w:val="24"/>
                <w:szCs w:val="24"/>
              </w:rPr>
            </w:pPr>
          </w:p>
        </w:tc>
      </w:tr>
      <w:tr w14:paraId="2FAE7BC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9B91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0A74D">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2878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2100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E622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4649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745E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0F601">
            <w:pPr>
              <w:rPr>
                <w:rFonts w:ascii="Times New Roman" w:hAnsi="Times New Roman" w:eastAsia="仿宋_GB2312" w:cs="Times New Roman"/>
                <w:color w:val="000000"/>
                <w:sz w:val="24"/>
                <w:szCs w:val="24"/>
              </w:rPr>
            </w:pPr>
          </w:p>
        </w:tc>
      </w:tr>
      <w:tr w14:paraId="00B7958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8743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DEC7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F390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A07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BB7B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1272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89D2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24910">
            <w:pPr>
              <w:rPr>
                <w:rFonts w:ascii="Times New Roman" w:hAnsi="Times New Roman" w:eastAsia="仿宋_GB2312" w:cs="Times New Roman"/>
                <w:color w:val="000000"/>
                <w:sz w:val="24"/>
                <w:szCs w:val="24"/>
              </w:rPr>
            </w:pPr>
          </w:p>
        </w:tc>
      </w:tr>
      <w:tr w14:paraId="4FFF781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9526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D3F7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0FA1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BB24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62E6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B0E0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BA93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A2063">
            <w:pPr>
              <w:rPr>
                <w:rFonts w:ascii="Times New Roman" w:hAnsi="Times New Roman" w:eastAsia="仿宋_GB2312" w:cs="Times New Roman"/>
                <w:color w:val="000000"/>
                <w:sz w:val="24"/>
                <w:szCs w:val="24"/>
              </w:rPr>
            </w:pPr>
          </w:p>
        </w:tc>
      </w:tr>
      <w:tr w14:paraId="6F1EEB2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E391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20B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1898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6B39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03D6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2046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8DF3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CD464">
            <w:pPr>
              <w:rPr>
                <w:rFonts w:ascii="Times New Roman" w:hAnsi="Times New Roman" w:eastAsia="仿宋_GB2312" w:cs="Times New Roman"/>
                <w:color w:val="000000"/>
                <w:sz w:val="24"/>
                <w:szCs w:val="24"/>
              </w:rPr>
            </w:pPr>
          </w:p>
        </w:tc>
      </w:tr>
    </w:tbl>
    <w:p w14:paraId="3E3EE7A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25E4314">
      <w:pPr>
        <w:widowControl/>
        <w:jc w:val="left"/>
        <w:textAlignment w:val="center"/>
        <w:rPr>
          <w:rFonts w:ascii="Times New Roman" w:hAnsi="Times New Roman" w:eastAsia="仿宋_GB2312" w:cs="Times New Roman"/>
          <w:color w:val="000000"/>
          <w:kern w:val="0"/>
          <w:sz w:val="24"/>
          <w:szCs w:val="24"/>
          <w:lang w:bidi="ar"/>
        </w:rPr>
      </w:pPr>
    </w:p>
    <w:p w14:paraId="7D74DEB2">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4E08E237">
      <w:pPr>
        <w:widowControl/>
        <w:jc w:val="center"/>
        <w:rPr>
          <w:rFonts w:ascii="Times New Roman" w:hAnsi="Times New Roman" w:eastAsia="方正小标宋_GBK" w:cs="Times New Roman"/>
          <w:color w:val="000000"/>
          <w:kern w:val="0"/>
          <w:sz w:val="36"/>
          <w:szCs w:val="36"/>
        </w:rPr>
      </w:pPr>
    </w:p>
    <w:p w14:paraId="51D0CD9B">
      <w:pPr>
        <w:widowControl/>
        <w:spacing w:line="400" w:lineRule="exact"/>
        <w:textAlignment w:val="center"/>
        <w:rPr>
          <w:rFonts w:ascii="Times New Roman" w:hAnsi="Times New Roman" w:eastAsia="黑体" w:cs="Times New Roman"/>
          <w:color w:val="000000"/>
          <w:kern w:val="0"/>
          <w:sz w:val="36"/>
          <w:szCs w:val="36"/>
          <w:lang w:bidi="ar"/>
        </w:rPr>
      </w:pPr>
    </w:p>
    <w:p w14:paraId="380FFB0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7304497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2E5F3FB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中共怀化市委老干部局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24ABB50B">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CCD08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D546D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7E908449">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F8CC0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DEAF9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29641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C35EA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B41E1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060BD34C">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E2AE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1AF2F">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E375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D6A3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A24E2">
            <w:pPr>
              <w:jc w:val="center"/>
              <w:rPr>
                <w:rFonts w:ascii="Times New Roman" w:hAnsi="Times New Roman" w:eastAsia="仿宋_GB2312" w:cs="Times New Roman"/>
                <w:color w:val="000000"/>
                <w:sz w:val="24"/>
                <w:szCs w:val="24"/>
              </w:rPr>
            </w:pPr>
          </w:p>
        </w:tc>
      </w:tr>
      <w:tr w14:paraId="0E1D4555">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5471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E1E87">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D6B3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CBF9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0D62B">
            <w:pPr>
              <w:jc w:val="center"/>
              <w:rPr>
                <w:rFonts w:ascii="Times New Roman" w:hAnsi="Times New Roman" w:eastAsia="仿宋_GB2312" w:cs="Times New Roman"/>
                <w:color w:val="000000"/>
                <w:sz w:val="24"/>
                <w:szCs w:val="24"/>
              </w:rPr>
            </w:pPr>
          </w:p>
        </w:tc>
      </w:tr>
      <w:tr w14:paraId="03469D8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85F62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01A3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E132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BDB7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1E17084">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DDB6F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70745">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7739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A08B9">
            <w:pPr>
              <w:jc w:val="center"/>
              <w:rPr>
                <w:rFonts w:ascii="Times New Roman" w:hAnsi="Times New Roman" w:eastAsia="仿宋_GB2312" w:cs="Times New Roman"/>
                <w:color w:val="000000"/>
                <w:sz w:val="24"/>
                <w:szCs w:val="24"/>
              </w:rPr>
            </w:pPr>
          </w:p>
        </w:tc>
      </w:tr>
      <w:tr w14:paraId="272F620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6B20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B499B">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CB78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5DFF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53E23">
            <w:pPr>
              <w:rPr>
                <w:rFonts w:ascii="Times New Roman" w:hAnsi="Times New Roman" w:eastAsia="仿宋_GB2312" w:cs="Times New Roman"/>
                <w:color w:val="000000"/>
                <w:sz w:val="24"/>
                <w:szCs w:val="24"/>
              </w:rPr>
            </w:pPr>
          </w:p>
        </w:tc>
      </w:tr>
      <w:tr w14:paraId="383D413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AC20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2ED42">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A887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7B59D">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6C309">
            <w:pPr>
              <w:rPr>
                <w:rFonts w:ascii="Times New Roman" w:hAnsi="Times New Roman" w:eastAsia="仿宋_GB2312" w:cs="Times New Roman"/>
                <w:color w:val="000000"/>
                <w:sz w:val="24"/>
                <w:szCs w:val="24"/>
              </w:rPr>
            </w:pPr>
          </w:p>
        </w:tc>
      </w:tr>
      <w:tr w14:paraId="7903AFF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3677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6B628">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997D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1771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4FA5B">
            <w:pPr>
              <w:rPr>
                <w:rFonts w:ascii="Times New Roman" w:hAnsi="Times New Roman" w:eastAsia="宋体" w:cs="Times New Roman"/>
                <w:color w:val="000000"/>
                <w:sz w:val="24"/>
                <w:szCs w:val="24"/>
              </w:rPr>
            </w:pPr>
          </w:p>
        </w:tc>
      </w:tr>
      <w:tr w14:paraId="0F67D56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0C8D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9B01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A65B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F7FD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F0D0D">
            <w:pPr>
              <w:rPr>
                <w:rFonts w:ascii="Times New Roman" w:hAnsi="Times New Roman" w:eastAsia="宋体" w:cs="Times New Roman"/>
                <w:color w:val="000000"/>
                <w:sz w:val="24"/>
                <w:szCs w:val="24"/>
              </w:rPr>
            </w:pPr>
          </w:p>
        </w:tc>
      </w:tr>
      <w:tr w14:paraId="445D284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BE95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4A134">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59F7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1E51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53BAF">
            <w:pPr>
              <w:rPr>
                <w:rFonts w:ascii="Times New Roman" w:hAnsi="Times New Roman" w:eastAsia="宋体" w:cs="Times New Roman"/>
                <w:color w:val="000000"/>
                <w:sz w:val="24"/>
                <w:szCs w:val="24"/>
              </w:rPr>
            </w:pPr>
          </w:p>
        </w:tc>
      </w:tr>
      <w:tr w14:paraId="7E33A7B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BDDE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398BE">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85A2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6544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0DC8A">
            <w:pPr>
              <w:rPr>
                <w:rFonts w:ascii="Times New Roman" w:hAnsi="Times New Roman" w:eastAsia="宋体" w:cs="Times New Roman"/>
                <w:color w:val="000000"/>
                <w:sz w:val="24"/>
                <w:szCs w:val="24"/>
              </w:rPr>
            </w:pPr>
          </w:p>
        </w:tc>
      </w:tr>
    </w:tbl>
    <w:p w14:paraId="6DC0A603">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7E91ADFA">
      <w:pPr>
        <w:widowControl/>
        <w:jc w:val="left"/>
        <w:textAlignment w:val="center"/>
        <w:rPr>
          <w:rFonts w:ascii="Times New Roman" w:hAnsi="Times New Roman" w:eastAsia="宋体" w:cs="Times New Roman"/>
          <w:color w:val="000000"/>
          <w:kern w:val="0"/>
          <w:sz w:val="24"/>
          <w:szCs w:val="24"/>
          <w:lang w:bidi="ar"/>
        </w:rPr>
      </w:pPr>
    </w:p>
    <w:p w14:paraId="6A6C8795">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7967E064">
      <w:pPr>
        <w:widowControl/>
        <w:jc w:val="center"/>
        <w:rPr>
          <w:rFonts w:ascii="Times New Roman" w:hAnsi="Times New Roman" w:eastAsia="方正小标宋_GBK" w:cs="Times New Roman"/>
          <w:color w:val="000000"/>
          <w:kern w:val="0"/>
          <w:sz w:val="36"/>
          <w:szCs w:val="36"/>
        </w:rPr>
      </w:pPr>
    </w:p>
    <w:p w14:paraId="26775FF0">
      <w:pPr>
        <w:pStyle w:val="7"/>
        <w:spacing w:line="400" w:lineRule="exact"/>
        <w:rPr>
          <w:rFonts w:ascii="Times New Roman" w:hAnsi="Times New Roman" w:eastAsia="华文中宋" w:cs="Times New Roman"/>
          <w:color w:val="000000"/>
          <w:kern w:val="0"/>
          <w:sz w:val="32"/>
          <w:szCs w:val="32"/>
          <w:lang w:bidi="ar"/>
        </w:rPr>
      </w:pPr>
    </w:p>
    <w:p w14:paraId="0DF0CFF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09B0B0E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26C347B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中共怀化市委老干部局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658FF500">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E8D54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988D4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4155419D">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A76C0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E4601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2C335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E981D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E5202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31E8A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4F231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00AC0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541965A7">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4CA69">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6EEEC">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23C8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3950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5697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20FB6">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4336C">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DCE73">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2821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1729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3ED6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A7443">
            <w:pPr>
              <w:jc w:val="center"/>
              <w:rPr>
                <w:rFonts w:ascii="Times New Roman" w:hAnsi="Times New Roman" w:eastAsia="仿宋_GB2312" w:cs="Times New Roman"/>
                <w:color w:val="000000"/>
                <w:sz w:val="22"/>
              </w:rPr>
            </w:pPr>
          </w:p>
        </w:tc>
      </w:tr>
      <w:tr w14:paraId="3B4445D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C53F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4F3C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9D59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1B13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037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A15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5DF3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850F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C909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A048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AF6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88A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3FC0EF64">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8CEE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8.37 </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50DB1">
            <w:pPr>
              <w:jc w:val="right"/>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0850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6.29 </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D7ECB">
            <w:pPr>
              <w:jc w:val="right"/>
              <w:rPr>
                <w:rFonts w:ascii="Times New Roman" w:hAnsi="Times New Roman" w:eastAsia="仿宋_GB2312" w:cs="Times New Roman"/>
                <w:color w:val="000000"/>
                <w:sz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C91D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6.29 </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D996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2.08 </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0AD4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6.73 </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97884">
            <w:pPr>
              <w:jc w:val="right"/>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5C69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6.29 </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F833B">
            <w:pPr>
              <w:jc w:val="right"/>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A7F5B">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6.29 </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64EBB">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0.44 </w:t>
            </w:r>
          </w:p>
        </w:tc>
      </w:tr>
    </w:tbl>
    <w:p w14:paraId="0508FC24">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71A65E33">
      <w:pPr>
        <w:autoSpaceDE w:val="0"/>
        <w:autoSpaceDN w:val="0"/>
        <w:adjustRightInd w:val="0"/>
        <w:ind w:left="315" w:leftChars="150"/>
        <w:jc w:val="left"/>
        <w:rPr>
          <w:rFonts w:ascii="Times New Roman" w:hAnsi="Times New Roman" w:eastAsia="宋体" w:cs="Times New Roman"/>
          <w:kern w:val="0"/>
          <w:sz w:val="24"/>
          <w:szCs w:val="24"/>
        </w:rPr>
      </w:pPr>
    </w:p>
    <w:p w14:paraId="4C655D2B">
      <w:pPr>
        <w:autoSpaceDE w:val="0"/>
        <w:autoSpaceDN w:val="0"/>
        <w:adjustRightInd w:val="0"/>
        <w:ind w:left="315" w:leftChars="150"/>
        <w:jc w:val="left"/>
        <w:rPr>
          <w:rFonts w:ascii="Times New Roman" w:hAnsi="Times New Roman" w:eastAsia="宋体" w:cs="Times New Roman"/>
          <w:kern w:val="0"/>
          <w:sz w:val="24"/>
          <w:szCs w:val="24"/>
        </w:rPr>
      </w:pPr>
    </w:p>
    <w:p w14:paraId="6F76A9F3">
      <w:pPr>
        <w:autoSpaceDE w:val="0"/>
        <w:autoSpaceDN w:val="0"/>
        <w:adjustRightInd w:val="0"/>
        <w:ind w:left="315" w:leftChars="150"/>
        <w:jc w:val="left"/>
        <w:rPr>
          <w:rFonts w:ascii="Times New Roman" w:hAnsi="Times New Roman" w:eastAsia="宋体" w:cs="Times New Roman"/>
          <w:kern w:val="0"/>
          <w:sz w:val="24"/>
          <w:szCs w:val="24"/>
        </w:rPr>
      </w:pPr>
    </w:p>
    <w:p w14:paraId="32E32B18">
      <w:pPr>
        <w:autoSpaceDE w:val="0"/>
        <w:autoSpaceDN w:val="0"/>
        <w:adjustRightInd w:val="0"/>
        <w:ind w:left="315" w:leftChars="150"/>
        <w:jc w:val="left"/>
        <w:rPr>
          <w:rFonts w:ascii="Times New Roman" w:hAnsi="Times New Roman" w:eastAsia="宋体" w:cs="Times New Roman"/>
          <w:kern w:val="0"/>
          <w:sz w:val="24"/>
          <w:szCs w:val="24"/>
        </w:rPr>
      </w:pPr>
    </w:p>
    <w:p w14:paraId="75DB1B26">
      <w:pPr>
        <w:autoSpaceDE w:val="0"/>
        <w:autoSpaceDN w:val="0"/>
        <w:adjustRightInd w:val="0"/>
        <w:ind w:left="315" w:leftChars="150"/>
        <w:jc w:val="left"/>
        <w:rPr>
          <w:rFonts w:ascii="Times New Roman" w:hAnsi="Times New Roman" w:eastAsia="宋体" w:cs="Times New Roman"/>
          <w:kern w:val="0"/>
          <w:sz w:val="24"/>
          <w:szCs w:val="24"/>
        </w:rPr>
      </w:pPr>
    </w:p>
    <w:p w14:paraId="19682D8B">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C4E6AA7">
      <w:pPr>
        <w:pStyle w:val="14"/>
        <w:rPr>
          <w:rFonts w:ascii="Times New Roman" w:hAnsi="Times New Roman" w:cs="Times New Roman"/>
          <w:sz w:val="72"/>
          <w:szCs w:val="72"/>
        </w:rPr>
      </w:pPr>
    </w:p>
    <w:p w14:paraId="0BC715E5">
      <w:pPr>
        <w:pStyle w:val="14"/>
        <w:rPr>
          <w:rFonts w:ascii="Times New Roman" w:hAnsi="Times New Roman" w:cs="Times New Roman"/>
          <w:sz w:val="72"/>
          <w:szCs w:val="72"/>
        </w:rPr>
      </w:pPr>
    </w:p>
    <w:p w14:paraId="4078919D">
      <w:pPr>
        <w:pStyle w:val="14"/>
        <w:rPr>
          <w:rFonts w:ascii="Times New Roman" w:hAnsi="Times New Roman" w:cs="Times New Roman"/>
          <w:sz w:val="72"/>
          <w:szCs w:val="72"/>
        </w:rPr>
      </w:pPr>
    </w:p>
    <w:p w14:paraId="780D6F88">
      <w:pPr>
        <w:pStyle w:val="14"/>
        <w:jc w:val="center"/>
        <w:rPr>
          <w:rFonts w:ascii="Times New Roman" w:hAnsi="Times New Roman" w:cs="Times New Roman"/>
          <w:sz w:val="72"/>
          <w:szCs w:val="72"/>
        </w:rPr>
      </w:pPr>
    </w:p>
    <w:p w14:paraId="5069991A">
      <w:pPr>
        <w:pStyle w:val="14"/>
        <w:jc w:val="center"/>
        <w:rPr>
          <w:rFonts w:ascii="Times New Roman" w:hAnsi="Times New Roman" w:eastAsia="方正小标宋_GBK" w:cs="Times New Roman"/>
          <w:sz w:val="72"/>
          <w:szCs w:val="72"/>
        </w:rPr>
      </w:pPr>
    </w:p>
    <w:p w14:paraId="1053692B">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E867C2C">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3F196261">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E6E15F0">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7101094F">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562.93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9.01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1.63</w:t>
      </w:r>
      <w:r>
        <w:rPr>
          <w:rFonts w:ascii="Times New Roman" w:hAnsi="Times New Roman" w:eastAsia="仿宋_GB2312" w:cs="Times New Roman"/>
          <w:sz w:val="32"/>
          <w:szCs w:val="32"/>
        </w:rPr>
        <w:t>%</w:t>
      </w:r>
      <w:r>
        <w:rPr>
          <w:rFonts w:ascii="Times New Roman" w:hAnsi="Times New Roman" w:eastAsia="仿宋_GB2312" w:cs="Times New Roman"/>
          <w:color w:val="000000" w:themeColor="text1"/>
          <w:sz w:val="32"/>
          <w:szCs w:val="32"/>
          <w14:textFill>
            <w14:solidFill>
              <w14:schemeClr w14:val="tx1"/>
            </w14:solidFill>
          </w14:textFill>
        </w:rPr>
        <w:t>，主要是因为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新增一笔代发项目资金抗日战争时期及以前参加革命工作的离休干部一次性补助</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9万元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0D7269CB">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FB42E8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562.93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562.93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X万元，占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36A3391">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6723A00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562.93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278.52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49.48</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284.41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50.52</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B946A3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6914F33E">
      <w:pPr>
        <w:pStyle w:val="14"/>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562.93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9.01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63</w:t>
      </w:r>
      <w:r>
        <w:rPr>
          <w:rFonts w:ascii="Times New Roman" w:hAnsi="Times New Roman" w:eastAsia="仿宋_GB2312" w:cs="Times New Roman"/>
          <w:color w:val="000000" w:themeColor="text1"/>
          <w:sz w:val="32"/>
          <w:szCs w:val="32"/>
          <w14:textFill>
            <w14:solidFill>
              <w14:schemeClr w14:val="tx1"/>
            </w14:solidFill>
          </w14:textFill>
        </w:rPr>
        <w:t>%，主要是因为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新增一笔代发项目资金抗日战争时期及以前参加革命工作的离休干部一次性补助</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9万元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51A2940C">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2A9B5CBE">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4EFEFD5">
      <w:pPr>
        <w:pStyle w:val="14"/>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562.93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9.01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1.6</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ascii="Times New Roman" w:hAnsi="Times New Roman" w:eastAsia="仿宋_GB2312" w:cs="Times New Roman"/>
          <w:color w:val="000000" w:themeColor="text1"/>
          <w:sz w:val="32"/>
          <w:szCs w:val="32"/>
          <w14:textFill>
            <w14:solidFill>
              <w14:schemeClr w14:val="tx1"/>
            </w14:solidFill>
          </w14:textFill>
        </w:rPr>
        <w:t>%，主要是因为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新增一笔代发项目资金抗日战争时期及以前参加革命工作的离休干部一次性补助</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9万元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23C8ED61">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6F4908C4">
      <w:pPr>
        <w:pStyle w:val="14"/>
        <w:overflowPunct w:val="0"/>
        <w:autoSpaceDE/>
        <w:autoSpaceDN/>
        <w:spacing w:line="600" w:lineRule="exact"/>
        <w:ind w:firstLine="640" w:firstLineChars="200"/>
        <w:jc w:val="both"/>
        <w:rPr>
          <w:rFonts w:ascii="Times New Roman" w:hAnsi="Times New Roman" w:eastAsia="仿宋_GB2312" w:cs="Times New Roman"/>
          <w:color w:val="0000FF"/>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562.93</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458.49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81.45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rPr>
        <w:t>7</w:t>
      </w:r>
      <w:r>
        <w:rPr>
          <w:rFonts w:hint="eastAsia" w:ascii="Times New Roman" w:hAnsi="Times New Roman" w:eastAsia="仿宋_GB2312" w:cs="Times New Roman"/>
          <w:sz w:val="32"/>
          <w:szCs w:val="32"/>
          <w:lang w:val="en-US" w:eastAsia="zh-CN"/>
        </w:rPr>
        <w:t>8.18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13.88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val="en-US" w:eastAsia="zh-CN"/>
        </w:rPr>
        <w:t>8.71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1.55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hint="eastAsia" w:ascii="Times New Roman" w:hAnsi="Times New Roman" w:eastAsia="仿宋_GB2312" w:cs="Times New Roman"/>
          <w:sz w:val="32"/>
          <w:szCs w:val="32"/>
          <w:lang w:val="en-US" w:eastAsia="zh-CN"/>
        </w:rPr>
        <w:t>17.55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3.12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7A8674DD">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051EEDB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502.67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562.93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111.99</w:t>
      </w:r>
      <w:r>
        <w:rPr>
          <w:rFonts w:ascii="Times New Roman" w:hAnsi="Times New Roman" w:eastAsia="仿宋_GB2312" w:cs="Times New Roman"/>
          <w:sz w:val="32"/>
          <w:szCs w:val="32"/>
        </w:rPr>
        <w:t>%，其中：</w:t>
      </w:r>
    </w:p>
    <w:p w14:paraId="00856DA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党委办公厅（室）及相关机构事务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3B53343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24.33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183.88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56.70</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rPr>
        <w:t>预决算下达的功能</w:t>
      </w:r>
      <w:r>
        <w:rPr>
          <w:rFonts w:hint="eastAsia" w:ascii="Times New Roman" w:hAnsi="Times New Roman" w:eastAsia="仿宋_GB2312" w:cs="Times New Roman"/>
          <w:sz w:val="32"/>
          <w:szCs w:val="32"/>
          <w:lang w:eastAsia="zh-CN"/>
        </w:rPr>
        <w:t>口径</w:t>
      </w:r>
      <w:r>
        <w:rPr>
          <w:rFonts w:hint="eastAsia" w:ascii="Times New Roman" w:hAnsi="Times New Roman" w:eastAsia="仿宋_GB2312" w:cs="Times New Roman"/>
          <w:sz w:val="32"/>
          <w:szCs w:val="32"/>
        </w:rPr>
        <w:t>不一致，年初</w:t>
      </w:r>
      <w:r>
        <w:rPr>
          <w:rFonts w:hint="eastAsia" w:ascii="Times New Roman" w:hAnsi="Times New Roman" w:eastAsia="仿宋_GB2312" w:cs="Times New Roman"/>
          <w:sz w:val="32"/>
          <w:szCs w:val="32"/>
          <w:lang w:eastAsia="zh-CN"/>
        </w:rPr>
        <w:t>预算</w:t>
      </w:r>
      <w:r>
        <w:rPr>
          <w:rFonts w:hint="eastAsia" w:ascii="Times New Roman" w:hAnsi="Times New Roman" w:eastAsia="仿宋_GB2312" w:cs="Times New Roman"/>
          <w:sz w:val="32"/>
          <w:szCs w:val="32"/>
        </w:rPr>
        <w:t>为党委办公厅（室）及相关机构事务（款）行政运行</w:t>
      </w:r>
      <w:r>
        <w:rPr>
          <w:rFonts w:hint="eastAsia" w:ascii="Times New Roman" w:hAnsi="Times New Roman" w:eastAsia="仿宋_GB2312" w:cs="Times New Roman"/>
          <w:sz w:val="32"/>
          <w:szCs w:val="32"/>
          <w:lang w:eastAsia="zh-CN"/>
        </w:rPr>
        <w:t>，指标下达至一般行政管理事务</w:t>
      </w:r>
      <w:r>
        <w:rPr>
          <w:rFonts w:hint="eastAsia" w:ascii="Times New Roman" w:hAnsi="Times New Roman" w:eastAsia="仿宋_GB2312" w:cs="Times New Roman"/>
          <w:sz w:val="32"/>
          <w:szCs w:val="32"/>
        </w:rPr>
        <w:t>。</w:t>
      </w:r>
    </w:p>
    <w:p w14:paraId="39A6C72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rPr>
        <w:t>党委办公厅（室）及相关机构事务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一般行政管理事务</w:t>
      </w:r>
      <w:r>
        <w:rPr>
          <w:rFonts w:ascii="Times New Roman" w:hAnsi="Times New Roman" w:eastAsia="仿宋_GB2312" w:cs="Times New Roman"/>
          <w:sz w:val="32"/>
          <w:szCs w:val="32"/>
        </w:rPr>
        <w:t>（项）。</w:t>
      </w:r>
    </w:p>
    <w:p w14:paraId="62BBF03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140.26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部分经费</w:t>
      </w:r>
      <w:r>
        <w:rPr>
          <w:rFonts w:hint="eastAsia" w:ascii="Times New Roman" w:hAnsi="Times New Roman" w:eastAsia="仿宋_GB2312" w:cs="Times New Roman"/>
          <w:sz w:val="32"/>
          <w:szCs w:val="32"/>
        </w:rPr>
        <w:t>预决算下达的功能</w:t>
      </w:r>
      <w:r>
        <w:rPr>
          <w:rFonts w:hint="eastAsia" w:ascii="Times New Roman" w:hAnsi="Times New Roman" w:eastAsia="仿宋_GB2312" w:cs="Times New Roman"/>
          <w:sz w:val="32"/>
          <w:szCs w:val="32"/>
          <w:lang w:eastAsia="zh-CN"/>
        </w:rPr>
        <w:t>口径</w:t>
      </w:r>
      <w:r>
        <w:rPr>
          <w:rFonts w:hint="eastAsia" w:ascii="Times New Roman" w:hAnsi="Times New Roman" w:eastAsia="仿宋_GB2312" w:cs="Times New Roman"/>
          <w:sz w:val="32"/>
          <w:szCs w:val="32"/>
        </w:rPr>
        <w:t>不一致，年初</w:t>
      </w:r>
      <w:r>
        <w:rPr>
          <w:rFonts w:hint="eastAsia" w:ascii="Times New Roman" w:hAnsi="Times New Roman" w:eastAsia="仿宋_GB2312" w:cs="Times New Roman"/>
          <w:sz w:val="32"/>
          <w:szCs w:val="32"/>
          <w:lang w:eastAsia="zh-CN"/>
        </w:rPr>
        <w:t>预算</w:t>
      </w:r>
      <w:r>
        <w:rPr>
          <w:rFonts w:hint="eastAsia" w:ascii="Times New Roman" w:hAnsi="Times New Roman" w:eastAsia="仿宋_GB2312" w:cs="Times New Roman"/>
          <w:sz w:val="32"/>
          <w:szCs w:val="32"/>
        </w:rPr>
        <w:t>为党委办公厅（室）及相关机构事务（款）行政运行。</w:t>
      </w:r>
    </w:p>
    <w:p w14:paraId="59376282">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、一般公共服务（类）党委办公厅（室）及相关机构事务（款）其他党委办公厅（室）及相关机构事务支出（项）。</w:t>
      </w:r>
    </w:p>
    <w:p w14:paraId="1A0215DB">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15</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11.50</w:t>
      </w:r>
      <w:r>
        <w:rPr>
          <w:rFonts w:hint="eastAsia"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76.67</w:t>
      </w:r>
      <w:r>
        <w:rPr>
          <w:rFonts w:hint="eastAsia"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w:t>
      </w:r>
      <w:r>
        <w:rPr>
          <w:rFonts w:hint="eastAsia" w:ascii="Times New Roman" w:hAnsi="Times New Roman" w:eastAsia="仿宋_GB2312" w:cs="Times New Roman"/>
          <w:sz w:val="32"/>
          <w:szCs w:val="32"/>
        </w:rPr>
        <w:t>于年初预算数的主要原因是：严格按照财政要求，厉行节约，严格控制经费</w:t>
      </w:r>
      <w:r>
        <w:rPr>
          <w:rFonts w:hint="eastAsia" w:ascii="Times New Roman" w:hAnsi="Times New Roman" w:eastAsia="仿宋_GB2312" w:cs="Times New Roman"/>
          <w:sz w:val="32"/>
          <w:szCs w:val="32"/>
          <w:lang w:eastAsia="zh-CN"/>
        </w:rPr>
        <w:t>开支。</w:t>
      </w:r>
    </w:p>
    <w:p w14:paraId="347F637A">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、一般公共服务（类）其他一般公共服务支出（款）其他一般公共服务支出（项）。</w:t>
      </w:r>
    </w:p>
    <w:p w14:paraId="3C4AF2B2">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95</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122.84</w:t>
      </w:r>
      <w:r>
        <w:rPr>
          <w:rFonts w:hint="eastAsia"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129.31</w:t>
      </w:r>
      <w:r>
        <w:rPr>
          <w:rFonts w:hint="eastAsia"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hint="eastAsia"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年中调整项目</w:t>
      </w:r>
      <w:r>
        <w:rPr>
          <w:rFonts w:hint="eastAsia" w:ascii="Times New Roman" w:hAnsi="Times New Roman" w:eastAsia="仿宋_GB2312" w:cs="Times New Roman"/>
          <w:sz w:val="32"/>
          <w:szCs w:val="32"/>
          <w:lang w:val="en-US" w:eastAsia="zh-CN"/>
        </w:rPr>
        <w:t>市直单位老干部活动活动经费22万元、关工委活动经费5万元、市直老干部体检经费21.38万元</w:t>
      </w:r>
      <w:r>
        <w:rPr>
          <w:rFonts w:hint="eastAsia" w:ascii="Times New Roman" w:hAnsi="Times New Roman" w:eastAsia="仿宋_GB2312" w:cs="Times New Roman"/>
          <w:sz w:val="32"/>
          <w:szCs w:val="32"/>
        </w:rPr>
        <w:t>。</w:t>
      </w:r>
    </w:p>
    <w:p w14:paraId="7764CC2F">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、社会保障和就业支出（类）行政事业单位养老支出（款）行政单位离退休（项）。</w:t>
      </w:r>
    </w:p>
    <w:p w14:paraId="0F267D03">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21.30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49.34</w:t>
      </w:r>
      <w:r>
        <w:rPr>
          <w:rFonts w:hint="eastAsia"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231.64</w:t>
      </w:r>
      <w:r>
        <w:rPr>
          <w:rFonts w:hint="eastAsia"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离退休干部春节一次性补助费用未纳入年初预算</w:t>
      </w:r>
      <w:r>
        <w:rPr>
          <w:rFonts w:hint="eastAsia" w:ascii="Times New Roman" w:hAnsi="Times New Roman" w:eastAsia="仿宋_GB2312" w:cs="Times New Roman"/>
          <w:color w:val="000000" w:themeColor="text1"/>
          <w:sz w:val="32"/>
          <w:szCs w:val="32"/>
          <w14:textFill>
            <w14:solidFill>
              <w14:schemeClr w14:val="tx1"/>
            </w14:solidFill>
          </w14:textFill>
        </w:rPr>
        <w:t>。</w:t>
      </w:r>
    </w:p>
    <w:p w14:paraId="489421F9">
      <w:pPr>
        <w:pStyle w:val="14"/>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社会保障和就业支出</w:t>
      </w:r>
      <w:r>
        <w:rPr>
          <w:rFonts w:ascii="Times New Roman" w:hAnsi="Times New Roman" w:eastAsia="仿宋_GB2312" w:cs="Times New Roman"/>
          <w:color w:val="000000" w:themeColor="text1"/>
          <w:sz w:val="32"/>
          <w:szCs w:val="32"/>
          <w14:textFill>
            <w14:solidFill>
              <w14:schemeClr w14:val="tx1"/>
            </w14:solidFill>
          </w14:textFill>
        </w:rPr>
        <w:t>（类）</w:t>
      </w:r>
      <w:r>
        <w:rPr>
          <w:rFonts w:hint="eastAsia" w:ascii="Times New Roman" w:hAnsi="Times New Roman" w:eastAsia="仿宋_GB2312" w:cs="Times New Roman"/>
          <w:color w:val="000000" w:themeColor="text1"/>
          <w:sz w:val="32"/>
          <w:szCs w:val="32"/>
          <w14:textFill>
            <w14:solidFill>
              <w14:schemeClr w14:val="tx1"/>
            </w14:solidFill>
          </w14:textFill>
        </w:rPr>
        <w:t>行政事业单位养老支出</w:t>
      </w:r>
      <w:r>
        <w:rPr>
          <w:rFonts w:ascii="Times New Roman" w:hAnsi="Times New Roman" w:eastAsia="仿宋_GB2312" w:cs="Times New Roman"/>
          <w:color w:val="000000" w:themeColor="text1"/>
          <w:sz w:val="32"/>
          <w:szCs w:val="32"/>
          <w14:textFill>
            <w14:solidFill>
              <w14:schemeClr w14:val="tx1"/>
            </w14:solidFill>
          </w14:textFill>
        </w:rPr>
        <w:t>（款）</w:t>
      </w:r>
      <w:r>
        <w:rPr>
          <w:rFonts w:hint="eastAsia" w:ascii="Times New Roman" w:hAnsi="Times New Roman" w:eastAsia="仿宋_GB2312" w:cs="Times New Roman"/>
          <w:color w:val="000000" w:themeColor="text1"/>
          <w:sz w:val="32"/>
          <w:szCs w:val="32"/>
          <w14:textFill>
            <w14:solidFill>
              <w14:schemeClr w14:val="tx1"/>
            </w14:solidFill>
          </w14:textFill>
        </w:rPr>
        <w:t>机关事业单位基本养老保险缴费支出</w:t>
      </w:r>
      <w:r>
        <w:rPr>
          <w:rFonts w:ascii="Times New Roman" w:hAnsi="Times New Roman" w:eastAsia="仿宋_GB2312" w:cs="Times New Roman"/>
          <w:color w:val="000000" w:themeColor="text1"/>
          <w:sz w:val="32"/>
          <w:szCs w:val="32"/>
          <w14:textFill>
            <w14:solidFill>
              <w14:schemeClr w14:val="tx1"/>
            </w14:solidFill>
          </w14:textFill>
        </w:rPr>
        <w:t>（项）。</w:t>
      </w:r>
    </w:p>
    <w:p w14:paraId="7782099F">
      <w:pPr>
        <w:pStyle w:val="14"/>
        <w:overflowPunct w:val="0"/>
        <w:autoSpaceDE/>
        <w:autoSpaceDN/>
        <w:spacing w:line="600" w:lineRule="exact"/>
        <w:ind w:firstLine="640" w:firstLineChars="200"/>
        <w:jc w:val="both"/>
        <w:rPr>
          <w:rFonts w:ascii="Times New Roman" w:hAnsi="Times New Roman" w:eastAsia="仿宋_GB2312" w:cs="Times New Roman"/>
          <w:color w:val="0000FF"/>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21.76</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19.84</w:t>
      </w:r>
      <w:r>
        <w:rPr>
          <w:rFonts w:hint="eastAsia"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91.18</w:t>
      </w:r>
      <w:r>
        <w:rPr>
          <w:rFonts w:hint="eastAsia"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本年度新增退休人员</w:t>
      </w:r>
      <w:r>
        <w:rPr>
          <w:rFonts w:hint="eastAsia" w:ascii="Times New Roman" w:hAnsi="Times New Roman" w:eastAsia="仿宋_GB2312" w:cs="Times New Roman"/>
          <w:sz w:val="32"/>
          <w:szCs w:val="32"/>
          <w:lang w:val="en-US" w:eastAsia="zh-CN"/>
        </w:rPr>
        <w:t>1名，养老支出相应减少</w:t>
      </w:r>
      <w:r>
        <w:rPr>
          <w:rFonts w:hint="eastAsia" w:ascii="Times New Roman" w:hAnsi="Times New Roman" w:eastAsia="仿宋_GB2312" w:cs="Times New Roman"/>
          <w:sz w:val="32"/>
          <w:szCs w:val="32"/>
        </w:rPr>
        <w:t>。</w:t>
      </w:r>
    </w:p>
    <w:p w14:paraId="5DE50BB3">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rPr>
        <w:t>、卫生健康支出（类）行政事业单位医疗（款）行政单位医疗（项）。</w:t>
      </w:r>
    </w:p>
    <w:p w14:paraId="190EA823">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8.78</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7.91</w:t>
      </w:r>
      <w:r>
        <w:rPr>
          <w:rFonts w:hint="eastAsia"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90.09</w:t>
      </w:r>
      <w:r>
        <w:rPr>
          <w:rFonts w:hint="eastAsia"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hint="eastAsia"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本年度新增退休人员</w:t>
      </w:r>
      <w:r>
        <w:rPr>
          <w:rFonts w:hint="eastAsia" w:ascii="Times New Roman" w:hAnsi="Times New Roman" w:eastAsia="仿宋_GB2312" w:cs="Times New Roman"/>
          <w:sz w:val="32"/>
          <w:szCs w:val="32"/>
          <w:lang w:val="en-US" w:eastAsia="zh-CN"/>
        </w:rPr>
        <w:t>1名，养老支出相应减少</w:t>
      </w:r>
      <w:r>
        <w:rPr>
          <w:rFonts w:hint="eastAsia" w:ascii="Times New Roman" w:hAnsi="Times New Roman" w:eastAsia="仿宋_GB2312" w:cs="Times New Roman"/>
          <w:sz w:val="32"/>
          <w:szCs w:val="32"/>
        </w:rPr>
        <w:t>。</w:t>
      </w:r>
    </w:p>
    <w:p w14:paraId="3DC59781">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hint="eastAsia" w:ascii="Times New Roman" w:hAnsi="Times New Roman" w:eastAsia="仿宋_GB2312" w:cs="Times New Roman"/>
          <w:sz w:val="32"/>
          <w:szCs w:val="32"/>
        </w:rPr>
        <w:t>、住房保障支出（类）住房改革支出（款）住房公积金（项）。</w:t>
      </w:r>
    </w:p>
    <w:p w14:paraId="479E5EA5">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16.50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17.55</w:t>
      </w:r>
      <w:r>
        <w:rPr>
          <w:rFonts w:hint="eastAsia"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106.36</w:t>
      </w:r>
      <w:r>
        <w:rPr>
          <w:rFonts w:hint="eastAsia"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hint="eastAsia" w:ascii="Times New Roman" w:hAnsi="Times New Roman" w:eastAsia="仿宋_GB2312" w:cs="Times New Roman"/>
          <w:sz w:val="32"/>
          <w:szCs w:val="32"/>
        </w:rPr>
        <w:t>于年初预算数的主要原因是</w:t>
      </w:r>
      <w:r>
        <w:rPr>
          <w:rFonts w:hint="eastAsia"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主要是由于基本工资调整，</w:t>
      </w:r>
      <w:r>
        <w:rPr>
          <w:rFonts w:hint="eastAsia" w:ascii="Times New Roman" w:hAnsi="Times New Roman" w:eastAsia="仿宋_GB2312"/>
          <w:color w:val="000000" w:themeColor="text1"/>
          <w:sz w:val="32"/>
          <w:szCs w:val="32"/>
          <w:lang w:eastAsia="zh-CN"/>
          <w14:textFill>
            <w14:solidFill>
              <w14:schemeClr w14:val="tx1"/>
            </w14:solidFill>
          </w14:textFill>
        </w:rPr>
        <w:t>补缴了工资增加部分的住房公积金。</w:t>
      </w:r>
    </w:p>
    <w:p w14:paraId="5607E13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96206A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278.52</w:t>
      </w:r>
      <w:r>
        <w:rPr>
          <w:rFonts w:ascii="Times New Roman" w:hAnsi="Times New Roman" w:eastAsia="仿宋_GB2312" w:cs="Times New Roman"/>
          <w:sz w:val="32"/>
          <w:szCs w:val="32"/>
        </w:rPr>
        <w:t>万元，其中：</w:t>
      </w:r>
    </w:p>
    <w:p w14:paraId="131822BE">
      <w:pPr>
        <w:pStyle w:val="14"/>
        <w:overflowPunct w:val="0"/>
        <w:autoSpaceDE/>
        <w:autoSpaceDN/>
        <w:spacing w:line="600" w:lineRule="exact"/>
        <w:ind w:firstLine="640" w:firstLineChars="200"/>
        <w:jc w:val="both"/>
        <w:rPr>
          <w:rFonts w:hint="eastAsia" w:ascii="Times New Roman" w:hAnsi="Times New Roman" w:eastAsia="仿宋_GB2312"/>
          <w:color w:val="000000" w:themeColor="text1"/>
          <w:sz w:val="32"/>
          <w:szCs w:val="32"/>
          <w:lang w:eastAsia="zh-CN"/>
          <w14:textFill>
            <w14:solidFill>
              <w14:schemeClr w14:val="tx1"/>
            </w14:solidFill>
          </w14:textFill>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253.43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90.99</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76.44</w:t>
      </w:r>
      <w:r>
        <w:rPr>
          <w:rFonts w:hint="eastAsia" w:ascii="Times New Roman" w:hAnsi="Times New Roman" w:eastAsia="仿宋_GB2312" w:cs="Times New Roman"/>
          <w:sz w:val="32"/>
          <w:szCs w:val="32"/>
          <w:lang w:eastAsia="zh-CN"/>
        </w:rPr>
        <w:t>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31.78</w:t>
      </w:r>
      <w:r>
        <w:rPr>
          <w:rFonts w:hint="eastAsia" w:ascii="Times New Roman" w:hAnsi="Times New Roman" w:eastAsia="仿宋_GB2312" w:cs="Times New Roman"/>
          <w:sz w:val="32"/>
          <w:szCs w:val="32"/>
          <w:lang w:eastAsia="zh-CN"/>
        </w:rPr>
        <w:t>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48.37</w:t>
      </w:r>
      <w:r>
        <w:rPr>
          <w:rFonts w:hint="eastAsia" w:ascii="Times New Roman" w:hAnsi="Times New Roman" w:eastAsia="仿宋_GB2312" w:cs="Times New Roman"/>
          <w:sz w:val="32"/>
          <w:szCs w:val="32"/>
          <w:lang w:eastAsia="zh-CN"/>
        </w:rPr>
        <w:t>万元</w:t>
      </w:r>
      <w:r>
        <w:rPr>
          <w:rFonts w:ascii="Times New Roman" w:hAnsi="Times New Roman" w:eastAsia="仿宋_GB2312" w:cs="Times New Roman"/>
          <w:sz w:val="32"/>
          <w:szCs w:val="32"/>
        </w:rPr>
        <w:t>、</w:t>
      </w:r>
      <w:r>
        <w:rPr>
          <w:rFonts w:hint="eastAsia" w:ascii="Times New Roman" w:hAnsi="Times New Roman" w:eastAsia="仿宋_GB2312"/>
          <w:color w:val="000000" w:themeColor="text1"/>
          <w:sz w:val="32"/>
          <w:szCs w:val="32"/>
          <w:lang w:eastAsia="zh-CN"/>
          <w14:textFill>
            <w14:solidFill>
              <w14:schemeClr w14:val="tx1"/>
            </w14:solidFill>
          </w14:textFill>
        </w:rPr>
        <w:t>机关事业单位基本养老保险缴费</w:t>
      </w:r>
      <w:r>
        <w:rPr>
          <w:rFonts w:hint="eastAsia" w:ascii="Times New Roman" w:hAnsi="Times New Roman" w:eastAsia="仿宋_GB2312"/>
          <w:color w:val="000000" w:themeColor="text1"/>
          <w:sz w:val="32"/>
          <w:szCs w:val="32"/>
          <w:lang w:val="en-US" w:eastAsia="zh-CN"/>
          <w14:textFill>
            <w14:solidFill>
              <w14:schemeClr w14:val="tx1"/>
            </w14:solidFill>
          </w14:textFill>
        </w:rPr>
        <w:t>19.83万元、职工基本医疗保险缴费7.91万元、其他社会保障缴费2.66万元、住房公积金17.55万元、奖励金0.5万元、其他对个人和家庭的补助0.09万元、 生活补助48.62万元</w:t>
      </w:r>
      <w:r>
        <w:rPr>
          <w:rFonts w:hint="eastAsia" w:ascii="Times New Roman" w:hAnsi="Times New Roman" w:eastAsia="仿宋_GB2312"/>
          <w:color w:val="000000" w:themeColor="text1"/>
          <w:sz w:val="32"/>
          <w:szCs w:val="32"/>
          <w:lang w:eastAsia="zh-CN"/>
          <w14:textFill>
            <w14:solidFill>
              <w14:schemeClr w14:val="tx1"/>
            </w14:solidFill>
          </w14:textFill>
        </w:rPr>
        <w:t>。</w:t>
      </w:r>
    </w:p>
    <w:p w14:paraId="67EEDD75">
      <w:pPr>
        <w:pStyle w:val="14"/>
        <w:overflowPunct w:val="0"/>
        <w:autoSpaceDE/>
        <w:autoSpaceDN/>
        <w:spacing w:line="600" w:lineRule="exact"/>
        <w:ind w:firstLine="640" w:firstLineChars="200"/>
        <w:jc w:val="both"/>
        <w:rPr>
          <w:rFonts w:hint="eastAsia" w:ascii="Times New Roman" w:hAnsi="Times New Roman" w:eastAsia="仿宋_GB2312"/>
          <w:color w:val="000000" w:themeColor="text1"/>
          <w:sz w:val="32"/>
          <w:szCs w:val="32"/>
          <w:lang w:eastAsia="zh-CN"/>
          <w14:textFill>
            <w14:solidFill>
              <w14:schemeClr w14:val="tx1"/>
            </w14:solidFill>
          </w14:textFill>
        </w:rPr>
      </w:pPr>
      <w:r>
        <w:rPr>
          <w:rFonts w:hint="eastAsia" w:ascii="Times New Roman" w:hAnsi="Times New Roman" w:eastAsia="仿宋_GB2312"/>
          <w:b/>
          <w:bCs/>
          <w:color w:val="000000" w:themeColor="text1"/>
          <w:sz w:val="32"/>
          <w:szCs w:val="32"/>
          <w:lang w:eastAsia="zh-CN"/>
          <w14:textFill>
            <w14:solidFill>
              <w14:schemeClr w14:val="tx1"/>
            </w14:solidFill>
          </w14:textFill>
        </w:rPr>
        <w:t>公用经费</w:t>
      </w:r>
      <w:r>
        <w:rPr>
          <w:rFonts w:hint="eastAsia" w:ascii="Times New Roman" w:hAnsi="Times New Roman" w:eastAsia="仿宋_GB2312"/>
          <w:color w:val="000000" w:themeColor="text1"/>
          <w:sz w:val="32"/>
          <w:szCs w:val="32"/>
          <w:lang w:val="en-US" w:eastAsia="zh-CN"/>
          <w14:textFill>
            <w14:solidFill>
              <w14:schemeClr w14:val="tx1"/>
            </w14:solidFill>
          </w14:textFill>
        </w:rPr>
        <w:t>25.09</w:t>
      </w:r>
      <w:r>
        <w:rPr>
          <w:rFonts w:hint="eastAsia" w:ascii="Times New Roman" w:hAnsi="Times New Roman" w:eastAsia="仿宋_GB2312"/>
          <w:color w:val="000000" w:themeColor="text1"/>
          <w:sz w:val="32"/>
          <w:szCs w:val="32"/>
          <w:lang w:eastAsia="zh-CN"/>
          <w14:textFill>
            <w14:solidFill>
              <w14:schemeClr w14:val="tx1"/>
            </w14:solidFill>
          </w14:textFill>
        </w:rPr>
        <w:t>万元，占基本支出的</w:t>
      </w:r>
      <w:r>
        <w:rPr>
          <w:rFonts w:hint="eastAsia" w:ascii="Times New Roman" w:hAnsi="Times New Roman" w:eastAsia="仿宋_GB2312"/>
          <w:color w:val="000000" w:themeColor="text1"/>
          <w:sz w:val="32"/>
          <w:szCs w:val="32"/>
          <w:lang w:val="en-US" w:eastAsia="zh-CN"/>
          <w14:textFill>
            <w14:solidFill>
              <w14:schemeClr w14:val="tx1"/>
            </w14:solidFill>
          </w14:textFill>
        </w:rPr>
        <w:t>9.01</w:t>
      </w:r>
      <w:r>
        <w:rPr>
          <w:rFonts w:hint="eastAsia" w:ascii="Times New Roman" w:hAnsi="Times New Roman" w:eastAsia="仿宋_GB2312"/>
          <w:color w:val="000000" w:themeColor="text1"/>
          <w:sz w:val="32"/>
          <w:szCs w:val="32"/>
          <w:lang w:eastAsia="zh-CN"/>
          <w14:textFill>
            <w14:solidFill>
              <w14:schemeClr w14:val="tx1"/>
            </w14:solidFill>
          </w14:textFill>
        </w:rPr>
        <w:t>%，主要包括办公费</w:t>
      </w:r>
      <w:r>
        <w:rPr>
          <w:rFonts w:hint="eastAsia" w:ascii="Times New Roman" w:hAnsi="Times New Roman" w:eastAsia="仿宋_GB2312"/>
          <w:color w:val="000000" w:themeColor="text1"/>
          <w:sz w:val="32"/>
          <w:szCs w:val="32"/>
          <w:lang w:val="en-US" w:eastAsia="zh-CN"/>
          <w14:textFill>
            <w14:solidFill>
              <w14:schemeClr w14:val="tx1"/>
            </w14:solidFill>
          </w14:textFill>
        </w:rPr>
        <w:t>0.13</w:t>
      </w:r>
      <w:r>
        <w:rPr>
          <w:rFonts w:hint="eastAsia" w:ascii="Times New Roman" w:hAnsi="Times New Roman" w:eastAsia="仿宋_GB2312"/>
          <w:color w:val="000000" w:themeColor="text1"/>
          <w:sz w:val="32"/>
          <w:szCs w:val="32"/>
          <w:lang w:eastAsia="zh-CN"/>
          <w14:textFill>
            <w14:solidFill>
              <w14:schemeClr w14:val="tx1"/>
            </w14:solidFill>
          </w14:textFill>
        </w:rPr>
        <w:t>万元、工会经费</w:t>
      </w:r>
      <w:r>
        <w:rPr>
          <w:rFonts w:hint="eastAsia" w:ascii="Times New Roman" w:hAnsi="Times New Roman" w:eastAsia="仿宋_GB2312"/>
          <w:color w:val="000000" w:themeColor="text1"/>
          <w:sz w:val="32"/>
          <w:szCs w:val="32"/>
          <w:lang w:val="en-US" w:eastAsia="zh-CN"/>
          <w14:textFill>
            <w14:solidFill>
              <w14:schemeClr w14:val="tx1"/>
            </w14:solidFill>
          </w14:textFill>
        </w:rPr>
        <w:t>9.88万元</w:t>
      </w:r>
      <w:r>
        <w:rPr>
          <w:rFonts w:hint="eastAsia" w:ascii="Times New Roman" w:hAnsi="Times New Roman" w:eastAsia="仿宋_GB2312"/>
          <w:color w:val="000000" w:themeColor="text1"/>
          <w:sz w:val="32"/>
          <w:szCs w:val="32"/>
          <w:lang w:eastAsia="zh-CN"/>
          <w14:textFill>
            <w14:solidFill>
              <w14:schemeClr w14:val="tx1"/>
            </w14:solidFill>
          </w14:textFill>
        </w:rPr>
        <w:t>、福利费</w:t>
      </w:r>
      <w:r>
        <w:rPr>
          <w:rFonts w:hint="eastAsia" w:ascii="Times New Roman" w:hAnsi="Times New Roman" w:eastAsia="仿宋_GB2312"/>
          <w:color w:val="000000" w:themeColor="text1"/>
          <w:sz w:val="32"/>
          <w:szCs w:val="32"/>
          <w:lang w:val="en-US" w:eastAsia="zh-CN"/>
          <w14:textFill>
            <w14:solidFill>
              <w14:schemeClr w14:val="tx1"/>
            </w14:solidFill>
          </w14:textFill>
        </w:rPr>
        <w:t>3.66万元、</w:t>
      </w:r>
      <w:r>
        <w:rPr>
          <w:rFonts w:hint="eastAsia" w:ascii="Times New Roman" w:hAnsi="Times New Roman" w:eastAsia="仿宋_GB2312"/>
          <w:color w:val="000000" w:themeColor="text1"/>
          <w:sz w:val="32"/>
          <w:szCs w:val="32"/>
          <w:lang w:eastAsia="zh-CN"/>
          <w14:textFill>
            <w14:solidFill>
              <w14:schemeClr w14:val="tx1"/>
            </w14:solidFill>
          </w14:textFill>
        </w:rPr>
        <w:t>其他交通费用</w:t>
      </w:r>
      <w:r>
        <w:rPr>
          <w:rFonts w:hint="eastAsia" w:ascii="Times New Roman" w:hAnsi="Times New Roman" w:eastAsia="仿宋_GB2312"/>
          <w:color w:val="000000" w:themeColor="text1"/>
          <w:sz w:val="32"/>
          <w:szCs w:val="32"/>
          <w:lang w:val="en-US" w:eastAsia="zh-CN"/>
          <w14:textFill>
            <w14:solidFill>
              <w14:schemeClr w14:val="tx1"/>
            </w14:solidFill>
          </w14:textFill>
        </w:rPr>
        <w:t>11.20万元</w:t>
      </w:r>
      <w:r>
        <w:rPr>
          <w:rFonts w:hint="eastAsia" w:ascii="Times New Roman" w:hAnsi="Times New Roman" w:eastAsia="仿宋_GB2312"/>
          <w:color w:val="000000" w:themeColor="text1"/>
          <w:sz w:val="32"/>
          <w:szCs w:val="32"/>
          <w:lang w:eastAsia="zh-CN"/>
          <w14:textFill>
            <w14:solidFill>
              <w14:schemeClr w14:val="tx1"/>
            </w14:solidFill>
          </w14:textFill>
        </w:rPr>
        <w:t>、其他商品和服务支出</w:t>
      </w:r>
      <w:r>
        <w:rPr>
          <w:rFonts w:hint="eastAsia" w:ascii="Times New Roman" w:hAnsi="Times New Roman" w:eastAsia="仿宋_GB2312"/>
          <w:color w:val="000000" w:themeColor="text1"/>
          <w:sz w:val="32"/>
          <w:szCs w:val="32"/>
          <w:lang w:val="en-US" w:eastAsia="zh-CN"/>
          <w14:textFill>
            <w14:solidFill>
              <w14:schemeClr w14:val="tx1"/>
            </w14:solidFill>
          </w14:textFill>
        </w:rPr>
        <w:t>0.22万元</w:t>
      </w:r>
      <w:r>
        <w:rPr>
          <w:rFonts w:hint="eastAsia" w:ascii="Times New Roman" w:hAnsi="Times New Roman" w:eastAsia="仿宋_GB2312"/>
          <w:color w:val="000000" w:themeColor="text1"/>
          <w:sz w:val="32"/>
          <w:szCs w:val="32"/>
          <w:lang w:eastAsia="zh-CN"/>
          <w14:textFill>
            <w14:solidFill>
              <w14:schemeClr w14:val="tx1"/>
            </w14:solidFill>
          </w14:textFill>
        </w:rPr>
        <w:t>。</w:t>
      </w:r>
    </w:p>
    <w:p w14:paraId="68392B3F">
      <w:pPr>
        <w:pStyle w:val="14"/>
        <w:numPr>
          <w:ilvl w:val="0"/>
          <w:numId w:val="1"/>
        </w:numPr>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财政拨款“三公”经费支出决算情况说明</w:t>
      </w:r>
    </w:p>
    <w:p w14:paraId="3CC00CCF">
      <w:pPr>
        <w:pStyle w:val="14"/>
        <w:numPr>
          <w:ilvl w:val="0"/>
          <w:numId w:val="0"/>
        </w:numPr>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（一）“三公”经费财政拨款支出决算总体情况说明</w:t>
      </w:r>
    </w:p>
    <w:p w14:paraId="1204C92C">
      <w:pPr>
        <w:pStyle w:val="14"/>
        <w:spacing w:line="600" w:lineRule="exact"/>
        <w:ind w:firstLine="800" w:firstLineChars="250"/>
        <w:rPr>
          <w:rFonts w:ascii="Times New Roman" w:hAnsi="Times New Roman" w:eastAsia="仿宋_GB2312" w:cs="Times New Roman"/>
          <w:color w:val="auto"/>
          <w:sz w:val="32"/>
          <w:szCs w:val="32"/>
          <w:highlight w:val="yellow"/>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年度“三公”经费财政拨款支出预算为</w:t>
      </w:r>
      <w:r>
        <w:rPr>
          <w:rFonts w:hint="eastAsia" w:ascii="Times New Roman" w:hAnsi="Times New Roman" w:eastAsia="仿宋_GB2312" w:cs="Times New Roman"/>
          <w:color w:val="auto"/>
          <w:sz w:val="32"/>
          <w:szCs w:val="32"/>
          <w:lang w:val="en-US" w:eastAsia="zh-CN"/>
        </w:rPr>
        <w:t>8.37</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6.73</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80.41</w:t>
      </w:r>
      <w:r>
        <w:rPr>
          <w:rFonts w:ascii="Times New Roman" w:hAnsi="Times New Roman" w:eastAsia="仿宋_GB2312" w:cs="Times New Roman"/>
          <w:color w:val="auto"/>
          <w:sz w:val="32"/>
          <w:szCs w:val="32"/>
        </w:rPr>
        <w:t>%；与上年相比减少</w:t>
      </w:r>
      <w:r>
        <w:rPr>
          <w:rFonts w:hint="eastAsia" w:ascii="Times New Roman" w:hAnsi="Times New Roman" w:eastAsia="仿宋_GB2312" w:cs="Times New Roman"/>
          <w:color w:val="auto"/>
          <w:sz w:val="32"/>
          <w:szCs w:val="32"/>
          <w:lang w:val="en-US" w:eastAsia="zh-CN"/>
        </w:rPr>
        <w:t>0.87</w:t>
      </w:r>
      <w:r>
        <w:rPr>
          <w:rFonts w:ascii="Times New Roman" w:hAnsi="Times New Roman" w:eastAsia="仿宋_GB2312" w:cs="Times New Roman"/>
          <w:color w:val="auto"/>
          <w:sz w:val="32"/>
          <w:szCs w:val="32"/>
        </w:rPr>
        <w:t>万元，降低</w:t>
      </w:r>
      <w:r>
        <w:rPr>
          <w:rFonts w:hint="eastAsia" w:ascii="Times New Roman" w:hAnsi="Times New Roman" w:eastAsia="仿宋_GB2312" w:cs="Times New Roman"/>
          <w:color w:val="auto"/>
          <w:sz w:val="32"/>
          <w:szCs w:val="32"/>
          <w:lang w:val="en-US" w:eastAsia="zh-CN"/>
        </w:rPr>
        <w:t>11.45</w:t>
      </w:r>
      <w:r>
        <w:rPr>
          <w:rFonts w:ascii="Times New Roman" w:hAnsi="Times New Roman" w:eastAsia="仿宋_GB2312" w:cs="Times New Roman"/>
          <w:color w:val="auto"/>
          <w:sz w:val="32"/>
          <w:szCs w:val="32"/>
        </w:rPr>
        <w:t>%。决算数小于预算数的主要原因</w:t>
      </w:r>
      <w:r>
        <w:rPr>
          <w:rFonts w:hint="eastAsia" w:ascii="Times New Roman" w:hAnsi="Times New Roman" w:eastAsia="仿宋_GB2312"/>
          <w:color w:val="auto"/>
          <w:sz w:val="32"/>
          <w:szCs w:val="32"/>
        </w:rPr>
        <w:t>严格按照财政要求，厉行节约，严格控制三公经费</w:t>
      </w:r>
      <w:r>
        <w:rPr>
          <w:rFonts w:ascii="Times New Roman" w:hAnsi="Times New Roman" w:eastAsia="仿宋_GB2312" w:cs="Times New Roman"/>
          <w:color w:val="auto"/>
          <w:sz w:val="32"/>
          <w:szCs w:val="32"/>
        </w:rPr>
        <w:t>。</w:t>
      </w:r>
    </w:p>
    <w:p w14:paraId="64523C60">
      <w:pPr>
        <w:pStyle w:val="14"/>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（二）“三公”经费财政拨款支出决算具体情况说明</w:t>
      </w:r>
    </w:p>
    <w:p w14:paraId="0CC0D401">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1CF122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6.29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6.29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0.16</w:t>
      </w:r>
      <w:r>
        <w:rPr>
          <w:rFonts w:ascii="Times New Roman" w:hAnsi="Times New Roman" w:eastAsia="仿宋_GB2312" w:cs="Times New Roman"/>
          <w:sz w:val="32"/>
          <w:szCs w:val="32"/>
        </w:rPr>
        <w:t>%。其中：</w:t>
      </w:r>
    </w:p>
    <w:p w14:paraId="53D85B1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color w:val="000000" w:themeColor="text1"/>
          <w:sz w:val="32"/>
          <w:szCs w:val="32"/>
          <w14:textFill>
            <w14:solidFill>
              <w14:schemeClr w14:val="tx1"/>
            </w14:solidFill>
          </w14:textFill>
        </w:rPr>
        <w:t>。</w:t>
      </w:r>
    </w:p>
    <w:p w14:paraId="4338EF5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6.29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6.29</w:t>
      </w:r>
      <w:r>
        <w:rPr>
          <w:rFonts w:ascii="Times New Roman" w:hAnsi="Times New Roman" w:eastAsia="仿宋_GB2312" w:cs="Times New Roman"/>
          <w:sz w:val="32"/>
          <w:szCs w:val="32"/>
        </w:rPr>
        <w:t>万元，</w:t>
      </w:r>
    </w:p>
    <w:p w14:paraId="77297010">
      <w:pPr>
        <w:spacing w:line="600" w:lineRule="exact"/>
        <w:ind w:firstLine="640" w:firstLineChars="200"/>
        <w:rPr>
          <w:rFonts w:ascii="楷体" w:hAnsi="楷体" w:eastAsia="楷体" w:cs="楷体"/>
          <w:b/>
          <w:bCs/>
          <w:i/>
          <w:kern w:val="0"/>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sz w:val="32"/>
          <w:szCs w:val="32"/>
        </w:rPr>
        <w:t>日常公务用车支出，</w:t>
      </w: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100.00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基本持平，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w:t>
      </w:r>
      <w:r>
        <w:rPr>
          <w:rFonts w:hint="eastAsia" w:ascii="Times New Roman" w:hAnsi="Times New Roman" w:eastAsia="仿宋_GB2312"/>
          <w:sz w:val="32"/>
          <w:szCs w:val="32"/>
        </w:rPr>
        <w:t>截止202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年12月31日，我单位开支财政拨款的公务用车保有量为2辆。</w:t>
      </w:r>
    </w:p>
    <w:p w14:paraId="699C5E7B">
      <w:pPr>
        <w:pStyle w:val="14"/>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heme="minorBidi"/>
          <w:color w:val="auto"/>
          <w:kern w:val="2"/>
          <w:sz w:val="32"/>
          <w:szCs w:val="32"/>
          <w:lang w:val="en-US" w:eastAsia="zh-CN" w:bidi="ar-SA"/>
        </w:rPr>
        <w:t>3.公务接待费支出预算为2.08万元，支出决算为0.44万元，完成预算的21.15%；与上年相比减少0.87万元，降低66.41%。决算数小于预算数的主要原因是</w:t>
      </w:r>
      <w:r>
        <w:rPr>
          <w:rFonts w:hint="eastAsia" w:ascii="Times New Roman" w:hAnsi="Times New Roman" w:eastAsia="仿宋_GB2312"/>
          <w:sz w:val="32"/>
          <w:szCs w:val="32"/>
        </w:rPr>
        <w:t>严格</w:t>
      </w:r>
      <w:r>
        <w:rPr>
          <w:rFonts w:hint="eastAsia" w:ascii="Times New Roman" w:hAnsi="Times New Roman" w:eastAsia="仿宋_GB2312"/>
          <w:sz w:val="32"/>
          <w:szCs w:val="32"/>
          <w:lang w:eastAsia="zh-CN"/>
        </w:rPr>
        <w:t>遵守相关文件</w:t>
      </w:r>
      <w:r>
        <w:rPr>
          <w:rFonts w:hint="eastAsia" w:ascii="Times New Roman" w:hAnsi="Times New Roman" w:eastAsia="仿宋_GB2312"/>
          <w:sz w:val="32"/>
          <w:szCs w:val="32"/>
        </w:rPr>
        <w:t>要求，</w:t>
      </w:r>
      <w:r>
        <w:rPr>
          <w:rFonts w:hint="eastAsia" w:ascii="Times New Roman" w:hAnsi="Times New Roman" w:eastAsia="仿宋_GB2312"/>
          <w:sz w:val="32"/>
          <w:szCs w:val="32"/>
          <w:lang w:eastAsia="zh-CN"/>
        </w:rPr>
        <w:t>按照时间节点，</w:t>
      </w:r>
      <w:r>
        <w:rPr>
          <w:rFonts w:hint="eastAsia" w:ascii="Times New Roman" w:hAnsi="Times New Roman" w:eastAsia="仿宋_GB2312"/>
          <w:sz w:val="32"/>
          <w:szCs w:val="32"/>
          <w:lang w:val="en-US" w:eastAsia="zh-CN"/>
        </w:rPr>
        <w:t>5月份以后</w:t>
      </w:r>
      <w:r>
        <w:rPr>
          <w:rFonts w:hint="eastAsia" w:ascii="Times New Roman" w:hAnsi="Times New Roman" w:eastAsia="仿宋_GB2312"/>
          <w:sz w:val="32"/>
          <w:szCs w:val="32"/>
          <w:lang w:eastAsia="zh-CN"/>
        </w:rPr>
        <w:t>实行省内公务“零接待”</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ascii="Times New Roman" w:hAnsi="Times New Roman" w:eastAsia="仿宋_GB2312" w:cs="Times New Roman"/>
          <w:color w:val="000000" w:themeColor="text1"/>
          <w:sz w:val="32"/>
          <w:szCs w:val="32"/>
          <w14:textFill>
            <w14:solidFill>
              <w14:schemeClr w14:val="tx1"/>
            </w14:solidFill>
          </w14:textFill>
        </w:rPr>
        <w:t>共接待来访团组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w:t>
      </w:r>
      <w:r>
        <w:rPr>
          <w:rFonts w:ascii="Times New Roman" w:hAnsi="Times New Roman" w:eastAsia="仿宋_GB2312" w:cs="Times New Roman"/>
          <w:color w:val="000000" w:themeColor="text1"/>
          <w:sz w:val="32"/>
          <w:szCs w:val="32"/>
          <w14:textFill>
            <w14:solidFill>
              <w14:schemeClr w14:val="tx1"/>
            </w14:solidFill>
          </w14:textFill>
        </w:rPr>
        <w:t>个、来宾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27</w:t>
      </w:r>
      <w:r>
        <w:rPr>
          <w:rFonts w:ascii="Times New Roman" w:hAnsi="Times New Roman" w:eastAsia="仿宋_GB2312" w:cs="Times New Roman"/>
          <w:color w:val="000000" w:themeColor="text1"/>
          <w:sz w:val="32"/>
          <w:szCs w:val="32"/>
          <w14:textFill>
            <w14:solidFill>
              <w14:schemeClr w14:val="tx1"/>
            </w14:solidFill>
          </w14:textFill>
        </w:rPr>
        <w:t>人次，主要是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上级部门来怀调研、其他市州来怀交流、县市区来怀汇报等</w:t>
      </w:r>
      <w:r>
        <w:rPr>
          <w:rFonts w:ascii="Times New Roman" w:hAnsi="Times New Roman" w:eastAsia="仿宋_GB2312" w:cs="Times New Roman"/>
          <w:color w:val="000000" w:themeColor="text1"/>
          <w:sz w:val="32"/>
          <w:szCs w:val="32"/>
          <w14:textFill>
            <w14:solidFill>
              <w14:schemeClr w14:val="tx1"/>
            </w14:solidFill>
          </w14:textFill>
        </w:rPr>
        <w:t>发生的接待支出。</w:t>
      </w:r>
    </w:p>
    <w:p w14:paraId="6F3301A9">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八、政府性基金预算收入支出决算情况</w:t>
      </w:r>
    </w:p>
    <w:p w14:paraId="4FB31422">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heme="minorBidi"/>
          <w:color w:val="auto"/>
          <w:kern w:val="2"/>
          <w:sz w:val="32"/>
          <w:szCs w:val="32"/>
        </w:rPr>
        <w:t>本单位无政府性基金收支。</w:t>
      </w:r>
    </w:p>
    <w:p w14:paraId="31ED8EF4">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九、关于机关运行经费支出说明</w:t>
      </w:r>
    </w:p>
    <w:p w14:paraId="612E9DB2">
      <w:pPr>
        <w:pStyle w:val="14"/>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auto"/>
          <w:sz w:val="32"/>
          <w:szCs w:val="32"/>
        </w:rPr>
        <w:t>本部门202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年度机关运行经费支出</w:t>
      </w:r>
      <w:r>
        <w:rPr>
          <w:rFonts w:hint="eastAsia" w:ascii="Times New Roman" w:hAnsi="Times New Roman" w:eastAsia="仿宋_GB2312" w:cs="Times New Roman"/>
          <w:color w:val="auto"/>
          <w:sz w:val="32"/>
          <w:szCs w:val="32"/>
          <w:lang w:val="en-US" w:eastAsia="zh-CN"/>
        </w:rPr>
        <w:t>25.09</w:t>
      </w:r>
      <w:r>
        <w:rPr>
          <w:rFonts w:ascii="Times New Roman" w:hAnsi="Times New Roman" w:eastAsia="仿宋_GB2312" w:cs="Times New Roman"/>
          <w:color w:val="auto"/>
          <w:sz w:val="32"/>
          <w:szCs w:val="32"/>
        </w:rPr>
        <w:t>万元，比年初预算数（或者上年决算数）增加</w:t>
      </w:r>
      <w:r>
        <w:rPr>
          <w:rFonts w:hint="eastAsia" w:ascii="Times New Roman" w:hAnsi="Times New Roman" w:eastAsia="仿宋_GB2312" w:cs="Times New Roman"/>
          <w:color w:val="auto"/>
          <w:sz w:val="32"/>
          <w:szCs w:val="32"/>
          <w:lang w:val="en-US" w:eastAsia="zh-CN"/>
        </w:rPr>
        <w:t>2.67</w:t>
      </w:r>
      <w:r>
        <w:rPr>
          <w:rFonts w:ascii="Times New Roman" w:hAnsi="Times New Roman" w:eastAsia="仿宋_GB2312" w:cs="Times New Roman"/>
          <w:color w:val="auto"/>
          <w:sz w:val="32"/>
          <w:szCs w:val="32"/>
        </w:rPr>
        <w:t>万元，增长</w:t>
      </w:r>
      <w:r>
        <w:rPr>
          <w:rFonts w:hint="eastAsia" w:ascii="Times New Roman" w:hAnsi="Times New Roman" w:eastAsia="仿宋_GB2312" w:cs="Times New Roman"/>
          <w:color w:val="auto"/>
          <w:sz w:val="32"/>
          <w:szCs w:val="32"/>
          <w:lang w:val="en-US" w:eastAsia="zh-CN"/>
        </w:rPr>
        <w:t>11.90</w:t>
      </w:r>
      <w:r>
        <w:rPr>
          <w:rFonts w:ascii="Times New Roman" w:hAnsi="Times New Roman" w:eastAsia="仿宋_GB2312" w:cs="Times New Roman"/>
          <w:color w:val="auto"/>
          <w:sz w:val="32"/>
          <w:szCs w:val="32"/>
        </w:rPr>
        <w:t>%。主要原因是：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中餐补助费计入福利费，决算归口为机关运行经费</w:t>
      </w:r>
      <w:r>
        <w:rPr>
          <w:rFonts w:ascii="Times New Roman" w:hAnsi="Times New Roman" w:eastAsia="仿宋_GB2312" w:cs="Times New Roman"/>
          <w:color w:val="000000" w:themeColor="text1"/>
          <w:sz w:val="32"/>
          <w:szCs w:val="32"/>
          <w14:textFill>
            <w14:solidFill>
              <w14:schemeClr w14:val="tx1"/>
            </w14:solidFill>
          </w14:textFill>
        </w:rPr>
        <w:t>。</w:t>
      </w:r>
    </w:p>
    <w:p w14:paraId="048E5FE3">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十、一般性支出情况说明</w:t>
      </w:r>
    </w:p>
    <w:p w14:paraId="7F981164">
      <w:pPr>
        <w:pStyle w:val="14"/>
        <w:overflowPunct w:val="0"/>
        <w:autoSpaceDE/>
        <w:autoSpaceDN/>
        <w:spacing w:line="600" w:lineRule="exact"/>
        <w:ind w:firstLine="640" w:firstLineChars="200"/>
        <w:jc w:val="both"/>
        <w:rPr>
          <w:rFonts w:hint="eastAsia" w:ascii="仿宋_GB2312" w:hAnsi="仿宋_GB2312" w:eastAsia="仿宋_GB2312" w:cs="仿宋_GB2312"/>
          <w:color w:val="000000"/>
          <w:kern w:val="0"/>
          <w:sz w:val="32"/>
          <w:szCs w:val="32"/>
          <w:lang w:val="en-US" w:eastAsia="zh-CN" w:bidi="ar"/>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年本部门开支会议费</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5.45</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一是</w:t>
      </w:r>
      <w:r>
        <w:rPr>
          <w:rFonts w:ascii="Times New Roman" w:hAnsi="Times New Roman" w:eastAsia="仿宋_GB2312" w:cs="Times New Roman"/>
          <w:color w:val="000000" w:themeColor="text1"/>
          <w:sz w:val="32"/>
          <w:szCs w:val="32"/>
          <w14:textFill>
            <w14:solidFill>
              <w14:schemeClr w14:val="tx1"/>
            </w14:solidFill>
          </w14:textFill>
        </w:rPr>
        <w:t>用于召开</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全市老干部局长暨关工委主任</w:t>
      </w:r>
      <w:r>
        <w:rPr>
          <w:rFonts w:ascii="Times New Roman" w:hAnsi="Times New Roman" w:eastAsia="仿宋_GB2312" w:cs="Times New Roman"/>
          <w:color w:val="000000" w:themeColor="text1"/>
          <w:sz w:val="32"/>
          <w:szCs w:val="32"/>
          <w14:textFill>
            <w14:solidFill>
              <w14:schemeClr w14:val="tx1"/>
            </w14:solidFill>
          </w14:textFill>
        </w:rPr>
        <w:t>会议，人数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120</w:t>
      </w:r>
      <w:r>
        <w:rPr>
          <w:rFonts w:ascii="Times New Roman" w:hAnsi="Times New Roman" w:eastAsia="仿宋_GB2312" w:cs="Times New Roman"/>
          <w:color w:val="000000" w:themeColor="text1"/>
          <w:sz w:val="32"/>
          <w:szCs w:val="32"/>
          <w14:textFill>
            <w14:solidFill>
              <w14:schemeClr w14:val="tx1"/>
            </w14:solidFill>
          </w14:textFill>
        </w:rPr>
        <w:t>人，内容为</w:t>
      </w:r>
      <w:r>
        <w:rPr>
          <w:rFonts w:hint="eastAsia" w:ascii="Times New Roman" w:hAnsi="Times New Roman" w:eastAsia="仿宋_GB2312" w:cs="Times New Roman"/>
          <w:color w:val="000000" w:themeColor="text1"/>
          <w:sz w:val="32"/>
          <w:szCs w:val="32"/>
          <w14:textFill>
            <w14:solidFill>
              <w14:schemeClr w14:val="tx1"/>
            </w14:solidFill>
          </w14:textFill>
        </w:rPr>
        <w:t>学习贯彻全国离退休干部“双先”表彰大会精神，全国、全省老干部局长会议，全省关工委会议精神</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总结2024年全市老干部工作、关工委工作</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部署2025年全市老干部工作、关工委工作</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；二是用于召开市级离退休老同志情况通报会暨市委“十五五”规划《建议》征求意见座谈会，人数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60人；三是召开</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全市关工委学习贯彻党的二十届四中全会精神暨传达纪念中国关工</w:t>
      </w:r>
      <w:r>
        <w:rPr>
          <w:rFonts w:hint="eastAsia" w:ascii="仿宋_GB2312" w:hAnsi="仿宋_GB2312" w:eastAsia="仿宋_GB2312" w:cs="仿宋_GB2312"/>
          <w:color w:val="000000"/>
          <w:kern w:val="0"/>
          <w:sz w:val="32"/>
          <w:szCs w:val="32"/>
          <w:lang w:val="en-US" w:eastAsia="zh-CN" w:bidi="ar"/>
        </w:rPr>
        <w:t>委成立35周年表彰大会精神工作推进会，人数60人，内容为学习贯彻“纪念中国关心下一代工作委员会成立35周年暨全国关心下一代工作表彰大会”及“全省第五次民族地区</w:t>
      </w:r>
      <w:r>
        <w:rPr>
          <w:rFonts w:hint="default" w:ascii="仿宋_GB2312" w:hAnsi="仿宋_GB2312" w:eastAsia="仿宋_GB2312" w:cs="仿宋_GB2312"/>
          <w:color w:val="000000"/>
          <w:kern w:val="0"/>
          <w:sz w:val="32"/>
          <w:szCs w:val="32"/>
          <w:lang w:val="en-US" w:eastAsia="zh-CN" w:bidi="ar"/>
        </w:rPr>
        <w:t>关心下一代工作座谈会</w:t>
      </w:r>
      <w:r>
        <w:rPr>
          <w:rFonts w:hint="eastAsia" w:ascii="仿宋_GB2312" w:hAnsi="仿宋_GB2312" w:eastAsia="仿宋_GB2312" w:cs="仿宋_GB2312"/>
          <w:color w:val="000000"/>
          <w:kern w:val="0"/>
          <w:sz w:val="32"/>
          <w:szCs w:val="32"/>
          <w:lang w:val="en-US" w:eastAsia="zh-CN" w:bidi="ar"/>
        </w:rPr>
        <w:t>”会议精神，部署下一阶段工作。</w:t>
      </w:r>
    </w:p>
    <w:p w14:paraId="2BE75FF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17D66882">
      <w:pPr>
        <w:pStyle w:val="14"/>
        <w:overflowPunct w:val="0"/>
        <w:autoSpaceDE/>
        <w:autoSpaceDN/>
        <w:spacing w:line="600" w:lineRule="exact"/>
        <w:ind w:firstLine="640" w:firstLineChars="200"/>
        <w:jc w:val="both"/>
        <w:rPr>
          <w:rFonts w:ascii="Times New Roman" w:hAnsi="Times New Roman" w:eastAsia="楷体" w:cs="Times New Roman"/>
          <w:b/>
          <w:bCs/>
          <w:i/>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本部门202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年度政府采购支出总额</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44.23</w:t>
      </w:r>
      <w:r>
        <w:rPr>
          <w:rFonts w:ascii="Times New Roman" w:hAnsi="Times New Roman" w:eastAsia="仿宋_GB2312" w:cs="Times New Roman"/>
          <w:color w:val="000000" w:themeColor="text1"/>
          <w:sz w:val="32"/>
          <w:szCs w:val="32"/>
          <w14:textFill>
            <w14:solidFill>
              <w14:schemeClr w14:val="tx1"/>
            </w14:solidFill>
          </w14:textFill>
        </w:rPr>
        <w:t>万元，其中：政府采购货物支出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2.62</w:t>
      </w:r>
      <w:r>
        <w:rPr>
          <w:rFonts w:ascii="Times New Roman" w:hAnsi="Times New Roman" w:eastAsia="仿宋_GB2312" w:cs="Times New Roman"/>
          <w:color w:val="000000" w:themeColor="text1"/>
          <w:sz w:val="32"/>
          <w:szCs w:val="32"/>
          <w14:textFill>
            <w14:solidFill>
              <w14:schemeClr w14:val="tx1"/>
            </w14:solidFill>
          </w14:textFill>
        </w:rPr>
        <w:t>万元、政府采购工程支出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万元、政府采购服务支出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41.61</w:t>
      </w:r>
      <w:r>
        <w:rPr>
          <w:rFonts w:ascii="Times New Roman" w:hAnsi="Times New Roman" w:eastAsia="仿宋_GB2312" w:cs="Times New Roman"/>
          <w:color w:val="000000" w:themeColor="text1"/>
          <w:sz w:val="32"/>
          <w:szCs w:val="32"/>
          <w14:textFill>
            <w14:solidFill>
              <w14:schemeClr w14:val="tx1"/>
            </w14:solidFill>
          </w14:textFill>
        </w:rPr>
        <w:t>万元。授予中小企业合同金额</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38.98</w:t>
      </w:r>
      <w:r>
        <w:rPr>
          <w:rFonts w:ascii="Times New Roman" w:hAnsi="Times New Roman" w:eastAsia="仿宋_GB2312" w:cs="Times New Roman"/>
          <w:color w:val="000000" w:themeColor="text1"/>
          <w:sz w:val="32"/>
          <w:szCs w:val="32"/>
          <w14:textFill>
            <w14:solidFill>
              <w14:schemeClr w14:val="tx1"/>
            </w14:solidFill>
          </w14:textFill>
        </w:rPr>
        <w:t>万元，占政府采购支出总额的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88.13</w:t>
      </w:r>
      <w:r>
        <w:rPr>
          <w:rFonts w:ascii="Times New Roman" w:hAnsi="Times New Roman" w:eastAsia="仿宋_GB2312" w:cs="Times New Roman"/>
          <w:color w:val="000000" w:themeColor="text1"/>
          <w:sz w:val="32"/>
          <w:szCs w:val="32"/>
          <w14:textFill>
            <w14:solidFill>
              <w14:schemeClr w14:val="tx1"/>
            </w14:solidFill>
          </w14:textFill>
        </w:rPr>
        <w:t>%，其中：授予小微企业合同金额</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38.98</w:t>
      </w:r>
      <w:r>
        <w:rPr>
          <w:rFonts w:ascii="Times New Roman" w:hAnsi="Times New Roman" w:eastAsia="仿宋_GB2312" w:cs="Times New Roman"/>
          <w:color w:val="000000" w:themeColor="text1"/>
          <w:sz w:val="32"/>
          <w:szCs w:val="32"/>
          <w14:textFill>
            <w14:solidFill>
              <w14:schemeClr w14:val="tx1"/>
            </w14:solidFill>
          </w14:textFill>
        </w:rPr>
        <w:t>万元，占政府采购支出总额的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88.13</w:t>
      </w:r>
      <w:r>
        <w:rPr>
          <w:rFonts w:ascii="Times New Roman" w:hAnsi="Times New Roman" w:eastAsia="仿宋_GB2312" w:cs="Times New Roman"/>
          <w:color w:val="000000" w:themeColor="text1"/>
          <w:sz w:val="32"/>
          <w:szCs w:val="32"/>
          <w14:textFill>
            <w14:solidFill>
              <w14:schemeClr w14:val="tx1"/>
            </w14:solidFill>
          </w14:textFill>
        </w:rPr>
        <w:t>%。货物采购授予中小企业合同金额占货物支出金额的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%，工程采购授予中小企业合同金额占工程支出金额的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%，服务采购授予中小企业合同金额占服务支出金额的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100.00</w:t>
      </w:r>
      <w:r>
        <w:rPr>
          <w:rFonts w:ascii="Times New Roman" w:hAnsi="Times New Roman" w:eastAsia="仿宋_GB2312" w:cs="Times New Roman"/>
          <w:color w:val="000000" w:themeColor="text1"/>
          <w:sz w:val="32"/>
          <w:szCs w:val="32"/>
          <w14:textFill>
            <w14:solidFill>
              <w14:schemeClr w14:val="tx1"/>
            </w14:solidFill>
          </w14:textFill>
        </w:rPr>
        <w:t>%。</w:t>
      </w:r>
    </w:p>
    <w:p w14:paraId="7832E3EA">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097B7F52">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4C54B4CE">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5420F107">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13</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284.41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284.41</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hint="eastAsia" w:ascii="Times New Roman" w:hAnsi="Times New Roman" w:eastAsia="仿宋_GB2312" w:cs="Times New Roman"/>
          <w:kern w:val="0"/>
          <w:sz w:val="32"/>
          <w:szCs w:val="32"/>
          <w:lang w:eastAsia="zh-CN"/>
        </w:rPr>
        <w:t>市委老干部局所属二级机构两个，分别为怀化市老干部教育活动中心、怀化市委市政府机关老干部休养所。两个二级机构均按照实际情况扎实开展绩效自评工作，及时编制绩效自评报告，</w:t>
      </w:r>
      <w:r>
        <w:rPr>
          <w:rFonts w:hint="eastAsia" w:ascii="Times New Roman" w:hAnsi="Times New Roman" w:eastAsia="仿宋_GB2312" w:cs="Times New Roman"/>
          <w:color w:val="auto"/>
          <w:kern w:val="0"/>
          <w:sz w:val="32"/>
          <w:szCs w:val="32"/>
          <w:lang w:eastAsia="zh-CN"/>
        </w:rPr>
        <w:t>自评等级评价“优”</w:t>
      </w:r>
      <w:r>
        <w:rPr>
          <w:rFonts w:ascii="Times New Roman" w:hAnsi="Times New Roman" w:eastAsia="仿宋_GB2312" w:cs="Times New Roman"/>
          <w:color w:val="auto"/>
          <w:kern w:val="0"/>
          <w:sz w:val="32"/>
          <w:szCs w:val="32"/>
        </w:rPr>
        <w:t>。</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rPr>
        <w:t>关工委工作经费</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kern w:val="0"/>
          <w:sz w:val="32"/>
          <w:szCs w:val="32"/>
          <w:lang w:val="en-US" w:eastAsia="zh-CN"/>
        </w:rPr>
        <w:t>296.71</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hint="eastAsia" w:ascii="Times New Roman" w:hAnsi="Times New Roman" w:eastAsia="仿宋_GB2312" w:cs="Times New Roman"/>
          <w:kern w:val="0"/>
          <w:sz w:val="32"/>
          <w:szCs w:val="32"/>
          <w:lang w:eastAsia="zh-CN"/>
        </w:rPr>
        <w:t>本部门</w:t>
      </w:r>
      <w:r>
        <w:rPr>
          <w:rFonts w:hint="eastAsia" w:ascii="Times New Roman" w:hAnsi="Times New Roman" w:eastAsia="仿宋_GB2312" w:cs="Times New Roman"/>
          <w:kern w:val="0"/>
          <w:sz w:val="32"/>
          <w:szCs w:val="32"/>
          <w:lang w:val="en-US" w:eastAsia="zh-CN"/>
        </w:rPr>
        <w:t>2025年度没有事前绩效评估项目</w:t>
      </w:r>
      <w:r>
        <w:rPr>
          <w:rFonts w:ascii="Times New Roman" w:hAnsi="Times New Roman" w:eastAsia="仿宋_GB2312" w:cs="Times New Roman"/>
          <w:kern w:val="0"/>
          <w:sz w:val="32"/>
          <w:szCs w:val="32"/>
        </w:rPr>
        <w:t>。</w:t>
      </w:r>
    </w:p>
    <w:p w14:paraId="240C855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textAlignment w:val="auto"/>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159657B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textAlignment w:val="auto"/>
        <w:rPr>
          <w:rFonts w:hint="default" w:ascii="Times New Roman" w:hAnsi="Times New Roman" w:eastAsia="黑体" w:cs="Times New Roman"/>
          <w:i w:val="0"/>
          <w:iCs w:val="0"/>
          <w:caps w:val="0"/>
          <w:color w:val="000000"/>
          <w:spacing w:val="0"/>
          <w:sz w:val="32"/>
          <w:szCs w:val="32"/>
          <w:shd w:val="clear" w:color="auto" w:fill="FFFFFF"/>
          <w:lang w:eastAsia="zh-CN"/>
        </w:rPr>
      </w:pP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594.13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562.93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94.75</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hint="default" w:ascii="Times New Roman" w:hAnsi="Times New Roman" w:eastAsia="仿宋_GB2312" w:cs="Times New Roman"/>
          <w:bCs w:val="0"/>
          <w:i w:val="0"/>
          <w:iCs w:val="0"/>
          <w:caps w:val="0"/>
          <w:color w:val="000000"/>
          <w:spacing w:val="0"/>
          <w:kern w:val="0"/>
          <w:sz w:val="32"/>
          <w:szCs w:val="32"/>
          <w:shd w:val="clear" w:color="auto" w:fill="FFFFFF"/>
          <w:lang w:val="en-US" w:eastAsia="zh-CN" w:bidi="ar"/>
        </w:rPr>
        <w:t>202</w:t>
      </w:r>
      <w:r>
        <w:rPr>
          <w:rFonts w:hint="eastAsia" w:eastAsia="仿宋_GB2312" w:cs="Times New Roman"/>
          <w:bCs w:val="0"/>
          <w:i w:val="0"/>
          <w:iCs w:val="0"/>
          <w:caps w:val="0"/>
          <w:color w:val="000000"/>
          <w:spacing w:val="0"/>
          <w:kern w:val="0"/>
          <w:sz w:val="32"/>
          <w:szCs w:val="32"/>
          <w:shd w:val="clear" w:color="auto" w:fill="FFFFFF"/>
          <w:lang w:val="en-US" w:eastAsia="zh-CN" w:bidi="ar"/>
        </w:rPr>
        <w:t>5</w:t>
      </w:r>
      <w:r>
        <w:rPr>
          <w:rFonts w:hint="default" w:ascii="Times New Roman" w:hAnsi="Times New Roman" w:eastAsia="仿宋_GB2312" w:cs="Times New Roman"/>
          <w:bCs w:val="0"/>
          <w:i w:val="0"/>
          <w:iCs w:val="0"/>
          <w:caps w:val="0"/>
          <w:color w:val="000000"/>
          <w:spacing w:val="0"/>
          <w:kern w:val="0"/>
          <w:sz w:val="32"/>
          <w:szCs w:val="32"/>
          <w:shd w:val="clear" w:color="auto" w:fill="FFFFFF"/>
          <w:lang w:val="en-US" w:eastAsia="zh-CN" w:bidi="ar"/>
        </w:rPr>
        <w:t>年本单位整体支出达到预期目标，在计划时间内很好的完成各项指标，自评得分99</w:t>
      </w:r>
      <w:r>
        <w:rPr>
          <w:rFonts w:hint="eastAsia" w:eastAsia="仿宋_GB2312" w:cs="Times New Roman"/>
          <w:bCs w:val="0"/>
          <w:i w:val="0"/>
          <w:iCs w:val="0"/>
          <w:caps w:val="0"/>
          <w:color w:val="000000"/>
          <w:spacing w:val="0"/>
          <w:kern w:val="0"/>
          <w:sz w:val="32"/>
          <w:szCs w:val="32"/>
          <w:shd w:val="clear" w:color="auto" w:fill="FFFFFF"/>
          <w:lang w:val="en-US" w:eastAsia="zh-CN" w:bidi="ar"/>
        </w:rPr>
        <w:t>.68</w:t>
      </w:r>
      <w:r>
        <w:rPr>
          <w:rFonts w:hint="default" w:ascii="Times New Roman" w:hAnsi="Times New Roman" w:eastAsia="仿宋_GB2312" w:cs="Times New Roman"/>
          <w:bCs w:val="0"/>
          <w:i w:val="0"/>
          <w:iCs w:val="0"/>
          <w:caps w:val="0"/>
          <w:color w:val="000000"/>
          <w:spacing w:val="0"/>
          <w:kern w:val="0"/>
          <w:sz w:val="32"/>
          <w:szCs w:val="32"/>
          <w:shd w:val="clear" w:color="auto" w:fill="FFFFFF"/>
          <w:lang w:val="en-US" w:eastAsia="zh-CN" w:bidi="ar"/>
        </w:rPr>
        <w:t>分，评价等级“优”。绩效自评结果将按照怀化市财政局的要求，在相关</w:t>
      </w:r>
      <w:r>
        <w:rPr>
          <w:rFonts w:hint="default" w:ascii="Times New Roman" w:hAnsi="Times New Roman" w:eastAsia="仿宋_GB2312" w:cs="Times New Roman"/>
          <w:bCs w:val="0"/>
          <w:i w:val="0"/>
          <w:iCs w:val="0"/>
          <w:caps w:val="0"/>
          <w:color w:val="auto"/>
          <w:spacing w:val="0"/>
          <w:kern w:val="0"/>
          <w:sz w:val="32"/>
          <w:szCs w:val="32"/>
          <w:shd w:val="clear" w:color="auto" w:fill="FFFFFF"/>
          <w:lang w:val="en-US" w:eastAsia="zh-CN" w:bidi="ar"/>
        </w:rPr>
        <w:t>网站予以公示。</w:t>
      </w:r>
    </w:p>
    <w:p w14:paraId="3A021BD2">
      <w:pPr>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sz w:val="32"/>
          <w:szCs w:val="32"/>
        </w:rPr>
        <w:t>绩效目标完成情况：</w:t>
      </w:r>
      <w:r>
        <w:rPr>
          <w:rFonts w:hint="default" w:ascii="Times New Roman" w:hAnsi="Times New Roman" w:eastAsia="仿宋_GB2312" w:cs="Times New Roman"/>
          <w:color w:val="auto"/>
          <w:sz w:val="32"/>
          <w:szCs w:val="32"/>
          <w:lang w:val="en-US" w:eastAsia="zh-CN" w:bidi="ar-SA"/>
        </w:rPr>
        <w:t>全市离退休干部党支部</w:t>
      </w:r>
      <w:r>
        <w:rPr>
          <w:rFonts w:hint="default" w:ascii="Times New Roman" w:hAnsi="Times New Roman" w:eastAsia="仿宋_GB2312" w:cs="Times New Roman"/>
          <w:color w:val="auto"/>
          <w:sz w:val="32"/>
          <w:szCs w:val="32"/>
          <w:lang w:eastAsia="zh-CN" w:bidi="ar-SA"/>
        </w:rPr>
        <w:t>由1011个增加至</w:t>
      </w:r>
      <w:r>
        <w:rPr>
          <w:rFonts w:hint="default" w:ascii="Times New Roman" w:hAnsi="Times New Roman" w:eastAsia="仿宋_GB2312" w:cs="Times New Roman"/>
          <w:color w:val="auto"/>
          <w:sz w:val="32"/>
          <w:szCs w:val="32"/>
          <w:lang w:val="en-US" w:eastAsia="zh-CN" w:bidi="ar-SA"/>
        </w:rPr>
        <w:t>1038个</w:t>
      </w:r>
      <w:r>
        <w:rPr>
          <w:rFonts w:hint="default" w:ascii="Times New Roman" w:hAnsi="Times New Roman" w:eastAsia="仿宋_GB2312" w:cs="Times New Roman"/>
          <w:color w:val="auto"/>
          <w:sz w:val="32"/>
          <w:szCs w:val="32"/>
          <w:lang w:eastAsia="zh-CN" w:bidi="ar-SA"/>
        </w:rPr>
        <w:t>。</w:t>
      </w:r>
      <w:r>
        <w:rPr>
          <w:rFonts w:hint="default" w:ascii="Times New Roman" w:hAnsi="Times New Roman" w:eastAsia="仿宋_GB2312" w:cs="Times New Roman"/>
          <w:color w:val="auto"/>
          <w:sz w:val="32"/>
          <w:szCs w:val="32"/>
          <w:lang w:val="en-US" w:eastAsia="zh-CN" w:bidi="ar-SA"/>
        </w:rPr>
        <w:t>扩充支部书记后备人才库至855人，选派830名在职党员担任支部联络员。</w:t>
      </w:r>
      <w:r>
        <w:rPr>
          <w:rFonts w:hint="eastAsia" w:eastAsia="仿宋_GB2312" w:cs="Times New Roman"/>
          <w:color w:val="auto"/>
          <w:sz w:val="32"/>
          <w:szCs w:val="32"/>
          <w:lang w:eastAsia="zh-CN" w:bidi="ar-SA"/>
        </w:rPr>
        <w:t>组织</w:t>
      </w:r>
      <w:r>
        <w:rPr>
          <w:rFonts w:hint="default" w:ascii="Times New Roman" w:hAnsi="Times New Roman" w:eastAsia="仿宋_GB2312" w:cs="Times New Roman"/>
          <w:color w:val="auto"/>
          <w:sz w:val="32"/>
          <w:szCs w:val="32"/>
          <w:lang w:eastAsia="zh-CN" w:bidi="ar-SA"/>
        </w:rPr>
        <w:t>全市“六好”离退休干部党支部书记培训班纳入市委党校主体班，参培170多名离退休干部支部书记。</w:t>
      </w:r>
      <w:r>
        <w:rPr>
          <w:rFonts w:hint="default" w:ascii="Times New Roman" w:hAnsi="Times New Roman" w:eastAsia="仿宋_GB2312" w:cs="Times New Roman"/>
          <w:color w:val="auto"/>
          <w:sz w:val="32"/>
          <w:szCs w:val="32"/>
          <w:lang w:eastAsia="zh-CN"/>
        </w:rPr>
        <w:t>建</w:t>
      </w:r>
      <w:r>
        <w:rPr>
          <w:rFonts w:hint="default" w:ascii="Times New Roman" w:hAnsi="Times New Roman" w:eastAsia="仿宋_GB2312" w:cs="Times New Roman"/>
          <w:color w:val="auto"/>
          <w:sz w:val="32"/>
          <w:szCs w:val="32"/>
          <w:lang w:eastAsia="zh-CN" w:bidi="ar-SA"/>
        </w:rPr>
        <w:t>成银发人才工作站120余个，人才库由393人增至1500人。</w:t>
      </w:r>
      <w:r>
        <w:rPr>
          <w:rFonts w:hint="default" w:ascii="Times New Roman" w:hAnsi="Times New Roman" w:eastAsia="仿宋_GB2312" w:cs="Times New Roman"/>
          <w:color w:val="auto"/>
          <w:sz w:val="32"/>
          <w:szCs w:val="32"/>
        </w:rPr>
        <w:t>依托市老干部教育活动中心推出“双10+N”菜单式服务，接待10余家单位开展活动20余场，服务老同志超2000人次。</w:t>
      </w:r>
      <w:r>
        <w:rPr>
          <w:rFonts w:hint="default" w:ascii="Times New Roman" w:hAnsi="Times New Roman" w:eastAsia="仿宋_GB2312" w:cs="Times New Roman"/>
          <w:color w:val="auto"/>
          <w:sz w:val="32"/>
          <w:szCs w:val="32"/>
          <w:lang w:eastAsia="zh-CN" w:bidi="ar-SA"/>
        </w:rPr>
        <w:t>开展线上讨论、撰写感悟等活动，参与老同志超1万人次，推送心得100 余条。</w:t>
      </w:r>
      <w:r>
        <w:rPr>
          <w:rFonts w:hint="default" w:ascii="Times New Roman" w:hAnsi="Times New Roman" w:eastAsia="仿宋_GB2312" w:cs="Times New Roman"/>
          <w:sz w:val="32"/>
          <w:szCs w:val="32"/>
          <w:lang w:eastAsia="zh-CN" w:bidi="ar-SA"/>
        </w:rPr>
        <w:t>“全国离退休干部先进集体”沅陵住长沙离退休干部流动党员党总支管理经验，获湖南爱晚频道、《老年人》杂志重点推介。退休教师傅嘉长、张长久分别获得“怀化好人”、“市道德模范”称号。开展“我的作风故事”征文活动，在《怀化日报》推出2期专版</w:t>
      </w:r>
      <w:r>
        <w:rPr>
          <w:rFonts w:hint="eastAsia" w:eastAsia="仿宋_GB2312" w:cs="Times New Roman"/>
          <w:sz w:val="32"/>
          <w:szCs w:val="32"/>
          <w:lang w:eastAsia="zh-CN" w:bidi="ar-SA"/>
        </w:rPr>
        <w:t>。</w:t>
      </w:r>
      <w:r>
        <w:rPr>
          <w:rFonts w:hint="default" w:ascii="Times New Roman" w:hAnsi="Times New Roman" w:eastAsia="仿宋_GB2312" w:cs="Times New Roman"/>
          <w:sz w:val="32"/>
          <w:szCs w:val="32"/>
          <w:lang w:eastAsia="zh-CN" w:bidi="ar-SA"/>
        </w:rPr>
        <w:t>举办全市银发人才工作站建设推进会。建立“银发三长”机制</w:t>
      </w:r>
      <w:r>
        <w:rPr>
          <w:rFonts w:hint="eastAsia" w:eastAsia="仿宋_GB2312" w:cs="Times New Roman"/>
          <w:sz w:val="32"/>
          <w:szCs w:val="32"/>
          <w:lang w:eastAsia="zh-CN" w:bidi="ar-SA"/>
        </w:rPr>
        <w:t>，</w:t>
      </w:r>
      <w:r>
        <w:rPr>
          <w:rFonts w:hint="default" w:ascii="Times New Roman" w:hAnsi="Times New Roman" w:eastAsia="仿宋_GB2312" w:cs="Times New Roman"/>
          <w:sz w:val="32"/>
          <w:szCs w:val="32"/>
          <w:lang w:eastAsia="zh-CN" w:bidi="ar-SA"/>
        </w:rPr>
        <w:t>全市共有5000余名“五老”担任“银发三长”。实施“银龄护苗”工程，组织5000余名“五老”进校园开展宣讲2万余场次。推进“春风化雨”关爱行动，组建600 余个“5+1”帮教小组，筹集帮扶资金500万元，惠及 2000余名学生</w:t>
      </w:r>
      <w:r>
        <w:rPr>
          <w:rFonts w:ascii="Times New Roman" w:hAnsi="Times New Roman" w:eastAsia="仿宋_GB2312" w:cs="Times New Roman"/>
          <w:kern w:val="0"/>
          <w:sz w:val="32"/>
          <w:szCs w:val="32"/>
        </w:rPr>
        <w:t>。</w:t>
      </w:r>
    </w:p>
    <w:p w14:paraId="2DFA581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80" w:lineRule="exact"/>
        <w:ind w:left="0" w:right="0"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仿宋_GB2312" w:cs="Times New Roman"/>
          <w:b/>
          <w:bCs/>
          <w:kern w:val="0"/>
          <w:sz w:val="32"/>
          <w:szCs w:val="32"/>
          <w:lang w:val="en-US" w:eastAsia="zh-CN"/>
        </w:rPr>
        <w:t>二是部门评价结果。</w:t>
      </w:r>
      <w:r>
        <w:rPr>
          <w:rFonts w:hint="eastAsia" w:ascii="Times New Roman" w:hAnsi="Times New Roman" w:eastAsia="仿宋_GB2312" w:cs="Times New Roman"/>
          <w:kern w:val="2"/>
          <w:sz w:val="32"/>
          <w:szCs w:val="32"/>
          <w:lang w:val="en-US" w:eastAsia="zh-CN" w:bidi="ar-SA"/>
        </w:rPr>
        <w:t>市委老干部局所属二级机构两个，分别为怀化市老干部教育活动中心、怀化市委市政府机关老干部休养所。2025年，怀化市老干部教育活动中心单位整体支出年初预算506.28万元，全年预算数515.36万元，全年预算执行数数509.58万元，预算执行率98.88%，其中基本支出全年预算数218.95万元，全年预算执行数214.57万元，预算执行率98%；涉及项目5个，项目支出全年预算数296.41万元，全年预算执行数295万元，预算执行率99.52%。</w:t>
      </w:r>
      <w:r>
        <w:rPr>
          <w:rFonts w:hint="default" w:ascii="Times New Roman" w:hAnsi="Times New Roman" w:eastAsia="仿宋_GB2312" w:cs="Times New Roman"/>
          <w:kern w:val="2"/>
          <w:sz w:val="32"/>
          <w:szCs w:val="32"/>
          <w:lang w:val="en-US" w:eastAsia="zh-CN" w:bidi="ar-SA"/>
        </w:rPr>
        <w:t>部门评价得分</w:t>
      </w:r>
      <w:r>
        <w:rPr>
          <w:rFonts w:hint="eastAsia" w:ascii="Times New Roman" w:hAnsi="Times New Roman" w:eastAsia="仿宋_GB2312" w:cs="Times New Roman"/>
          <w:kern w:val="2"/>
          <w:sz w:val="32"/>
          <w:szCs w:val="32"/>
          <w:lang w:val="en-US" w:eastAsia="zh-CN" w:bidi="ar-SA"/>
        </w:rPr>
        <w:t>99.35</w:t>
      </w:r>
      <w:r>
        <w:rPr>
          <w:rFonts w:hint="default" w:ascii="Times New Roman" w:hAnsi="Times New Roman" w:eastAsia="仿宋_GB2312" w:cs="Times New Roman"/>
          <w:kern w:val="2"/>
          <w:sz w:val="32"/>
          <w:szCs w:val="32"/>
          <w:lang w:val="en-US" w:eastAsia="zh-CN" w:bidi="ar-SA"/>
        </w:rPr>
        <w:t>分，评价等级为“</w:t>
      </w:r>
      <w:r>
        <w:rPr>
          <w:rFonts w:hint="eastAsia" w:ascii="Times New Roman" w:hAnsi="Times New Roman" w:eastAsia="仿宋_GB2312" w:cs="Times New Roman"/>
          <w:kern w:val="2"/>
          <w:sz w:val="32"/>
          <w:szCs w:val="32"/>
          <w:lang w:val="en-US" w:eastAsia="zh-CN" w:bidi="ar-SA"/>
        </w:rPr>
        <w:t>优秀</w:t>
      </w:r>
      <w:r>
        <w:rPr>
          <w:rFonts w:hint="default" w:ascii="Times New Roman" w:hAnsi="Times New Roman" w:eastAsia="仿宋_GB2312" w:cs="Times New Roman"/>
          <w:kern w:val="2"/>
          <w:sz w:val="32"/>
          <w:szCs w:val="32"/>
          <w:lang w:val="en-US" w:eastAsia="zh-CN" w:bidi="ar-SA"/>
        </w:rPr>
        <w:t>”。发现的主要问题及原因：一是</w:t>
      </w:r>
      <w:r>
        <w:rPr>
          <w:rFonts w:hint="eastAsia" w:ascii="Times New Roman" w:hAnsi="Times New Roman" w:eastAsia="仿宋_GB2312" w:cs="Times New Roman"/>
          <w:kern w:val="2"/>
          <w:sz w:val="32"/>
          <w:szCs w:val="32"/>
          <w:lang w:val="en-US" w:eastAsia="zh-CN" w:bidi="ar-SA"/>
        </w:rPr>
        <w:t>绩效管理理念认知存在偏差；</w:t>
      </w:r>
      <w:r>
        <w:rPr>
          <w:rFonts w:hint="default" w:ascii="Times New Roman" w:hAnsi="Times New Roman" w:eastAsia="仿宋_GB2312" w:cs="Times New Roman"/>
          <w:kern w:val="2"/>
          <w:sz w:val="32"/>
          <w:szCs w:val="32"/>
          <w:lang w:val="en-US" w:eastAsia="zh-CN" w:bidi="ar-SA"/>
        </w:rPr>
        <w:t>二是</w:t>
      </w:r>
      <w:r>
        <w:rPr>
          <w:rFonts w:hint="eastAsia" w:ascii="Times New Roman" w:hAnsi="Times New Roman" w:eastAsia="仿宋_GB2312" w:cs="Times New Roman"/>
          <w:kern w:val="2"/>
          <w:sz w:val="32"/>
          <w:szCs w:val="32"/>
          <w:lang w:val="en-US" w:eastAsia="zh-CN" w:bidi="ar-SA"/>
        </w:rPr>
        <w:t>年度工作计划统筹谋划不够系统；三是专项业务配套管控细则不完善</w:t>
      </w:r>
      <w:r>
        <w:rPr>
          <w:rFonts w:hint="default" w:ascii="Times New Roman" w:hAnsi="Times New Roman" w:eastAsia="仿宋_GB2312" w:cs="Times New Roman"/>
          <w:kern w:val="2"/>
          <w:sz w:val="32"/>
          <w:szCs w:val="32"/>
          <w:lang w:val="en-US" w:eastAsia="zh-CN" w:bidi="ar-SA"/>
        </w:rPr>
        <w:t>。下一步改进措施：一是</w:t>
      </w:r>
      <w:r>
        <w:rPr>
          <w:rFonts w:hint="eastAsia" w:ascii="Times New Roman" w:hAnsi="Times New Roman" w:eastAsia="仿宋_GB2312" w:cs="Times New Roman"/>
          <w:kern w:val="2"/>
          <w:sz w:val="32"/>
          <w:szCs w:val="32"/>
          <w:lang w:val="en-US" w:eastAsia="zh-CN" w:bidi="ar-SA"/>
        </w:rPr>
        <w:t>细化预算管理，提升编制精准度。二是均衡预算执行，提升资金使用效益。三是抓实过程管理，深化全过程绩效管控。</w:t>
      </w:r>
      <w:r>
        <w:rPr>
          <w:rFonts w:hint="eastAsia" w:eastAsia="仿宋_GB2312" w:cs="Times New Roman"/>
          <w:kern w:val="2"/>
          <w:sz w:val="32"/>
          <w:szCs w:val="32"/>
          <w:lang w:val="en-US" w:eastAsia="zh-CN" w:bidi="ar-SA"/>
        </w:rPr>
        <w:t>四</w:t>
      </w:r>
      <w:r>
        <w:rPr>
          <w:rFonts w:hint="eastAsia" w:ascii="Times New Roman" w:hAnsi="Times New Roman" w:eastAsia="仿宋_GB2312" w:cs="Times New Roman"/>
          <w:kern w:val="2"/>
          <w:sz w:val="32"/>
          <w:szCs w:val="32"/>
          <w:lang w:val="en-US" w:eastAsia="zh-CN" w:bidi="ar-SA"/>
        </w:rPr>
        <w:t>是强化业务学习，夯实管理基础。</w:t>
      </w:r>
      <w:r>
        <w:rPr>
          <w:rFonts w:hint="default" w:ascii="Times New Roman" w:hAnsi="Times New Roman" w:eastAsia="仿宋_GB2312" w:cs="Times New Roman"/>
          <w:kern w:val="2"/>
          <w:sz w:val="32"/>
          <w:szCs w:val="32"/>
          <w:lang w:val="en-US" w:eastAsia="zh-CN" w:bidi="ar-SA"/>
        </w:rPr>
        <w:t>202</w:t>
      </w:r>
      <w:r>
        <w:rPr>
          <w:rFonts w:hint="eastAsia" w:ascii="Times New Roman" w:hAnsi="Times New Roman" w:eastAsia="仿宋_GB2312"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w:t>
      </w:r>
      <w:r>
        <w:rPr>
          <w:rFonts w:hint="eastAsia" w:ascii="Times New Roman" w:hAnsi="Times New Roman" w:eastAsia="仿宋_GB2312" w:cs="Times New Roman"/>
          <w:kern w:val="2"/>
          <w:sz w:val="32"/>
          <w:szCs w:val="32"/>
          <w:lang w:val="en-US" w:eastAsia="zh-CN" w:bidi="ar-SA"/>
        </w:rPr>
        <w:t>怀化市委市政府机关老干部休养所</w:t>
      </w:r>
      <w:r>
        <w:rPr>
          <w:rFonts w:hint="default" w:ascii="Times New Roman" w:hAnsi="Times New Roman" w:eastAsia="仿宋_GB2312" w:cs="Times New Roman"/>
          <w:kern w:val="2"/>
          <w:sz w:val="32"/>
          <w:szCs w:val="32"/>
          <w:lang w:val="en-US" w:eastAsia="zh-CN" w:bidi="ar-SA"/>
        </w:rPr>
        <w:t>整体支出全年预算数42</w:t>
      </w:r>
      <w:r>
        <w:rPr>
          <w:rFonts w:hint="eastAsia" w:ascii="Times New Roman" w:hAnsi="Times New Roman" w:eastAsia="仿宋_GB2312" w:cs="Times New Roman"/>
          <w:kern w:val="2"/>
          <w:sz w:val="32"/>
          <w:szCs w:val="32"/>
          <w:lang w:val="en-US" w:eastAsia="zh-CN" w:bidi="ar-SA"/>
        </w:rPr>
        <w:t>7.73</w:t>
      </w:r>
      <w:r>
        <w:rPr>
          <w:rFonts w:hint="default" w:ascii="Times New Roman" w:hAnsi="Times New Roman" w:eastAsia="仿宋_GB2312" w:cs="Times New Roman"/>
          <w:kern w:val="2"/>
          <w:sz w:val="32"/>
          <w:szCs w:val="32"/>
          <w:lang w:val="en-US" w:eastAsia="zh-CN" w:bidi="ar-SA"/>
        </w:rPr>
        <w:t>万元，决算数4</w:t>
      </w:r>
      <w:r>
        <w:rPr>
          <w:rFonts w:hint="eastAsia" w:ascii="Times New Roman" w:hAnsi="Times New Roman" w:eastAsia="仿宋_GB2312" w:cs="Times New Roman"/>
          <w:kern w:val="2"/>
          <w:sz w:val="32"/>
          <w:szCs w:val="32"/>
          <w:lang w:val="en-US" w:eastAsia="zh-CN" w:bidi="ar-SA"/>
        </w:rPr>
        <w:t>15.78</w:t>
      </w:r>
      <w:r>
        <w:rPr>
          <w:rFonts w:hint="default" w:ascii="Times New Roman" w:hAnsi="Times New Roman" w:eastAsia="仿宋_GB2312" w:cs="Times New Roman"/>
          <w:kern w:val="2"/>
          <w:sz w:val="32"/>
          <w:szCs w:val="32"/>
          <w:lang w:val="en-US" w:eastAsia="zh-CN" w:bidi="ar-SA"/>
        </w:rPr>
        <w:t>万元，预算执行率</w:t>
      </w:r>
      <w:r>
        <w:rPr>
          <w:rFonts w:hint="eastAsia" w:ascii="Times New Roman" w:hAnsi="Times New Roman" w:eastAsia="仿宋_GB2312" w:cs="Times New Roman"/>
          <w:kern w:val="2"/>
          <w:sz w:val="32"/>
          <w:szCs w:val="32"/>
          <w:lang w:val="en-US" w:eastAsia="zh-CN" w:bidi="ar-SA"/>
        </w:rPr>
        <w:t>97.21</w:t>
      </w:r>
      <w:r>
        <w:rPr>
          <w:rFonts w:hint="default" w:ascii="Times New Roman" w:hAnsi="Times New Roman" w:eastAsia="仿宋_GB2312" w:cs="Times New Roman"/>
          <w:kern w:val="2"/>
          <w:sz w:val="32"/>
          <w:szCs w:val="32"/>
          <w:lang w:val="en-US" w:eastAsia="zh-CN" w:bidi="ar-SA"/>
        </w:rPr>
        <w:t>%，其中基本支出全年预算数3</w:t>
      </w:r>
      <w:r>
        <w:rPr>
          <w:rFonts w:hint="eastAsia" w:ascii="Times New Roman" w:hAnsi="Times New Roman" w:eastAsia="仿宋_GB2312" w:cs="Times New Roman"/>
          <w:kern w:val="2"/>
          <w:sz w:val="32"/>
          <w:szCs w:val="32"/>
          <w:lang w:val="en-US" w:eastAsia="zh-CN" w:bidi="ar-SA"/>
        </w:rPr>
        <w:t>65.59</w:t>
      </w:r>
      <w:r>
        <w:rPr>
          <w:rFonts w:hint="default" w:ascii="Times New Roman" w:hAnsi="Times New Roman" w:eastAsia="仿宋_GB2312" w:cs="Times New Roman"/>
          <w:kern w:val="2"/>
          <w:sz w:val="32"/>
          <w:szCs w:val="32"/>
          <w:lang w:val="en-US" w:eastAsia="zh-CN" w:bidi="ar-SA"/>
        </w:rPr>
        <w:t>万元，决算数</w:t>
      </w:r>
      <w:r>
        <w:rPr>
          <w:rFonts w:hint="eastAsia" w:ascii="Times New Roman" w:hAnsi="Times New Roman" w:eastAsia="仿宋_GB2312" w:cs="Times New Roman"/>
          <w:kern w:val="2"/>
          <w:sz w:val="32"/>
          <w:szCs w:val="32"/>
          <w:lang w:val="en-US" w:eastAsia="zh-CN" w:bidi="ar-SA"/>
        </w:rPr>
        <w:t>353.64</w:t>
      </w:r>
      <w:r>
        <w:rPr>
          <w:rFonts w:hint="default" w:ascii="Times New Roman" w:hAnsi="Times New Roman" w:eastAsia="仿宋_GB2312" w:cs="Times New Roman"/>
          <w:kern w:val="2"/>
          <w:sz w:val="32"/>
          <w:szCs w:val="32"/>
          <w:lang w:val="en-US" w:eastAsia="zh-CN" w:bidi="ar-SA"/>
        </w:rPr>
        <w:t>万元，预算执行率</w:t>
      </w:r>
      <w:r>
        <w:rPr>
          <w:rFonts w:hint="eastAsia" w:ascii="Times New Roman" w:hAnsi="Times New Roman" w:eastAsia="仿宋_GB2312" w:cs="Times New Roman"/>
          <w:kern w:val="2"/>
          <w:sz w:val="32"/>
          <w:szCs w:val="32"/>
          <w:lang w:val="en-US" w:eastAsia="zh-CN" w:bidi="ar-SA"/>
        </w:rPr>
        <w:t>96.73</w:t>
      </w:r>
      <w:r>
        <w:rPr>
          <w:rFonts w:hint="default" w:ascii="Times New Roman" w:hAnsi="Times New Roman" w:eastAsia="仿宋_GB2312" w:cs="Times New Roman"/>
          <w:kern w:val="2"/>
          <w:sz w:val="32"/>
          <w:szCs w:val="32"/>
          <w:lang w:val="en-US" w:eastAsia="zh-CN" w:bidi="ar-SA"/>
        </w:rPr>
        <w:t>%；项目</w:t>
      </w:r>
      <w:r>
        <w:rPr>
          <w:rFonts w:hint="eastAsia" w:ascii="Times New Roman" w:hAnsi="Times New Roman" w:eastAsia="仿宋_GB2312" w:cs="Times New Roman"/>
          <w:kern w:val="2"/>
          <w:sz w:val="32"/>
          <w:szCs w:val="32"/>
          <w:lang w:val="en-US" w:eastAsia="zh-CN" w:bidi="ar-SA"/>
        </w:rPr>
        <w:t>下达金额64.86万元，实际</w:t>
      </w:r>
      <w:r>
        <w:rPr>
          <w:rFonts w:hint="default" w:ascii="Times New Roman" w:hAnsi="Times New Roman" w:eastAsia="仿宋_GB2312" w:cs="Times New Roman"/>
          <w:kern w:val="2"/>
          <w:sz w:val="32"/>
          <w:szCs w:val="32"/>
          <w:lang w:val="en-US" w:eastAsia="zh-CN" w:bidi="ar-SA"/>
        </w:rPr>
        <w:t>支出</w:t>
      </w:r>
      <w:r>
        <w:rPr>
          <w:rFonts w:hint="eastAsia" w:ascii="Times New Roman" w:hAnsi="Times New Roman" w:eastAsia="仿宋_GB2312" w:cs="Times New Roman"/>
          <w:kern w:val="2"/>
          <w:sz w:val="32"/>
          <w:szCs w:val="32"/>
          <w:lang w:val="en-US" w:eastAsia="zh-CN" w:bidi="ar-SA"/>
        </w:rPr>
        <w:t>62.14</w:t>
      </w:r>
      <w:r>
        <w:rPr>
          <w:rFonts w:hint="default" w:ascii="Times New Roman" w:hAnsi="Times New Roman" w:eastAsia="仿宋_GB2312" w:cs="Times New Roman"/>
          <w:kern w:val="2"/>
          <w:sz w:val="32"/>
          <w:szCs w:val="32"/>
          <w:lang w:val="en-US" w:eastAsia="zh-CN" w:bidi="ar-SA"/>
        </w:rPr>
        <w:t>万元，预算执行率</w:t>
      </w:r>
      <w:r>
        <w:rPr>
          <w:rFonts w:hint="eastAsia" w:ascii="Times New Roman" w:hAnsi="Times New Roman" w:eastAsia="仿宋_GB2312" w:cs="Times New Roman"/>
          <w:kern w:val="2"/>
          <w:sz w:val="32"/>
          <w:szCs w:val="32"/>
          <w:lang w:val="en-US" w:eastAsia="zh-CN" w:bidi="ar-SA"/>
        </w:rPr>
        <w:t>95.81</w:t>
      </w:r>
      <w:r>
        <w:rPr>
          <w:rFonts w:hint="default" w:ascii="Times New Roman" w:hAnsi="Times New Roman" w:eastAsia="仿宋_GB2312" w:cs="Times New Roman"/>
          <w:kern w:val="2"/>
          <w:sz w:val="32"/>
          <w:szCs w:val="32"/>
          <w:lang w:val="en-US" w:eastAsia="zh-CN" w:bidi="ar-SA"/>
        </w:rPr>
        <w:t>%。部门评价得分</w:t>
      </w:r>
      <w:r>
        <w:rPr>
          <w:rFonts w:hint="eastAsia" w:ascii="Times New Roman" w:hAnsi="Times New Roman" w:eastAsia="仿宋_GB2312" w:cs="Times New Roman"/>
          <w:kern w:val="2"/>
          <w:sz w:val="32"/>
          <w:szCs w:val="32"/>
          <w:lang w:val="en-US" w:eastAsia="zh-CN" w:bidi="ar-SA"/>
        </w:rPr>
        <w:t>96</w:t>
      </w:r>
      <w:r>
        <w:rPr>
          <w:rFonts w:hint="default" w:ascii="Times New Roman" w:hAnsi="Times New Roman" w:eastAsia="仿宋_GB2312" w:cs="Times New Roman"/>
          <w:kern w:val="2"/>
          <w:sz w:val="32"/>
          <w:szCs w:val="32"/>
          <w:lang w:val="en-US" w:eastAsia="zh-CN" w:bidi="ar-SA"/>
        </w:rPr>
        <w:t>分，评价等级为“</w:t>
      </w:r>
      <w:r>
        <w:rPr>
          <w:rFonts w:hint="eastAsia" w:ascii="Times New Roman" w:hAnsi="Times New Roman" w:eastAsia="仿宋_GB2312" w:cs="Times New Roman"/>
          <w:kern w:val="2"/>
          <w:sz w:val="32"/>
          <w:szCs w:val="32"/>
          <w:lang w:val="en-US" w:eastAsia="zh-CN" w:bidi="ar-SA"/>
        </w:rPr>
        <w:t>优秀</w:t>
      </w:r>
      <w:r>
        <w:rPr>
          <w:rFonts w:hint="default" w:ascii="Times New Roman" w:hAnsi="Times New Roman" w:eastAsia="仿宋_GB2312" w:cs="Times New Roman"/>
          <w:kern w:val="2"/>
          <w:sz w:val="32"/>
          <w:szCs w:val="32"/>
          <w:lang w:val="en-US" w:eastAsia="zh-CN" w:bidi="ar-SA"/>
        </w:rPr>
        <w:t>”。发现的主要问题及原因：绩效评价目标体系设置精细化程度仍需提高。在202</w:t>
      </w:r>
      <w:r>
        <w:rPr>
          <w:rFonts w:hint="eastAsia" w:ascii="Times New Roman" w:hAnsi="Times New Roman" w:eastAsia="仿宋_GB2312"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年度预算绩效目标编制工作中，对各部室的绩效目标和绩效指标的设定未紧扣各自职能，有的指标设置科学量化度不高，绩效目标编制质量仍需提高。下一步改进措施：</w:t>
      </w:r>
      <w:r>
        <w:rPr>
          <w:rFonts w:hint="eastAsia" w:ascii="Times New Roman" w:hAnsi="Times New Roman" w:eastAsia="仿宋_GB2312" w:cs="Times New Roman"/>
          <w:kern w:val="2"/>
          <w:sz w:val="32"/>
          <w:szCs w:val="32"/>
          <w:lang w:val="en-US" w:eastAsia="zh-CN" w:bidi="ar-SA"/>
        </w:rPr>
        <w:t>一</w:t>
      </w:r>
      <w:r>
        <w:rPr>
          <w:rFonts w:hint="eastAsia" w:ascii="Times New Roman" w:hAnsi="Times New Roman" w:eastAsia="仿宋_GB2312" w:cs="Times New Roman"/>
          <w:i w:val="0"/>
          <w:iCs w:val="0"/>
          <w:caps w:val="0"/>
          <w:color w:val="000000"/>
          <w:spacing w:val="0"/>
          <w:sz w:val="32"/>
          <w:szCs w:val="32"/>
          <w:shd w:val="clear" w:fill="FFFFFF"/>
          <w:lang w:eastAsia="zh-CN"/>
        </w:rPr>
        <w:t>是</w:t>
      </w:r>
      <w:r>
        <w:rPr>
          <w:rFonts w:hint="default" w:ascii="Times New Roman" w:hAnsi="Times New Roman" w:eastAsia="仿宋_GB2312" w:cs="Times New Roman"/>
          <w:i w:val="0"/>
          <w:iCs w:val="0"/>
          <w:caps w:val="0"/>
          <w:color w:val="000000"/>
          <w:spacing w:val="0"/>
          <w:sz w:val="32"/>
          <w:szCs w:val="32"/>
          <w:shd w:val="clear" w:fill="FFFFFF"/>
        </w:rPr>
        <w:t>定期做好预算支出财务分析，做好部门整体支出预算评价工作，进一步提高预算基本支出的财务保障水平，强化机关经费管理的刚性约束，项目支出按照预算和工作进度执行，进一步规范各项支出</w:t>
      </w:r>
      <w:r>
        <w:rPr>
          <w:rFonts w:hint="eastAsia" w:ascii="Times New Roman" w:hAnsi="Times New Roman" w:eastAsia="仿宋_GB2312" w:cs="Times New Roman"/>
          <w:i w:val="0"/>
          <w:iCs w:val="0"/>
          <w:caps w:val="0"/>
          <w:color w:val="000000"/>
          <w:spacing w:val="0"/>
          <w:sz w:val="32"/>
          <w:szCs w:val="32"/>
          <w:shd w:val="clear" w:fill="FFFFFF"/>
          <w:lang w:eastAsia="zh-CN"/>
        </w:rPr>
        <w:t>；二是</w:t>
      </w:r>
      <w:r>
        <w:rPr>
          <w:rFonts w:hint="default" w:ascii="Times New Roman" w:hAnsi="Times New Roman" w:eastAsia="仿宋_GB2312" w:cs="Times New Roman"/>
          <w:i w:val="0"/>
          <w:iCs w:val="0"/>
          <w:caps w:val="0"/>
          <w:color w:val="000000"/>
          <w:spacing w:val="0"/>
          <w:sz w:val="32"/>
          <w:szCs w:val="32"/>
          <w:shd w:val="clear" w:fill="FFFFFF"/>
        </w:rPr>
        <w:t>今后严格按照预算绩效管理要求，坚持定性与定量相结合，突出重点，便于检验、评价、考核。可以量化的三级指标，都要予以量化；确实难以量化的，要提炼出能够反映目标任务和预期成效的结果性描述。</w:t>
      </w:r>
    </w:p>
    <w:p w14:paraId="0A3B7BE1">
      <w:pPr>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
          <w:bCs/>
          <w:kern w:val="0"/>
          <w:sz w:val="32"/>
          <w:szCs w:val="32"/>
        </w:rPr>
        <w:t>三是事前绩效评估结果（如有，一级预算部门填写）。</w:t>
      </w:r>
      <w:r>
        <w:rPr>
          <w:rFonts w:hint="eastAsia" w:ascii="Times New Roman" w:hAnsi="Times New Roman" w:eastAsia="仿宋_GB2312" w:cs="Times New Roman"/>
          <w:kern w:val="0"/>
          <w:sz w:val="32"/>
          <w:szCs w:val="32"/>
          <w:lang w:eastAsia="zh-CN"/>
        </w:rPr>
        <w:t>本部门</w:t>
      </w:r>
      <w:r>
        <w:rPr>
          <w:rFonts w:hint="eastAsia" w:ascii="Times New Roman" w:hAnsi="Times New Roman" w:eastAsia="仿宋_GB2312" w:cs="Times New Roman"/>
          <w:kern w:val="0"/>
          <w:sz w:val="32"/>
          <w:szCs w:val="32"/>
          <w:lang w:val="en-US" w:eastAsia="zh-CN"/>
        </w:rPr>
        <w:t>2025年度没有事前绩效评估项目</w:t>
      </w:r>
      <w:r>
        <w:rPr>
          <w:rFonts w:ascii="Times New Roman" w:hAnsi="Times New Roman" w:eastAsia="仿宋_GB2312" w:cs="Times New Roman"/>
          <w:kern w:val="0"/>
          <w:sz w:val="32"/>
          <w:szCs w:val="32"/>
        </w:rPr>
        <w:t>。</w:t>
      </w:r>
    </w:p>
    <w:p w14:paraId="0A343D0F">
      <w:pPr>
        <w:pStyle w:val="14"/>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rPr>
        <w:t>年我单位整体支出绩效自</w:t>
      </w:r>
      <w:r>
        <w:rPr>
          <w:rFonts w:hint="eastAsia" w:ascii="Times New Roman" w:hAnsi="Times New Roman" w:eastAsia="仿宋_GB2312" w:cs="Times New Roman"/>
          <w:color w:val="000000" w:themeColor="text1"/>
          <w:sz w:val="32"/>
          <w:szCs w:val="32"/>
          <w14:textFill>
            <w14:solidFill>
              <w14:schemeClr w14:val="tx1"/>
            </w14:solidFill>
          </w14:textFill>
        </w:rPr>
        <w:t>评得分</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99.68</w:t>
      </w:r>
      <w:r>
        <w:rPr>
          <w:rFonts w:hint="eastAsia" w:ascii="Times New Roman" w:hAnsi="Times New Roman" w:eastAsia="仿宋_GB2312" w:cs="Times New Roman"/>
          <w:color w:val="000000" w:themeColor="text1"/>
          <w:sz w:val="32"/>
          <w:szCs w:val="32"/>
          <w14:textFill>
            <w14:solidFill>
              <w14:schemeClr w14:val="tx1"/>
            </w14:solidFill>
          </w14:textFill>
        </w:rPr>
        <w:t>分，</w:t>
      </w:r>
      <w:r>
        <w:rPr>
          <w:rFonts w:hint="eastAsia" w:ascii="Times New Roman" w:hAnsi="Times New Roman" w:eastAsia="仿宋_GB2312" w:cs="Times New Roman"/>
          <w:color w:val="auto"/>
          <w:sz w:val="32"/>
          <w:szCs w:val="32"/>
        </w:rPr>
        <w:t>评价等级为优，依据这一结果，我单位</w:t>
      </w: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对存在的问题及时整改，加强绩效管理，强化资金使用和绩效目标管理意识，根据单位职能科学合理地设置绩效指标，提高预算绩效指标的针对性和可测性，充分发挥预算绩效目标管理的导向作用；完善绩效考核制度，对绩效目标不断细化、量化，提高资金使用效益</w:t>
      </w:r>
      <w:r>
        <w:rPr>
          <w:rFonts w:hint="eastAsia" w:ascii="Times New Roman" w:hAnsi="Times New Roman" w:eastAsia="仿宋_GB2312" w:cs="Times New Roman"/>
          <w:color w:val="auto"/>
          <w:sz w:val="32"/>
          <w:szCs w:val="32"/>
        </w:rPr>
        <w:t>。</w:t>
      </w:r>
    </w:p>
    <w:p w14:paraId="20452BDF">
      <w:pPr>
        <w:pStyle w:val="14"/>
        <w:jc w:val="center"/>
        <w:rPr>
          <w:rFonts w:ascii="Times New Roman" w:hAnsi="Times New Roman" w:cs="Times New Roman"/>
          <w:sz w:val="72"/>
          <w:szCs w:val="72"/>
        </w:rPr>
      </w:pPr>
    </w:p>
    <w:p w14:paraId="75A144DC">
      <w:pPr>
        <w:pStyle w:val="14"/>
        <w:jc w:val="center"/>
        <w:rPr>
          <w:rFonts w:ascii="Times New Roman" w:hAnsi="Times New Roman" w:cs="Times New Roman"/>
          <w:sz w:val="72"/>
          <w:szCs w:val="72"/>
        </w:rPr>
      </w:pPr>
    </w:p>
    <w:p w14:paraId="794A73EE">
      <w:pPr>
        <w:pStyle w:val="14"/>
        <w:jc w:val="center"/>
        <w:rPr>
          <w:rFonts w:ascii="Times New Roman" w:hAnsi="Times New Roman" w:cs="Times New Roman"/>
          <w:sz w:val="72"/>
          <w:szCs w:val="72"/>
        </w:rPr>
      </w:pPr>
    </w:p>
    <w:p w14:paraId="49593A9F">
      <w:pPr>
        <w:pStyle w:val="14"/>
        <w:jc w:val="center"/>
        <w:rPr>
          <w:rFonts w:ascii="Times New Roman" w:hAnsi="Times New Roman" w:cs="Times New Roman"/>
          <w:sz w:val="72"/>
          <w:szCs w:val="72"/>
        </w:rPr>
      </w:pPr>
    </w:p>
    <w:p w14:paraId="419B47D4">
      <w:pPr>
        <w:pStyle w:val="14"/>
        <w:jc w:val="center"/>
        <w:rPr>
          <w:rFonts w:ascii="Times New Roman" w:hAnsi="Times New Roman" w:cs="Times New Roman"/>
          <w:sz w:val="72"/>
          <w:szCs w:val="72"/>
        </w:rPr>
      </w:pPr>
    </w:p>
    <w:p w14:paraId="478B0313">
      <w:pPr>
        <w:pStyle w:val="14"/>
        <w:jc w:val="center"/>
        <w:rPr>
          <w:rFonts w:ascii="Times New Roman" w:hAnsi="Times New Roman" w:cs="Times New Roman"/>
          <w:sz w:val="72"/>
          <w:szCs w:val="72"/>
        </w:rPr>
      </w:pPr>
    </w:p>
    <w:p w14:paraId="50BF62E2">
      <w:pPr>
        <w:pStyle w:val="14"/>
        <w:jc w:val="center"/>
        <w:rPr>
          <w:rFonts w:ascii="Times New Roman" w:hAnsi="Times New Roman" w:cs="Times New Roman"/>
          <w:sz w:val="72"/>
          <w:szCs w:val="72"/>
        </w:rPr>
      </w:pPr>
    </w:p>
    <w:p w14:paraId="03036251">
      <w:pPr>
        <w:pStyle w:val="14"/>
        <w:jc w:val="center"/>
        <w:rPr>
          <w:rFonts w:ascii="Times New Roman" w:hAnsi="Times New Roman" w:cs="Times New Roman"/>
          <w:sz w:val="72"/>
          <w:szCs w:val="72"/>
        </w:rPr>
      </w:pPr>
    </w:p>
    <w:p w14:paraId="7A3BD8CB">
      <w:pPr>
        <w:pStyle w:val="14"/>
        <w:jc w:val="center"/>
        <w:rPr>
          <w:rFonts w:ascii="Times New Roman" w:hAnsi="Times New Roman" w:cs="Times New Roman"/>
          <w:sz w:val="72"/>
          <w:szCs w:val="72"/>
        </w:rPr>
      </w:pPr>
    </w:p>
    <w:p w14:paraId="0B2D3FFC">
      <w:pPr>
        <w:pStyle w:val="14"/>
        <w:jc w:val="both"/>
        <w:rPr>
          <w:rFonts w:ascii="Times New Roman" w:hAnsi="Times New Roman" w:cs="Times New Roman"/>
          <w:sz w:val="72"/>
          <w:szCs w:val="72"/>
        </w:rPr>
      </w:pPr>
    </w:p>
    <w:p w14:paraId="056F7B6A">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DF9F6BB">
      <w:pPr>
        <w:widowControl/>
        <w:jc w:val="left"/>
        <w:rPr>
          <w:rFonts w:ascii="Times New Roman" w:hAnsi="Times New Roman" w:cs="Times New Roman"/>
          <w:color w:val="000000"/>
          <w:kern w:val="0"/>
          <w:sz w:val="32"/>
          <w:szCs w:val="32"/>
        </w:rPr>
      </w:pPr>
    </w:p>
    <w:p w14:paraId="79F1D698">
      <w:pPr>
        <w:widowControl/>
        <w:jc w:val="left"/>
        <w:rPr>
          <w:rFonts w:ascii="Times New Roman" w:hAnsi="Times New Roman" w:cs="Times New Roman"/>
          <w:color w:val="000000"/>
          <w:kern w:val="0"/>
          <w:sz w:val="32"/>
          <w:szCs w:val="32"/>
        </w:rPr>
      </w:pPr>
    </w:p>
    <w:p w14:paraId="43FBA1AC">
      <w:pPr>
        <w:widowControl/>
        <w:jc w:val="left"/>
        <w:rPr>
          <w:rFonts w:ascii="Times New Roman" w:hAnsi="Times New Roman" w:cs="Times New Roman"/>
          <w:color w:val="000000"/>
          <w:kern w:val="0"/>
          <w:sz w:val="32"/>
          <w:szCs w:val="32"/>
        </w:rPr>
      </w:pPr>
    </w:p>
    <w:p w14:paraId="5A22A329">
      <w:pPr>
        <w:widowControl/>
        <w:jc w:val="left"/>
        <w:rPr>
          <w:rFonts w:ascii="Times New Roman" w:hAnsi="Times New Roman" w:cs="Times New Roman"/>
          <w:color w:val="000000"/>
          <w:kern w:val="0"/>
          <w:sz w:val="32"/>
          <w:szCs w:val="32"/>
        </w:rPr>
      </w:pPr>
    </w:p>
    <w:p w14:paraId="70A53310">
      <w:pPr>
        <w:widowControl/>
        <w:jc w:val="left"/>
        <w:rPr>
          <w:rFonts w:ascii="Times New Roman" w:hAnsi="Times New Roman" w:cs="Times New Roman"/>
          <w:color w:val="000000"/>
          <w:kern w:val="0"/>
          <w:sz w:val="32"/>
          <w:szCs w:val="32"/>
        </w:rPr>
      </w:pPr>
    </w:p>
    <w:p w14:paraId="53E59D22">
      <w:pPr>
        <w:widowControl/>
        <w:jc w:val="left"/>
        <w:rPr>
          <w:rFonts w:ascii="Times New Roman" w:hAnsi="Times New Roman" w:cs="Times New Roman"/>
          <w:color w:val="000000"/>
          <w:kern w:val="0"/>
          <w:sz w:val="32"/>
          <w:szCs w:val="32"/>
        </w:rPr>
      </w:pPr>
    </w:p>
    <w:p w14:paraId="68333310">
      <w:pPr>
        <w:widowControl/>
        <w:jc w:val="left"/>
        <w:rPr>
          <w:rFonts w:ascii="Times New Roman" w:hAnsi="Times New Roman" w:cs="Times New Roman"/>
          <w:color w:val="000000"/>
          <w:kern w:val="0"/>
          <w:sz w:val="32"/>
          <w:szCs w:val="32"/>
        </w:rPr>
      </w:pPr>
    </w:p>
    <w:p w14:paraId="1DA268D0">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一、财政拨款收入：指财政当年拨付的资金。 </w:t>
      </w:r>
    </w:p>
    <w:p w14:paraId="7462F457">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二、事业收入：指事业单位开展专业业务活动及辅助活动所取得的收入。如：中国财政杂志社的刊物发行收入，中国注册会计师协会、中国资产评估协会、中国国债协会、中国会计学会收取的会费收入等。 </w:t>
      </w:r>
    </w:p>
    <w:p w14:paraId="51A808D7">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三、经营收入：指事业单位在专业业务活动及其辅助活动之外开展非独立核算经营活动取得的收入。如：中国财政杂志社广告收入等。 </w:t>
      </w:r>
    </w:p>
    <w:p w14:paraId="50690350">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四、其他收入：指除上述“财政拨款收入”、“事业收入”、“经营收入”等以外的收入。主要是按规定动用的售房收入、存款利息收入等。 </w:t>
      </w:r>
    </w:p>
    <w:p w14:paraId="252E7ED2">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五、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14:paraId="497EFCDC">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六、年初结转和结余：指以前年度尚未完成、结转到本年按有关规定继续使用的资金。 </w:t>
      </w:r>
    </w:p>
    <w:p w14:paraId="018A2475">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七、结余分配：指事业单位按规定提取的职工福利基金、事业基金和缴纳的所得税，以及建设单位按规定应交回的基本建设竣工项目结余资金。</w:t>
      </w:r>
    </w:p>
    <w:p w14:paraId="37F63BE7">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八、年末结转和结余：指本年度或以前年度预算安排、因客观条件发生变化无法按原计划实施，需要延迟到以后年度按有关规定继续使用的资金。 </w:t>
      </w:r>
    </w:p>
    <w:p w14:paraId="41A45566">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九、基本支出：指为保障机构正常运转、完成日常工作任务而发生的人员支出和公用支出。 </w:t>
      </w:r>
    </w:p>
    <w:p w14:paraId="5F34DD22">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十、项目支出：指在基本支出之外为完成特定行政任务和事业发展目标所发生的支出。 </w:t>
      </w:r>
    </w:p>
    <w:p w14:paraId="1B8ABE1E">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十一、经营支出：指事业单位在专业业务活动及其辅助活动之外开展非独立核算经营活动发生的支出。 </w:t>
      </w:r>
    </w:p>
    <w:p w14:paraId="2507434B">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十二、“三公”经费：纳入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14:paraId="64F17707">
      <w:pPr>
        <w:pStyle w:val="14"/>
        <w:spacing w:line="60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Times New Roman" w:hAnsi="Times New Roman" w:eastAsia="仿宋_GB2312"/>
          <w:sz w:val="32"/>
          <w:szCs w:val="32"/>
          <w:lang w:eastAsia="zh-CN"/>
        </w:rPr>
        <w:t>。</w:t>
      </w:r>
    </w:p>
    <w:p w14:paraId="69E8C308">
      <w:pPr>
        <w:pStyle w:val="14"/>
        <w:ind w:firstLine="640" w:firstLineChars="200"/>
        <w:rPr>
          <w:rFonts w:ascii="Times New Roman" w:hAnsi="Times New Roman" w:cs="Times New Roman" w:eastAsiaTheme="minorEastAsia"/>
          <w:sz w:val="32"/>
          <w:szCs w:val="32"/>
        </w:rPr>
      </w:pPr>
    </w:p>
    <w:p w14:paraId="6714C000">
      <w:pPr>
        <w:pStyle w:val="14"/>
        <w:jc w:val="center"/>
        <w:rPr>
          <w:rFonts w:ascii="Times New Roman" w:hAnsi="Times New Roman" w:cs="Times New Roman"/>
          <w:sz w:val="72"/>
          <w:szCs w:val="72"/>
        </w:rPr>
      </w:pPr>
    </w:p>
    <w:p w14:paraId="3D6CF3BE">
      <w:pPr>
        <w:pStyle w:val="14"/>
        <w:jc w:val="center"/>
        <w:rPr>
          <w:rFonts w:ascii="Times New Roman" w:hAnsi="Times New Roman" w:cs="Times New Roman"/>
          <w:sz w:val="72"/>
          <w:szCs w:val="72"/>
        </w:rPr>
      </w:pPr>
    </w:p>
    <w:p w14:paraId="368F49DE">
      <w:pPr>
        <w:pStyle w:val="14"/>
        <w:jc w:val="center"/>
        <w:rPr>
          <w:rFonts w:ascii="Times New Roman" w:hAnsi="Times New Roman" w:cs="Times New Roman"/>
          <w:sz w:val="72"/>
          <w:szCs w:val="72"/>
        </w:rPr>
      </w:pPr>
    </w:p>
    <w:p w14:paraId="42BBB3BE">
      <w:pPr>
        <w:pStyle w:val="14"/>
        <w:jc w:val="center"/>
        <w:rPr>
          <w:rFonts w:ascii="Times New Roman" w:hAnsi="Times New Roman" w:cs="Times New Roman"/>
          <w:sz w:val="72"/>
          <w:szCs w:val="72"/>
        </w:rPr>
      </w:pPr>
    </w:p>
    <w:p w14:paraId="183111FB">
      <w:pPr>
        <w:pStyle w:val="14"/>
        <w:jc w:val="center"/>
        <w:rPr>
          <w:rFonts w:ascii="Times New Roman" w:hAnsi="Times New Roman" w:cs="Times New Roman"/>
          <w:sz w:val="72"/>
          <w:szCs w:val="72"/>
        </w:rPr>
      </w:pPr>
    </w:p>
    <w:p w14:paraId="7198023D">
      <w:pPr>
        <w:pStyle w:val="14"/>
        <w:jc w:val="center"/>
        <w:rPr>
          <w:rFonts w:ascii="Times New Roman" w:hAnsi="Times New Roman" w:cs="Times New Roman"/>
          <w:sz w:val="72"/>
          <w:szCs w:val="72"/>
        </w:rPr>
      </w:pPr>
    </w:p>
    <w:p w14:paraId="66D67519">
      <w:pPr>
        <w:pStyle w:val="14"/>
        <w:jc w:val="both"/>
        <w:rPr>
          <w:rFonts w:ascii="Times New Roman" w:hAnsi="Times New Roman" w:cs="Times New Roman"/>
          <w:sz w:val="72"/>
          <w:szCs w:val="72"/>
        </w:rPr>
      </w:pPr>
    </w:p>
    <w:p w14:paraId="230AB780">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08343728">
      <w:pPr>
        <w:rPr>
          <w:rFonts w:ascii="Times New Roman" w:hAnsi="Times New Roman" w:cs="Times New Roman"/>
          <w:sz w:val="72"/>
          <w:szCs w:val="72"/>
        </w:rPr>
      </w:pPr>
    </w:p>
    <w:p w14:paraId="59D8ABCC">
      <w:pPr>
        <w:pStyle w:val="14"/>
        <w:spacing w:line="600" w:lineRule="exact"/>
        <w:ind w:firstLine="640" w:firstLineChars="200"/>
        <w:rPr>
          <w:rFonts w:ascii="Times New Roman" w:hAnsi="Times New Roman" w:eastAsia="仿宋_GB2312" w:cs="Times New Roman"/>
          <w:b/>
          <w:bCs/>
          <w:sz w:val="32"/>
          <w:szCs w:val="32"/>
        </w:rPr>
      </w:pPr>
    </w:p>
    <w:p w14:paraId="0DC8942B">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6AFF45E4">
      <w:pPr>
        <w:pStyle w:val="14"/>
        <w:spacing w:line="600" w:lineRule="exact"/>
        <w:ind w:firstLine="640" w:firstLineChars="200"/>
        <w:rPr>
          <w:rFonts w:ascii="Times New Roman" w:hAnsi="Times New Roman" w:eastAsia="仿宋_GB2312" w:cs="Times New Roman"/>
          <w:sz w:val="32"/>
          <w:szCs w:val="32"/>
        </w:rPr>
      </w:pPr>
    </w:p>
    <w:p w14:paraId="27A8A283">
      <w:pPr>
        <w:pStyle w:val="14"/>
        <w:jc w:val="center"/>
        <w:rPr>
          <w:rFonts w:ascii="Times New Roman" w:hAnsi="Times New Roman" w:cs="Times New Roman"/>
          <w:sz w:val="72"/>
          <w:szCs w:val="72"/>
        </w:rPr>
      </w:pPr>
    </w:p>
    <w:p w14:paraId="738BF6FA">
      <w:pPr>
        <w:pStyle w:val="14"/>
        <w:jc w:val="center"/>
        <w:rPr>
          <w:rFonts w:ascii="Times New Roman" w:hAnsi="Times New Roman" w:cs="Times New Roman"/>
          <w:sz w:val="72"/>
          <w:szCs w:val="72"/>
        </w:rPr>
      </w:pPr>
    </w:p>
    <w:p w14:paraId="5E5C44DD">
      <w:pPr>
        <w:jc w:val="left"/>
        <w:rPr>
          <w:rFonts w:ascii="Times New Roman" w:hAnsi="Times New Roman" w:cs="Times New Roman"/>
          <w:color w:val="000000"/>
          <w:kern w:val="0"/>
          <w:sz w:val="32"/>
          <w:szCs w:val="32"/>
        </w:rPr>
      </w:pPr>
    </w:p>
    <w:p w14:paraId="1FD55BFC">
      <w:pPr>
        <w:jc w:val="left"/>
        <w:rPr>
          <w:rFonts w:ascii="Times New Roman" w:hAnsi="Times New Roman" w:cs="Times New Roman"/>
          <w:color w:val="000000"/>
          <w:kern w:val="0"/>
          <w:sz w:val="32"/>
          <w:szCs w:val="32"/>
        </w:rPr>
      </w:pPr>
    </w:p>
    <w:p w14:paraId="5D726914">
      <w:pPr>
        <w:jc w:val="left"/>
        <w:rPr>
          <w:rFonts w:ascii="Times New Roman" w:hAnsi="Times New Roman" w:cs="Times New Roman"/>
          <w:color w:val="000000"/>
          <w:kern w:val="0"/>
          <w:sz w:val="32"/>
          <w:szCs w:val="32"/>
        </w:rPr>
      </w:pPr>
    </w:p>
    <w:p w14:paraId="7450BE07">
      <w:pPr>
        <w:jc w:val="left"/>
        <w:rPr>
          <w:rFonts w:ascii="Times New Roman" w:hAnsi="Times New Roman" w:cs="Times New Roman"/>
          <w:color w:val="000000"/>
          <w:kern w:val="0"/>
          <w:sz w:val="32"/>
          <w:szCs w:val="32"/>
        </w:rPr>
      </w:pPr>
    </w:p>
    <w:p w14:paraId="215F2A3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0"/>
        <w:jc w:val="center"/>
        <w:textAlignment w:val="auto"/>
        <w:rPr>
          <w:rFonts w:hint="default" w:ascii="Times New Roman" w:hAnsi="Times New Roman" w:eastAsia="宋体" w:cs="Times New Roman"/>
          <w:b/>
          <w:bCs/>
          <w:i w:val="0"/>
          <w:iCs w:val="0"/>
          <w:caps w:val="0"/>
          <w:color w:val="000000"/>
          <w:spacing w:val="0"/>
          <w:sz w:val="44"/>
          <w:szCs w:val="44"/>
          <w:shd w:val="clear" w:color="auto" w:fill="FFFFFF"/>
        </w:rPr>
      </w:pPr>
      <w:r>
        <w:rPr>
          <w:rFonts w:hint="default" w:ascii="Times New Roman" w:hAnsi="Times New Roman" w:eastAsia="宋体" w:cs="Times New Roman"/>
          <w:b/>
          <w:bCs/>
          <w:i w:val="0"/>
          <w:iCs w:val="0"/>
          <w:caps w:val="0"/>
          <w:color w:val="000000"/>
          <w:spacing w:val="0"/>
          <w:sz w:val="44"/>
          <w:szCs w:val="44"/>
          <w:shd w:val="clear" w:color="auto" w:fill="FFFFFF"/>
        </w:rPr>
        <w:t>202</w:t>
      </w:r>
      <w:r>
        <w:rPr>
          <w:rFonts w:hint="eastAsia" w:cs="Times New Roman"/>
          <w:b/>
          <w:bCs/>
          <w:i w:val="0"/>
          <w:iCs w:val="0"/>
          <w:caps w:val="0"/>
          <w:color w:val="000000"/>
          <w:spacing w:val="0"/>
          <w:sz w:val="44"/>
          <w:szCs w:val="44"/>
          <w:shd w:val="clear" w:color="auto" w:fill="FFFFFF"/>
          <w:lang w:val="en-US" w:eastAsia="zh-CN"/>
        </w:rPr>
        <w:t>5</w:t>
      </w:r>
      <w:r>
        <w:rPr>
          <w:rFonts w:hint="default" w:ascii="Times New Roman" w:hAnsi="Times New Roman" w:eastAsia="宋体" w:cs="Times New Roman"/>
          <w:b/>
          <w:bCs/>
          <w:i w:val="0"/>
          <w:iCs w:val="0"/>
          <w:caps w:val="0"/>
          <w:color w:val="000000"/>
          <w:spacing w:val="0"/>
          <w:sz w:val="44"/>
          <w:szCs w:val="44"/>
          <w:shd w:val="clear" w:color="auto" w:fill="FFFFFF"/>
        </w:rPr>
        <w:t>年度怀化市</w:t>
      </w:r>
      <w:r>
        <w:rPr>
          <w:rFonts w:hint="default" w:ascii="Times New Roman" w:hAnsi="Times New Roman" w:eastAsia="宋体" w:cs="Times New Roman"/>
          <w:b/>
          <w:bCs/>
          <w:i w:val="0"/>
          <w:iCs w:val="0"/>
          <w:caps w:val="0"/>
          <w:color w:val="000000"/>
          <w:spacing w:val="0"/>
          <w:sz w:val="44"/>
          <w:szCs w:val="44"/>
          <w:shd w:val="clear" w:color="auto" w:fill="FFFFFF"/>
          <w:lang w:eastAsia="zh-CN"/>
        </w:rPr>
        <w:t>委老干部</w:t>
      </w:r>
      <w:r>
        <w:rPr>
          <w:rFonts w:hint="default" w:ascii="Times New Roman" w:hAnsi="Times New Roman" w:eastAsia="宋体" w:cs="Times New Roman"/>
          <w:b/>
          <w:bCs/>
          <w:i w:val="0"/>
          <w:iCs w:val="0"/>
          <w:caps w:val="0"/>
          <w:color w:val="000000"/>
          <w:spacing w:val="0"/>
          <w:sz w:val="44"/>
          <w:szCs w:val="44"/>
          <w:shd w:val="clear" w:color="auto" w:fill="FFFFFF"/>
        </w:rPr>
        <w:t>局</w:t>
      </w:r>
    </w:p>
    <w:p w14:paraId="74133E0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0"/>
        <w:jc w:val="center"/>
        <w:textAlignment w:val="auto"/>
        <w:rPr>
          <w:rFonts w:hint="default" w:ascii="Times New Roman" w:hAnsi="Times New Roman" w:eastAsia="宋体" w:cs="Times New Roman"/>
          <w:b/>
          <w:bCs/>
          <w:i w:val="0"/>
          <w:iCs w:val="0"/>
          <w:caps w:val="0"/>
          <w:color w:val="000000"/>
          <w:spacing w:val="0"/>
          <w:sz w:val="44"/>
          <w:szCs w:val="44"/>
        </w:rPr>
      </w:pPr>
      <w:r>
        <w:rPr>
          <w:rFonts w:hint="default" w:ascii="Times New Roman" w:hAnsi="Times New Roman" w:eastAsia="宋体" w:cs="Times New Roman"/>
          <w:b/>
          <w:bCs/>
          <w:i w:val="0"/>
          <w:iCs w:val="0"/>
          <w:caps w:val="0"/>
          <w:color w:val="000000"/>
          <w:spacing w:val="0"/>
          <w:sz w:val="44"/>
          <w:szCs w:val="44"/>
          <w:shd w:val="clear" w:color="auto" w:fill="FFFFFF"/>
        </w:rPr>
        <w:t>整体支出绩效自评报告</w:t>
      </w:r>
    </w:p>
    <w:p w14:paraId="6B07A88D">
      <w:pPr>
        <w:keepNext w:val="0"/>
        <w:keepLines w:val="0"/>
        <w:pageBreakBefore w:val="0"/>
        <w:widowControl w:val="0"/>
        <w:shd w:val="clear" w:color="auto" w:fill="FFFFFF"/>
        <w:kinsoku/>
        <w:wordWrap/>
        <w:overflowPunct/>
        <w:topLinePunct w:val="0"/>
        <w:autoSpaceDE/>
        <w:autoSpaceDN/>
        <w:bidi w:val="0"/>
        <w:adjustRightInd/>
        <w:spacing w:line="600" w:lineRule="exact"/>
        <w:ind w:left="0" w:firstLine="1422" w:firstLineChars="450"/>
        <w:textAlignment w:val="auto"/>
        <w:rPr>
          <w:rFonts w:hint="default" w:ascii="Times New Roman" w:hAnsi="Times New Roman" w:eastAsia="仿宋_GB2312" w:cs="Times New Roman"/>
          <w:b/>
          <w:spacing w:val="-2"/>
          <w:sz w:val="32"/>
          <w:szCs w:val="44"/>
        </w:rPr>
      </w:pPr>
    </w:p>
    <w:p w14:paraId="7386C79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b/>
          <w:spacing w:val="-2"/>
          <w:sz w:val="32"/>
          <w:szCs w:val="44"/>
        </w:rPr>
      </w:pP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根据《怀化市财政局关于开展202</w:t>
      </w:r>
      <w:r>
        <w:rPr>
          <w:rFonts w:hint="eastAsia" w:eastAsia="仿宋_GB2312" w:cs="Times New Roman"/>
          <w:i w:val="0"/>
          <w:iCs w:val="0"/>
          <w:caps w:val="0"/>
          <w:color w:val="000000"/>
          <w:spacing w:val="0"/>
          <w:sz w:val="32"/>
          <w:szCs w:val="32"/>
          <w:shd w:val="clear" w:color="auto" w:fill="FFFFFF"/>
          <w:lang w:val="en-US" w:eastAsia="zh-CN"/>
        </w:rPr>
        <w:t>5</w:t>
      </w: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年度预算支出绩效自评工作的通知》（怀财绩</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〔202</w:t>
      </w:r>
      <w:r>
        <w:rPr>
          <w:rFonts w:hint="eastAsia" w:eastAsia="仿宋_GB2312" w:cs="Times New Roman"/>
          <w:i w:val="0"/>
          <w:iCs w:val="0"/>
          <w:caps w:val="0"/>
          <w:color w:val="auto"/>
          <w:spacing w:val="0"/>
          <w:sz w:val="32"/>
          <w:szCs w:val="32"/>
          <w:shd w:val="clear" w:color="auto" w:fill="FFFFFF"/>
          <w:lang w:val="en-US" w:eastAsia="zh-CN"/>
        </w:rPr>
        <w:t>6</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3</w:t>
      </w:r>
      <w:r>
        <w:rPr>
          <w:rFonts w:hint="eastAsia" w:ascii="Times New Roman" w:hAnsi="Times New Roman" w:eastAsia="仿宋_GB2312" w:cs="Times New Roman"/>
          <w:i w:val="0"/>
          <w:iCs w:val="0"/>
          <w:caps w:val="0"/>
          <w:color w:val="000000"/>
          <w:spacing w:val="0"/>
          <w:sz w:val="32"/>
          <w:szCs w:val="32"/>
          <w:shd w:val="clear" w:color="auto" w:fill="FFFFFF"/>
          <w:lang w:val="en-US" w:eastAsia="zh-CN"/>
        </w:rPr>
        <w:t>6</w:t>
      </w: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号</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w:t>
      </w: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的文件精神，我局对局机关本级及2个所属二级预算单位202</w:t>
      </w:r>
      <w:r>
        <w:rPr>
          <w:rFonts w:hint="eastAsia" w:eastAsia="仿宋_GB2312" w:cs="Times New Roman"/>
          <w:i w:val="0"/>
          <w:iCs w:val="0"/>
          <w:caps w:val="0"/>
          <w:color w:val="000000"/>
          <w:spacing w:val="0"/>
          <w:sz w:val="32"/>
          <w:szCs w:val="32"/>
          <w:shd w:val="clear" w:color="auto" w:fill="FFFFFF"/>
          <w:lang w:val="en-US" w:eastAsia="zh-CN"/>
        </w:rPr>
        <w:t>5</w:t>
      </w: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年整体支出进行了绩效评价，现报告如下:</w:t>
      </w:r>
    </w:p>
    <w:p w14:paraId="36D9FCAB">
      <w:pPr>
        <w:keepNext w:val="0"/>
        <w:keepLines w:val="0"/>
        <w:pageBreakBefore w:val="0"/>
        <w:widowControl w:val="0"/>
        <w:shd w:val="clear" w:color="auto" w:fill="FFFFFF"/>
        <w:kinsoku/>
        <w:wordWrap/>
        <w:overflowPunct/>
        <w:topLinePunct w:val="0"/>
        <w:autoSpaceDE/>
        <w:autoSpaceDN/>
        <w:bidi w:val="0"/>
        <w:adjustRightInd/>
        <w:spacing w:line="600" w:lineRule="exact"/>
        <w:ind w:left="0" w:firstLine="640"/>
        <w:textAlignment w:val="auto"/>
        <w:rPr>
          <w:rFonts w:hint="default" w:ascii="Times New Roman" w:hAnsi="Times New Roman" w:eastAsia="楷体" w:cs="Times New Roman"/>
          <w:b/>
          <w:spacing w:val="-2"/>
          <w:sz w:val="32"/>
          <w:szCs w:val="21"/>
        </w:rPr>
      </w:pPr>
      <w:r>
        <w:rPr>
          <w:rFonts w:hint="default" w:ascii="Times New Roman" w:hAnsi="Times New Roman" w:eastAsia="黑体" w:cs="Times New Roman"/>
          <w:i w:val="0"/>
          <w:iCs w:val="0"/>
          <w:caps w:val="0"/>
          <w:color w:val="000000"/>
          <w:spacing w:val="0"/>
          <w:sz w:val="32"/>
          <w:szCs w:val="32"/>
          <w:shd w:val="clear" w:color="auto" w:fill="FFFFFF"/>
        </w:rPr>
        <w:t>一、</w:t>
      </w:r>
      <w:r>
        <w:rPr>
          <w:rFonts w:hint="default" w:ascii="Times New Roman" w:hAnsi="Times New Roman" w:eastAsia="黑体" w:cs="Times New Roman"/>
          <w:i w:val="0"/>
          <w:iCs w:val="0"/>
          <w:caps w:val="0"/>
          <w:color w:val="000000"/>
          <w:spacing w:val="0"/>
          <w:sz w:val="32"/>
          <w:szCs w:val="32"/>
          <w:shd w:val="clear" w:color="auto" w:fill="FFFFFF"/>
          <w:lang w:eastAsia="zh-CN"/>
        </w:rPr>
        <w:t>部</w:t>
      </w:r>
      <w:r>
        <w:rPr>
          <w:rFonts w:hint="default" w:ascii="Times New Roman" w:hAnsi="Times New Roman" w:eastAsia="黑体" w:cs="Times New Roman"/>
          <w:i w:val="0"/>
          <w:iCs w:val="0"/>
          <w:caps w:val="0"/>
          <w:color w:val="000000"/>
          <w:spacing w:val="0"/>
          <w:sz w:val="32"/>
          <w:szCs w:val="32"/>
          <w:shd w:val="clear" w:color="auto" w:fill="FFFFFF"/>
        </w:rPr>
        <w:t>门</w:t>
      </w:r>
      <w:r>
        <w:rPr>
          <w:rFonts w:hint="default" w:ascii="Times New Roman" w:hAnsi="Times New Roman" w:eastAsia="黑体" w:cs="Times New Roman"/>
          <w:i w:val="0"/>
          <w:iCs w:val="0"/>
          <w:caps w:val="0"/>
          <w:color w:val="000000"/>
          <w:spacing w:val="0"/>
          <w:sz w:val="32"/>
          <w:szCs w:val="32"/>
          <w:shd w:val="clear" w:color="auto" w:fill="FFFFFF"/>
          <w:lang w:eastAsia="zh-CN"/>
        </w:rPr>
        <w:t>概</w:t>
      </w:r>
      <w:r>
        <w:rPr>
          <w:rFonts w:hint="default" w:ascii="Times New Roman" w:hAnsi="Times New Roman" w:eastAsia="黑体" w:cs="Times New Roman"/>
          <w:i w:val="0"/>
          <w:iCs w:val="0"/>
          <w:caps w:val="0"/>
          <w:color w:val="000000"/>
          <w:spacing w:val="0"/>
          <w:sz w:val="32"/>
          <w:szCs w:val="32"/>
          <w:shd w:val="clear" w:color="auto" w:fill="FFFFFF"/>
        </w:rPr>
        <w:t>况</w:t>
      </w:r>
    </w:p>
    <w:p w14:paraId="2DAA78F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default" w:ascii="Times New Roman" w:hAnsi="Times New Roman" w:eastAsia="楷体_GB2312" w:cs="Times New Roman"/>
          <w:b/>
          <w:bCs/>
          <w:i w:val="0"/>
          <w:iCs w:val="0"/>
          <w:caps w:val="0"/>
          <w:color w:val="000000"/>
          <w:spacing w:val="0"/>
          <w:sz w:val="32"/>
          <w:szCs w:val="32"/>
          <w:shd w:val="clear" w:color="auto" w:fill="FFFFFF"/>
        </w:rPr>
      </w:pPr>
      <w:r>
        <w:rPr>
          <w:rFonts w:hint="default" w:ascii="Times New Roman" w:hAnsi="Times New Roman" w:eastAsia="楷体_GB2312" w:cs="Times New Roman"/>
          <w:b/>
          <w:bCs/>
          <w:i w:val="0"/>
          <w:iCs w:val="0"/>
          <w:caps w:val="0"/>
          <w:color w:val="000000"/>
          <w:spacing w:val="0"/>
          <w:sz w:val="32"/>
          <w:szCs w:val="32"/>
          <w:shd w:val="clear" w:color="auto" w:fill="FFFFFF"/>
        </w:rPr>
        <w:t>（一）</w:t>
      </w:r>
      <w:r>
        <w:rPr>
          <w:rFonts w:hint="default" w:ascii="Times New Roman" w:hAnsi="Times New Roman" w:eastAsia="楷体_GB2312" w:cs="Times New Roman"/>
          <w:b/>
          <w:bCs/>
          <w:i w:val="0"/>
          <w:iCs w:val="0"/>
          <w:caps w:val="0"/>
          <w:color w:val="000000"/>
          <w:spacing w:val="0"/>
          <w:sz w:val="32"/>
          <w:szCs w:val="32"/>
          <w:shd w:val="clear" w:color="auto" w:fill="FFFFFF"/>
          <w:lang w:eastAsia="zh-CN"/>
        </w:rPr>
        <w:t>部门基本</w:t>
      </w:r>
      <w:r>
        <w:rPr>
          <w:rFonts w:hint="default" w:ascii="Times New Roman" w:hAnsi="Times New Roman" w:eastAsia="楷体_GB2312" w:cs="Times New Roman"/>
          <w:b/>
          <w:bCs/>
          <w:i w:val="0"/>
          <w:iCs w:val="0"/>
          <w:caps w:val="0"/>
          <w:color w:val="000000"/>
          <w:spacing w:val="0"/>
          <w:sz w:val="32"/>
          <w:szCs w:val="32"/>
          <w:shd w:val="clear" w:color="auto" w:fill="FFFFFF"/>
        </w:rPr>
        <w:t>情况</w:t>
      </w:r>
    </w:p>
    <w:p w14:paraId="4778FB92">
      <w:pPr>
        <w:keepNext w:val="0"/>
        <w:keepLines w:val="0"/>
        <w:pageBreakBefore w:val="0"/>
        <w:widowControl w:val="0"/>
        <w:shd w:val="clear" w:color="auto" w:fill="FFFFFF"/>
        <w:kinsoku/>
        <w:wordWrap/>
        <w:overflowPunct/>
        <w:topLinePunct w:val="0"/>
        <w:autoSpaceDE/>
        <w:autoSpaceDN/>
        <w:bidi w:val="0"/>
        <w:adjustRightInd/>
        <w:spacing w:line="600" w:lineRule="exact"/>
        <w:ind w:left="0" w:firstLine="640"/>
        <w:textAlignment w:val="auto"/>
        <w:rPr>
          <w:rFonts w:hint="default" w:ascii="Times New Roman" w:hAnsi="Times New Roman" w:eastAsia="仿宋_GB2312" w:cs="Times New Roman"/>
          <w:b/>
          <w:bCs/>
          <w:i w:val="0"/>
          <w:iCs w:val="0"/>
          <w:caps w:val="0"/>
          <w:color w:val="000000"/>
          <w:spacing w:val="0"/>
          <w:kern w:val="0"/>
          <w:sz w:val="32"/>
          <w:szCs w:val="32"/>
          <w:shd w:val="clear" w:color="auto" w:fill="FFFFFF"/>
          <w:lang w:val="en-US" w:eastAsia="zh-CN" w:bidi="ar"/>
        </w:rPr>
      </w:pPr>
      <w:r>
        <w:rPr>
          <w:rFonts w:hint="default" w:ascii="Times New Roman" w:hAnsi="Times New Roman" w:eastAsia="仿宋_GB2312" w:cs="Times New Roman"/>
          <w:b/>
          <w:bCs/>
          <w:i w:val="0"/>
          <w:iCs w:val="0"/>
          <w:caps w:val="0"/>
          <w:color w:val="000000"/>
          <w:spacing w:val="0"/>
          <w:kern w:val="0"/>
          <w:sz w:val="32"/>
          <w:szCs w:val="32"/>
          <w:shd w:val="clear" w:color="auto" w:fill="FFFFFF"/>
          <w:lang w:val="en-US" w:eastAsia="zh-CN" w:bidi="ar"/>
        </w:rPr>
        <w:t>1.部门机构设置情况</w:t>
      </w:r>
    </w:p>
    <w:p w14:paraId="31D94A40">
      <w:pPr>
        <w:keepNext w:val="0"/>
        <w:keepLines w:val="0"/>
        <w:pageBreakBefore w:val="0"/>
        <w:widowControl w:val="0"/>
        <w:shd w:val="clear" w:color="auto" w:fill="FFFFFF"/>
        <w:kinsoku/>
        <w:wordWrap/>
        <w:overflowPunct/>
        <w:topLinePunct w:val="0"/>
        <w:autoSpaceDE/>
        <w:autoSpaceDN/>
        <w:bidi w:val="0"/>
        <w:adjustRightInd/>
        <w:spacing w:line="600" w:lineRule="exact"/>
        <w:ind w:left="0" w:firstLine="640"/>
        <w:textAlignment w:val="auto"/>
        <w:rPr>
          <w:rFonts w:hint="default" w:ascii="Times New Roman" w:hAnsi="Times New Roman" w:eastAsia="仿宋" w:cs="Times New Roman"/>
          <w:spacing w:val="-2"/>
          <w:sz w:val="32"/>
          <w:szCs w:val="32"/>
        </w:rPr>
      </w:pP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中共怀化市委老干部局为一级预算机构，内设科室为：办公室、待遇科、活动指导科、老年教育科、关工委办公室。共有二级预算机构2个，分别是怀化市老干部教育活动中心、怀化市委市政府机关老干部休养所。</w:t>
      </w:r>
    </w:p>
    <w:p w14:paraId="74929081">
      <w:pPr>
        <w:keepNext w:val="0"/>
        <w:keepLines w:val="0"/>
        <w:pageBreakBefore w:val="0"/>
        <w:widowControl w:val="0"/>
        <w:shd w:val="clear" w:color="auto" w:fill="FFFFFF"/>
        <w:kinsoku/>
        <w:wordWrap/>
        <w:overflowPunct/>
        <w:topLinePunct w:val="0"/>
        <w:autoSpaceDE/>
        <w:autoSpaceDN/>
        <w:bidi w:val="0"/>
        <w:adjustRightInd/>
        <w:spacing w:line="600" w:lineRule="exact"/>
        <w:ind w:left="0" w:firstLine="640"/>
        <w:textAlignment w:val="auto"/>
        <w:rPr>
          <w:rFonts w:hint="default" w:ascii="Times New Roman" w:hAnsi="Times New Roman" w:eastAsia="仿宋_GB2312" w:cs="Times New Roman"/>
          <w:b/>
          <w:bCs/>
          <w:i w:val="0"/>
          <w:iCs w:val="0"/>
          <w:caps w:val="0"/>
          <w:color w:val="000000"/>
          <w:spacing w:val="0"/>
          <w:kern w:val="0"/>
          <w:sz w:val="32"/>
          <w:szCs w:val="32"/>
          <w:shd w:val="clear" w:color="auto" w:fill="FFFFFF"/>
          <w:lang w:val="en-US" w:eastAsia="zh-CN" w:bidi="ar"/>
        </w:rPr>
      </w:pPr>
      <w:r>
        <w:rPr>
          <w:rFonts w:hint="default" w:ascii="Times New Roman" w:hAnsi="Times New Roman" w:eastAsia="仿宋_GB2312" w:cs="Times New Roman"/>
          <w:b/>
          <w:bCs/>
          <w:i w:val="0"/>
          <w:iCs w:val="0"/>
          <w:caps w:val="0"/>
          <w:color w:val="000000"/>
          <w:spacing w:val="0"/>
          <w:kern w:val="0"/>
          <w:sz w:val="32"/>
          <w:szCs w:val="32"/>
          <w:shd w:val="clear" w:color="auto" w:fill="FFFFFF"/>
          <w:lang w:val="en-US" w:eastAsia="zh-CN" w:bidi="ar"/>
        </w:rPr>
        <w:t>2.人员编制情况</w:t>
      </w:r>
    </w:p>
    <w:p w14:paraId="3559578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iCs w:val="0"/>
          <w:caps w:val="0"/>
          <w:color w:val="0000FF"/>
          <w:spacing w:val="0"/>
          <w:sz w:val="32"/>
          <w:szCs w:val="32"/>
          <w:shd w:val="clear" w:color="auto" w:fill="FFFFFF"/>
          <w:lang w:val="en-US" w:eastAsia="zh-CN"/>
        </w:rPr>
      </w:pPr>
      <w:r>
        <w:rPr>
          <w:rFonts w:hint="default" w:ascii="Times New Roman" w:hAnsi="Times New Roman" w:eastAsia="仿宋_GB2312" w:cs="Times New Roman"/>
          <w:i w:val="0"/>
          <w:iCs w:val="0"/>
          <w:caps w:val="0"/>
          <w:color w:val="auto"/>
          <w:spacing w:val="0"/>
          <w:sz w:val="32"/>
          <w:szCs w:val="32"/>
          <w:shd w:val="clear" w:color="auto" w:fill="FFFFFF"/>
          <w:lang w:val="en-US" w:eastAsia="zh-CN"/>
        </w:rPr>
        <w:t>202</w:t>
      </w:r>
      <w:r>
        <w:rPr>
          <w:rFonts w:hint="eastAsia" w:eastAsia="仿宋_GB2312" w:cs="Times New Roman"/>
          <w:i w:val="0"/>
          <w:iCs w:val="0"/>
          <w:caps w:val="0"/>
          <w:color w:val="auto"/>
          <w:spacing w:val="0"/>
          <w:sz w:val="32"/>
          <w:szCs w:val="32"/>
          <w:shd w:val="clear" w:color="auto" w:fill="FFFFFF"/>
          <w:lang w:val="en-US" w:eastAsia="zh-CN"/>
        </w:rPr>
        <w:t>5</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年单位编制人数3</w:t>
      </w:r>
      <w:r>
        <w:rPr>
          <w:rFonts w:hint="eastAsia" w:eastAsia="仿宋_GB2312" w:cs="Times New Roman"/>
          <w:i w:val="0"/>
          <w:iCs w:val="0"/>
          <w:caps w:val="0"/>
          <w:color w:val="auto"/>
          <w:spacing w:val="0"/>
          <w:sz w:val="32"/>
          <w:szCs w:val="32"/>
          <w:shd w:val="clear" w:color="auto" w:fill="FFFFFF"/>
          <w:lang w:val="en-US" w:eastAsia="zh-CN"/>
        </w:rPr>
        <w:t>3</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人，年末实有人数32人。其中局机关本级行政编1</w:t>
      </w:r>
      <w:r>
        <w:rPr>
          <w:rFonts w:hint="eastAsia" w:eastAsia="仿宋_GB2312" w:cs="Times New Roman"/>
          <w:i w:val="0"/>
          <w:iCs w:val="0"/>
          <w:caps w:val="0"/>
          <w:color w:val="auto"/>
          <w:spacing w:val="0"/>
          <w:sz w:val="32"/>
          <w:szCs w:val="32"/>
          <w:shd w:val="clear" w:color="auto" w:fill="FFFFFF"/>
          <w:lang w:val="en-US" w:eastAsia="zh-CN"/>
        </w:rPr>
        <w:t>1</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人，年末1</w:t>
      </w:r>
      <w:r>
        <w:rPr>
          <w:rFonts w:hint="eastAsia" w:eastAsia="仿宋_GB2312" w:cs="Times New Roman"/>
          <w:i w:val="0"/>
          <w:iCs w:val="0"/>
          <w:caps w:val="0"/>
          <w:color w:val="auto"/>
          <w:spacing w:val="0"/>
          <w:sz w:val="32"/>
          <w:szCs w:val="32"/>
          <w:shd w:val="clear" w:color="auto" w:fill="FFFFFF"/>
          <w:lang w:val="en-US" w:eastAsia="zh-CN"/>
        </w:rPr>
        <w:t>1</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人，怀化市老干部教育活动中心参公编13人，年末1</w:t>
      </w:r>
      <w:r>
        <w:rPr>
          <w:rFonts w:hint="eastAsia" w:eastAsia="仿宋_GB2312" w:cs="Times New Roman"/>
          <w:i w:val="0"/>
          <w:iCs w:val="0"/>
          <w:caps w:val="0"/>
          <w:color w:val="auto"/>
          <w:spacing w:val="0"/>
          <w:sz w:val="32"/>
          <w:szCs w:val="32"/>
          <w:shd w:val="clear" w:color="auto" w:fill="FFFFFF"/>
          <w:lang w:val="en-US" w:eastAsia="zh-CN"/>
        </w:rPr>
        <w:t>3</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人；</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怀化市委市政府机关</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老干部休养所参公编9人，年末8人。</w:t>
      </w:r>
    </w:p>
    <w:p w14:paraId="73387BE8">
      <w:pPr>
        <w:keepNext w:val="0"/>
        <w:keepLines w:val="0"/>
        <w:pageBreakBefore w:val="0"/>
        <w:widowControl w:val="0"/>
        <w:shd w:val="clear" w:color="auto" w:fill="FFFFFF"/>
        <w:kinsoku/>
        <w:wordWrap/>
        <w:overflowPunct/>
        <w:topLinePunct w:val="0"/>
        <w:autoSpaceDE/>
        <w:autoSpaceDN/>
        <w:bidi w:val="0"/>
        <w:adjustRightInd/>
        <w:spacing w:line="600" w:lineRule="exact"/>
        <w:ind w:left="0" w:firstLine="640"/>
        <w:textAlignment w:val="auto"/>
        <w:rPr>
          <w:rFonts w:hint="default" w:ascii="Times New Roman" w:hAnsi="Times New Roman" w:eastAsia="仿宋_GB2312" w:cs="Times New Roman"/>
          <w:b/>
          <w:bCs/>
          <w:i w:val="0"/>
          <w:iCs w:val="0"/>
          <w:caps w:val="0"/>
          <w:color w:val="000000"/>
          <w:spacing w:val="0"/>
          <w:kern w:val="0"/>
          <w:sz w:val="32"/>
          <w:szCs w:val="32"/>
          <w:shd w:val="clear" w:color="auto" w:fill="FFFFFF"/>
          <w:lang w:val="en-US" w:eastAsia="zh-CN" w:bidi="ar"/>
        </w:rPr>
      </w:pPr>
      <w:r>
        <w:rPr>
          <w:rFonts w:hint="default" w:ascii="Times New Roman" w:hAnsi="Times New Roman" w:eastAsia="仿宋_GB2312" w:cs="Times New Roman"/>
          <w:b/>
          <w:bCs/>
          <w:i w:val="0"/>
          <w:iCs w:val="0"/>
          <w:caps w:val="0"/>
          <w:color w:val="000000"/>
          <w:spacing w:val="0"/>
          <w:kern w:val="0"/>
          <w:sz w:val="32"/>
          <w:szCs w:val="32"/>
          <w:shd w:val="clear" w:color="auto" w:fill="FFFFFF"/>
          <w:lang w:val="en-US" w:eastAsia="zh-CN" w:bidi="ar"/>
        </w:rPr>
        <w:t>3主要职能职责</w:t>
      </w:r>
    </w:p>
    <w:p w14:paraId="77740C5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iCs w:val="0"/>
          <w:caps w:val="0"/>
          <w:color w:val="000000"/>
          <w:spacing w:val="0"/>
          <w:sz w:val="32"/>
          <w:szCs w:val="32"/>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按照《中共怀化市委老干部局职能配置、内设机构和人员编制方案》（怀办〔2001〕71号），《中共怀化市委老干部局职责和机构编制调整方案》（怀办〔2019〕11号）文件规定，市委老干部局主要履行以下11项职能：</w:t>
      </w:r>
    </w:p>
    <w:p w14:paraId="1BD5FB4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iCs w:val="0"/>
          <w:caps w:val="0"/>
          <w:color w:val="000000"/>
          <w:spacing w:val="0"/>
          <w:sz w:val="32"/>
          <w:szCs w:val="32"/>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（1）贯彻执行党中央、国务院和省委、省政府及市委、市政府关于老干部工作的方针、政策、法规；开展调查研究，为市委、市政府制订有关老干部工作的政策规定提供情况和依据。</w:t>
      </w:r>
    </w:p>
    <w:p w14:paraId="4E1B193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iCs w:val="0"/>
          <w:caps w:val="0"/>
          <w:color w:val="000000"/>
          <w:spacing w:val="0"/>
          <w:sz w:val="32"/>
          <w:szCs w:val="32"/>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（2）负责对全市老干部工作进行督查、指导和协调，督促老干部政治待遇和生活待遇落实，组织指导老干部开展活动、发挥作用。</w:t>
      </w:r>
    </w:p>
    <w:p w14:paraId="5A982DB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iCs w:val="0"/>
          <w:caps w:val="0"/>
          <w:color w:val="000000"/>
          <w:spacing w:val="0"/>
          <w:sz w:val="32"/>
          <w:szCs w:val="32"/>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（3）指导、督查离退休干部的党组织建设，开展老干部思想政治工作，加强老干部的学习教育。</w:t>
      </w:r>
    </w:p>
    <w:p w14:paraId="467391C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iCs w:val="0"/>
          <w:caps w:val="0"/>
          <w:color w:val="000000"/>
          <w:spacing w:val="0"/>
          <w:sz w:val="32"/>
          <w:szCs w:val="32"/>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（4）负责老干部和老干部工作的宣传，开展尊老、敬老、爱老活动，依法维护老干部的合法权益。</w:t>
      </w:r>
    </w:p>
    <w:p w14:paraId="2FCA4C6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iCs w:val="0"/>
          <w:caps w:val="0"/>
          <w:color w:val="000000"/>
          <w:spacing w:val="0"/>
          <w:sz w:val="32"/>
          <w:szCs w:val="32"/>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（5）指导全市老干部工作部门的自身建设工作。</w:t>
      </w:r>
    </w:p>
    <w:p w14:paraId="747D0C0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iCs w:val="0"/>
          <w:caps w:val="0"/>
          <w:color w:val="000000"/>
          <w:spacing w:val="0"/>
          <w:sz w:val="32"/>
          <w:szCs w:val="32"/>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（6）按照有关规定，做好来怀老干部的接待服务工作。    （7）承担市老干部工作领导小组办公室的日常工作。</w:t>
      </w:r>
    </w:p>
    <w:p w14:paraId="6971CEF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iCs w:val="0"/>
          <w:caps w:val="0"/>
          <w:color w:val="000000"/>
          <w:spacing w:val="0"/>
          <w:sz w:val="32"/>
          <w:szCs w:val="32"/>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（8）承担市关心下一代工作委员会的日常工作。</w:t>
      </w:r>
    </w:p>
    <w:p w14:paraId="41D134A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iCs w:val="0"/>
          <w:caps w:val="0"/>
          <w:color w:val="000000"/>
          <w:spacing w:val="0"/>
          <w:sz w:val="32"/>
          <w:szCs w:val="32"/>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（9）负责对所属事业单位的国有资产和财务进行管理和监督，充分发挥各种场地和设施的作用，发展老干部事业。</w:t>
      </w:r>
    </w:p>
    <w:p w14:paraId="1848BF8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iCs w:val="0"/>
          <w:caps w:val="0"/>
          <w:color w:val="000000"/>
          <w:spacing w:val="0"/>
          <w:sz w:val="32"/>
          <w:szCs w:val="32"/>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（10）承办市委和市委组织部交办的其他事项。</w:t>
      </w:r>
    </w:p>
    <w:p w14:paraId="63B4B08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iCs w:val="0"/>
          <w:caps w:val="0"/>
          <w:color w:val="000000"/>
          <w:spacing w:val="0"/>
          <w:sz w:val="32"/>
          <w:szCs w:val="32"/>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（11）增加承担市委离退休干部工委办公室的日常管理工作职责。</w:t>
      </w:r>
    </w:p>
    <w:p w14:paraId="29F9DA0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default" w:ascii="Times New Roman" w:hAnsi="Times New Roman" w:eastAsia="楷体_GB2312" w:cs="Times New Roman"/>
          <w:b/>
          <w:bCs/>
          <w:i w:val="0"/>
          <w:iCs w:val="0"/>
          <w:caps w:val="0"/>
          <w:color w:val="auto"/>
          <w:spacing w:val="0"/>
          <w:sz w:val="32"/>
          <w:szCs w:val="32"/>
          <w:shd w:val="clear" w:color="auto" w:fill="FFFFFF"/>
        </w:rPr>
      </w:pPr>
      <w:r>
        <w:rPr>
          <w:rFonts w:hint="default" w:ascii="Times New Roman" w:hAnsi="Times New Roman" w:eastAsia="楷体_GB2312" w:cs="Times New Roman"/>
          <w:b/>
          <w:bCs/>
          <w:i w:val="0"/>
          <w:iCs w:val="0"/>
          <w:caps w:val="0"/>
          <w:color w:val="auto"/>
          <w:spacing w:val="0"/>
          <w:sz w:val="32"/>
          <w:szCs w:val="32"/>
          <w:shd w:val="clear" w:color="auto" w:fill="FFFFFF"/>
        </w:rPr>
        <w:t>（</w:t>
      </w:r>
      <w:r>
        <w:rPr>
          <w:rFonts w:hint="default" w:ascii="Times New Roman" w:hAnsi="Times New Roman" w:eastAsia="楷体_GB2312" w:cs="Times New Roman"/>
          <w:b/>
          <w:bCs/>
          <w:i w:val="0"/>
          <w:iCs w:val="0"/>
          <w:caps w:val="0"/>
          <w:color w:val="auto"/>
          <w:spacing w:val="0"/>
          <w:sz w:val="32"/>
          <w:szCs w:val="32"/>
          <w:shd w:val="clear" w:color="auto" w:fill="FFFFFF"/>
          <w:lang w:eastAsia="zh-CN"/>
        </w:rPr>
        <w:t>二</w:t>
      </w:r>
      <w:r>
        <w:rPr>
          <w:rFonts w:hint="default" w:ascii="Times New Roman" w:hAnsi="Times New Roman" w:eastAsia="楷体_GB2312" w:cs="Times New Roman"/>
          <w:b/>
          <w:bCs/>
          <w:i w:val="0"/>
          <w:iCs w:val="0"/>
          <w:caps w:val="0"/>
          <w:color w:val="auto"/>
          <w:spacing w:val="0"/>
          <w:sz w:val="32"/>
          <w:szCs w:val="32"/>
          <w:shd w:val="clear" w:color="auto" w:fill="FFFFFF"/>
        </w:rPr>
        <w:t>）</w:t>
      </w:r>
      <w:r>
        <w:rPr>
          <w:rFonts w:hint="default" w:ascii="Times New Roman" w:hAnsi="Times New Roman" w:eastAsia="楷体_GB2312" w:cs="Times New Roman"/>
          <w:b/>
          <w:bCs/>
          <w:i w:val="0"/>
          <w:iCs w:val="0"/>
          <w:caps w:val="0"/>
          <w:color w:val="auto"/>
          <w:spacing w:val="0"/>
          <w:sz w:val="32"/>
          <w:szCs w:val="32"/>
          <w:shd w:val="clear" w:color="auto" w:fill="FFFFFF"/>
          <w:lang w:eastAsia="zh-CN"/>
        </w:rPr>
        <w:t>部门整体支出规模、使用方向和主要内容、设计范围等。</w:t>
      </w:r>
      <w:r>
        <w:rPr>
          <w:rFonts w:hint="default" w:ascii="Times New Roman" w:hAnsi="Times New Roman" w:eastAsia="楷体_GB2312" w:cs="Times New Roman"/>
          <w:b/>
          <w:bCs/>
          <w:i w:val="0"/>
          <w:iCs w:val="0"/>
          <w:caps w:val="0"/>
          <w:color w:val="auto"/>
          <w:spacing w:val="0"/>
          <w:sz w:val="32"/>
          <w:szCs w:val="32"/>
          <w:shd w:val="clear" w:color="auto" w:fill="FFFFFF"/>
        </w:rPr>
        <w:t>绩效目标设定情况</w:t>
      </w:r>
    </w:p>
    <w:p w14:paraId="21EF122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iCs w:val="0"/>
          <w:caps w:val="0"/>
          <w:color w:val="auto"/>
          <w:spacing w:val="0"/>
          <w:sz w:val="32"/>
          <w:szCs w:val="32"/>
          <w:shd w:val="clear" w:color="auto" w:fill="FFFFFF"/>
          <w:lang w:val="en-US" w:eastAsia="zh-CN"/>
        </w:rPr>
      </w:pPr>
      <w:r>
        <w:rPr>
          <w:rFonts w:hint="default" w:ascii="Times New Roman" w:hAnsi="Times New Roman" w:eastAsia="仿宋_GB2312" w:cs="Times New Roman"/>
          <w:i w:val="0"/>
          <w:iCs w:val="0"/>
          <w:caps w:val="0"/>
          <w:color w:val="auto"/>
          <w:spacing w:val="0"/>
          <w:sz w:val="32"/>
          <w:szCs w:val="32"/>
          <w:shd w:val="clear" w:color="auto" w:fill="FFFFFF"/>
          <w:lang w:val="en-US" w:eastAsia="zh-CN"/>
        </w:rPr>
        <w:t>202</w:t>
      </w:r>
      <w:r>
        <w:rPr>
          <w:rFonts w:hint="eastAsia" w:eastAsia="仿宋_GB2312" w:cs="Times New Roman"/>
          <w:i w:val="0"/>
          <w:iCs w:val="0"/>
          <w:caps w:val="0"/>
          <w:color w:val="auto"/>
          <w:spacing w:val="0"/>
          <w:sz w:val="32"/>
          <w:szCs w:val="32"/>
          <w:shd w:val="clear" w:color="auto" w:fill="FFFFFF"/>
          <w:lang w:val="en-US" w:eastAsia="zh-CN"/>
        </w:rPr>
        <w:t>5</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年初批复预算1</w:t>
      </w:r>
      <w:r>
        <w:rPr>
          <w:rFonts w:hint="eastAsia" w:eastAsia="仿宋_GB2312" w:cs="Times New Roman"/>
          <w:i w:val="0"/>
          <w:iCs w:val="0"/>
          <w:caps w:val="0"/>
          <w:color w:val="auto"/>
          <w:spacing w:val="0"/>
          <w:sz w:val="32"/>
          <w:szCs w:val="32"/>
          <w:shd w:val="clear" w:color="auto" w:fill="FFFFFF"/>
          <w:lang w:val="en-US" w:eastAsia="zh-CN"/>
        </w:rPr>
        <w:t>367</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.32万元，较上年</w:t>
      </w:r>
      <w:r>
        <w:rPr>
          <w:rFonts w:hint="eastAsia" w:eastAsia="仿宋_GB2312" w:cs="Times New Roman"/>
          <w:i w:val="0"/>
          <w:iCs w:val="0"/>
          <w:caps w:val="0"/>
          <w:color w:val="auto"/>
          <w:spacing w:val="0"/>
          <w:sz w:val="32"/>
          <w:szCs w:val="32"/>
          <w:shd w:val="clear" w:color="auto" w:fill="FFFFFF"/>
          <w:lang w:val="en-US" w:eastAsia="zh-CN"/>
        </w:rPr>
        <w:t>增加3.53</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%;年中调整预算1</w:t>
      </w:r>
      <w:r>
        <w:rPr>
          <w:rFonts w:hint="eastAsia" w:eastAsia="仿宋_GB2312" w:cs="Times New Roman"/>
          <w:i w:val="0"/>
          <w:iCs w:val="0"/>
          <w:caps w:val="0"/>
          <w:color w:val="auto"/>
          <w:spacing w:val="0"/>
          <w:sz w:val="32"/>
          <w:szCs w:val="32"/>
          <w:shd w:val="clear" w:color="auto" w:fill="FFFFFF"/>
          <w:lang w:val="en-US" w:eastAsia="zh-CN"/>
        </w:rPr>
        <w:t>6</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9.</w:t>
      </w:r>
      <w:r>
        <w:rPr>
          <w:rFonts w:hint="eastAsia" w:eastAsia="仿宋_GB2312" w:cs="Times New Roman"/>
          <w:i w:val="0"/>
          <w:iCs w:val="0"/>
          <w:caps w:val="0"/>
          <w:color w:val="auto"/>
          <w:spacing w:val="0"/>
          <w:sz w:val="32"/>
          <w:szCs w:val="32"/>
          <w:shd w:val="clear" w:color="auto" w:fill="FFFFFF"/>
          <w:lang w:val="en-US" w:eastAsia="zh-CN"/>
        </w:rPr>
        <w:t>90</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万元，其中:公共预算财政拨款1</w:t>
      </w:r>
      <w:r>
        <w:rPr>
          <w:rFonts w:hint="eastAsia" w:eastAsia="仿宋_GB2312" w:cs="Times New Roman"/>
          <w:i w:val="0"/>
          <w:iCs w:val="0"/>
          <w:caps w:val="0"/>
          <w:color w:val="auto"/>
          <w:spacing w:val="0"/>
          <w:sz w:val="32"/>
          <w:szCs w:val="32"/>
          <w:shd w:val="clear" w:color="auto" w:fill="FFFFFF"/>
          <w:lang w:val="en-US" w:eastAsia="zh-CN"/>
        </w:rPr>
        <w:t>83.91</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万元</w:t>
      </w:r>
      <w:r>
        <w:rPr>
          <w:rFonts w:hint="eastAsia" w:eastAsia="仿宋_GB2312" w:cs="Times New Roman"/>
          <w:i w:val="0"/>
          <w:iCs w:val="0"/>
          <w:caps w:val="0"/>
          <w:color w:val="auto"/>
          <w:spacing w:val="0"/>
          <w:sz w:val="32"/>
          <w:szCs w:val="32"/>
          <w:shd w:val="clear" w:color="auto" w:fill="FFFFFF"/>
          <w:lang w:val="en-US" w:eastAsia="zh-CN"/>
        </w:rPr>
        <w:t>，非财政拨款收入（事业收入）-14.01万元</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。202</w:t>
      </w:r>
      <w:r>
        <w:rPr>
          <w:rFonts w:hint="eastAsia" w:eastAsia="仿宋_GB2312" w:cs="Times New Roman"/>
          <w:i w:val="0"/>
          <w:iCs w:val="0"/>
          <w:caps w:val="0"/>
          <w:color w:val="auto"/>
          <w:spacing w:val="0"/>
          <w:sz w:val="32"/>
          <w:szCs w:val="32"/>
          <w:shd w:val="clear" w:color="auto" w:fill="FFFFFF"/>
          <w:lang w:val="en-US" w:eastAsia="zh-CN"/>
        </w:rPr>
        <w:t>5</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年度决算支出共计1</w:t>
      </w:r>
      <w:r>
        <w:rPr>
          <w:rFonts w:hint="eastAsia" w:eastAsia="仿宋_GB2312" w:cs="Times New Roman"/>
          <w:i w:val="0"/>
          <w:iCs w:val="0"/>
          <w:caps w:val="0"/>
          <w:color w:val="auto"/>
          <w:spacing w:val="0"/>
          <w:sz w:val="32"/>
          <w:szCs w:val="32"/>
          <w:shd w:val="clear" w:color="auto" w:fill="FFFFFF"/>
          <w:lang w:val="en-US" w:eastAsia="zh-CN"/>
        </w:rPr>
        <w:t>488.29</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万元，较上年减少</w:t>
      </w:r>
      <w:r>
        <w:rPr>
          <w:rFonts w:hint="eastAsia" w:eastAsia="仿宋_GB2312" w:cs="Times New Roman"/>
          <w:i w:val="0"/>
          <w:iCs w:val="0"/>
          <w:caps w:val="0"/>
          <w:color w:val="auto"/>
          <w:spacing w:val="0"/>
          <w:sz w:val="32"/>
          <w:szCs w:val="32"/>
          <w:shd w:val="clear" w:color="auto" w:fill="FFFFFF"/>
          <w:lang w:val="en-US" w:eastAsia="zh-CN"/>
        </w:rPr>
        <w:t>1.20</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%。其中:基本支出</w:t>
      </w:r>
      <w:r>
        <w:rPr>
          <w:rFonts w:hint="eastAsia" w:eastAsia="仿宋_GB2312" w:cs="Times New Roman"/>
          <w:i w:val="0"/>
          <w:iCs w:val="0"/>
          <w:caps w:val="0"/>
          <w:color w:val="auto"/>
          <w:spacing w:val="0"/>
          <w:sz w:val="32"/>
          <w:szCs w:val="32"/>
          <w:shd w:val="clear" w:color="auto" w:fill="FFFFFF"/>
          <w:lang w:val="en-US" w:eastAsia="zh-CN"/>
        </w:rPr>
        <w:t>846.74</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万元、项目支出</w:t>
      </w:r>
      <w:r>
        <w:rPr>
          <w:rFonts w:hint="eastAsia" w:eastAsia="仿宋_GB2312" w:cs="Times New Roman"/>
          <w:i w:val="0"/>
          <w:iCs w:val="0"/>
          <w:caps w:val="0"/>
          <w:color w:val="auto"/>
          <w:spacing w:val="0"/>
          <w:sz w:val="32"/>
          <w:szCs w:val="32"/>
          <w:shd w:val="clear" w:color="auto" w:fill="FFFFFF"/>
          <w:lang w:val="en-US" w:eastAsia="zh-CN"/>
        </w:rPr>
        <w:t>641.55</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万元。</w:t>
      </w:r>
    </w:p>
    <w:p w14:paraId="779BB19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iCs w:val="0"/>
          <w:caps w:val="0"/>
          <w:color w:val="auto"/>
          <w:spacing w:val="0"/>
          <w:sz w:val="32"/>
          <w:szCs w:val="32"/>
          <w:shd w:val="clear" w:color="auto" w:fill="FFFFFF"/>
          <w:lang w:val="en-US" w:eastAsia="zh-CN"/>
        </w:rPr>
      </w:pPr>
      <w:r>
        <w:rPr>
          <w:rFonts w:hint="default" w:ascii="Times New Roman" w:hAnsi="Times New Roman" w:eastAsia="仿宋_GB2312" w:cs="Times New Roman"/>
          <w:i w:val="0"/>
          <w:iCs w:val="0"/>
          <w:caps w:val="0"/>
          <w:color w:val="auto"/>
          <w:spacing w:val="0"/>
          <w:sz w:val="32"/>
          <w:szCs w:val="32"/>
          <w:shd w:val="clear" w:color="auto" w:fill="FFFFFF"/>
          <w:lang w:val="en-US" w:eastAsia="zh-CN"/>
        </w:rPr>
        <w:t>我局根据单位职责职能，年度主要工作任务，确定单位总体目标，以定量和定性相结合的方式目标设定相应的绩效指标，通过收集基准数据，结合年度预算安排等情况实现目标计划。</w:t>
      </w:r>
    </w:p>
    <w:p w14:paraId="4F8A618D">
      <w:pPr>
        <w:keepNext w:val="0"/>
        <w:keepLines w:val="0"/>
        <w:pageBreakBefore w:val="0"/>
        <w:widowControl w:val="0"/>
        <w:shd w:val="clear" w:color="auto" w:fill="FFFFFF"/>
        <w:kinsoku/>
        <w:wordWrap/>
        <w:overflowPunct/>
        <w:topLinePunct w:val="0"/>
        <w:autoSpaceDE/>
        <w:autoSpaceDN/>
        <w:bidi w:val="0"/>
        <w:adjustRightInd/>
        <w:spacing w:line="600" w:lineRule="exact"/>
        <w:ind w:left="0" w:firstLine="640"/>
        <w:textAlignment w:val="auto"/>
        <w:rPr>
          <w:rFonts w:hint="default" w:ascii="Times New Roman" w:hAnsi="Times New Roman" w:eastAsia="黑体" w:cs="Times New Roman"/>
          <w:i w:val="0"/>
          <w:iCs w:val="0"/>
          <w:caps w:val="0"/>
          <w:color w:val="auto"/>
          <w:spacing w:val="0"/>
          <w:sz w:val="32"/>
          <w:szCs w:val="32"/>
          <w:shd w:val="clear" w:color="auto" w:fill="FFFFFF"/>
          <w:lang w:val="en-US" w:eastAsia="zh-CN"/>
        </w:rPr>
      </w:pPr>
      <w:r>
        <w:rPr>
          <w:rFonts w:hint="default" w:ascii="Times New Roman" w:hAnsi="Times New Roman" w:eastAsia="黑体" w:cs="Times New Roman"/>
          <w:i w:val="0"/>
          <w:iCs w:val="0"/>
          <w:caps w:val="0"/>
          <w:color w:val="auto"/>
          <w:spacing w:val="0"/>
          <w:sz w:val="32"/>
          <w:szCs w:val="32"/>
          <w:shd w:val="clear" w:color="auto" w:fill="FFFFFF"/>
          <w:lang w:val="en-US" w:eastAsia="zh-CN"/>
        </w:rPr>
        <w:t>二、一般公共预算支出情况</w:t>
      </w:r>
    </w:p>
    <w:p w14:paraId="08A82C58">
      <w:pPr>
        <w:keepNext w:val="0"/>
        <w:keepLines w:val="0"/>
        <w:pageBreakBefore w:val="0"/>
        <w:widowControl w:val="0"/>
        <w:shd w:val="clear" w:color="auto" w:fill="FFFFFF"/>
        <w:kinsoku/>
        <w:wordWrap/>
        <w:overflowPunct/>
        <w:topLinePunct w:val="0"/>
        <w:autoSpaceDE/>
        <w:autoSpaceDN/>
        <w:bidi w:val="0"/>
        <w:adjustRightInd/>
        <w:spacing w:line="600" w:lineRule="exact"/>
        <w:ind w:left="0" w:firstLine="643"/>
        <w:textAlignment w:val="auto"/>
        <w:rPr>
          <w:rFonts w:hint="default" w:ascii="Times New Roman" w:hAnsi="Times New Roman" w:eastAsia="楷体_GB2312" w:cs="Times New Roman"/>
          <w:b/>
          <w:color w:val="auto"/>
          <w:spacing w:val="-2"/>
          <w:sz w:val="32"/>
          <w:szCs w:val="21"/>
        </w:rPr>
      </w:pPr>
      <w:r>
        <w:rPr>
          <w:rFonts w:hint="default" w:ascii="Times New Roman" w:hAnsi="Times New Roman" w:eastAsia="楷体_GB2312" w:cs="Times New Roman"/>
          <w:b/>
          <w:bCs/>
          <w:i w:val="0"/>
          <w:iCs w:val="0"/>
          <w:caps w:val="0"/>
          <w:color w:val="auto"/>
          <w:spacing w:val="0"/>
          <w:sz w:val="32"/>
          <w:szCs w:val="32"/>
          <w:shd w:val="clear" w:color="auto" w:fill="FFFFFF"/>
        </w:rPr>
        <w:t>（一）</w:t>
      </w:r>
      <w:r>
        <w:rPr>
          <w:rFonts w:hint="default" w:ascii="Times New Roman" w:hAnsi="Times New Roman" w:eastAsia="楷体_GB2312" w:cs="Times New Roman"/>
          <w:b/>
          <w:color w:val="auto"/>
          <w:spacing w:val="-2"/>
          <w:sz w:val="32"/>
          <w:szCs w:val="32"/>
        </w:rPr>
        <w:t>基本支出</w:t>
      </w:r>
    </w:p>
    <w:p w14:paraId="0678CAB1">
      <w:pPr>
        <w:keepNext w:val="0"/>
        <w:keepLines w:val="0"/>
        <w:pageBreakBefore w:val="0"/>
        <w:widowControl w:val="0"/>
        <w:shd w:val="clear" w:color="auto" w:fill="FFFFFF"/>
        <w:kinsoku/>
        <w:wordWrap/>
        <w:overflowPunct/>
        <w:topLinePunct w:val="0"/>
        <w:autoSpaceDE/>
        <w:autoSpaceDN/>
        <w:bidi w:val="0"/>
        <w:adjustRightInd/>
        <w:spacing w:line="600" w:lineRule="exact"/>
        <w:ind w:left="0" w:firstLine="64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市委老干部局202</w:t>
      </w:r>
      <w:r>
        <w:rPr>
          <w:rFonts w:hint="eastAsia" w:eastAsia="仿宋_GB2312" w:cs="Times New Roman"/>
          <w:i w:val="0"/>
          <w:iCs w:val="0"/>
          <w:caps w:val="0"/>
          <w:color w:val="auto"/>
          <w:spacing w:val="0"/>
          <w:kern w:val="0"/>
          <w:sz w:val="32"/>
          <w:szCs w:val="32"/>
          <w:shd w:val="clear" w:color="auto" w:fill="FFFFFF"/>
          <w:lang w:val="en-US" w:eastAsia="zh-CN" w:bidi="ar"/>
        </w:rPr>
        <w:t>5</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年部门整体全年共计支出</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1</w:t>
      </w:r>
      <w:r>
        <w:rPr>
          <w:rFonts w:hint="eastAsia" w:eastAsia="仿宋_GB2312" w:cs="Times New Roman"/>
          <w:i w:val="0"/>
          <w:iCs w:val="0"/>
          <w:caps w:val="0"/>
          <w:color w:val="auto"/>
          <w:spacing w:val="0"/>
          <w:sz w:val="32"/>
          <w:szCs w:val="32"/>
          <w:shd w:val="clear" w:color="auto" w:fill="FFFFFF"/>
          <w:lang w:val="en-US" w:eastAsia="zh-CN"/>
        </w:rPr>
        <w:t>488.29</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万元，年末结转和结余0元，其中，基本支出</w:t>
      </w:r>
      <w:r>
        <w:rPr>
          <w:rFonts w:hint="eastAsia" w:eastAsia="仿宋_GB2312" w:cs="Times New Roman"/>
          <w:i w:val="0"/>
          <w:iCs w:val="0"/>
          <w:caps w:val="0"/>
          <w:color w:val="auto"/>
          <w:spacing w:val="0"/>
          <w:sz w:val="32"/>
          <w:szCs w:val="32"/>
          <w:shd w:val="clear" w:color="auto" w:fill="FFFFFF"/>
          <w:lang w:val="en-US" w:eastAsia="zh-CN"/>
        </w:rPr>
        <w:t>846.74</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万元。主要包含人员支出、公用经费支出，具体支出情况如下：</w:t>
      </w:r>
    </w:p>
    <w:p w14:paraId="6338D24A">
      <w:pPr>
        <w:keepNext w:val="0"/>
        <w:keepLines w:val="0"/>
        <w:pageBreakBefore w:val="0"/>
        <w:widowControl w:val="0"/>
        <w:shd w:val="clear" w:color="auto" w:fill="FFFFFF"/>
        <w:kinsoku/>
        <w:wordWrap/>
        <w:overflowPunct/>
        <w:topLinePunct w:val="0"/>
        <w:autoSpaceDE/>
        <w:autoSpaceDN/>
        <w:bidi w:val="0"/>
        <w:adjustRightInd/>
        <w:spacing w:line="600" w:lineRule="exact"/>
        <w:ind w:left="0" w:firstLine="64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（1）工资福利支出</w:t>
      </w:r>
      <w:r>
        <w:rPr>
          <w:rFonts w:hint="eastAsia" w:eastAsia="仿宋_GB2312" w:cs="Times New Roman"/>
          <w:i w:val="0"/>
          <w:iCs w:val="0"/>
          <w:caps w:val="0"/>
          <w:color w:val="auto"/>
          <w:spacing w:val="0"/>
          <w:kern w:val="0"/>
          <w:sz w:val="32"/>
          <w:szCs w:val="32"/>
          <w:shd w:val="clear" w:color="auto" w:fill="FFFFFF"/>
          <w:lang w:val="en-US" w:eastAsia="zh-CN" w:bidi="ar"/>
        </w:rPr>
        <w:t>519.70</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万元，主要包括基本工资</w:t>
      </w:r>
    </w:p>
    <w:p w14:paraId="5276CA6D">
      <w:pPr>
        <w:keepNext w:val="0"/>
        <w:keepLines w:val="0"/>
        <w:pageBreakBefore w:val="0"/>
        <w:widowControl w:val="0"/>
        <w:shd w:val="clear" w:color="auto" w:fill="FFFFFF"/>
        <w:kinsoku/>
        <w:wordWrap/>
        <w:overflowPunct/>
        <w:topLinePunct w:val="0"/>
        <w:autoSpaceDE/>
        <w:autoSpaceDN/>
        <w:bidi w:val="0"/>
        <w:adjustRightInd/>
        <w:spacing w:line="600" w:lineRule="exact"/>
        <w:ind w:left="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支出、津补贴支出、奖金支出、伙食补助费支出、机关事业单位基本养老保险缴费支出、职工基本医疗保险缴费支出、其他社会保障缴费。</w:t>
      </w:r>
    </w:p>
    <w:p w14:paraId="0D1A4763">
      <w:pPr>
        <w:keepNext w:val="0"/>
        <w:keepLines w:val="0"/>
        <w:pageBreakBefore w:val="0"/>
        <w:widowControl w:val="0"/>
        <w:shd w:val="clear" w:color="auto" w:fill="FFFFFF"/>
        <w:kinsoku/>
        <w:wordWrap/>
        <w:overflowPunct/>
        <w:topLinePunct w:val="0"/>
        <w:autoSpaceDE/>
        <w:autoSpaceDN/>
        <w:bidi w:val="0"/>
        <w:adjustRightInd/>
        <w:spacing w:line="600" w:lineRule="exact"/>
        <w:ind w:left="0" w:firstLine="64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（2）对个人和家庭的补助2</w:t>
      </w:r>
      <w:r>
        <w:rPr>
          <w:rFonts w:hint="eastAsia" w:eastAsia="仿宋_GB2312" w:cs="Times New Roman"/>
          <w:i w:val="0"/>
          <w:iCs w:val="0"/>
          <w:caps w:val="0"/>
          <w:color w:val="auto"/>
          <w:spacing w:val="0"/>
          <w:kern w:val="0"/>
          <w:sz w:val="32"/>
          <w:szCs w:val="32"/>
          <w:shd w:val="clear" w:color="auto" w:fill="FFFFFF"/>
          <w:lang w:val="en-US" w:eastAsia="zh-CN" w:bidi="ar"/>
        </w:rPr>
        <w:t>49.07</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w:t>
      </w:r>
    </w:p>
    <w:p w14:paraId="4479E4D4">
      <w:pPr>
        <w:keepNext w:val="0"/>
        <w:keepLines w:val="0"/>
        <w:pageBreakBefore w:val="0"/>
        <w:widowControl w:val="0"/>
        <w:shd w:val="clear" w:color="auto" w:fill="FFFFFF"/>
        <w:kinsoku/>
        <w:wordWrap/>
        <w:overflowPunct/>
        <w:topLinePunct w:val="0"/>
        <w:autoSpaceDE/>
        <w:autoSpaceDN/>
        <w:bidi w:val="0"/>
        <w:adjustRightInd/>
        <w:spacing w:line="600" w:lineRule="exact"/>
        <w:ind w:left="0" w:firstLine="64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（3）商品和服务支出7</w:t>
      </w:r>
      <w:r>
        <w:rPr>
          <w:rFonts w:hint="eastAsia" w:eastAsia="仿宋_GB2312" w:cs="Times New Roman"/>
          <w:i w:val="0"/>
          <w:iCs w:val="0"/>
          <w:caps w:val="0"/>
          <w:color w:val="auto"/>
          <w:spacing w:val="0"/>
          <w:kern w:val="0"/>
          <w:sz w:val="32"/>
          <w:szCs w:val="32"/>
          <w:shd w:val="clear" w:color="auto" w:fill="FFFFFF"/>
          <w:lang w:val="en-US" w:eastAsia="zh-CN" w:bidi="ar"/>
        </w:rPr>
        <w:t>7.96</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万元，主要包括办公费、印刷费、邮电费、差旅费、会议费、培训费、劳务费、委托业务费、工会经费、福利费、其他交通费用、其他商品和服务支出。</w:t>
      </w:r>
    </w:p>
    <w:p w14:paraId="2C03275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b/>
          <w:bCs/>
          <w:i w:val="0"/>
          <w:iCs w:val="0"/>
          <w:caps w:val="0"/>
          <w:color w:val="auto"/>
          <w:spacing w:val="0"/>
          <w:sz w:val="32"/>
          <w:szCs w:val="32"/>
          <w:shd w:val="clear" w:color="auto" w:fill="FFFFFF"/>
          <w:lang w:val="en-US" w:eastAsia="zh-CN"/>
        </w:rPr>
      </w:pPr>
      <w:r>
        <w:rPr>
          <w:rFonts w:hint="default" w:ascii="Times New Roman" w:hAnsi="Times New Roman" w:eastAsia="仿宋_GB2312" w:cs="Times New Roman"/>
          <w:b/>
          <w:bCs/>
          <w:i w:val="0"/>
          <w:iCs w:val="0"/>
          <w:caps w:val="0"/>
          <w:color w:val="auto"/>
          <w:spacing w:val="0"/>
          <w:sz w:val="32"/>
          <w:szCs w:val="32"/>
          <w:shd w:val="clear" w:color="auto" w:fill="FFFFFF"/>
          <w:lang w:val="en-US" w:eastAsia="zh-CN"/>
        </w:rPr>
        <w:t>“三公”经费使用和管理情况</w:t>
      </w:r>
    </w:p>
    <w:p w14:paraId="2887836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iCs w:val="0"/>
          <w:caps w:val="0"/>
          <w:color w:val="auto"/>
          <w:spacing w:val="0"/>
          <w:sz w:val="32"/>
          <w:szCs w:val="32"/>
          <w:shd w:val="clear" w:color="auto" w:fill="FFFFFF"/>
          <w:lang w:val="en-US" w:eastAsia="zh-CN"/>
        </w:rPr>
      </w:pPr>
      <w:r>
        <w:rPr>
          <w:rFonts w:hint="default" w:ascii="Times New Roman" w:hAnsi="Times New Roman" w:eastAsia="仿宋_GB2312" w:cs="Times New Roman"/>
          <w:i w:val="0"/>
          <w:iCs w:val="0"/>
          <w:caps w:val="0"/>
          <w:color w:val="auto"/>
          <w:spacing w:val="0"/>
          <w:sz w:val="32"/>
          <w:szCs w:val="32"/>
          <w:shd w:val="clear" w:color="auto" w:fill="FFFFFF"/>
          <w:lang w:val="en-US" w:eastAsia="zh-CN"/>
        </w:rPr>
        <w:t>2024年“三公”经费支出</w:t>
      </w:r>
      <w:r>
        <w:rPr>
          <w:rFonts w:hint="eastAsia" w:eastAsia="仿宋_GB2312" w:cs="Times New Roman"/>
          <w:i w:val="0"/>
          <w:iCs w:val="0"/>
          <w:caps w:val="0"/>
          <w:color w:val="auto"/>
          <w:spacing w:val="0"/>
          <w:sz w:val="32"/>
          <w:szCs w:val="32"/>
          <w:shd w:val="clear" w:color="auto" w:fill="FFFFFF"/>
          <w:lang w:val="en-US" w:eastAsia="zh-CN"/>
        </w:rPr>
        <w:t>15.72</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万元，其中：因公出国(境)费预算0万元，公务接待费</w:t>
      </w:r>
      <w:r>
        <w:rPr>
          <w:rFonts w:hint="eastAsia" w:eastAsia="仿宋_GB2312" w:cs="Times New Roman"/>
          <w:i w:val="0"/>
          <w:iCs w:val="0"/>
          <w:caps w:val="0"/>
          <w:color w:val="auto"/>
          <w:spacing w:val="0"/>
          <w:sz w:val="32"/>
          <w:szCs w:val="32"/>
          <w:shd w:val="clear" w:color="auto" w:fill="FFFFFF"/>
          <w:lang w:val="en-US" w:eastAsia="zh-CN"/>
        </w:rPr>
        <w:t>0.44</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万元，公务用车购置费0万元，公务用车运行维护费1</w:t>
      </w:r>
      <w:r>
        <w:rPr>
          <w:rFonts w:hint="eastAsia" w:eastAsia="仿宋_GB2312" w:cs="Times New Roman"/>
          <w:i w:val="0"/>
          <w:iCs w:val="0"/>
          <w:caps w:val="0"/>
          <w:color w:val="auto"/>
          <w:spacing w:val="0"/>
          <w:sz w:val="32"/>
          <w:szCs w:val="32"/>
          <w:shd w:val="clear" w:color="auto" w:fill="FFFFFF"/>
          <w:lang w:val="en-US" w:eastAsia="zh-CN"/>
        </w:rPr>
        <w:t>5.27</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万元。公务接待费较去年减少</w:t>
      </w:r>
      <w:r>
        <w:rPr>
          <w:rFonts w:hint="eastAsia" w:eastAsia="仿宋_GB2312" w:cs="Times New Roman"/>
          <w:i w:val="0"/>
          <w:iCs w:val="0"/>
          <w:caps w:val="0"/>
          <w:color w:val="auto"/>
          <w:spacing w:val="0"/>
          <w:sz w:val="32"/>
          <w:szCs w:val="32"/>
          <w:shd w:val="clear" w:color="auto" w:fill="FFFFFF"/>
          <w:lang w:val="en-US" w:eastAsia="zh-CN"/>
        </w:rPr>
        <w:t>65.65</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%，公务用车运行维护费较去年</w:t>
      </w:r>
      <w:r>
        <w:rPr>
          <w:rFonts w:hint="eastAsia" w:eastAsia="仿宋_GB2312" w:cs="Times New Roman"/>
          <w:i w:val="0"/>
          <w:iCs w:val="0"/>
          <w:caps w:val="0"/>
          <w:color w:val="auto"/>
          <w:spacing w:val="0"/>
          <w:sz w:val="32"/>
          <w:szCs w:val="32"/>
          <w:shd w:val="clear" w:color="auto" w:fill="FFFFFF"/>
          <w:lang w:val="en-US" w:eastAsia="zh-CN"/>
        </w:rPr>
        <w:t>增加9.30</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%，主要是</w:t>
      </w:r>
      <w:r>
        <w:rPr>
          <w:rFonts w:hint="eastAsia" w:eastAsia="仿宋_GB2312" w:cs="Times New Roman"/>
          <w:i w:val="0"/>
          <w:iCs w:val="0"/>
          <w:caps w:val="0"/>
          <w:color w:val="auto"/>
          <w:spacing w:val="0"/>
          <w:sz w:val="32"/>
          <w:szCs w:val="32"/>
          <w:shd w:val="clear" w:color="auto" w:fill="FFFFFF"/>
          <w:lang w:val="en-US" w:eastAsia="zh-CN"/>
        </w:rPr>
        <w:t>严格遵守关于公务接待的最新规定，缩减了费用，但</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老干部休养所车辆老化，维修费增加</w:t>
      </w:r>
      <w:r>
        <w:rPr>
          <w:rFonts w:hint="eastAsia" w:eastAsia="仿宋_GB2312" w:cs="Times New Roman"/>
          <w:i w:val="0"/>
          <w:iCs w:val="0"/>
          <w:caps w:val="0"/>
          <w:color w:val="auto"/>
          <w:spacing w:val="0"/>
          <w:sz w:val="32"/>
          <w:szCs w:val="32"/>
          <w:shd w:val="clear" w:color="auto" w:fill="FFFFFF"/>
          <w:lang w:val="en-US" w:eastAsia="zh-CN"/>
        </w:rPr>
        <w:t>，导致公务用车运行维护费有所增加</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。市委老干部局严格遵守法律法规和财经纪律，严格执行市财政局的相关规定，无自行提高支出标准和范围、无擅自改变资金用途和调整支出项目，严格执行</w:t>
      </w:r>
      <w:r>
        <w:rPr>
          <w:rFonts w:hint="eastAsia" w:eastAsia="仿宋_GB2312" w:cs="Times New Roman"/>
          <w:i w:val="0"/>
          <w:iCs w:val="0"/>
          <w:caps w:val="0"/>
          <w:color w:val="auto"/>
          <w:spacing w:val="0"/>
          <w:sz w:val="32"/>
          <w:szCs w:val="32"/>
          <w:shd w:val="clear" w:color="auto" w:fill="FFFFFF"/>
          <w:lang w:val="en-US" w:eastAsia="zh-CN"/>
        </w:rPr>
        <w:t>中共怀化</w:t>
      </w:r>
      <w:r>
        <w:rPr>
          <w:rFonts w:hint="default" w:ascii="Times New Roman" w:hAnsi="Times New Roman" w:eastAsia="仿宋_GB2312" w:cs="Times New Roman"/>
          <w:color w:val="auto"/>
          <w:sz w:val="32"/>
          <w:szCs w:val="32"/>
          <w:lang w:bidi="ar-SA"/>
        </w:rPr>
        <w:t>市纪委监委</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、怀化市财政局下达的厉行节约控制指标。</w:t>
      </w:r>
    </w:p>
    <w:p w14:paraId="4360B887">
      <w:pPr>
        <w:keepNext w:val="0"/>
        <w:keepLines w:val="0"/>
        <w:pageBreakBefore w:val="0"/>
        <w:widowControl w:val="0"/>
        <w:shd w:val="clear" w:color="auto" w:fill="FFFFFF"/>
        <w:kinsoku/>
        <w:wordWrap/>
        <w:overflowPunct/>
        <w:topLinePunct w:val="0"/>
        <w:autoSpaceDE/>
        <w:autoSpaceDN/>
        <w:bidi w:val="0"/>
        <w:adjustRightInd/>
        <w:spacing w:line="600" w:lineRule="exact"/>
        <w:ind w:left="0" w:firstLine="643"/>
        <w:textAlignment w:val="auto"/>
        <w:rPr>
          <w:rFonts w:hint="default" w:ascii="Times New Roman" w:hAnsi="Times New Roman" w:eastAsia="楷体_GB2312" w:cs="Times New Roman"/>
          <w:b/>
          <w:color w:val="auto"/>
          <w:spacing w:val="-2"/>
          <w:sz w:val="32"/>
          <w:szCs w:val="21"/>
        </w:rPr>
      </w:pPr>
      <w:r>
        <w:rPr>
          <w:rFonts w:hint="default" w:ascii="Times New Roman" w:hAnsi="Times New Roman" w:eastAsia="楷体_GB2312" w:cs="Times New Roman"/>
          <w:b/>
          <w:bCs/>
          <w:i w:val="0"/>
          <w:iCs w:val="0"/>
          <w:caps w:val="0"/>
          <w:color w:val="auto"/>
          <w:spacing w:val="0"/>
          <w:sz w:val="32"/>
          <w:szCs w:val="32"/>
          <w:shd w:val="clear" w:color="auto" w:fill="FFFFFF"/>
        </w:rPr>
        <w:t>（</w:t>
      </w:r>
      <w:r>
        <w:rPr>
          <w:rFonts w:hint="default" w:ascii="Times New Roman" w:hAnsi="Times New Roman" w:eastAsia="楷体_GB2312" w:cs="Times New Roman"/>
          <w:b/>
          <w:bCs/>
          <w:i w:val="0"/>
          <w:iCs w:val="0"/>
          <w:caps w:val="0"/>
          <w:color w:val="auto"/>
          <w:spacing w:val="0"/>
          <w:sz w:val="32"/>
          <w:szCs w:val="32"/>
          <w:shd w:val="clear" w:color="auto" w:fill="FFFFFF"/>
          <w:lang w:eastAsia="zh-CN"/>
        </w:rPr>
        <w:t>二</w:t>
      </w:r>
      <w:r>
        <w:rPr>
          <w:rFonts w:hint="default" w:ascii="Times New Roman" w:hAnsi="Times New Roman" w:eastAsia="楷体_GB2312" w:cs="Times New Roman"/>
          <w:b/>
          <w:bCs/>
          <w:i w:val="0"/>
          <w:iCs w:val="0"/>
          <w:caps w:val="0"/>
          <w:color w:val="auto"/>
          <w:spacing w:val="0"/>
          <w:sz w:val="32"/>
          <w:szCs w:val="32"/>
          <w:shd w:val="clear" w:color="auto" w:fill="FFFFFF"/>
        </w:rPr>
        <w:t>）</w:t>
      </w:r>
      <w:r>
        <w:rPr>
          <w:rFonts w:hint="default" w:ascii="Times New Roman" w:hAnsi="Times New Roman" w:eastAsia="楷体_GB2312" w:cs="Times New Roman"/>
          <w:b/>
          <w:color w:val="auto"/>
          <w:spacing w:val="-2"/>
          <w:sz w:val="32"/>
          <w:szCs w:val="32"/>
        </w:rPr>
        <w:t>项</w:t>
      </w:r>
      <w:r>
        <w:rPr>
          <w:rFonts w:hint="default" w:ascii="Times New Roman" w:hAnsi="Times New Roman" w:eastAsia="楷体_GB2312" w:cs="Times New Roman"/>
          <w:b/>
          <w:color w:val="auto"/>
          <w:spacing w:val="-2"/>
          <w:sz w:val="32"/>
          <w:szCs w:val="32"/>
          <w:lang w:eastAsia="zh-CN"/>
        </w:rPr>
        <w:t>目</w:t>
      </w:r>
      <w:r>
        <w:rPr>
          <w:rFonts w:hint="default" w:ascii="Times New Roman" w:hAnsi="Times New Roman" w:eastAsia="楷体_GB2312" w:cs="Times New Roman"/>
          <w:b/>
          <w:color w:val="auto"/>
          <w:spacing w:val="-2"/>
          <w:sz w:val="32"/>
          <w:szCs w:val="32"/>
        </w:rPr>
        <w:t>支出</w:t>
      </w:r>
    </w:p>
    <w:p w14:paraId="4986D9A3">
      <w:pPr>
        <w:keepNext w:val="0"/>
        <w:keepLines w:val="0"/>
        <w:pageBreakBefore w:val="0"/>
        <w:widowControl w:val="0"/>
        <w:shd w:val="clear" w:color="auto" w:fill="FFFFFF"/>
        <w:kinsoku/>
        <w:wordWrap/>
        <w:overflowPunct/>
        <w:topLinePunct w:val="0"/>
        <w:autoSpaceDE/>
        <w:autoSpaceDN/>
        <w:bidi w:val="0"/>
        <w:adjustRightInd/>
        <w:spacing w:line="600" w:lineRule="exact"/>
        <w:ind w:left="0" w:firstLine="640"/>
        <w:textAlignment w:val="auto"/>
        <w:rPr>
          <w:rFonts w:hint="default" w:ascii="Times New Roman" w:hAnsi="Times New Roman" w:eastAsia="仿宋_GB2312" w:cs="Times New Roman"/>
          <w:i w:val="0"/>
          <w:iCs w:val="0"/>
          <w:caps w:val="0"/>
          <w:color w:val="0000FF"/>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2024年，年初预算安排一般公共预算项目支出</w:t>
      </w:r>
      <w:r>
        <w:rPr>
          <w:rFonts w:hint="eastAsia" w:eastAsia="仿宋_GB2312" w:cs="Times New Roman"/>
          <w:i w:val="0"/>
          <w:iCs w:val="0"/>
          <w:caps w:val="0"/>
          <w:color w:val="auto"/>
          <w:spacing w:val="0"/>
          <w:kern w:val="0"/>
          <w:sz w:val="32"/>
          <w:szCs w:val="32"/>
          <w:shd w:val="clear" w:color="auto" w:fill="FFFFFF"/>
          <w:lang w:val="en-US" w:eastAsia="zh-CN" w:bidi="ar"/>
        </w:rPr>
        <w:t>641</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万元，全年预算项目支出</w:t>
      </w:r>
      <w:r>
        <w:rPr>
          <w:rFonts w:hint="eastAsia" w:eastAsia="仿宋_GB2312" w:cs="Times New Roman"/>
          <w:color w:val="auto"/>
          <w:sz w:val="32"/>
          <w:szCs w:val="32"/>
          <w:highlight w:val="none"/>
          <w:lang w:val="en-US" w:eastAsia="zh-CN"/>
        </w:rPr>
        <w:t>668.93</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万，年终决算项目支出</w:t>
      </w:r>
      <w:r>
        <w:rPr>
          <w:rFonts w:hint="eastAsia" w:eastAsia="仿宋_GB2312" w:cs="Times New Roman"/>
          <w:i w:val="0"/>
          <w:iCs w:val="0"/>
          <w:caps w:val="0"/>
          <w:color w:val="auto"/>
          <w:spacing w:val="0"/>
          <w:sz w:val="32"/>
          <w:szCs w:val="32"/>
          <w:shd w:val="clear" w:color="auto" w:fill="FFFFFF"/>
          <w:lang w:val="en-US" w:eastAsia="zh-CN"/>
        </w:rPr>
        <w:t>641.55</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万元，预算执行率为9</w:t>
      </w:r>
      <w:r>
        <w:rPr>
          <w:rFonts w:hint="eastAsia" w:eastAsia="仿宋_GB2312" w:cs="Times New Roman"/>
          <w:i w:val="0"/>
          <w:iCs w:val="0"/>
          <w:caps w:val="0"/>
          <w:color w:val="auto"/>
          <w:spacing w:val="0"/>
          <w:kern w:val="0"/>
          <w:sz w:val="32"/>
          <w:szCs w:val="32"/>
          <w:shd w:val="clear" w:color="auto" w:fill="FFFFFF"/>
          <w:lang w:val="en-US" w:eastAsia="zh-CN" w:bidi="ar"/>
        </w:rPr>
        <w:t>5.91</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%。资金安排及总投入具体情况如下：</w:t>
      </w:r>
    </w:p>
    <w:p w14:paraId="1DA381F2">
      <w:pPr>
        <w:keepNext w:val="0"/>
        <w:keepLines w:val="0"/>
        <w:pageBreakBefore w:val="0"/>
        <w:widowControl w:val="0"/>
        <w:kinsoku/>
        <w:wordWrap/>
        <w:overflowPunct/>
        <w:topLinePunct w:val="0"/>
        <w:autoSpaceDE/>
        <w:autoSpaceDN/>
        <w:bidi w:val="0"/>
        <w:adjustRightInd/>
        <w:snapToGrid w:val="0"/>
        <w:spacing w:line="600" w:lineRule="exact"/>
        <w:ind w:left="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（1）</w:t>
      </w:r>
      <w:r>
        <w:rPr>
          <w:rFonts w:hint="eastAsia" w:eastAsia="仿宋_GB2312" w:cs="Times New Roman"/>
          <w:i w:val="0"/>
          <w:iCs w:val="0"/>
          <w:caps w:val="0"/>
          <w:color w:val="auto"/>
          <w:spacing w:val="0"/>
          <w:kern w:val="0"/>
          <w:sz w:val="32"/>
          <w:szCs w:val="32"/>
          <w:shd w:val="clear" w:color="auto" w:fill="FFFFFF"/>
          <w:lang w:val="en-US" w:eastAsia="zh-CN" w:bidi="ar"/>
        </w:rPr>
        <w:t>2025年度市委老干部局机关</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项目资金310.37万元，</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实际执行</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284.41</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万元，预算执行率</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91.64</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w:t>
      </w:r>
      <w:r>
        <w:rPr>
          <w:rFonts w:hint="eastAsia" w:eastAsia="仿宋_GB2312" w:cs="Times New Roman"/>
          <w:i w:val="0"/>
          <w:iCs w:val="0"/>
          <w:caps w:val="0"/>
          <w:color w:val="000000"/>
          <w:spacing w:val="0"/>
          <w:kern w:val="0"/>
          <w:sz w:val="32"/>
          <w:szCs w:val="32"/>
          <w:shd w:val="clear" w:color="auto" w:fill="FFFFFF"/>
          <w:lang w:val="en-US" w:eastAsia="zh-CN" w:bidi="ar"/>
        </w:rPr>
        <w:t>老年教育</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工作经费</w:t>
      </w:r>
      <w:r>
        <w:rPr>
          <w:rFonts w:hint="eastAsia" w:eastAsia="仿宋_GB2312" w:cs="Times New Roman"/>
          <w:i w:val="0"/>
          <w:iCs w:val="0"/>
          <w:caps w:val="0"/>
          <w:color w:val="000000"/>
          <w:spacing w:val="0"/>
          <w:kern w:val="0"/>
          <w:sz w:val="32"/>
          <w:szCs w:val="32"/>
          <w:shd w:val="clear" w:color="auto" w:fill="FFFFFF"/>
          <w:lang w:val="en-US" w:eastAsia="zh-CN" w:bidi="ar"/>
        </w:rPr>
        <w:t>27.36万元，</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主要用于完成日常工作任务发生的办公费、差旅费、劳务费、公务用车运行维护费等，</w:t>
      </w:r>
      <w:r>
        <w:rPr>
          <w:rFonts w:hint="eastAsia" w:eastAsia="仿宋_GB2312" w:cs="Times New Roman"/>
          <w:i w:val="0"/>
          <w:iCs w:val="0"/>
          <w:caps w:val="0"/>
          <w:color w:val="000000"/>
          <w:spacing w:val="0"/>
          <w:kern w:val="0"/>
          <w:sz w:val="32"/>
          <w:szCs w:val="32"/>
          <w:shd w:val="clear" w:color="auto" w:fill="FFFFFF"/>
          <w:lang w:val="en-US" w:eastAsia="zh-CN" w:bidi="ar"/>
        </w:rPr>
        <w:t>实际支出27.36万元，</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项目按计划进度实施完毕，预算执行率</w:t>
      </w:r>
      <w:r>
        <w:rPr>
          <w:rFonts w:hint="eastAsia" w:eastAsia="仿宋_GB2312" w:cs="Times New Roman"/>
          <w:i w:val="0"/>
          <w:iCs w:val="0"/>
          <w:caps w:val="0"/>
          <w:color w:val="000000"/>
          <w:spacing w:val="0"/>
          <w:kern w:val="0"/>
          <w:sz w:val="32"/>
          <w:szCs w:val="32"/>
          <w:shd w:val="clear" w:color="auto" w:fill="FFFFFF"/>
          <w:lang w:val="en-US" w:eastAsia="zh-CN" w:bidi="ar"/>
        </w:rPr>
        <w:t>100</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w:t>
      </w:r>
      <w:r>
        <w:rPr>
          <w:rFonts w:hint="eastAsia" w:eastAsia="仿宋_GB2312" w:cs="Times New Roman"/>
          <w:i w:val="0"/>
          <w:iCs w:val="0"/>
          <w:caps w:val="0"/>
          <w:color w:val="000000"/>
          <w:spacing w:val="0"/>
          <w:kern w:val="0"/>
          <w:sz w:val="32"/>
          <w:szCs w:val="32"/>
          <w:shd w:val="clear" w:color="auto" w:fill="FFFFFF"/>
          <w:lang w:val="en-US" w:eastAsia="zh-CN" w:bidi="ar"/>
        </w:rPr>
        <w:t>；</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关工委工作经费</w:t>
      </w:r>
      <w:r>
        <w:rPr>
          <w:rFonts w:hint="eastAsia" w:eastAsia="仿宋_GB2312" w:cs="Times New Roman"/>
          <w:i w:val="0"/>
          <w:iCs w:val="0"/>
          <w:caps w:val="0"/>
          <w:color w:val="000000"/>
          <w:spacing w:val="0"/>
          <w:kern w:val="0"/>
          <w:sz w:val="32"/>
          <w:szCs w:val="32"/>
          <w:shd w:val="clear" w:color="auto" w:fill="FFFFFF"/>
          <w:lang w:val="en-US" w:eastAsia="zh-CN" w:bidi="ar"/>
        </w:rPr>
        <w:t>90万元，</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主要用于关心下一代工作委员会日常工作任务发生的费用，</w:t>
      </w:r>
      <w:r>
        <w:rPr>
          <w:rFonts w:hint="eastAsia" w:eastAsia="仿宋_GB2312" w:cs="Times New Roman"/>
          <w:i w:val="0"/>
          <w:iCs w:val="0"/>
          <w:caps w:val="0"/>
          <w:color w:val="000000"/>
          <w:spacing w:val="0"/>
          <w:kern w:val="0"/>
          <w:sz w:val="32"/>
          <w:szCs w:val="32"/>
          <w:shd w:val="clear" w:color="auto" w:fill="FFFFFF"/>
          <w:lang w:val="en-US" w:eastAsia="zh-CN" w:bidi="ar"/>
        </w:rPr>
        <w:t>实际支出87.69万元，</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项目按计划进度实施完毕，预算执行率97.</w:t>
      </w:r>
      <w:r>
        <w:rPr>
          <w:rFonts w:hint="eastAsia" w:eastAsia="仿宋_GB2312" w:cs="Times New Roman"/>
          <w:i w:val="0"/>
          <w:iCs w:val="0"/>
          <w:caps w:val="0"/>
          <w:color w:val="000000"/>
          <w:spacing w:val="0"/>
          <w:kern w:val="0"/>
          <w:sz w:val="32"/>
          <w:szCs w:val="32"/>
          <w:shd w:val="clear" w:color="auto" w:fill="FFFFFF"/>
          <w:lang w:val="en-US" w:eastAsia="zh-CN" w:bidi="ar"/>
        </w:rPr>
        <w:t>43</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w:t>
      </w:r>
      <w:r>
        <w:rPr>
          <w:rFonts w:hint="eastAsia" w:eastAsia="仿宋_GB2312" w:cs="Times New Roman"/>
          <w:i w:val="0"/>
          <w:iCs w:val="0"/>
          <w:caps w:val="0"/>
          <w:color w:val="000000"/>
          <w:spacing w:val="0"/>
          <w:kern w:val="0"/>
          <w:sz w:val="32"/>
          <w:szCs w:val="32"/>
          <w:shd w:val="clear" w:color="auto" w:fill="FFFFFF"/>
          <w:lang w:val="en-US" w:eastAsia="zh-CN" w:bidi="ar"/>
        </w:rPr>
        <w:t>；</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特困帮扶金</w:t>
      </w:r>
      <w:r>
        <w:rPr>
          <w:rFonts w:hint="eastAsia" w:eastAsia="仿宋_GB2312" w:cs="Times New Roman"/>
          <w:i w:val="0"/>
          <w:iCs w:val="0"/>
          <w:caps w:val="0"/>
          <w:color w:val="000000"/>
          <w:spacing w:val="0"/>
          <w:kern w:val="0"/>
          <w:sz w:val="32"/>
          <w:szCs w:val="32"/>
          <w:shd w:val="clear" w:color="auto" w:fill="FFFFFF"/>
          <w:lang w:val="en-US" w:eastAsia="zh-CN" w:bidi="ar"/>
        </w:rPr>
        <w:t>20万元，</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主要用于帮助特困离休干部及其遗孀，</w:t>
      </w:r>
      <w:r>
        <w:rPr>
          <w:rFonts w:hint="eastAsia" w:eastAsia="仿宋_GB2312" w:cs="Times New Roman"/>
          <w:i w:val="0"/>
          <w:iCs w:val="0"/>
          <w:caps w:val="0"/>
          <w:color w:val="000000"/>
          <w:spacing w:val="0"/>
          <w:kern w:val="0"/>
          <w:sz w:val="32"/>
          <w:szCs w:val="32"/>
          <w:shd w:val="clear" w:color="auto" w:fill="FFFFFF"/>
          <w:lang w:val="en-US" w:eastAsia="zh-CN" w:bidi="ar"/>
        </w:rPr>
        <w:t>实际支出14.80万元，</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项目按计划进度实施完毕，预算执行率</w:t>
      </w:r>
      <w:r>
        <w:rPr>
          <w:rFonts w:hint="eastAsia" w:eastAsia="仿宋_GB2312" w:cs="Times New Roman"/>
          <w:i w:val="0"/>
          <w:iCs w:val="0"/>
          <w:caps w:val="0"/>
          <w:color w:val="000000"/>
          <w:spacing w:val="0"/>
          <w:kern w:val="0"/>
          <w:sz w:val="32"/>
          <w:szCs w:val="32"/>
          <w:shd w:val="clear" w:color="auto" w:fill="FFFFFF"/>
          <w:lang w:val="en-US" w:eastAsia="zh-CN" w:bidi="ar"/>
        </w:rPr>
        <w:t>74.00</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w:t>
      </w:r>
      <w:r>
        <w:rPr>
          <w:rFonts w:hint="eastAsia" w:eastAsia="仿宋_GB2312" w:cs="Times New Roman"/>
          <w:i w:val="0"/>
          <w:iCs w:val="0"/>
          <w:caps w:val="0"/>
          <w:color w:val="000000"/>
          <w:spacing w:val="0"/>
          <w:kern w:val="0"/>
          <w:sz w:val="32"/>
          <w:szCs w:val="32"/>
          <w:shd w:val="clear" w:color="auto" w:fill="FFFFFF"/>
          <w:lang w:val="en-US" w:eastAsia="zh-CN" w:bidi="ar"/>
        </w:rPr>
        <w:t>；</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关</w:t>
      </w:r>
      <w:r>
        <w:rPr>
          <w:rFonts w:hint="eastAsia" w:eastAsia="仿宋_GB2312" w:cs="Times New Roman"/>
          <w:i w:val="0"/>
          <w:iCs w:val="0"/>
          <w:caps w:val="0"/>
          <w:color w:val="auto"/>
          <w:spacing w:val="0"/>
          <w:kern w:val="0"/>
          <w:sz w:val="32"/>
          <w:szCs w:val="32"/>
          <w:shd w:val="clear" w:color="auto" w:fill="FFFFFF"/>
          <w:lang w:val="en-US" w:eastAsia="zh-CN" w:bidi="ar"/>
        </w:rPr>
        <w:t>工委活动经费5.00万元，</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主要用于</w:t>
      </w:r>
      <w:r>
        <w:rPr>
          <w:rFonts w:hint="eastAsia" w:eastAsia="仿宋_GB2312" w:cs="Times New Roman"/>
          <w:i w:val="0"/>
          <w:iCs w:val="0"/>
          <w:caps w:val="0"/>
          <w:color w:val="auto"/>
          <w:spacing w:val="0"/>
          <w:kern w:val="0"/>
          <w:sz w:val="32"/>
          <w:szCs w:val="32"/>
          <w:shd w:val="clear" w:color="auto" w:fill="FFFFFF"/>
          <w:lang w:val="en-US" w:eastAsia="zh-CN" w:bidi="ar"/>
        </w:rPr>
        <w:t>开展关爱青少年活动</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w:t>
      </w:r>
      <w:r>
        <w:rPr>
          <w:rFonts w:hint="eastAsia" w:eastAsia="仿宋_GB2312" w:cs="Times New Roman"/>
          <w:i w:val="0"/>
          <w:iCs w:val="0"/>
          <w:caps w:val="0"/>
          <w:color w:val="auto"/>
          <w:spacing w:val="0"/>
          <w:kern w:val="0"/>
          <w:sz w:val="32"/>
          <w:szCs w:val="32"/>
          <w:shd w:val="clear" w:color="auto" w:fill="FFFFFF"/>
          <w:lang w:val="en-US" w:eastAsia="zh-CN" w:bidi="ar"/>
        </w:rPr>
        <w:t>实际支出5.00万元，</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项目按计划进度实施完毕，预算执行率100%</w:t>
      </w:r>
      <w:r>
        <w:rPr>
          <w:rFonts w:hint="eastAsia" w:eastAsia="仿宋_GB2312"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市委离退休工委活动经费</w:t>
      </w:r>
      <w:r>
        <w:rPr>
          <w:rFonts w:hint="eastAsia" w:eastAsia="仿宋_GB2312" w:cs="Times New Roman"/>
          <w:i w:val="0"/>
          <w:iCs w:val="0"/>
          <w:caps w:val="0"/>
          <w:color w:val="000000"/>
          <w:spacing w:val="0"/>
          <w:kern w:val="0"/>
          <w:sz w:val="32"/>
          <w:szCs w:val="32"/>
          <w:shd w:val="clear" w:color="auto" w:fill="FFFFFF"/>
          <w:lang w:val="en-US" w:eastAsia="zh-CN" w:bidi="ar"/>
        </w:rPr>
        <w:t>28万元，</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主要用于指导离退休干部的党组织建设，开展老干部思想政治工作，加强老干部的学习教育，</w:t>
      </w:r>
      <w:r>
        <w:rPr>
          <w:rFonts w:hint="eastAsia" w:eastAsia="仿宋_GB2312" w:cs="Times New Roman"/>
          <w:i w:val="0"/>
          <w:iCs w:val="0"/>
          <w:caps w:val="0"/>
          <w:color w:val="000000"/>
          <w:spacing w:val="0"/>
          <w:kern w:val="0"/>
          <w:sz w:val="32"/>
          <w:szCs w:val="32"/>
          <w:shd w:val="clear" w:color="auto" w:fill="FFFFFF"/>
          <w:lang w:val="en-US" w:eastAsia="zh-CN" w:bidi="ar"/>
        </w:rPr>
        <w:t>实际支出25.21万元，</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项目按计划进度实施完毕，</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预算执行率</w:t>
      </w:r>
      <w:r>
        <w:rPr>
          <w:rFonts w:hint="eastAsia" w:eastAsia="仿宋_GB2312" w:cs="Times New Roman"/>
          <w:i w:val="0"/>
          <w:iCs w:val="0"/>
          <w:caps w:val="0"/>
          <w:color w:val="auto"/>
          <w:spacing w:val="0"/>
          <w:kern w:val="0"/>
          <w:sz w:val="32"/>
          <w:szCs w:val="32"/>
          <w:shd w:val="clear" w:color="auto" w:fill="FFFFFF"/>
          <w:lang w:val="en-US" w:eastAsia="zh-CN" w:bidi="ar"/>
        </w:rPr>
        <w:t>90.05</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w:t>
      </w:r>
      <w:r>
        <w:rPr>
          <w:rFonts w:hint="eastAsia" w:eastAsia="仿宋_GB2312"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老干部慰问费</w:t>
      </w:r>
      <w:r>
        <w:rPr>
          <w:rFonts w:hint="eastAsia" w:eastAsia="仿宋_GB2312" w:cs="Times New Roman"/>
          <w:i w:val="0"/>
          <w:iCs w:val="0"/>
          <w:caps w:val="0"/>
          <w:color w:val="000000"/>
          <w:spacing w:val="0"/>
          <w:kern w:val="0"/>
          <w:sz w:val="32"/>
          <w:szCs w:val="32"/>
          <w:shd w:val="clear" w:color="auto" w:fill="FFFFFF"/>
          <w:lang w:val="en-US" w:eastAsia="zh-CN" w:bidi="ar"/>
        </w:rPr>
        <w:t>11.83万元，</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主要用于老干部生病住院、</w:t>
      </w:r>
      <w:r>
        <w:rPr>
          <w:rFonts w:hint="eastAsia" w:eastAsia="仿宋_GB2312" w:cs="Times New Roman"/>
          <w:i w:val="0"/>
          <w:iCs w:val="0"/>
          <w:caps w:val="0"/>
          <w:color w:val="000000"/>
          <w:spacing w:val="0"/>
          <w:kern w:val="0"/>
          <w:sz w:val="32"/>
          <w:szCs w:val="32"/>
          <w:shd w:val="clear" w:color="auto" w:fill="FFFFFF"/>
          <w:lang w:val="en-US" w:eastAsia="zh-CN" w:bidi="ar"/>
        </w:rPr>
        <w:t>日常及节日</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节慰问等，</w:t>
      </w:r>
      <w:r>
        <w:rPr>
          <w:rFonts w:hint="eastAsia" w:eastAsia="仿宋_GB2312" w:cs="Times New Roman"/>
          <w:i w:val="0"/>
          <w:iCs w:val="0"/>
          <w:caps w:val="0"/>
          <w:color w:val="000000"/>
          <w:spacing w:val="0"/>
          <w:kern w:val="0"/>
          <w:sz w:val="32"/>
          <w:szCs w:val="32"/>
          <w:shd w:val="clear" w:color="auto" w:fill="FFFFFF"/>
          <w:lang w:val="en-US" w:eastAsia="zh-CN" w:bidi="ar"/>
        </w:rPr>
        <w:t>实际支出11.50万元，</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项目按计划进度实施完毕，预算执行率</w:t>
      </w:r>
      <w:r>
        <w:rPr>
          <w:rFonts w:hint="eastAsia" w:eastAsia="仿宋_GB2312" w:cs="Times New Roman"/>
          <w:i w:val="0"/>
          <w:iCs w:val="0"/>
          <w:caps w:val="0"/>
          <w:color w:val="000000"/>
          <w:spacing w:val="0"/>
          <w:kern w:val="0"/>
          <w:sz w:val="32"/>
          <w:szCs w:val="32"/>
          <w:shd w:val="clear" w:color="auto" w:fill="FFFFFF"/>
          <w:lang w:val="en-US" w:eastAsia="zh-CN" w:bidi="ar"/>
        </w:rPr>
        <w:t>97.20</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w:t>
      </w:r>
      <w:r>
        <w:rPr>
          <w:rFonts w:hint="eastAsia" w:eastAsia="仿宋_GB2312" w:cs="Times New Roman"/>
          <w:i w:val="0"/>
          <w:iCs w:val="0"/>
          <w:caps w:val="0"/>
          <w:color w:val="000000"/>
          <w:spacing w:val="0"/>
          <w:kern w:val="0"/>
          <w:sz w:val="32"/>
          <w:szCs w:val="32"/>
          <w:shd w:val="clear" w:color="auto" w:fill="FFFFFF"/>
          <w:lang w:val="en-US" w:eastAsia="zh-CN" w:bidi="ar"/>
        </w:rPr>
        <w:t>；</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春节走访慰问经费</w:t>
      </w:r>
      <w:r>
        <w:rPr>
          <w:rFonts w:hint="eastAsia" w:eastAsia="仿宋_GB2312" w:cs="Times New Roman"/>
          <w:i w:val="0"/>
          <w:iCs w:val="0"/>
          <w:caps w:val="0"/>
          <w:color w:val="000000"/>
          <w:spacing w:val="0"/>
          <w:kern w:val="0"/>
          <w:sz w:val="32"/>
          <w:szCs w:val="32"/>
          <w:shd w:val="clear" w:color="auto" w:fill="FFFFFF"/>
          <w:lang w:val="en-US" w:eastAsia="zh-CN" w:bidi="ar"/>
        </w:rPr>
        <w:t>46.80万元，</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主要用于老干部春节走访慰问等，</w:t>
      </w:r>
      <w:r>
        <w:rPr>
          <w:rFonts w:hint="eastAsia" w:eastAsia="仿宋_GB2312" w:cs="Times New Roman"/>
          <w:i w:val="0"/>
          <w:iCs w:val="0"/>
          <w:caps w:val="0"/>
          <w:color w:val="000000"/>
          <w:spacing w:val="0"/>
          <w:kern w:val="0"/>
          <w:sz w:val="32"/>
          <w:szCs w:val="32"/>
          <w:shd w:val="clear" w:color="auto" w:fill="FFFFFF"/>
          <w:lang w:val="en-US" w:eastAsia="zh-CN" w:bidi="ar"/>
        </w:rPr>
        <w:t>实际支出39.45万元，</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项目按计划进度实施完毕，预算执行率</w:t>
      </w:r>
      <w:r>
        <w:rPr>
          <w:rFonts w:hint="eastAsia" w:eastAsia="仿宋_GB2312" w:cs="Times New Roman"/>
          <w:i w:val="0"/>
          <w:iCs w:val="0"/>
          <w:caps w:val="0"/>
          <w:color w:val="000000"/>
          <w:spacing w:val="0"/>
          <w:kern w:val="0"/>
          <w:sz w:val="32"/>
          <w:szCs w:val="32"/>
          <w:shd w:val="clear" w:color="auto" w:fill="FFFFFF"/>
          <w:lang w:val="en-US" w:eastAsia="zh-CN" w:bidi="ar"/>
        </w:rPr>
        <w:t>84.29</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w:t>
      </w:r>
      <w:r>
        <w:rPr>
          <w:rFonts w:hint="eastAsia" w:eastAsia="仿宋_GB2312" w:cs="Times New Roman"/>
          <w:i w:val="0"/>
          <w:iCs w:val="0"/>
          <w:caps w:val="0"/>
          <w:color w:val="000000"/>
          <w:spacing w:val="0"/>
          <w:kern w:val="0"/>
          <w:sz w:val="32"/>
          <w:szCs w:val="32"/>
          <w:shd w:val="clear" w:color="auto" w:fill="FFFFFF"/>
          <w:lang w:val="en-US" w:eastAsia="zh-CN" w:bidi="ar"/>
        </w:rPr>
        <w:t>；</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市直单位老干部活动经费</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（局机关）</w:t>
      </w:r>
      <w:r>
        <w:rPr>
          <w:rFonts w:hint="eastAsia" w:eastAsia="仿宋_GB2312" w:cs="Times New Roman"/>
          <w:i w:val="0"/>
          <w:iCs w:val="0"/>
          <w:caps w:val="0"/>
          <w:color w:val="auto"/>
          <w:spacing w:val="0"/>
          <w:kern w:val="0"/>
          <w:sz w:val="32"/>
          <w:szCs w:val="32"/>
          <w:shd w:val="clear" w:color="auto" w:fill="FFFFFF"/>
          <w:lang w:val="en-US" w:eastAsia="zh-CN" w:bidi="ar"/>
        </w:rPr>
        <w:t>22.00万元，</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主要用于保障市直单位离退休老干部开展文化体育艺术活动的</w:t>
      </w:r>
      <w:r>
        <w:rPr>
          <w:rFonts w:hint="eastAsia" w:eastAsia="仿宋_GB2312" w:cs="Times New Roman"/>
          <w:i w:val="0"/>
          <w:iCs w:val="0"/>
          <w:caps w:val="0"/>
          <w:color w:val="auto"/>
          <w:spacing w:val="0"/>
          <w:kern w:val="0"/>
          <w:sz w:val="32"/>
          <w:szCs w:val="32"/>
          <w:shd w:val="clear" w:color="auto" w:fill="FFFFFF"/>
          <w:lang w:val="en-US" w:eastAsia="zh-CN" w:bidi="ar"/>
        </w:rPr>
        <w:t>及宣传，扩大影响。实际支出22.00万元，</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项目按计划进度实施完毕，预算执行率100%</w:t>
      </w:r>
      <w:r>
        <w:rPr>
          <w:rFonts w:hint="eastAsia" w:eastAsia="仿宋_GB2312" w:cs="Times New Roman"/>
          <w:i w:val="0"/>
          <w:iCs w:val="0"/>
          <w:caps w:val="0"/>
          <w:color w:val="auto"/>
          <w:spacing w:val="0"/>
          <w:kern w:val="0"/>
          <w:sz w:val="32"/>
          <w:szCs w:val="32"/>
          <w:shd w:val="clear" w:color="auto" w:fill="FFFFFF"/>
          <w:lang w:val="en-US" w:eastAsia="zh-CN" w:bidi="ar"/>
        </w:rPr>
        <w:t>；</w:t>
      </w:r>
      <w:r>
        <w:rPr>
          <w:rFonts w:hint="eastAsia" w:eastAsia="仿宋_GB2312" w:cs="Times New Roman"/>
          <w:i w:val="0"/>
          <w:iCs w:val="0"/>
          <w:caps w:val="0"/>
          <w:color w:val="000000"/>
          <w:spacing w:val="0"/>
          <w:kern w:val="0"/>
          <w:sz w:val="32"/>
          <w:szCs w:val="32"/>
          <w:shd w:val="clear" w:color="auto" w:fill="FFFFFF"/>
          <w:lang w:val="en-US" w:eastAsia="zh-CN" w:bidi="ar"/>
        </w:rPr>
        <w:t>厅级离退休干部参观考察及老干部重阳节座谈会经费8.2万元，</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主要用于老干部开展</w:t>
      </w:r>
      <w:r>
        <w:rPr>
          <w:rFonts w:hint="eastAsia" w:eastAsia="仿宋_GB2312" w:cs="Times New Roman"/>
          <w:i w:val="0"/>
          <w:iCs w:val="0"/>
          <w:caps w:val="0"/>
          <w:color w:val="000000"/>
          <w:spacing w:val="0"/>
          <w:kern w:val="0"/>
          <w:sz w:val="32"/>
          <w:szCs w:val="32"/>
          <w:shd w:val="clear" w:color="auto" w:fill="FFFFFF"/>
          <w:lang w:val="en-US" w:eastAsia="zh-CN" w:bidi="ar"/>
        </w:rPr>
        <w:t>参观</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工农业</w:t>
      </w:r>
      <w:r>
        <w:rPr>
          <w:rFonts w:hint="eastAsia" w:eastAsia="仿宋_GB2312" w:cs="Times New Roman"/>
          <w:i w:val="0"/>
          <w:iCs w:val="0"/>
          <w:caps w:val="0"/>
          <w:color w:val="000000"/>
          <w:spacing w:val="0"/>
          <w:kern w:val="0"/>
          <w:sz w:val="32"/>
          <w:szCs w:val="32"/>
          <w:shd w:val="clear" w:color="auto" w:fill="FFFFFF"/>
          <w:lang w:val="en-US" w:eastAsia="zh-CN" w:bidi="ar"/>
        </w:rPr>
        <w:t>生产</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活动</w:t>
      </w:r>
      <w:r>
        <w:rPr>
          <w:rFonts w:hint="eastAsia" w:eastAsia="仿宋_GB2312" w:cs="Times New Roman"/>
          <w:i w:val="0"/>
          <w:iCs w:val="0"/>
          <w:caps w:val="0"/>
          <w:color w:val="000000"/>
          <w:spacing w:val="0"/>
          <w:kern w:val="0"/>
          <w:sz w:val="32"/>
          <w:szCs w:val="32"/>
          <w:shd w:val="clear" w:color="auto" w:fill="FFFFFF"/>
          <w:lang w:val="en-US" w:eastAsia="zh-CN" w:bidi="ar"/>
        </w:rPr>
        <w:t>、</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厅级离退休同志重阳节系列活动</w:t>
      </w:r>
      <w:r>
        <w:rPr>
          <w:rFonts w:hint="eastAsia" w:eastAsia="仿宋_GB2312" w:cs="Times New Roman"/>
          <w:i w:val="0"/>
          <w:iCs w:val="0"/>
          <w:caps w:val="0"/>
          <w:color w:val="000000"/>
          <w:spacing w:val="0"/>
          <w:kern w:val="0"/>
          <w:sz w:val="32"/>
          <w:szCs w:val="32"/>
          <w:shd w:val="clear" w:color="auto" w:fill="FFFFFF"/>
          <w:lang w:val="en-US" w:eastAsia="zh-CN" w:bidi="ar"/>
        </w:rPr>
        <w:t>及召开春节座谈会（或形势报告会）</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w:t>
      </w:r>
      <w:r>
        <w:rPr>
          <w:rFonts w:hint="eastAsia" w:eastAsia="仿宋_GB2312" w:cs="Times New Roman"/>
          <w:i w:val="0"/>
          <w:iCs w:val="0"/>
          <w:caps w:val="0"/>
          <w:color w:val="000000"/>
          <w:spacing w:val="0"/>
          <w:kern w:val="0"/>
          <w:sz w:val="32"/>
          <w:szCs w:val="32"/>
          <w:shd w:val="clear" w:color="auto" w:fill="FFFFFF"/>
          <w:lang w:val="en-US" w:eastAsia="zh-CN" w:bidi="ar"/>
        </w:rPr>
        <w:t>实际支出6.25万元，</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项目按计划进度实施完毕，预算执行率</w:t>
      </w:r>
      <w:r>
        <w:rPr>
          <w:rFonts w:hint="eastAsia" w:eastAsia="仿宋_GB2312" w:cs="Times New Roman"/>
          <w:i w:val="0"/>
          <w:iCs w:val="0"/>
          <w:caps w:val="0"/>
          <w:color w:val="000000"/>
          <w:spacing w:val="0"/>
          <w:kern w:val="0"/>
          <w:sz w:val="32"/>
          <w:szCs w:val="32"/>
          <w:shd w:val="clear" w:color="auto" w:fill="FFFFFF"/>
          <w:lang w:val="en-US" w:eastAsia="zh-CN" w:bidi="ar"/>
        </w:rPr>
        <w:t>76.27</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w:t>
      </w:r>
      <w:r>
        <w:rPr>
          <w:rFonts w:hint="eastAsia" w:eastAsia="仿宋_GB2312" w:cs="Times New Roman"/>
          <w:i w:val="0"/>
          <w:iCs w:val="0"/>
          <w:caps w:val="0"/>
          <w:color w:val="000000"/>
          <w:spacing w:val="0"/>
          <w:kern w:val="0"/>
          <w:sz w:val="32"/>
          <w:szCs w:val="32"/>
          <w:shd w:val="clear" w:color="auto" w:fill="FFFFFF"/>
          <w:lang w:val="en-US" w:eastAsia="zh-CN" w:bidi="ar"/>
        </w:rPr>
        <w:t>；</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市直老干部体检经费</w:t>
      </w:r>
      <w:r>
        <w:rPr>
          <w:rFonts w:hint="eastAsia" w:eastAsia="仿宋_GB2312" w:cs="Times New Roman"/>
          <w:i w:val="0"/>
          <w:iCs w:val="0"/>
          <w:caps w:val="0"/>
          <w:color w:val="000000"/>
          <w:spacing w:val="0"/>
          <w:kern w:val="0"/>
          <w:sz w:val="32"/>
          <w:szCs w:val="32"/>
          <w:shd w:val="clear" w:color="auto" w:fill="FFFFFF"/>
          <w:lang w:val="en-US" w:eastAsia="zh-CN" w:bidi="ar"/>
        </w:rPr>
        <w:t>21.38万元，</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主要用于市直老干部身体情况检查，</w:t>
      </w:r>
      <w:r>
        <w:rPr>
          <w:rFonts w:hint="eastAsia" w:eastAsia="仿宋_GB2312" w:cs="Times New Roman"/>
          <w:i w:val="0"/>
          <w:iCs w:val="0"/>
          <w:caps w:val="0"/>
          <w:color w:val="000000"/>
          <w:spacing w:val="0"/>
          <w:kern w:val="0"/>
          <w:sz w:val="32"/>
          <w:szCs w:val="32"/>
          <w:shd w:val="clear" w:color="auto" w:fill="FFFFFF"/>
          <w:lang w:val="en-US" w:eastAsia="zh-CN" w:bidi="ar"/>
        </w:rPr>
        <w:t>实际支出21.38万元，</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项目按计划进度实施完毕，预算执行率</w:t>
      </w:r>
      <w:r>
        <w:rPr>
          <w:rFonts w:hint="eastAsia" w:eastAsia="仿宋_GB2312" w:cs="Times New Roman"/>
          <w:i w:val="0"/>
          <w:iCs w:val="0"/>
          <w:caps w:val="0"/>
          <w:color w:val="000000"/>
          <w:spacing w:val="0"/>
          <w:kern w:val="0"/>
          <w:sz w:val="32"/>
          <w:szCs w:val="32"/>
          <w:shd w:val="clear" w:color="auto" w:fill="FFFFFF"/>
          <w:lang w:val="en-US" w:eastAsia="zh-CN" w:bidi="ar"/>
        </w:rPr>
        <w:t>100</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w:t>
      </w:r>
      <w:r>
        <w:rPr>
          <w:rFonts w:hint="eastAsia" w:eastAsia="仿宋_GB2312" w:cs="Times New Roman"/>
          <w:i w:val="0"/>
          <w:iCs w:val="0"/>
          <w:caps w:val="0"/>
          <w:color w:val="000000"/>
          <w:spacing w:val="0"/>
          <w:kern w:val="0"/>
          <w:sz w:val="32"/>
          <w:szCs w:val="32"/>
          <w:shd w:val="clear" w:color="auto" w:fill="FFFFFF"/>
          <w:lang w:val="en-US" w:eastAsia="zh-CN" w:bidi="ar"/>
        </w:rPr>
        <w:t>；</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市直离休干部居家养老服务经费</w:t>
      </w:r>
      <w:r>
        <w:rPr>
          <w:rFonts w:hint="eastAsia" w:eastAsia="仿宋_GB2312" w:cs="Times New Roman"/>
          <w:i w:val="0"/>
          <w:iCs w:val="0"/>
          <w:caps w:val="0"/>
          <w:color w:val="000000"/>
          <w:spacing w:val="0"/>
          <w:kern w:val="0"/>
          <w:sz w:val="32"/>
          <w:szCs w:val="32"/>
          <w:shd w:val="clear" w:color="auto" w:fill="FFFFFF"/>
          <w:lang w:val="en-US" w:eastAsia="zh-CN" w:bidi="ar"/>
        </w:rPr>
        <w:t>20万元，</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主要用于离休老干部居家养老上门服务等，</w:t>
      </w:r>
      <w:r>
        <w:rPr>
          <w:rFonts w:hint="eastAsia" w:eastAsia="仿宋_GB2312" w:cs="Times New Roman"/>
          <w:i w:val="0"/>
          <w:iCs w:val="0"/>
          <w:caps w:val="0"/>
          <w:color w:val="000000"/>
          <w:spacing w:val="0"/>
          <w:kern w:val="0"/>
          <w:sz w:val="32"/>
          <w:szCs w:val="32"/>
          <w:shd w:val="clear" w:color="auto" w:fill="FFFFFF"/>
          <w:lang w:val="en-US" w:eastAsia="zh-CN" w:bidi="ar"/>
        </w:rPr>
        <w:t>实际支出13.96万元，</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项目按计划进度实施完毕，预算执行率</w:t>
      </w:r>
      <w:r>
        <w:rPr>
          <w:rFonts w:hint="eastAsia" w:eastAsia="仿宋_GB2312" w:cs="Times New Roman"/>
          <w:i w:val="0"/>
          <w:iCs w:val="0"/>
          <w:caps w:val="0"/>
          <w:color w:val="000000"/>
          <w:spacing w:val="0"/>
          <w:kern w:val="0"/>
          <w:sz w:val="32"/>
          <w:szCs w:val="32"/>
          <w:shd w:val="clear" w:color="auto" w:fill="FFFFFF"/>
          <w:lang w:val="en-US" w:eastAsia="zh-CN" w:bidi="ar"/>
        </w:rPr>
        <w:t>69.78</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w:t>
      </w:r>
      <w:r>
        <w:rPr>
          <w:rFonts w:hint="eastAsia" w:eastAsia="仿宋_GB2312" w:cs="Times New Roman"/>
          <w:i w:val="0"/>
          <w:iCs w:val="0"/>
          <w:caps w:val="0"/>
          <w:color w:val="000000"/>
          <w:spacing w:val="0"/>
          <w:kern w:val="0"/>
          <w:sz w:val="32"/>
          <w:szCs w:val="32"/>
          <w:shd w:val="clear" w:color="auto" w:fill="FFFFFF"/>
          <w:lang w:val="en-US" w:eastAsia="zh-CN" w:bidi="ar"/>
        </w:rPr>
        <w:t>；</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建国初期参加革命工作的部分退休干部医疗补助</w:t>
      </w:r>
      <w:r>
        <w:rPr>
          <w:rFonts w:hint="eastAsia" w:eastAsia="仿宋_GB2312" w:cs="Times New Roman"/>
          <w:i w:val="0"/>
          <w:iCs w:val="0"/>
          <w:caps w:val="0"/>
          <w:color w:val="auto"/>
          <w:spacing w:val="0"/>
          <w:kern w:val="0"/>
          <w:sz w:val="32"/>
          <w:szCs w:val="32"/>
          <w:shd w:val="clear" w:color="auto" w:fill="FFFFFF"/>
          <w:lang w:val="en-US" w:eastAsia="zh-CN" w:bidi="ar"/>
        </w:rPr>
        <w:t>0.8万元，</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主要用于代发市直</w:t>
      </w:r>
      <w:r>
        <w:rPr>
          <w:rFonts w:hint="eastAsia" w:eastAsia="仿宋_GB2312" w:cs="Times New Roman"/>
          <w:i w:val="0"/>
          <w:iCs w:val="0"/>
          <w:caps w:val="0"/>
          <w:color w:val="auto"/>
          <w:spacing w:val="0"/>
          <w:kern w:val="0"/>
          <w:sz w:val="32"/>
          <w:szCs w:val="32"/>
          <w:shd w:val="clear" w:color="auto" w:fill="FFFFFF"/>
          <w:lang w:val="en-US" w:eastAsia="zh-CN" w:bidi="ar"/>
        </w:rPr>
        <w:t>1</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名建国初期参加工作的企业退休干部医疗补贴，</w:t>
      </w:r>
      <w:r>
        <w:rPr>
          <w:rFonts w:hint="eastAsia" w:eastAsia="仿宋_GB2312" w:cs="Times New Roman"/>
          <w:i w:val="0"/>
          <w:iCs w:val="0"/>
          <w:caps w:val="0"/>
          <w:color w:val="auto"/>
          <w:spacing w:val="0"/>
          <w:kern w:val="0"/>
          <w:sz w:val="32"/>
          <w:szCs w:val="32"/>
          <w:shd w:val="clear" w:color="auto" w:fill="FFFFFF"/>
          <w:lang w:val="en-US" w:eastAsia="zh-CN" w:bidi="ar"/>
        </w:rPr>
        <w:t>实际支出0.8万元，</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项目按计划进度实施完毕，预算执行率100%</w:t>
      </w:r>
      <w:r>
        <w:rPr>
          <w:rFonts w:hint="eastAsia" w:eastAsia="仿宋_GB2312"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抗日战争时期及以前参加革命工作的离休干部一次性补助9.00万元，主要用于对健在的抗日战争时期及以前参加革命工作的离休干部进行走访慰问，实际支出9.00万元，</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项目按计划进度实施完毕，预算执行率100%。</w:t>
      </w:r>
    </w:p>
    <w:p w14:paraId="51A120A4">
      <w:pPr>
        <w:keepNext w:val="0"/>
        <w:keepLines w:val="0"/>
        <w:pageBreakBefore w:val="0"/>
        <w:widowControl w:val="0"/>
        <w:kinsoku/>
        <w:wordWrap/>
        <w:overflowPunct/>
        <w:topLinePunct w:val="0"/>
        <w:autoSpaceDE/>
        <w:autoSpaceDN/>
        <w:bidi w:val="0"/>
        <w:adjustRightInd/>
        <w:snapToGrid w:val="0"/>
        <w:spacing w:line="600" w:lineRule="exact"/>
        <w:ind w:left="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w:t>
      </w:r>
      <w:r>
        <w:rPr>
          <w:rFonts w:hint="eastAsia" w:eastAsia="仿宋_GB2312" w:cs="Times New Roman"/>
          <w:i w:val="0"/>
          <w:iCs w:val="0"/>
          <w:caps w:val="0"/>
          <w:color w:val="auto"/>
          <w:spacing w:val="0"/>
          <w:kern w:val="0"/>
          <w:sz w:val="32"/>
          <w:szCs w:val="32"/>
          <w:shd w:val="clear" w:color="auto" w:fill="FFFFFF"/>
          <w:lang w:val="en-US" w:eastAsia="zh-CN" w:bidi="ar"/>
        </w:rPr>
        <w:t>2</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w:t>
      </w:r>
      <w:r>
        <w:rPr>
          <w:rFonts w:hint="eastAsia" w:eastAsia="仿宋_GB2312" w:cs="Times New Roman"/>
          <w:i w:val="0"/>
          <w:iCs w:val="0"/>
          <w:caps w:val="0"/>
          <w:color w:val="auto"/>
          <w:spacing w:val="0"/>
          <w:kern w:val="0"/>
          <w:sz w:val="32"/>
          <w:szCs w:val="32"/>
          <w:shd w:val="clear" w:color="auto" w:fill="FFFFFF"/>
          <w:lang w:val="en-US" w:eastAsia="zh-CN" w:bidi="ar"/>
        </w:rPr>
        <w:t>2025年度</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老干部教育活动中心项目资金296.41</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万元，实际执行</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295</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万元，预算执行率</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99.52</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2025年城乡文旅科教基础保障资金2万元，用于市老干部（老年）书画家协会文化活动展览经费，实际支出2万元，预算执行率100%；老干部教育活动中心运转经费105.5万元，实际支出104.2万元，预算执行率98.77%；老年大学办学经费28.92万元，实际支出28.81万元，预算执行率99.62%；老干部大学运转经费135.99万元，实际支出135.99万元，预算执行率100%；市老干部大学京剧《韦岗之战》部分创作、编排经费3万元，实际支出3万元，预算执行率100%；市直单位老干部活动经费（活动中心）21万元，实际支出21万元，预算执行率100%。</w:t>
      </w:r>
    </w:p>
    <w:p w14:paraId="527F546A">
      <w:pPr>
        <w:keepNext w:val="0"/>
        <w:keepLines w:val="0"/>
        <w:pageBreakBefore w:val="0"/>
        <w:widowControl w:val="0"/>
        <w:kinsoku/>
        <w:wordWrap/>
        <w:overflowPunct/>
        <w:topLinePunct w:val="0"/>
        <w:autoSpaceDE/>
        <w:autoSpaceDN/>
        <w:bidi w:val="0"/>
        <w:adjustRightInd/>
        <w:snapToGrid w:val="0"/>
        <w:spacing w:line="600" w:lineRule="exact"/>
        <w:ind w:left="0" w:firstLine="640" w:firstLineChars="200"/>
        <w:textAlignment w:val="auto"/>
        <w:rPr>
          <w:rFonts w:hint="default" w:ascii="Times New Roman" w:hAnsi="Times New Roman" w:cs="Times New Roman"/>
          <w:color w:val="0000FF"/>
          <w:lang w:val="en-US" w:eastAsia="zh-CN"/>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w:t>
      </w:r>
      <w:r>
        <w:rPr>
          <w:rFonts w:hint="eastAsia" w:eastAsia="仿宋_GB2312" w:cs="Times New Roman"/>
          <w:i w:val="0"/>
          <w:iCs w:val="0"/>
          <w:caps w:val="0"/>
          <w:color w:val="auto"/>
          <w:spacing w:val="0"/>
          <w:kern w:val="0"/>
          <w:sz w:val="32"/>
          <w:szCs w:val="32"/>
          <w:shd w:val="clear" w:color="auto" w:fill="FFFFFF"/>
          <w:lang w:val="en-US" w:eastAsia="zh-CN" w:bidi="ar"/>
        </w:rPr>
        <w:t>3</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）202</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5</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年度</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老干部休养所项目</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支出</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62.14</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万元，实际执行</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62.14</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万元，预算执行率</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100.00</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其中</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老干春节慰问费、祝寿</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10.29</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万元，实际支出</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10.29</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万元，预算执行率</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100.00</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%；202</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5年老干部教育活动</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经费</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21.11</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万元，实际支出</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21.11</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万元，预算执行率100%；老干电话费和小车补助等四项经费</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17.34</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万元，实际支出1</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7.34</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万元，预算执行率</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100.00</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%；市直单位老干部活动经费</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（老干所）</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1</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1</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万元，实际支出1</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1</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万元，预算执行率100%；厅级退休老干部活动经费</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2.4</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万元，实际支出</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2.4</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万元，预算执行率100%。</w:t>
      </w:r>
    </w:p>
    <w:p w14:paraId="1CAFFD4B">
      <w:pPr>
        <w:keepNext w:val="0"/>
        <w:keepLines w:val="0"/>
        <w:pageBreakBefore w:val="0"/>
        <w:widowControl w:val="0"/>
        <w:shd w:val="clear" w:color="auto" w:fill="FFFFFF"/>
        <w:kinsoku/>
        <w:wordWrap/>
        <w:overflowPunct/>
        <w:topLinePunct w:val="0"/>
        <w:autoSpaceDE/>
        <w:autoSpaceDN/>
        <w:bidi w:val="0"/>
        <w:adjustRightInd/>
        <w:spacing w:line="600" w:lineRule="exact"/>
        <w:ind w:left="0" w:firstLine="640"/>
        <w:textAlignment w:val="auto"/>
        <w:rPr>
          <w:rFonts w:hint="default" w:ascii="Times New Roman" w:hAnsi="Times New Roman" w:eastAsia="黑体"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黑体" w:cs="Times New Roman"/>
          <w:i w:val="0"/>
          <w:iCs w:val="0"/>
          <w:caps w:val="0"/>
          <w:color w:val="auto"/>
          <w:spacing w:val="0"/>
          <w:kern w:val="0"/>
          <w:sz w:val="32"/>
          <w:szCs w:val="32"/>
          <w:shd w:val="clear" w:color="auto" w:fill="FFFFFF"/>
          <w:lang w:val="en-US" w:eastAsia="zh-CN" w:bidi="ar"/>
        </w:rPr>
        <w:t>三、项目组织实施情况</w:t>
      </w:r>
    </w:p>
    <w:p w14:paraId="1BAB573D">
      <w:pPr>
        <w:keepNext w:val="0"/>
        <w:keepLines w:val="0"/>
        <w:pageBreakBefore w:val="0"/>
        <w:widowControl w:val="0"/>
        <w:shd w:val="clear" w:color="auto" w:fill="FFFFFF"/>
        <w:kinsoku/>
        <w:wordWrap/>
        <w:overflowPunct/>
        <w:topLinePunct w:val="0"/>
        <w:autoSpaceDE/>
        <w:autoSpaceDN/>
        <w:bidi w:val="0"/>
        <w:adjustRightInd/>
        <w:spacing w:line="600" w:lineRule="exact"/>
        <w:ind w:left="0" w:firstLine="643"/>
        <w:textAlignment w:val="auto"/>
        <w:rPr>
          <w:rFonts w:hint="default" w:ascii="Times New Roman" w:hAnsi="Times New Roman" w:eastAsia="楷体_GB2312" w:cs="Times New Roman"/>
          <w:b/>
          <w:color w:val="auto"/>
          <w:spacing w:val="-2"/>
          <w:sz w:val="32"/>
          <w:szCs w:val="32"/>
          <w:lang w:val="en-US" w:eastAsia="zh-CN"/>
        </w:rPr>
      </w:pPr>
      <w:r>
        <w:rPr>
          <w:rFonts w:hint="default" w:ascii="Times New Roman" w:hAnsi="Times New Roman" w:eastAsia="楷体_GB2312" w:cs="Times New Roman"/>
          <w:b/>
          <w:color w:val="auto"/>
          <w:spacing w:val="-2"/>
          <w:sz w:val="32"/>
          <w:szCs w:val="32"/>
          <w:lang w:val="en-US" w:eastAsia="zh-CN"/>
        </w:rPr>
        <w:t>（一）项目组织情况分析，主要包括项目招投标、调整、竣工验收等情况。</w:t>
      </w:r>
    </w:p>
    <w:p w14:paraId="6FBF7140">
      <w:pPr>
        <w:keepNext w:val="0"/>
        <w:keepLines w:val="0"/>
        <w:pageBreakBefore w:val="0"/>
        <w:widowControl w:val="0"/>
        <w:kinsoku/>
        <w:wordWrap/>
        <w:overflowPunct/>
        <w:topLinePunct w:val="0"/>
        <w:autoSpaceDE/>
        <w:autoSpaceDN/>
        <w:bidi w:val="0"/>
        <w:adjustRightInd/>
        <w:snapToGrid w:val="0"/>
        <w:spacing w:line="600" w:lineRule="exact"/>
        <w:ind w:left="0" w:firstLine="640" w:firstLineChars="200"/>
        <w:textAlignment w:val="auto"/>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pPr>
      <w:r>
        <w:rPr>
          <w:rFonts w:hint="default" w:ascii="Times New Roman" w:hAnsi="Times New Roman" w:eastAsia="仿宋_GB2312" w:cs="Times New Roman"/>
          <w:color w:val="000000"/>
          <w:sz w:val="32"/>
          <w:szCs w:val="32"/>
          <w:highlight w:val="none"/>
          <w:lang w:val="en-US" w:eastAsia="zh-CN"/>
        </w:rPr>
        <w:t>202</w:t>
      </w:r>
      <w:r>
        <w:rPr>
          <w:rFonts w:hint="eastAsia" w:eastAsia="仿宋_GB2312" w:cs="Times New Roman"/>
          <w:color w:val="000000"/>
          <w:sz w:val="32"/>
          <w:szCs w:val="32"/>
          <w:highlight w:val="none"/>
          <w:lang w:val="en-US" w:eastAsia="zh-CN"/>
        </w:rPr>
        <w:t>5</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年度市委老干部局项目组织实施采取以下举措推进：一是抓实预算编制与绩效管理工作。锚定项目绩效目标管理要求，每年对各单位上报的预算项目开展全面梳理、从严审核，统筹做好资金保障安排，所有项目均需配套详实规范的资金测算依据。二是压实项目绩效管理各方责任。财政部门批复下达年度预算后，严格对照年初申报确定的预算绩效目标推进实施，保障各项项目绩效目标如期足额落地。</w:t>
      </w:r>
    </w:p>
    <w:p w14:paraId="2EF2441E">
      <w:pPr>
        <w:keepNext w:val="0"/>
        <w:keepLines w:val="0"/>
        <w:pageBreakBefore w:val="0"/>
        <w:widowControl w:val="0"/>
        <w:shd w:val="clear" w:color="auto" w:fill="FFFFFF"/>
        <w:kinsoku/>
        <w:wordWrap/>
        <w:overflowPunct/>
        <w:topLinePunct w:val="0"/>
        <w:autoSpaceDE/>
        <w:autoSpaceDN/>
        <w:bidi w:val="0"/>
        <w:adjustRightInd/>
        <w:spacing w:line="600" w:lineRule="exact"/>
        <w:ind w:left="0" w:firstLine="643"/>
        <w:textAlignment w:val="auto"/>
        <w:rPr>
          <w:rFonts w:hint="default" w:ascii="Times New Roman" w:hAnsi="Times New Roman" w:eastAsia="楷体_GB2312" w:cs="Times New Roman"/>
          <w:b/>
          <w:color w:val="auto"/>
          <w:spacing w:val="-2"/>
          <w:sz w:val="32"/>
          <w:szCs w:val="32"/>
          <w:lang w:val="en-US" w:eastAsia="zh-CN"/>
        </w:rPr>
      </w:pPr>
      <w:r>
        <w:rPr>
          <w:rFonts w:hint="default" w:ascii="Times New Roman" w:hAnsi="Times New Roman" w:eastAsia="楷体_GB2312" w:cs="Times New Roman"/>
          <w:b/>
          <w:color w:val="auto"/>
          <w:spacing w:val="-2"/>
          <w:sz w:val="32"/>
          <w:szCs w:val="32"/>
          <w:lang w:val="en-US" w:eastAsia="zh-CN"/>
        </w:rPr>
        <w:t>（二）项目管理情况分析，主要包括项目管理制度建设、日常检查监督管理等情况。</w:t>
      </w:r>
    </w:p>
    <w:p w14:paraId="1C069A24">
      <w:pPr>
        <w:keepNext w:val="0"/>
        <w:keepLines w:val="0"/>
        <w:pageBreakBefore w:val="0"/>
        <w:widowControl w:val="0"/>
        <w:shd w:val="clear" w:color="auto" w:fill="FFFFFF"/>
        <w:kinsoku/>
        <w:wordWrap/>
        <w:overflowPunct/>
        <w:topLinePunct w:val="0"/>
        <w:autoSpaceDE/>
        <w:autoSpaceDN/>
        <w:bidi w:val="0"/>
        <w:adjustRightInd/>
        <w:spacing w:line="600" w:lineRule="exact"/>
        <w:ind w:left="0" w:firstLine="64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项目组织实施严格按照方案进行，项目管理情况严格，相关活动经费的执行情况按照信息公开的有关规定，及时公开，接受社会监督。本部门项目经费主要用于开展业务工作，非实质性工程项目，不涉及项目招投标、调整、竣工验收等情况。</w:t>
      </w:r>
    </w:p>
    <w:p w14:paraId="2B7B9C5A">
      <w:pPr>
        <w:keepNext w:val="0"/>
        <w:keepLines w:val="0"/>
        <w:pageBreakBefore w:val="0"/>
        <w:widowControl w:val="0"/>
        <w:shd w:val="clear" w:color="auto" w:fill="FFFFFF"/>
        <w:kinsoku/>
        <w:wordWrap/>
        <w:overflowPunct/>
        <w:topLinePunct w:val="0"/>
        <w:autoSpaceDE/>
        <w:autoSpaceDN/>
        <w:bidi w:val="0"/>
        <w:adjustRightInd/>
        <w:spacing w:line="600" w:lineRule="exact"/>
        <w:ind w:left="0" w:firstLine="640"/>
        <w:textAlignment w:val="auto"/>
        <w:rPr>
          <w:rFonts w:hint="default" w:ascii="Times New Roman" w:hAnsi="Times New Roman" w:eastAsia="黑体"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黑体" w:cs="Times New Roman"/>
          <w:i w:val="0"/>
          <w:iCs w:val="0"/>
          <w:caps w:val="0"/>
          <w:color w:val="auto"/>
          <w:spacing w:val="0"/>
          <w:kern w:val="0"/>
          <w:sz w:val="32"/>
          <w:szCs w:val="32"/>
          <w:shd w:val="clear" w:color="auto" w:fill="FFFFFF"/>
          <w:lang w:val="en-US" w:eastAsia="zh-CN" w:bidi="ar"/>
        </w:rPr>
        <w:t>四、资产管理情况</w:t>
      </w:r>
    </w:p>
    <w:p w14:paraId="0A825265">
      <w:pPr>
        <w:pStyle w:val="3"/>
        <w:keepNext w:val="0"/>
        <w:keepLines w:val="0"/>
        <w:pageBreakBefore w:val="0"/>
        <w:widowControl w:val="0"/>
        <w:kinsoku/>
        <w:wordWrap/>
        <w:overflowPunct/>
        <w:topLinePunct w:val="0"/>
        <w:autoSpaceDE/>
        <w:autoSpaceDN/>
        <w:bidi w:val="0"/>
        <w:adjustRightInd/>
        <w:spacing w:line="600" w:lineRule="exact"/>
        <w:ind w:left="0"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我局严格按照《行政事业性国有资产管理条例》（国务院令738号）进行固定资产配置、购置、验收、入账，对固定资产实施资产管理信息动态化监管，建立了规范的固定资产台账，落实资产关键岗位、使用人员的职</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责。</w:t>
      </w:r>
      <w:bookmarkStart w:id="3" w:name="ML_1_2_ZYZCZHWCTRCJRCBF"/>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2025年度共处置资产25.14万元，其中怀化市委老干部局</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机关</w:t>
      </w:r>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0.84万元、怀化市委市政府机关老干部休养所19.14万元、怀化市老干部教育活动中心</w:t>
      </w:r>
      <w:bookmarkEnd w:id="3"/>
      <w:r>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t>5.16万元；2025年度本部门无偿调出资产2.65元，均为怀化市老干部教育活动中心</w:t>
      </w:r>
      <w:r>
        <w:rPr>
          <w:rFonts w:hint="eastAsia" w:ascii="Times New Roman" w:hAnsi="Times New Roman" w:eastAsia="仿宋_GB2312" w:cs="Times New Roman"/>
          <w:i w:val="0"/>
          <w:iCs w:val="0"/>
          <w:caps w:val="0"/>
          <w:color w:val="000000"/>
          <w:spacing w:val="0"/>
          <w:kern w:val="0"/>
          <w:sz w:val="32"/>
          <w:szCs w:val="32"/>
          <w:shd w:val="clear" w:color="auto" w:fill="FFFFFF"/>
          <w:lang w:val="en-US" w:eastAsia="zh-CN" w:bidi="ar"/>
        </w:rPr>
        <w:t>。</w:t>
      </w:r>
    </w:p>
    <w:p w14:paraId="068BFBC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textAlignment w:val="auto"/>
        <w:rPr>
          <w:rFonts w:hint="default" w:ascii="Times New Roman" w:hAnsi="Times New Roman" w:eastAsia="黑体" w:cs="Times New Roman"/>
          <w:i w:val="0"/>
          <w:iCs w:val="0"/>
          <w:caps w:val="0"/>
          <w:color w:val="000000"/>
          <w:spacing w:val="0"/>
          <w:sz w:val="32"/>
          <w:szCs w:val="32"/>
        </w:rPr>
      </w:pPr>
      <w:r>
        <w:rPr>
          <w:rFonts w:hint="default" w:ascii="Times New Roman" w:hAnsi="Times New Roman" w:eastAsia="黑体" w:cs="Times New Roman"/>
          <w:i w:val="0"/>
          <w:iCs w:val="0"/>
          <w:caps w:val="0"/>
          <w:color w:val="000000"/>
          <w:spacing w:val="0"/>
          <w:sz w:val="32"/>
          <w:szCs w:val="32"/>
          <w:shd w:val="clear" w:color="auto" w:fill="FFFFFF"/>
          <w:lang w:eastAsia="zh-CN"/>
        </w:rPr>
        <w:t>五</w:t>
      </w:r>
      <w:r>
        <w:rPr>
          <w:rFonts w:hint="default" w:ascii="Times New Roman" w:hAnsi="Times New Roman" w:eastAsia="黑体" w:cs="Times New Roman"/>
          <w:i w:val="0"/>
          <w:iCs w:val="0"/>
          <w:caps w:val="0"/>
          <w:color w:val="000000"/>
          <w:spacing w:val="0"/>
          <w:sz w:val="32"/>
          <w:szCs w:val="32"/>
          <w:shd w:val="clear" w:color="auto" w:fill="FFFFFF"/>
        </w:rPr>
        <w:t>、政府性基金预算支出情况</w:t>
      </w:r>
    </w:p>
    <w:p w14:paraId="03AB1F14">
      <w:pPr>
        <w:keepNext w:val="0"/>
        <w:keepLines w:val="0"/>
        <w:pageBreakBefore w:val="0"/>
        <w:widowControl w:val="0"/>
        <w:numPr>
          <w:ilvl w:val="0"/>
          <w:numId w:val="0"/>
        </w:numPr>
        <w:shd w:val="clear" w:color="auto" w:fill="FFFFFF"/>
        <w:tabs>
          <w:tab w:val="left" w:pos="2784"/>
        </w:tabs>
        <w:kinsoku/>
        <w:wordWrap/>
        <w:overflowPunct/>
        <w:topLinePunct w:val="0"/>
        <w:autoSpaceDE/>
        <w:autoSpaceDN/>
        <w:bidi w:val="0"/>
        <w:adjustRightInd/>
        <w:spacing w:line="600" w:lineRule="exact"/>
        <w:ind w:left="0" w:leftChars="0" w:firstLine="632" w:firstLineChars="200"/>
        <w:textAlignment w:val="auto"/>
        <w:rPr>
          <w:rFonts w:hint="default" w:ascii="Times New Roman" w:hAnsi="Times New Roman" w:eastAsia="仿宋" w:cs="Times New Roman"/>
          <w:spacing w:val="-2"/>
          <w:sz w:val="32"/>
          <w:szCs w:val="32"/>
          <w:lang w:val="en-US" w:eastAsia="zh-CN"/>
        </w:rPr>
      </w:pPr>
      <w:r>
        <w:rPr>
          <w:rFonts w:hint="default" w:ascii="Times New Roman" w:hAnsi="Times New Roman" w:eastAsia="仿宋" w:cs="Times New Roman"/>
          <w:spacing w:val="-2"/>
          <w:sz w:val="32"/>
          <w:szCs w:val="32"/>
          <w:lang w:val="en-US" w:eastAsia="zh-CN"/>
        </w:rPr>
        <w:t>无。</w:t>
      </w:r>
      <w:r>
        <w:rPr>
          <w:rFonts w:hint="default" w:ascii="Times New Roman" w:hAnsi="Times New Roman" w:eastAsia="仿宋" w:cs="Times New Roman"/>
          <w:spacing w:val="-2"/>
          <w:sz w:val="32"/>
          <w:szCs w:val="32"/>
          <w:lang w:val="en-US" w:eastAsia="zh-CN"/>
        </w:rPr>
        <w:tab/>
      </w:r>
    </w:p>
    <w:p w14:paraId="0211780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textAlignment w:val="auto"/>
        <w:rPr>
          <w:rFonts w:hint="default" w:ascii="Times New Roman" w:hAnsi="Times New Roman" w:eastAsia="黑体" w:cs="Times New Roman"/>
          <w:i w:val="0"/>
          <w:iCs w:val="0"/>
          <w:caps w:val="0"/>
          <w:color w:val="000000"/>
          <w:spacing w:val="0"/>
          <w:sz w:val="32"/>
          <w:szCs w:val="32"/>
        </w:rPr>
      </w:pPr>
      <w:r>
        <w:rPr>
          <w:rFonts w:hint="default" w:ascii="Times New Roman" w:hAnsi="Times New Roman" w:eastAsia="黑体" w:cs="Times New Roman"/>
          <w:i w:val="0"/>
          <w:iCs w:val="0"/>
          <w:caps w:val="0"/>
          <w:color w:val="000000"/>
          <w:spacing w:val="0"/>
          <w:sz w:val="32"/>
          <w:szCs w:val="32"/>
          <w:shd w:val="clear" w:color="auto" w:fill="FFFFFF"/>
          <w:lang w:eastAsia="zh-CN"/>
        </w:rPr>
        <w:t>六</w:t>
      </w:r>
      <w:r>
        <w:rPr>
          <w:rFonts w:hint="default" w:ascii="Times New Roman" w:hAnsi="Times New Roman" w:eastAsia="黑体" w:cs="Times New Roman"/>
          <w:i w:val="0"/>
          <w:iCs w:val="0"/>
          <w:caps w:val="0"/>
          <w:color w:val="000000"/>
          <w:spacing w:val="0"/>
          <w:sz w:val="32"/>
          <w:szCs w:val="32"/>
          <w:shd w:val="clear" w:color="auto" w:fill="FFFFFF"/>
        </w:rPr>
        <w:t>、国有资本经营预算支出情况</w:t>
      </w:r>
    </w:p>
    <w:p w14:paraId="1D5EDBDC">
      <w:pPr>
        <w:keepNext w:val="0"/>
        <w:keepLines w:val="0"/>
        <w:pageBreakBefore w:val="0"/>
        <w:widowControl w:val="0"/>
        <w:numPr>
          <w:ilvl w:val="0"/>
          <w:numId w:val="0"/>
        </w:numPr>
        <w:shd w:val="clear" w:color="auto" w:fill="FFFFFF"/>
        <w:kinsoku/>
        <w:wordWrap/>
        <w:overflowPunct/>
        <w:topLinePunct w:val="0"/>
        <w:autoSpaceDE/>
        <w:autoSpaceDN/>
        <w:bidi w:val="0"/>
        <w:adjustRightInd/>
        <w:spacing w:line="600" w:lineRule="exact"/>
        <w:ind w:left="0" w:leftChars="0" w:firstLine="632" w:firstLineChars="200"/>
        <w:textAlignment w:val="auto"/>
        <w:rPr>
          <w:rFonts w:hint="default" w:ascii="Times New Roman" w:hAnsi="Times New Roman" w:eastAsia="仿宋" w:cs="Times New Roman"/>
          <w:spacing w:val="-2"/>
          <w:sz w:val="32"/>
          <w:szCs w:val="32"/>
          <w:lang w:val="en-US" w:eastAsia="zh-CN"/>
        </w:rPr>
      </w:pPr>
      <w:r>
        <w:rPr>
          <w:rFonts w:hint="default" w:ascii="Times New Roman" w:hAnsi="Times New Roman" w:eastAsia="仿宋" w:cs="Times New Roman"/>
          <w:spacing w:val="-2"/>
          <w:sz w:val="32"/>
          <w:szCs w:val="32"/>
          <w:lang w:val="en-US" w:eastAsia="zh-CN"/>
        </w:rPr>
        <w:t>无。</w:t>
      </w:r>
    </w:p>
    <w:p w14:paraId="6891DCA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textAlignment w:val="auto"/>
        <w:rPr>
          <w:rFonts w:hint="default" w:ascii="Times New Roman" w:hAnsi="Times New Roman" w:eastAsia="黑体" w:cs="Times New Roman"/>
          <w:i w:val="0"/>
          <w:iCs w:val="0"/>
          <w:caps w:val="0"/>
          <w:color w:val="000000"/>
          <w:spacing w:val="0"/>
          <w:sz w:val="32"/>
          <w:szCs w:val="32"/>
        </w:rPr>
      </w:pPr>
      <w:r>
        <w:rPr>
          <w:rFonts w:hint="default" w:ascii="Times New Roman" w:hAnsi="Times New Roman" w:eastAsia="黑体" w:cs="Times New Roman"/>
          <w:i w:val="0"/>
          <w:iCs w:val="0"/>
          <w:caps w:val="0"/>
          <w:color w:val="000000"/>
          <w:spacing w:val="0"/>
          <w:sz w:val="32"/>
          <w:szCs w:val="32"/>
          <w:shd w:val="clear" w:color="auto" w:fill="FFFFFF"/>
          <w:lang w:eastAsia="zh-CN"/>
        </w:rPr>
        <w:t>七</w:t>
      </w:r>
      <w:r>
        <w:rPr>
          <w:rFonts w:hint="default" w:ascii="Times New Roman" w:hAnsi="Times New Roman" w:eastAsia="黑体" w:cs="Times New Roman"/>
          <w:i w:val="0"/>
          <w:iCs w:val="0"/>
          <w:caps w:val="0"/>
          <w:color w:val="000000"/>
          <w:spacing w:val="0"/>
          <w:sz w:val="32"/>
          <w:szCs w:val="32"/>
          <w:shd w:val="clear" w:color="auto" w:fill="FFFFFF"/>
        </w:rPr>
        <w:t>、社会保险基金预算支出情况</w:t>
      </w:r>
    </w:p>
    <w:p w14:paraId="21E5411E">
      <w:pPr>
        <w:keepNext w:val="0"/>
        <w:keepLines w:val="0"/>
        <w:pageBreakBefore w:val="0"/>
        <w:widowControl w:val="0"/>
        <w:numPr>
          <w:ilvl w:val="0"/>
          <w:numId w:val="0"/>
        </w:numPr>
        <w:shd w:val="clear" w:color="auto" w:fill="FFFFFF"/>
        <w:kinsoku/>
        <w:wordWrap/>
        <w:overflowPunct/>
        <w:topLinePunct w:val="0"/>
        <w:autoSpaceDE/>
        <w:autoSpaceDN/>
        <w:bidi w:val="0"/>
        <w:adjustRightInd/>
        <w:spacing w:line="600" w:lineRule="exact"/>
        <w:ind w:left="0" w:leftChars="0" w:firstLine="632" w:firstLineChars="200"/>
        <w:textAlignment w:val="auto"/>
        <w:rPr>
          <w:rFonts w:hint="default" w:ascii="Times New Roman" w:hAnsi="Times New Roman" w:eastAsia="仿宋" w:cs="Times New Roman"/>
          <w:spacing w:val="-2"/>
          <w:sz w:val="32"/>
          <w:szCs w:val="32"/>
          <w:lang w:val="en-US" w:eastAsia="zh-CN"/>
        </w:rPr>
      </w:pPr>
      <w:r>
        <w:rPr>
          <w:rFonts w:hint="default" w:ascii="Times New Roman" w:hAnsi="Times New Roman" w:eastAsia="仿宋" w:cs="Times New Roman"/>
          <w:spacing w:val="-2"/>
          <w:sz w:val="32"/>
          <w:szCs w:val="32"/>
          <w:lang w:val="en-US" w:eastAsia="zh-CN"/>
        </w:rPr>
        <w:t>无。</w:t>
      </w:r>
    </w:p>
    <w:p w14:paraId="4F42C4D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textAlignment w:val="auto"/>
        <w:rPr>
          <w:rFonts w:hint="default" w:ascii="Times New Roman" w:hAnsi="Times New Roman" w:eastAsia="黑体" w:cs="Times New Roman"/>
          <w:i w:val="0"/>
          <w:iCs w:val="0"/>
          <w:caps w:val="0"/>
          <w:color w:val="auto"/>
          <w:spacing w:val="0"/>
          <w:sz w:val="32"/>
          <w:szCs w:val="32"/>
        </w:rPr>
      </w:pPr>
      <w:r>
        <w:rPr>
          <w:rFonts w:hint="default" w:ascii="Times New Roman" w:hAnsi="Times New Roman" w:eastAsia="黑体" w:cs="Times New Roman"/>
          <w:i w:val="0"/>
          <w:iCs w:val="0"/>
          <w:caps w:val="0"/>
          <w:color w:val="auto"/>
          <w:spacing w:val="0"/>
          <w:sz w:val="32"/>
          <w:szCs w:val="32"/>
          <w:shd w:val="clear" w:color="auto" w:fill="FFFFFF"/>
          <w:lang w:eastAsia="zh-CN"/>
        </w:rPr>
        <w:t>八</w:t>
      </w:r>
      <w:r>
        <w:rPr>
          <w:rFonts w:hint="default" w:ascii="Times New Roman" w:hAnsi="Times New Roman" w:eastAsia="黑体" w:cs="Times New Roman"/>
          <w:i w:val="0"/>
          <w:iCs w:val="0"/>
          <w:caps w:val="0"/>
          <w:color w:val="auto"/>
          <w:spacing w:val="0"/>
          <w:sz w:val="32"/>
          <w:szCs w:val="32"/>
          <w:shd w:val="clear" w:color="auto" w:fill="FFFFFF"/>
        </w:rPr>
        <w:t>、部门整体支出绩效情况</w:t>
      </w:r>
    </w:p>
    <w:p w14:paraId="116C95E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b/>
          <w:bCs/>
          <w:i w:val="0"/>
          <w:iCs w:val="0"/>
          <w:caps w:val="0"/>
          <w:color w:val="auto"/>
          <w:spacing w:val="0"/>
          <w:kern w:val="0"/>
          <w:sz w:val="32"/>
          <w:szCs w:val="32"/>
          <w:shd w:val="clear" w:color="auto" w:fill="FFFFFF"/>
          <w:lang w:val="en-US" w:eastAsia="zh-CN" w:bidi="ar"/>
        </w:rPr>
      </w:pPr>
      <w:r>
        <w:rPr>
          <w:rFonts w:hint="default" w:ascii="Times New Roman" w:hAnsi="Times New Roman" w:eastAsia="楷体_GB2312" w:cs="Times New Roman"/>
          <w:b/>
          <w:bCs/>
          <w:i w:val="0"/>
          <w:iCs w:val="0"/>
          <w:caps w:val="0"/>
          <w:color w:val="auto"/>
          <w:spacing w:val="0"/>
          <w:sz w:val="32"/>
          <w:szCs w:val="32"/>
          <w:shd w:val="clear" w:color="auto" w:fill="FFFFFF"/>
        </w:rPr>
        <w:t>（一）</w:t>
      </w:r>
      <w:r>
        <w:rPr>
          <w:rFonts w:hint="default" w:ascii="Times New Roman" w:hAnsi="Times New Roman" w:eastAsia="仿宋_GB2312" w:cs="Times New Roman"/>
          <w:b/>
          <w:bCs/>
          <w:i w:val="0"/>
          <w:iCs w:val="0"/>
          <w:caps w:val="0"/>
          <w:color w:val="auto"/>
          <w:spacing w:val="0"/>
          <w:kern w:val="0"/>
          <w:sz w:val="32"/>
          <w:szCs w:val="32"/>
          <w:shd w:val="clear" w:color="auto" w:fill="FFFFFF"/>
          <w:lang w:val="en-US" w:eastAsia="zh-CN" w:bidi="ar"/>
        </w:rPr>
        <w:t>综合评价指标分析</w:t>
      </w:r>
    </w:p>
    <w:p w14:paraId="0EE94D09">
      <w:pPr>
        <w:pStyle w:val="3"/>
        <w:keepNext w:val="0"/>
        <w:keepLines w:val="0"/>
        <w:pageBreakBefore w:val="0"/>
        <w:widowControl w:val="0"/>
        <w:numPr>
          <w:ilvl w:val="0"/>
          <w:numId w:val="0"/>
        </w:numPr>
        <w:kinsoku/>
        <w:wordWrap/>
        <w:overflowPunct/>
        <w:topLinePunct w:val="0"/>
        <w:autoSpaceDE/>
        <w:autoSpaceDN/>
        <w:bidi w:val="0"/>
        <w:adjustRightInd/>
        <w:spacing w:line="600" w:lineRule="exact"/>
        <w:ind w:left="0" w:firstLine="640" w:firstLineChars="200"/>
        <w:jc w:val="left"/>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b/>
          <w:bCs/>
          <w:i w:val="0"/>
          <w:iCs w:val="0"/>
          <w:caps w:val="0"/>
          <w:color w:val="auto"/>
          <w:spacing w:val="0"/>
          <w:kern w:val="0"/>
          <w:sz w:val="32"/>
          <w:szCs w:val="32"/>
          <w:shd w:val="clear" w:color="auto" w:fill="FFFFFF"/>
          <w:lang w:val="en-US" w:eastAsia="zh-CN" w:bidi="ar"/>
        </w:rPr>
        <w:t>整体绩效目标设定：</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根据绩效目标设定的相关规定，围绕我局的部门职责和行业发展规划，制定本局整体绩效目标，绩效目标设定基本做到了完整、合理、细化和量化。</w:t>
      </w:r>
    </w:p>
    <w:p w14:paraId="0BF44736">
      <w:pPr>
        <w:pStyle w:val="3"/>
        <w:keepNext w:val="0"/>
        <w:keepLines w:val="0"/>
        <w:pageBreakBefore w:val="0"/>
        <w:widowControl w:val="0"/>
        <w:kinsoku/>
        <w:wordWrap/>
        <w:overflowPunct/>
        <w:topLinePunct w:val="0"/>
        <w:autoSpaceDE/>
        <w:autoSpaceDN/>
        <w:bidi w:val="0"/>
        <w:adjustRightInd/>
        <w:spacing w:line="600" w:lineRule="exact"/>
        <w:ind w:left="0" w:firstLine="640" w:firstLineChars="200"/>
        <w:jc w:val="left"/>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b/>
          <w:bCs/>
          <w:i w:val="0"/>
          <w:iCs w:val="0"/>
          <w:caps w:val="0"/>
          <w:color w:val="auto"/>
          <w:spacing w:val="0"/>
          <w:kern w:val="0"/>
          <w:sz w:val="32"/>
          <w:szCs w:val="32"/>
          <w:shd w:val="clear" w:color="auto" w:fill="FFFFFF"/>
          <w:lang w:val="en-US" w:eastAsia="zh-CN" w:bidi="ar"/>
        </w:rPr>
        <w:t>预算配置方面：</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根据年初预算和履职目标，参考上一年预算执行情况、有关支出绩效评价结果和本年度收支预测，按照规定程序征求各方面意见后，进行分配，确保预算资金分配合理、合规。</w:t>
      </w:r>
    </w:p>
    <w:p w14:paraId="1E376F78">
      <w:pPr>
        <w:pStyle w:val="3"/>
        <w:keepNext w:val="0"/>
        <w:keepLines w:val="0"/>
        <w:pageBreakBefore w:val="0"/>
        <w:widowControl w:val="0"/>
        <w:kinsoku/>
        <w:wordWrap/>
        <w:overflowPunct/>
        <w:topLinePunct w:val="0"/>
        <w:autoSpaceDE/>
        <w:autoSpaceDN/>
        <w:bidi w:val="0"/>
        <w:adjustRightInd/>
        <w:spacing w:line="600" w:lineRule="exact"/>
        <w:ind w:left="0" w:firstLine="640" w:firstLineChars="200"/>
        <w:jc w:val="left"/>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b/>
          <w:bCs/>
          <w:i w:val="0"/>
          <w:iCs w:val="0"/>
          <w:caps w:val="0"/>
          <w:color w:val="auto"/>
          <w:spacing w:val="0"/>
          <w:kern w:val="0"/>
          <w:sz w:val="32"/>
          <w:szCs w:val="32"/>
          <w:shd w:val="clear" w:color="auto" w:fill="FFFFFF"/>
          <w:lang w:val="en-US" w:eastAsia="zh-CN" w:bidi="ar"/>
        </w:rPr>
        <w:t>预算执行：</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按照“量入为出、收支平衡”的原则。严格执行本局预算配置方案，不擅自扩大支出范围、提高开支标准，及时了解预算执行进度，提高资金执行效率。</w:t>
      </w:r>
    </w:p>
    <w:p w14:paraId="454765F7">
      <w:pPr>
        <w:pStyle w:val="3"/>
        <w:keepNext w:val="0"/>
        <w:keepLines w:val="0"/>
        <w:pageBreakBefore w:val="0"/>
        <w:widowControl w:val="0"/>
        <w:kinsoku/>
        <w:wordWrap/>
        <w:overflowPunct/>
        <w:topLinePunct w:val="0"/>
        <w:autoSpaceDE/>
        <w:autoSpaceDN/>
        <w:bidi w:val="0"/>
        <w:adjustRightInd/>
        <w:spacing w:line="600" w:lineRule="exact"/>
        <w:ind w:left="0" w:firstLine="640" w:firstLineChars="200"/>
        <w:jc w:val="left"/>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b/>
          <w:bCs/>
          <w:i w:val="0"/>
          <w:iCs w:val="0"/>
          <w:caps w:val="0"/>
          <w:color w:val="auto"/>
          <w:spacing w:val="0"/>
          <w:kern w:val="0"/>
          <w:sz w:val="32"/>
          <w:szCs w:val="32"/>
          <w:shd w:val="clear" w:color="auto" w:fill="FFFFFF"/>
          <w:lang w:val="en-US" w:eastAsia="zh-CN" w:bidi="ar"/>
        </w:rPr>
        <w:t>预算管理：</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我单位按照预算法要求进行预算管理。一是预算编制。采取零基预算法、定额预算法、固定预算法进行“一上”申报，在“一下”的基础上进行修改进行“二上”申报，形成以单位领导支持、财务部门牵头、其他部门密切配合的工作格局，保证预算编制质量；二是预算执行。部门预算经批复后，对财政下达指标数据核对，科学合理安排支出，专项项目资金做到专款专用。三是加强对预算执行过程的控制和结果的反馈，对预算执行差异及时分析成因和影响，并及时向领导和相关部门进行反馈，以采取措施纠正执行偏差，促进预算目标的全面完成。</w:t>
      </w:r>
    </w:p>
    <w:p w14:paraId="49476106">
      <w:pPr>
        <w:pStyle w:val="3"/>
        <w:keepNext w:val="0"/>
        <w:keepLines w:val="0"/>
        <w:pageBreakBefore w:val="0"/>
        <w:widowControl w:val="0"/>
        <w:kinsoku/>
        <w:wordWrap/>
        <w:overflowPunct/>
        <w:topLinePunct w:val="0"/>
        <w:autoSpaceDE/>
        <w:autoSpaceDN/>
        <w:bidi w:val="0"/>
        <w:adjustRightInd/>
        <w:spacing w:line="600" w:lineRule="exact"/>
        <w:ind w:left="0" w:firstLine="640" w:firstLineChars="200"/>
        <w:jc w:val="left"/>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b/>
          <w:bCs/>
          <w:i w:val="0"/>
          <w:iCs w:val="0"/>
          <w:caps w:val="0"/>
          <w:color w:val="auto"/>
          <w:spacing w:val="0"/>
          <w:kern w:val="0"/>
          <w:sz w:val="32"/>
          <w:szCs w:val="32"/>
          <w:shd w:val="clear" w:color="auto" w:fill="FFFFFF"/>
          <w:lang w:val="en-US" w:eastAsia="zh-CN" w:bidi="ar"/>
        </w:rPr>
        <w:t>履职履效：</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202</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5</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年围绕本局工作职责开展工作平稳、有序，很好的完成了市委、市政府下达的各项工作任务和本局绩效目标。</w:t>
      </w:r>
    </w:p>
    <w:p w14:paraId="5B78402C">
      <w:pPr>
        <w:pStyle w:val="8"/>
        <w:keepNext w:val="0"/>
        <w:keepLines w:val="0"/>
        <w:pageBreakBefore w:val="0"/>
        <w:widowControl w:val="0"/>
        <w:kinsoku/>
        <w:wordWrap/>
        <w:overflowPunct/>
        <w:topLinePunct w:val="0"/>
        <w:autoSpaceDE/>
        <w:autoSpaceDN/>
        <w:bidi w:val="0"/>
        <w:adjustRightInd/>
        <w:spacing w:line="600" w:lineRule="exact"/>
        <w:ind w:left="0" w:leftChars="0" w:firstLine="640" w:firstLineChars="200"/>
        <w:jc w:val="left"/>
        <w:textAlignment w:val="auto"/>
        <w:rPr>
          <w:rFonts w:hint="default" w:ascii="Times New Roman" w:hAnsi="Times New Roman" w:eastAsia="楷体" w:cs="Times New Roman"/>
          <w:b/>
          <w:color w:val="auto"/>
          <w:spacing w:val="-2"/>
          <w:sz w:val="32"/>
          <w:szCs w:val="32"/>
          <w:lang w:val="en-US" w:eastAsia="zh-CN"/>
        </w:rPr>
      </w:pPr>
      <w:r>
        <w:rPr>
          <w:rFonts w:hint="default" w:ascii="Times New Roman" w:hAnsi="Times New Roman" w:cs="Times New Roman"/>
          <w:b/>
          <w:bCs/>
          <w:i w:val="0"/>
          <w:iCs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b/>
          <w:bCs/>
          <w:i w:val="0"/>
          <w:iCs w:val="0"/>
          <w:caps w:val="0"/>
          <w:color w:val="auto"/>
          <w:spacing w:val="0"/>
          <w:kern w:val="0"/>
          <w:sz w:val="32"/>
          <w:szCs w:val="32"/>
          <w:shd w:val="clear" w:color="auto" w:fill="FFFFFF"/>
          <w:lang w:val="en-US" w:eastAsia="zh-CN" w:bidi="ar"/>
        </w:rPr>
        <w:t>绩效目标完成情况及绩效情况</w:t>
      </w:r>
    </w:p>
    <w:p w14:paraId="0F43B239">
      <w:pPr>
        <w:pStyle w:val="3"/>
        <w:keepNext w:val="0"/>
        <w:keepLines w:val="0"/>
        <w:pageBreakBefore w:val="0"/>
        <w:widowControl w:val="0"/>
        <w:kinsoku/>
        <w:wordWrap/>
        <w:overflowPunct/>
        <w:topLinePunct w:val="0"/>
        <w:autoSpaceDE/>
        <w:autoSpaceDN/>
        <w:bidi w:val="0"/>
        <w:adjustRightInd/>
        <w:spacing w:line="600" w:lineRule="exact"/>
        <w:ind w:left="0" w:firstLine="640" w:firstLineChars="200"/>
        <w:jc w:val="left"/>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我部门202</w:t>
      </w:r>
      <w:r>
        <w:rPr>
          <w:rFonts w:hint="eastAsia" w:ascii="Times New Roman" w:hAnsi="Times New Roman" w:eastAsia="仿宋_GB2312" w:cs="Times New Roman"/>
          <w:i w:val="0"/>
          <w:iCs w:val="0"/>
          <w:caps w:val="0"/>
          <w:color w:val="auto"/>
          <w:spacing w:val="0"/>
          <w:kern w:val="0"/>
          <w:sz w:val="32"/>
          <w:szCs w:val="32"/>
          <w:shd w:val="clear" w:color="auto" w:fill="FFFFFF"/>
          <w:lang w:val="en-US" w:eastAsia="zh-CN" w:bidi="ar"/>
        </w:rPr>
        <w:t>5</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年一般公共预算资金总体目标完成较好，具体如下：</w:t>
      </w:r>
    </w:p>
    <w:p w14:paraId="162E343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iCs w:val="0"/>
          <w:caps w:val="0"/>
          <w:color w:val="auto"/>
          <w:spacing w:val="0"/>
          <w:sz w:val="32"/>
          <w:szCs w:val="32"/>
          <w:shd w:val="clear" w:color="auto" w:fill="FFFFFF"/>
          <w:lang w:val="en-US" w:eastAsia="zh-CN"/>
        </w:rPr>
      </w:pPr>
      <w:r>
        <w:rPr>
          <w:rFonts w:hint="default" w:ascii="Times New Roman" w:hAnsi="Times New Roman" w:eastAsia="仿宋_GB2312" w:cs="Times New Roman"/>
          <w:i w:val="0"/>
          <w:iCs w:val="0"/>
          <w:caps w:val="0"/>
          <w:color w:val="auto"/>
          <w:spacing w:val="0"/>
          <w:sz w:val="32"/>
          <w:szCs w:val="32"/>
          <w:shd w:val="clear" w:color="auto" w:fill="FFFFFF"/>
          <w:lang w:val="en-US" w:eastAsia="zh-CN"/>
        </w:rPr>
        <w:t>（1）产出指标分析</w:t>
      </w:r>
    </w:p>
    <w:p w14:paraId="0AE720A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eastAsia" w:eastAsia="仿宋_GB2312" w:cs="Times New Roman"/>
          <w:color w:val="auto"/>
          <w:sz w:val="32"/>
          <w:szCs w:val="32"/>
          <w:lang w:val="en-US" w:eastAsia="zh-CN" w:bidi="ar-SA"/>
        </w:rPr>
      </w:pPr>
      <w:r>
        <w:rPr>
          <w:rFonts w:hint="default" w:ascii="Times New Roman" w:hAnsi="Times New Roman" w:eastAsia="仿宋_GB2312" w:cs="Times New Roman"/>
          <w:i w:val="0"/>
          <w:iCs w:val="0"/>
          <w:caps w:val="0"/>
          <w:color w:val="auto"/>
          <w:spacing w:val="0"/>
          <w:sz w:val="32"/>
          <w:szCs w:val="32"/>
          <w:shd w:val="clear" w:color="auto" w:fill="FFFFFF"/>
          <w:lang w:val="en-US" w:eastAsia="zh-CN"/>
        </w:rPr>
        <w:t xml:space="preserve"> </w:t>
      </w:r>
      <w:r>
        <w:rPr>
          <w:rFonts w:hint="default" w:ascii="Times New Roman" w:hAnsi="Times New Roman" w:eastAsia="仿宋_GB2312" w:cs="Times New Roman"/>
          <w:color w:val="auto"/>
          <w:sz w:val="32"/>
          <w:szCs w:val="32"/>
          <w:lang w:eastAsia="zh-CN" w:bidi="ar-SA"/>
        </w:rPr>
        <w:t>加大</w:t>
      </w:r>
      <w:r>
        <w:rPr>
          <w:rFonts w:hint="default" w:ascii="Times New Roman" w:hAnsi="Times New Roman" w:eastAsia="仿宋_GB2312" w:cs="Times New Roman"/>
          <w:color w:val="auto"/>
          <w:sz w:val="32"/>
          <w:szCs w:val="32"/>
          <w:lang w:bidi="ar-SA"/>
        </w:rPr>
        <w:t>离退休干部党支部</w:t>
      </w:r>
      <w:r>
        <w:rPr>
          <w:rFonts w:hint="default" w:ascii="Times New Roman" w:hAnsi="Times New Roman" w:eastAsia="仿宋_GB2312" w:cs="Times New Roman"/>
          <w:color w:val="auto"/>
          <w:sz w:val="32"/>
          <w:szCs w:val="32"/>
          <w:lang w:eastAsia="zh-CN" w:bidi="ar-SA"/>
        </w:rPr>
        <w:t>有形有效覆盖</w:t>
      </w:r>
      <w:r>
        <w:rPr>
          <w:rFonts w:hint="default" w:ascii="Times New Roman" w:hAnsi="Times New Roman" w:eastAsia="仿宋_GB2312" w:cs="Times New Roman"/>
          <w:color w:val="auto"/>
          <w:sz w:val="32"/>
          <w:szCs w:val="32"/>
          <w:lang w:bidi="ar-SA"/>
        </w:rPr>
        <w:t>，</w:t>
      </w:r>
      <w:r>
        <w:rPr>
          <w:rFonts w:hint="default" w:ascii="Times New Roman" w:hAnsi="Times New Roman" w:eastAsia="仿宋_GB2312" w:cs="Times New Roman"/>
          <w:color w:val="auto"/>
          <w:sz w:val="32"/>
          <w:szCs w:val="32"/>
          <w:lang w:val="en-US" w:eastAsia="zh-CN" w:bidi="ar-SA"/>
        </w:rPr>
        <w:t>全市离退休干部党支部</w:t>
      </w:r>
      <w:r>
        <w:rPr>
          <w:rFonts w:hint="default" w:ascii="Times New Roman" w:hAnsi="Times New Roman" w:eastAsia="仿宋_GB2312" w:cs="Times New Roman"/>
          <w:color w:val="auto"/>
          <w:sz w:val="32"/>
          <w:szCs w:val="32"/>
          <w:lang w:eastAsia="zh-CN" w:bidi="ar-SA"/>
        </w:rPr>
        <w:t>由1011个增加至</w:t>
      </w:r>
      <w:r>
        <w:rPr>
          <w:rFonts w:hint="default" w:ascii="Times New Roman" w:hAnsi="Times New Roman" w:eastAsia="仿宋_GB2312" w:cs="Times New Roman"/>
          <w:color w:val="auto"/>
          <w:sz w:val="32"/>
          <w:szCs w:val="32"/>
          <w:lang w:val="en-US" w:eastAsia="zh-CN" w:bidi="ar-SA"/>
        </w:rPr>
        <w:t>1038个</w:t>
      </w:r>
      <w:r>
        <w:rPr>
          <w:rFonts w:hint="default" w:ascii="Times New Roman" w:hAnsi="Times New Roman" w:eastAsia="仿宋_GB2312" w:cs="Times New Roman"/>
          <w:color w:val="auto"/>
          <w:sz w:val="32"/>
          <w:szCs w:val="32"/>
          <w:lang w:eastAsia="zh-CN" w:bidi="ar-SA"/>
        </w:rPr>
        <w:t>。</w:t>
      </w:r>
      <w:r>
        <w:rPr>
          <w:rFonts w:hint="default" w:ascii="Times New Roman" w:hAnsi="Times New Roman" w:eastAsia="仿宋_GB2312" w:cs="Times New Roman"/>
          <w:color w:val="auto"/>
          <w:sz w:val="32"/>
          <w:szCs w:val="32"/>
          <w:lang w:val="en-US" w:eastAsia="zh-CN" w:bidi="ar-SA"/>
        </w:rPr>
        <w:t>扩充支部书记后备人才库至855人，选派830名在职党员担任支部联络员。</w:t>
      </w:r>
      <w:r>
        <w:rPr>
          <w:rFonts w:hint="eastAsia" w:eastAsia="仿宋_GB2312" w:cs="Times New Roman"/>
          <w:color w:val="auto"/>
          <w:sz w:val="32"/>
          <w:szCs w:val="32"/>
          <w:lang w:eastAsia="zh-CN" w:bidi="ar-SA"/>
        </w:rPr>
        <w:t>组织</w:t>
      </w:r>
      <w:r>
        <w:rPr>
          <w:rFonts w:hint="default" w:ascii="Times New Roman" w:hAnsi="Times New Roman" w:eastAsia="仿宋_GB2312" w:cs="Times New Roman"/>
          <w:color w:val="auto"/>
          <w:sz w:val="32"/>
          <w:szCs w:val="32"/>
          <w:lang w:eastAsia="zh-CN" w:bidi="ar-SA"/>
        </w:rPr>
        <w:t>全市“六好”离退休干部党支部书记培训班纳入市委党校主体班，参培170多名离退休干部支部书记。</w:t>
      </w:r>
      <w:r>
        <w:rPr>
          <w:rFonts w:hint="default" w:ascii="Times New Roman" w:hAnsi="Times New Roman" w:eastAsia="仿宋_GB2312" w:cs="Times New Roman"/>
          <w:color w:val="auto"/>
          <w:sz w:val="32"/>
          <w:szCs w:val="32"/>
          <w:lang w:eastAsia="zh-CN"/>
        </w:rPr>
        <w:t>建</w:t>
      </w:r>
      <w:r>
        <w:rPr>
          <w:rFonts w:hint="default" w:ascii="Times New Roman" w:hAnsi="Times New Roman" w:eastAsia="仿宋_GB2312" w:cs="Times New Roman"/>
          <w:color w:val="auto"/>
          <w:sz w:val="32"/>
          <w:szCs w:val="32"/>
          <w:lang w:eastAsia="zh-CN" w:bidi="ar-SA"/>
        </w:rPr>
        <w:t>成银发人才工作站120余个，人才库由393人增至1500人。</w:t>
      </w:r>
      <w:r>
        <w:rPr>
          <w:rFonts w:hint="default" w:ascii="Times New Roman" w:hAnsi="Times New Roman" w:eastAsia="仿宋_GB2312" w:cs="Times New Roman"/>
          <w:color w:val="auto"/>
          <w:sz w:val="32"/>
          <w:szCs w:val="32"/>
        </w:rPr>
        <w:t>依托市老干部教育活动中心推出“双10+N”菜单式服务，接待10余家单位开展活动20余场，服务老同志超2000人次。</w:t>
      </w:r>
      <w:r>
        <w:rPr>
          <w:rFonts w:hint="default" w:ascii="Times New Roman" w:hAnsi="Times New Roman" w:eastAsia="仿宋_GB2312" w:cs="Times New Roman"/>
          <w:color w:val="auto"/>
          <w:sz w:val="32"/>
          <w:szCs w:val="32"/>
          <w:lang w:eastAsia="zh-CN" w:bidi="ar-SA"/>
        </w:rPr>
        <w:t>开展线上讨论、撰写感悟等活动，参与老同志超1万人次，推送心得100 余条。</w:t>
      </w:r>
      <w:r>
        <w:rPr>
          <w:rFonts w:hint="eastAsia" w:eastAsia="仿宋_GB2312" w:cs="Times New Roman"/>
          <w:color w:val="auto"/>
          <w:sz w:val="32"/>
          <w:szCs w:val="32"/>
          <w:lang w:val="en-US" w:eastAsia="zh-CN" w:bidi="ar-SA"/>
        </w:rPr>
        <w:t xml:space="preserve">  </w:t>
      </w:r>
    </w:p>
    <w:p w14:paraId="56B8D52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iCs w:val="0"/>
          <w:caps w:val="0"/>
          <w:color w:val="auto"/>
          <w:spacing w:val="0"/>
          <w:sz w:val="32"/>
          <w:szCs w:val="32"/>
          <w:shd w:val="clear" w:color="auto" w:fill="FFFFFF"/>
          <w:lang w:val="en-US" w:eastAsia="zh-CN"/>
        </w:rPr>
      </w:pPr>
      <w:r>
        <w:rPr>
          <w:rFonts w:hint="default" w:ascii="Times New Roman" w:hAnsi="Times New Roman" w:eastAsia="仿宋_GB2312" w:cs="Times New Roman"/>
          <w:i w:val="0"/>
          <w:iCs w:val="0"/>
          <w:caps w:val="0"/>
          <w:color w:val="auto"/>
          <w:spacing w:val="0"/>
          <w:sz w:val="32"/>
          <w:szCs w:val="32"/>
          <w:shd w:val="clear" w:color="auto" w:fill="FFFFFF"/>
          <w:lang w:val="en-US" w:eastAsia="zh-CN"/>
        </w:rPr>
        <w:t>（2）效益指标分析</w:t>
      </w:r>
    </w:p>
    <w:p w14:paraId="16043FC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iCs w:val="0"/>
          <w:caps w:val="0"/>
          <w:color w:val="0000FF"/>
          <w:spacing w:val="0"/>
          <w:sz w:val="32"/>
          <w:szCs w:val="32"/>
          <w:shd w:val="clear" w:color="auto" w:fill="FFFFFF"/>
          <w:lang w:val="en-US" w:eastAsia="zh-CN"/>
        </w:rPr>
      </w:pPr>
      <w:r>
        <w:rPr>
          <w:rFonts w:hint="default" w:ascii="Times New Roman" w:hAnsi="Times New Roman" w:eastAsia="仿宋_GB2312" w:cs="Times New Roman"/>
          <w:sz w:val="32"/>
          <w:szCs w:val="32"/>
          <w:lang w:eastAsia="zh-CN" w:bidi="ar-SA"/>
        </w:rPr>
        <w:t>深度总结“全国离退休干部先进集体”沅陵住长沙离退休干部流动党员党总支管理经验，在全省离退休干部先进事迹报告会、全市“六好”党支部书记培训班作典型发言，获湖南爱晚频道、《老年人》杂志重点推介。退休教师傅嘉长、张长久分别获得“怀化好人”、“市道德模范”称号。开展“我的作风故事”征文活动，在《怀化日报》推出2期专版</w:t>
      </w:r>
      <w:r>
        <w:rPr>
          <w:rFonts w:hint="eastAsia" w:eastAsia="仿宋_GB2312" w:cs="Times New Roman"/>
          <w:sz w:val="32"/>
          <w:szCs w:val="32"/>
          <w:lang w:eastAsia="zh-CN" w:bidi="ar-SA"/>
        </w:rPr>
        <w:t>。</w:t>
      </w:r>
      <w:r>
        <w:rPr>
          <w:rFonts w:hint="default" w:ascii="Times New Roman" w:hAnsi="Times New Roman" w:eastAsia="仿宋_GB2312" w:cs="Times New Roman"/>
          <w:sz w:val="32"/>
          <w:szCs w:val="32"/>
          <w:lang w:eastAsia="zh-CN" w:bidi="ar-SA"/>
        </w:rPr>
        <w:t>举办全市银发人才工作站建设推进会，其中怀化国际陆港银发人才工作站被授予湖南省服务“三个高地”建设银发人才工作站。建立“银发三长”机制</w:t>
      </w:r>
      <w:r>
        <w:rPr>
          <w:rFonts w:hint="eastAsia" w:eastAsia="仿宋_GB2312" w:cs="Times New Roman"/>
          <w:sz w:val="32"/>
          <w:szCs w:val="32"/>
          <w:lang w:eastAsia="zh-CN" w:bidi="ar-SA"/>
        </w:rPr>
        <w:t>，</w:t>
      </w:r>
      <w:r>
        <w:rPr>
          <w:rFonts w:hint="default" w:ascii="Times New Roman" w:hAnsi="Times New Roman" w:eastAsia="仿宋_GB2312" w:cs="Times New Roman"/>
          <w:sz w:val="32"/>
          <w:szCs w:val="32"/>
          <w:lang w:eastAsia="zh-CN" w:bidi="ar-SA"/>
        </w:rPr>
        <w:t>全市共有5000余名“五老”担任“银发三长”。新晃县晃州镇桥南社区29名老党员担任片邻长，年均建言120余条，解决问题100余件。会同县205名退休党员化身“银发”管家，破解无物业管理小区治理难问题。鹤城区新街社区国企退休党员组建志愿服务队，小区投诉率同比下降70%。实施“银龄护苗”工程，组织5000余名“五老”进校园开展宣讲2万余场次。推进“春风化雨”关爱行动，组建600 余个“5+1”帮教小组，筹集帮扶资金500万元，惠及 2000余名学生。</w:t>
      </w:r>
    </w:p>
    <w:p w14:paraId="4AFD52C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iCs w:val="0"/>
          <w:caps w:val="0"/>
          <w:color w:val="auto"/>
          <w:spacing w:val="0"/>
          <w:sz w:val="32"/>
          <w:szCs w:val="32"/>
          <w:shd w:val="clear" w:color="auto" w:fill="FFFFFF"/>
          <w:lang w:val="en-US" w:eastAsia="zh-CN"/>
        </w:rPr>
      </w:pPr>
      <w:r>
        <w:rPr>
          <w:rFonts w:hint="default" w:ascii="Times New Roman" w:hAnsi="Times New Roman" w:eastAsia="仿宋_GB2312" w:cs="Times New Roman"/>
          <w:i w:val="0"/>
          <w:iCs w:val="0"/>
          <w:caps w:val="0"/>
          <w:color w:val="auto"/>
          <w:spacing w:val="0"/>
          <w:sz w:val="32"/>
          <w:szCs w:val="32"/>
          <w:shd w:val="clear" w:color="auto" w:fill="FFFFFF"/>
          <w:lang w:val="en-US" w:eastAsia="zh-CN"/>
        </w:rPr>
        <w:t>（3）满意度指标分析</w:t>
      </w:r>
    </w:p>
    <w:p w14:paraId="0DFAC99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iCs w:val="0"/>
          <w:caps w:val="0"/>
          <w:color w:val="0000FF"/>
          <w:spacing w:val="0"/>
          <w:sz w:val="32"/>
          <w:szCs w:val="32"/>
          <w:shd w:val="clear" w:color="auto" w:fill="FFFFFF"/>
          <w:lang w:val="en-US" w:eastAsia="zh-CN"/>
        </w:rPr>
      </w:pPr>
      <w:r>
        <w:rPr>
          <w:rFonts w:hint="default" w:ascii="Times New Roman" w:hAnsi="Times New Roman" w:eastAsia="仿宋_GB2312" w:cs="Times New Roman"/>
          <w:i w:val="0"/>
          <w:iCs w:val="0"/>
          <w:caps w:val="0"/>
          <w:color w:val="auto"/>
          <w:spacing w:val="0"/>
          <w:sz w:val="32"/>
          <w:szCs w:val="32"/>
          <w:shd w:val="clear" w:color="auto" w:fill="FFFFFF"/>
          <w:lang w:val="en-US" w:eastAsia="zh-CN"/>
        </w:rPr>
        <w:t>离退休老干部、学员满意度95%以上，完成年初目标。202</w:t>
      </w:r>
      <w:r>
        <w:rPr>
          <w:rFonts w:hint="eastAsia" w:eastAsia="仿宋_GB2312" w:cs="Times New Roman"/>
          <w:i w:val="0"/>
          <w:iCs w:val="0"/>
          <w:caps w:val="0"/>
          <w:color w:val="auto"/>
          <w:spacing w:val="0"/>
          <w:sz w:val="32"/>
          <w:szCs w:val="32"/>
          <w:shd w:val="clear" w:color="auto" w:fill="FFFFFF"/>
          <w:lang w:val="en-US" w:eastAsia="zh-CN"/>
        </w:rPr>
        <w:t>5</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年，在市委市政府的高度重视和关心下，取得了较好的成绩。2025年，我单位市直单位民调满意度测评排名第一。</w:t>
      </w:r>
    </w:p>
    <w:p w14:paraId="45F4FF3B">
      <w:pPr>
        <w:keepNext w:val="0"/>
        <w:keepLines w:val="0"/>
        <w:pageBreakBefore w:val="0"/>
        <w:widowControl w:val="0"/>
        <w:shd w:val="clear" w:color="auto" w:fill="FFFFFF"/>
        <w:kinsoku/>
        <w:wordWrap/>
        <w:overflowPunct/>
        <w:topLinePunct w:val="0"/>
        <w:autoSpaceDE/>
        <w:autoSpaceDN/>
        <w:bidi w:val="0"/>
        <w:adjustRightInd/>
        <w:spacing w:line="600" w:lineRule="exact"/>
        <w:ind w:left="0" w:firstLine="640"/>
        <w:textAlignment w:val="auto"/>
        <w:rPr>
          <w:rFonts w:hint="default" w:ascii="Times New Roman" w:hAnsi="Times New Roman" w:eastAsia="黑体" w:cs="Times New Roman"/>
          <w:i w:val="0"/>
          <w:iCs w:val="0"/>
          <w:caps w:val="0"/>
          <w:color w:val="FF0000"/>
          <w:spacing w:val="0"/>
          <w:kern w:val="0"/>
          <w:sz w:val="32"/>
          <w:szCs w:val="32"/>
          <w:shd w:val="clear" w:color="auto" w:fill="FFFFFF"/>
          <w:lang w:val="en-US" w:eastAsia="zh-CN" w:bidi="ar"/>
        </w:rPr>
      </w:pPr>
      <w:r>
        <w:rPr>
          <w:rFonts w:hint="default" w:ascii="Times New Roman" w:hAnsi="Times New Roman" w:eastAsia="黑体" w:cs="Times New Roman"/>
          <w:i w:val="0"/>
          <w:iCs w:val="0"/>
          <w:caps w:val="0"/>
          <w:color w:val="000000"/>
          <w:spacing w:val="0"/>
          <w:kern w:val="0"/>
          <w:sz w:val="32"/>
          <w:szCs w:val="32"/>
          <w:shd w:val="clear" w:color="auto" w:fill="FFFFFF"/>
          <w:lang w:val="en-US" w:eastAsia="zh-CN" w:bidi="ar"/>
        </w:rPr>
        <w:t>九、存在的</w:t>
      </w:r>
      <w:r>
        <w:rPr>
          <w:rFonts w:hint="default" w:ascii="Times New Roman" w:hAnsi="Times New Roman" w:eastAsia="黑体" w:cs="Times New Roman"/>
          <w:i w:val="0"/>
          <w:iCs w:val="0"/>
          <w:caps w:val="0"/>
          <w:color w:val="auto"/>
          <w:spacing w:val="0"/>
          <w:kern w:val="0"/>
          <w:sz w:val="32"/>
          <w:szCs w:val="32"/>
          <w:shd w:val="clear" w:color="auto" w:fill="FFFFFF"/>
          <w:lang w:val="en-US" w:eastAsia="zh-CN" w:bidi="ar"/>
        </w:rPr>
        <w:t>问题及原因分析</w:t>
      </w:r>
    </w:p>
    <w:p w14:paraId="238C8760">
      <w:pPr>
        <w:pStyle w:val="9"/>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600" w:lineRule="exact"/>
        <w:ind w:left="0" w:right="0" w:firstLine="64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随着</w:t>
      </w:r>
      <w:r>
        <w:rPr>
          <w:rFonts w:hint="default" w:ascii="Times New Roman" w:hAnsi="Times New Roman" w:eastAsia="仿宋_GB2312" w:cs="Times New Roman"/>
          <w:color w:val="auto"/>
          <w:sz w:val="32"/>
          <w:szCs w:val="32"/>
          <w:lang w:val="en-US" w:eastAsia="zh-CN"/>
        </w:rPr>
        <w:t>老干部群体对物质文化生活需</w:t>
      </w:r>
      <w:r>
        <w:rPr>
          <w:rFonts w:hint="default" w:ascii="Times New Roman" w:hAnsi="Times New Roman" w:eastAsia="仿宋_GB2312" w:cs="Times New Roman"/>
          <w:color w:val="auto"/>
          <w:sz w:val="32"/>
          <w:szCs w:val="32"/>
        </w:rPr>
        <w:t>求</w:t>
      </w:r>
      <w:r>
        <w:rPr>
          <w:rFonts w:hint="default" w:ascii="Times New Roman" w:hAnsi="Times New Roman" w:eastAsia="仿宋_GB2312" w:cs="Times New Roman"/>
          <w:color w:val="auto"/>
          <w:sz w:val="32"/>
          <w:szCs w:val="32"/>
          <w:lang w:val="en-US" w:eastAsia="zh-CN"/>
        </w:rPr>
        <w:t>的日益增长</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人们对提供文体活动的场所环境、活动氛围及开展文体活动的形式有了更多、更高、更精的要求。引导老干部发挥正能量的力度不够，发挥作用的平台机制需要健全；管理服务方法缺乏创新，在实际情况的工作中，经常出现年龄较高的老干部，由于自身的体质原因无法进行活动，而年纪较轻的老干部却在活动中没有尽兴，导致针对老干部的服务无法做到面面俱到；离退休干部党员活动阵地建设与新形势下离退休干部工作要求存在一定差距。</w:t>
      </w:r>
    </w:p>
    <w:p w14:paraId="5A4B2698">
      <w:pPr>
        <w:keepNext w:val="0"/>
        <w:keepLines w:val="0"/>
        <w:pageBreakBefore w:val="0"/>
        <w:widowControl w:val="0"/>
        <w:shd w:val="clear" w:color="auto" w:fill="FFFFFF"/>
        <w:kinsoku/>
        <w:wordWrap/>
        <w:overflowPunct/>
        <w:topLinePunct w:val="0"/>
        <w:autoSpaceDE/>
        <w:autoSpaceDN/>
        <w:bidi w:val="0"/>
        <w:adjustRightInd/>
        <w:spacing w:line="600" w:lineRule="exact"/>
        <w:ind w:left="0" w:firstLine="640"/>
        <w:textAlignment w:val="auto"/>
        <w:rPr>
          <w:rFonts w:hint="default" w:ascii="Times New Roman" w:hAnsi="Times New Roman" w:eastAsia="黑体" w:cs="Times New Roman"/>
          <w:i w:val="0"/>
          <w:iCs w:val="0"/>
          <w:caps w:val="0"/>
          <w:color w:val="000000"/>
          <w:spacing w:val="0"/>
          <w:kern w:val="0"/>
          <w:sz w:val="32"/>
          <w:szCs w:val="32"/>
          <w:shd w:val="clear" w:color="auto" w:fill="FFFFFF"/>
          <w:lang w:val="en-US" w:eastAsia="zh-CN" w:bidi="ar"/>
        </w:rPr>
      </w:pPr>
      <w:r>
        <w:rPr>
          <w:rFonts w:hint="default" w:ascii="Times New Roman" w:hAnsi="Times New Roman" w:eastAsia="黑体" w:cs="Times New Roman"/>
          <w:i w:val="0"/>
          <w:iCs w:val="0"/>
          <w:caps w:val="0"/>
          <w:color w:val="000000"/>
          <w:spacing w:val="0"/>
          <w:kern w:val="0"/>
          <w:sz w:val="32"/>
          <w:szCs w:val="32"/>
          <w:shd w:val="clear" w:color="auto" w:fill="FFFFFF"/>
          <w:lang w:val="en-US" w:eastAsia="zh-CN" w:bidi="ar"/>
        </w:rPr>
        <w:t>十、下一步改进措施</w:t>
      </w:r>
    </w:p>
    <w:p w14:paraId="3169AAD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jc w:val="left"/>
        <w:textAlignment w:val="auto"/>
        <w:rPr>
          <w:rFonts w:hint="default" w:ascii="Times New Roman" w:hAnsi="Times New Roman" w:eastAsia="仿宋_GB2312" w:cs="Times New Roman"/>
          <w:i w:val="0"/>
          <w:iCs w:val="0"/>
          <w:caps w:val="0"/>
          <w:color w:val="000000"/>
          <w:spacing w:val="0"/>
          <w:sz w:val="32"/>
          <w:szCs w:val="32"/>
          <w:shd w:val="clear" w:color="auto" w:fill="FFFFFF"/>
          <w:lang w:val="en-US" w:eastAsia="zh-CN"/>
        </w:rPr>
      </w:pPr>
      <w:r>
        <w:rPr>
          <w:rFonts w:hint="default" w:ascii="Times New Roman" w:hAnsi="Times New Roman" w:eastAsia="仿宋_GB2312" w:cs="Times New Roman"/>
          <w:i w:val="0"/>
          <w:iCs w:val="0"/>
          <w:caps w:val="0"/>
          <w:color w:val="000000"/>
          <w:spacing w:val="0"/>
          <w:sz w:val="32"/>
          <w:szCs w:val="32"/>
          <w:shd w:val="clear" w:color="auto" w:fill="FFFFFF"/>
          <w:lang w:val="en-US" w:eastAsia="zh-CN"/>
        </w:rPr>
        <w:t>结合此次绩效自评结果，对存在的问题及时整改，加强绩效管理，强化资金使用和绩效目标管理意识，根据单位职能科学合理地设置绩效指标，提高预算绩效指标的针对性和可测性，充分发挥预算绩效目标管理的导向作用；完善绩效考核制度，对绩效目标不断细化、量化，提高资金使用效益。</w:t>
      </w:r>
    </w:p>
    <w:p w14:paraId="0156F0F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textAlignment w:val="auto"/>
        <w:rPr>
          <w:rFonts w:hint="default" w:ascii="Times New Roman" w:hAnsi="Times New Roman" w:eastAsia="黑体" w:cs="Times New Roman"/>
          <w:i w:val="0"/>
          <w:iCs w:val="0"/>
          <w:caps w:val="0"/>
          <w:color w:val="000000"/>
          <w:spacing w:val="0"/>
          <w:sz w:val="32"/>
          <w:szCs w:val="32"/>
          <w:shd w:val="clear" w:color="auto" w:fill="FFFFFF"/>
          <w:lang w:eastAsia="zh-CN"/>
        </w:rPr>
      </w:pPr>
      <w:r>
        <w:rPr>
          <w:rFonts w:hint="default" w:ascii="Times New Roman" w:hAnsi="Times New Roman" w:eastAsia="黑体" w:cs="Times New Roman"/>
          <w:i w:val="0"/>
          <w:iCs w:val="0"/>
          <w:caps w:val="0"/>
          <w:color w:val="000000"/>
          <w:spacing w:val="0"/>
          <w:sz w:val="32"/>
          <w:szCs w:val="32"/>
          <w:shd w:val="clear" w:color="auto" w:fill="FFFFFF"/>
          <w:lang w:eastAsia="zh-CN"/>
        </w:rPr>
        <w:t>十一、绩效自评结果</w:t>
      </w:r>
      <w:r>
        <w:rPr>
          <w:rFonts w:hint="default" w:ascii="Times New Roman" w:hAnsi="Times New Roman" w:eastAsia="黑体" w:cs="Times New Roman"/>
          <w:i w:val="0"/>
          <w:iCs w:val="0"/>
          <w:caps w:val="0"/>
          <w:color w:val="auto"/>
          <w:spacing w:val="0"/>
          <w:sz w:val="32"/>
          <w:szCs w:val="32"/>
          <w:shd w:val="clear" w:color="auto" w:fill="FFFFFF"/>
          <w:lang w:eastAsia="zh-CN"/>
        </w:rPr>
        <w:t>拟应用和公开情况</w:t>
      </w:r>
    </w:p>
    <w:p w14:paraId="1F07750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textAlignment w:val="auto"/>
        <w:rPr>
          <w:rFonts w:hint="default" w:ascii="Times New Roman" w:hAnsi="Times New Roman" w:eastAsia="黑体" w:cs="Times New Roman"/>
          <w:i w:val="0"/>
          <w:iCs w:val="0"/>
          <w:caps w:val="0"/>
          <w:color w:val="000000"/>
          <w:spacing w:val="0"/>
          <w:sz w:val="32"/>
          <w:szCs w:val="32"/>
          <w:shd w:val="clear" w:color="auto" w:fill="FFFFFF"/>
          <w:lang w:eastAsia="zh-CN"/>
        </w:rPr>
      </w:pPr>
      <w:r>
        <w:rPr>
          <w:rFonts w:hint="default" w:ascii="Times New Roman" w:hAnsi="Times New Roman" w:eastAsia="仿宋_GB2312" w:cs="Times New Roman"/>
          <w:bCs w:val="0"/>
          <w:i w:val="0"/>
          <w:iCs w:val="0"/>
          <w:caps w:val="0"/>
          <w:color w:val="000000"/>
          <w:spacing w:val="0"/>
          <w:kern w:val="0"/>
          <w:sz w:val="32"/>
          <w:szCs w:val="32"/>
          <w:shd w:val="clear" w:color="auto" w:fill="FFFFFF"/>
          <w:lang w:val="en-US" w:eastAsia="zh-CN" w:bidi="ar"/>
        </w:rPr>
        <w:t>根据《怀化市财政局关于开展202</w:t>
      </w:r>
      <w:r>
        <w:rPr>
          <w:rFonts w:hint="eastAsia" w:eastAsia="仿宋_GB2312" w:cs="Times New Roman"/>
          <w:bCs w:val="0"/>
          <w:i w:val="0"/>
          <w:iCs w:val="0"/>
          <w:caps w:val="0"/>
          <w:color w:val="000000"/>
          <w:spacing w:val="0"/>
          <w:kern w:val="0"/>
          <w:sz w:val="32"/>
          <w:szCs w:val="32"/>
          <w:shd w:val="clear" w:color="auto" w:fill="FFFFFF"/>
          <w:lang w:val="en-US" w:eastAsia="zh-CN" w:bidi="ar"/>
        </w:rPr>
        <w:t>5</w:t>
      </w:r>
      <w:r>
        <w:rPr>
          <w:rFonts w:hint="default" w:ascii="Times New Roman" w:hAnsi="Times New Roman" w:eastAsia="仿宋_GB2312" w:cs="Times New Roman"/>
          <w:bCs w:val="0"/>
          <w:i w:val="0"/>
          <w:iCs w:val="0"/>
          <w:caps w:val="0"/>
          <w:color w:val="000000"/>
          <w:spacing w:val="0"/>
          <w:kern w:val="0"/>
          <w:sz w:val="32"/>
          <w:szCs w:val="32"/>
          <w:shd w:val="clear" w:color="auto" w:fill="FFFFFF"/>
          <w:lang w:val="en-US" w:eastAsia="zh-CN" w:bidi="ar"/>
        </w:rPr>
        <w:t>年度预算支出绩效自评工作的通知》中整体支出绩效评价指标体系，对我单位202</w:t>
      </w:r>
      <w:r>
        <w:rPr>
          <w:rFonts w:hint="eastAsia" w:eastAsia="仿宋_GB2312" w:cs="Times New Roman"/>
          <w:bCs w:val="0"/>
          <w:i w:val="0"/>
          <w:iCs w:val="0"/>
          <w:caps w:val="0"/>
          <w:color w:val="000000"/>
          <w:spacing w:val="0"/>
          <w:kern w:val="0"/>
          <w:sz w:val="32"/>
          <w:szCs w:val="32"/>
          <w:shd w:val="clear" w:color="auto" w:fill="FFFFFF"/>
          <w:lang w:val="en-US" w:eastAsia="zh-CN" w:bidi="ar"/>
        </w:rPr>
        <w:t>5</w:t>
      </w:r>
      <w:r>
        <w:rPr>
          <w:rFonts w:hint="default" w:ascii="Times New Roman" w:hAnsi="Times New Roman" w:eastAsia="仿宋_GB2312" w:cs="Times New Roman"/>
          <w:bCs w:val="0"/>
          <w:i w:val="0"/>
          <w:iCs w:val="0"/>
          <w:caps w:val="0"/>
          <w:color w:val="000000"/>
          <w:spacing w:val="0"/>
          <w:kern w:val="0"/>
          <w:sz w:val="32"/>
          <w:szCs w:val="32"/>
          <w:shd w:val="clear" w:color="auto" w:fill="FFFFFF"/>
          <w:lang w:val="en-US" w:eastAsia="zh-CN" w:bidi="ar"/>
        </w:rPr>
        <w:t>年部门整体支出绩效开展了评价。202</w:t>
      </w:r>
      <w:r>
        <w:rPr>
          <w:rFonts w:hint="eastAsia" w:eastAsia="仿宋_GB2312" w:cs="Times New Roman"/>
          <w:bCs w:val="0"/>
          <w:i w:val="0"/>
          <w:iCs w:val="0"/>
          <w:caps w:val="0"/>
          <w:color w:val="000000"/>
          <w:spacing w:val="0"/>
          <w:kern w:val="0"/>
          <w:sz w:val="32"/>
          <w:szCs w:val="32"/>
          <w:shd w:val="clear" w:color="auto" w:fill="FFFFFF"/>
          <w:lang w:val="en-US" w:eastAsia="zh-CN" w:bidi="ar"/>
        </w:rPr>
        <w:t>5</w:t>
      </w:r>
      <w:r>
        <w:rPr>
          <w:rFonts w:hint="default" w:ascii="Times New Roman" w:hAnsi="Times New Roman" w:eastAsia="仿宋_GB2312" w:cs="Times New Roman"/>
          <w:bCs w:val="0"/>
          <w:i w:val="0"/>
          <w:iCs w:val="0"/>
          <w:caps w:val="0"/>
          <w:color w:val="000000"/>
          <w:spacing w:val="0"/>
          <w:kern w:val="0"/>
          <w:sz w:val="32"/>
          <w:szCs w:val="32"/>
          <w:shd w:val="clear" w:color="auto" w:fill="FFFFFF"/>
          <w:lang w:val="en-US" w:eastAsia="zh-CN" w:bidi="ar"/>
        </w:rPr>
        <w:t>年本单位整体支出达到预期目标，在计划时间内很好的完成各项指标，自评得分99</w:t>
      </w:r>
      <w:r>
        <w:rPr>
          <w:rFonts w:hint="eastAsia" w:eastAsia="仿宋_GB2312" w:cs="Times New Roman"/>
          <w:bCs w:val="0"/>
          <w:i w:val="0"/>
          <w:iCs w:val="0"/>
          <w:caps w:val="0"/>
          <w:color w:val="000000"/>
          <w:spacing w:val="0"/>
          <w:kern w:val="0"/>
          <w:sz w:val="32"/>
          <w:szCs w:val="32"/>
          <w:shd w:val="clear" w:color="auto" w:fill="FFFFFF"/>
          <w:lang w:val="en-US" w:eastAsia="zh-CN" w:bidi="ar"/>
        </w:rPr>
        <w:t>.68</w:t>
      </w:r>
      <w:r>
        <w:rPr>
          <w:rFonts w:hint="default" w:ascii="Times New Roman" w:hAnsi="Times New Roman" w:eastAsia="仿宋_GB2312" w:cs="Times New Roman"/>
          <w:bCs w:val="0"/>
          <w:i w:val="0"/>
          <w:iCs w:val="0"/>
          <w:caps w:val="0"/>
          <w:color w:val="000000"/>
          <w:spacing w:val="0"/>
          <w:kern w:val="0"/>
          <w:sz w:val="32"/>
          <w:szCs w:val="32"/>
          <w:shd w:val="clear" w:color="auto" w:fill="FFFFFF"/>
          <w:lang w:val="en-US" w:eastAsia="zh-CN" w:bidi="ar"/>
        </w:rPr>
        <w:t>分，评价等级“优”。绩效自评结果将按照怀化市财政局的要求，在相关</w:t>
      </w:r>
      <w:r>
        <w:rPr>
          <w:rFonts w:hint="default" w:ascii="Times New Roman" w:hAnsi="Times New Roman" w:eastAsia="仿宋_GB2312" w:cs="Times New Roman"/>
          <w:bCs w:val="0"/>
          <w:i w:val="0"/>
          <w:iCs w:val="0"/>
          <w:caps w:val="0"/>
          <w:color w:val="auto"/>
          <w:spacing w:val="0"/>
          <w:kern w:val="0"/>
          <w:sz w:val="32"/>
          <w:szCs w:val="32"/>
          <w:shd w:val="clear" w:color="auto" w:fill="FFFFFF"/>
          <w:lang w:val="en-US" w:eastAsia="zh-CN" w:bidi="ar"/>
        </w:rPr>
        <w:t>网站予以公示。</w:t>
      </w:r>
    </w:p>
    <w:p w14:paraId="1CA9057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right="0" w:firstLine="640" w:firstLineChars="200"/>
        <w:textAlignment w:val="auto"/>
        <w:rPr>
          <w:rFonts w:hint="default" w:ascii="Times New Roman" w:hAnsi="Times New Roman" w:eastAsia="黑体" w:cs="Times New Roman"/>
          <w:i w:val="0"/>
          <w:iCs w:val="0"/>
          <w:caps w:val="0"/>
          <w:color w:val="000000"/>
          <w:spacing w:val="0"/>
          <w:sz w:val="32"/>
          <w:szCs w:val="32"/>
        </w:rPr>
      </w:pPr>
      <w:r>
        <w:rPr>
          <w:rFonts w:hint="default" w:ascii="Times New Roman" w:hAnsi="Times New Roman" w:eastAsia="黑体" w:cs="Times New Roman"/>
          <w:i w:val="0"/>
          <w:iCs w:val="0"/>
          <w:caps w:val="0"/>
          <w:color w:val="000000"/>
          <w:spacing w:val="0"/>
          <w:sz w:val="32"/>
          <w:szCs w:val="32"/>
          <w:shd w:val="clear" w:color="auto" w:fill="FFFFFF"/>
          <w:lang w:eastAsia="zh-CN"/>
        </w:rPr>
        <w:t>十二</w:t>
      </w:r>
      <w:r>
        <w:rPr>
          <w:rFonts w:hint="default" w:ascii="Times New Roman" w:hAnsi="Times New Roman" w:eastAsia="黑体" w:cs="Times New Roman"/>
          <w:i w:val="0"/>
          <w:iCs w:val="0"/>
          <w:caps w:val="0"/>
          <w:color w:val="000000"/>
          <w:spacing w:val="0"/>
          <w:sz w:val="32"/>
          <w:szCs w:val="32"/>
          <w:shd w:val="clear" w:color="auto" w:fill="FFFFFF"/>
        </w:rPr>
        <w:t>、其他需要说明的情况</w:t>
      </w:r>
    </w:p>
    <w:p w14:paraId="3FB01779">
      <w:pPr>
        <w:keepNext w:val="0"/>
        <w:keepLines w:val="0"/>
        <w:pageBreakBefore w:val="0"/>
        <w:widowControl w:val="0"/>
        <w:kinsoku/>
        <w:wordWrap/>
        <w:overflowPunct/>
        <w:topLinePunct w:val="0"/>
        <w:autoSpaceDE/>
        <w:autoSpaceDN/>
        <w:bidi w:val="0"/>
        <w:adjustRightInd/>
        <w:spacing w:line="600" w:lineRule="exact"/>
        <w:ind w:left="0" w:firstLine="632" w:firstLineChars="200"/>
        <w:textAlignment w:val="auto"/>
        <w:rPr>
          <w:rFonts w:hint="default" w:ascii="Times New Roman" w:hAnsi="Times New Roman" w:cs="Times New Roman"/>
        </w:rPr>
      </w:pPr>
      <w:r>
        <w:rPr>
          <w:rFonts w:hint="default" w:ascii="Times New Roman" w:hAnsi="Times New Roman" w:eastAsia="仿宋" w:cs="Times New Roman"/>
          <w:color w:val="auto"/>
          <w:spacing w:val="-2"/>
          <w:kern w:val="0"/>
          <w:sz w:val="32"/>
          <w:szCs w:val="32"/>
          <w:lang w:val="en-US" w:eastAsia="zh-CN" w:bidi="ar"/>
        </w:rPr>
        <w:t>无。</w:t>
      </w:r>
    </w:p>
    <w:p w14:paraId="0209568D">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textAlignment w:val="auto"/>
        <w:rPr>
          <w:rFonts w:hint="default" w:ascii="Times New Roman" w:hAnsi="Times New Roman" w:eastAsia="仿宋_GB2312" w:cs="Times New Roman"/>
          <w:i w:val="0"/>
          <w:iCs w:val="0"/>
          <w:caps w:val="0"/>
          <w:color w:val="000000"/>
          <w:spacing w:val="0"/>
          <w:sz w:val="32"/>
          <w:szCs w:val="32"/>
          <w:shd w:val="clear" w:color="auto" w:fill="FFFFFF"/>
          <w:lang w:val="en-US" w:eastAsia="zh-CN"/>
        </w:rPr>
      </w:pPr>
    </w:p>
    <w:p w14:paraId="31B74E78">
      <w:pPr>
        <w:jc w:val="left"/>
        <w:rPr>
          <w:rFonts w:ascii="Times New Roman" w:hAnsi="Times New Roman" w:cs="Times New Roman"/>
          <w:color w:val="000000"/>
          <w:kern w:val="0"/>
          <w:sz w:val="32"/>
          <w:szCs w:val="32"/>
        </w:rPr>
      </w:pPr>
      <w:bookmarkStart w:id="4" w:name="_GoBack"/>
      <w:bookmarkEnd w:id="4"/>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EE44C">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9CD6D">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A8401">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F7EED">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3E7DD1">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F3E7DD1">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FD9ADA"/>
    <w:multiLevelType w:val="singleLevel"/>
    <w:tmpl w:val="7BFD9ADA"/>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BFFFCE1"/>
    <w:rsid w:val="1D97DEFF"/>
    <w:rsid w:val="1DFF72E5"/>
    <w:rsid w:val="1EFC6F07"/>
    <w:rsid w:val="1F371470"/>
    <w:rsid w:val="1F5BA872"/>
    <w:rsid w:val="218E28AD"/>
    <w:rsid w:val="26F3E5B3"/>
    <w:rsid w:val="2FDF85B8"/>
    <w:rsid w:val="2FFFEE04"/>
    <w:rsid w:val="3372C10A"/>
    <w:rsid w:val="34DF85B0"/>
    <w:rsid w:val="37F63D50"/>
    <w:rsid w:val="3B8F36BC"/>
    <w:rsid w:val="3B9D08E1"/>
    <w:rsid w:val="3BDED9A1"/>
    <w:rsid w:val="3FFB2883"/>
    <w:rsid w:val="491FF225"/>
    <w:rsid w:val="4FFD214C"/>
    <w:rsid w:val="50574928"/>
    <w:rsid w:val="55AB547C"/>
    <w:rsid w:val="5777D4F5"/>
    <w:rsid w:val="57FFEE3E"/>
    <w:rsid w:val="58FFE262"/>
    <w:rsid w:val="59B9B882"/>
    <w:rsid w:val="59DD8326"/>
    <w:rsid w:val="5DEF592A"/>
    <w:rsid w:val="5EAD73F2"/>
    <w:rsid w:val="5FC6BB1E"/>
    <w:rsid w:val="5FF720F1"/>
    <w:rsid w:val="63FA3645"/>
    <w:rsid w:val="67FF5C0B"/>
    <w:rsid w:val="6BB58D12"/>
    <w:rsid w:val="6D7CA494"/>
    <w:rsid w:val="6EFC0924"/>
    <w:rsid w:val="6F93FC97"/>
    <w:rsid w:val="6FB74722"/>
    <w:rsid w:val="6FDF4C44"/>
    <w:rsid w:val="6FEF8B7E"/>
    <w:rsid w:val="6FF5C1C0"/>
    <w:rsid w:val="707E095B"/>
    <w:rsid w:val="71A6591B"/>
    <w:rsid w:val="736575F1"/>
    <w:rsid w:val="737D59BA"/>
    <w:rsid w:val="77C37683"/>
    <w:rsid w:val="77FE0854"/>
    <w:rsid w:val="79D19834"/>
    <w:rsid w:val="79FF515B"/>
    <w:rsid w:val="7AAB1995"/>
    <w:rsid w:val="7BF549BF"/>
    <w:rsid w:val="7E9E1962"/>
    <w:rsid w:val="7E9F11B4"/>
    <w:rsid w:val="7F37EC1E"/>
    <w:rsid w:val="7F7DCD9D"/>
    <w:rsid w:val="7F970A6F"/>
    <w:rsid w:val="7FC1FFF3"/>
    <w:rsid w:val="7FC62E5C"/>
    <w:rsid w:val="7FC69637"/>
    <w:rsid w:val="7FDF8620"/>
    <w:rsid w:val="7FE78876"/>
    <w:rsid w:val="7FE8C8F7"/>
    <w:rsid w:val="7FFB242F"/>
    <w:rsid w:val="7FFDB408"/>
    <w:rsid w:val="7FFE4EEB"/>
    <w:rsid w:val="95FB2B98"/>
    <w:rsid w:val="9A639BC2"/>
    <w:rsid w:val="9BBAC6BC"/>
    <w:rsid w:val="9BFA491D"/>
    <w:rsid w:val="9FF7D786"/>
    <w:rsid w:val="ABBFB23D"/>
    <w:rsid w:val="B6AFFE39"/>
    <w:rsid w:val="B7BB80A8"/>
    <w:rsid w:val="B7C5DE63"/>
    <w:rsid w:val="B9E7DAD4"/>
    <w:rsid w:val="BEF36633"/>
    <w:rsid w:val="C3B4DA5A"/>
    <w:rsid w:val="CBFF70E0"/>
    <w:rsid w:val="CFF50B82"/>
    <w:rsid w:val="CFFFAD89"/>
    <w:rsid w:val="D52B8881"/>
    <w:rsid w:val="DEFF9655"/>
    <w:rsid w:val="DFFBF3CA"/>
    <w:rsid w:val="DFFE359E"/>
    <w:rsid w:val="DFFE4FFD"/>
    <w:rsid w:val="EDFD24D8"/>
    <w:rsid w:val="EE7D164F"/>
    <w:rsid w:val="EEABED75"/>
    <w:rsid w:val="EFFCAB88"/>
    <w:rsid w:val="F56FDF51"/>
    <w:rsid w:val="F5D918FB"/>
    <w:rsid w:val="F6B69F17"/>
    <w:rsid w:val="F73F024E"/>
    <w:rsid w:val="F77F1D61"/>
    <w:rsid w:val="F7FED3A9"/>
    <w:rsid w:val="F877B6A9"/>
    <w:rsid w:val="F8C9DB26"/>
    <w:rsid w:val="F8FCF704"/>
    <w:rsid w:val="F97E8EAE"/>
    <w:rsid w:val="FAFE5D1F"/>
    <w:rsid w:val="FB36E1A6"/>
    <w:rsid w:val="FB3BE134"/>
    <w:rsid w:val="FBFD86C5"/>
    <w:rsid w:val="FCFF4275"/>
    <w:rsid w:val="FD77F761"/>
    <w:rsid w:val="FD7FEEEA"/>
    <w:rsid w:val="FDBDCEE5"/>
    <w:rsid w:val="FDFFB577"/>
    <w:rsid w:val="FDFFE8D2"/>
    <w:rsid w:val="FE7D08F5"/>
    <w:rsid w:val="FEEA50FE"/>
    <w:rsid w:val="FEF74121"/>
    <w:rsid w:val="FF7D47A9"/>
    <w:rsid w:val="FF7F63BE"/>
    <w:rsid w:val="FFBF169C"/>
    <w:rsid w:val="FFCF21CB"/>
    <w:rsid w:val="FFFDF7DD"/>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unhideWhenUsed/>
    <w:qFormat/>
    <w:uiPriority w:val="99"/>
    <w:pPr>
      <w:widowControl/>
      <w:spacing w:after="120"/>
      <w:ind w:left="420" w:leftChars="200"/>
      <w:jc w:val="left"/>
    </w:pPr>
    <w:rPr>
      <w:rFonts w:ascii="宋体" w:hAnsi="宋体" w:eastAsia="宋体" w:cs="宋体"/>
      <w:kern w:val="0"/>
      <w:sz w:val="24"/>
    </w:rPr>
  </w:style>
  <w:style w:type="paragraph" w:styleId="3">
    <w:name w:val="Plain Text"/>
    <w:basedOn w:val="1"/>
    <w:qFormat/>
    <w:uiPriority w:val="0"/>
    <w:rPr>
      <w:rFonts w:ascii="宋体" w:hAnsi="Courier New" w:eastAsia="宋体" w:cs="Courier New"/>
      <w:szCs w:val="21"/>
    </w:rPr>
  </w:style>
  <w:style w:type="paragraph" w:styleId="4">
    <w:name w:val="Balloon Text"/>
    <w:basedOn w:val="1"/>
    <w:link w:val="16"/>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8"/>
    <w:semiHidden/>
    <w:qFormat/>
    <w:uiPriority w:val="0"/>
    <w:pPr>
      <w:snapToGrid w:val="0"/>
      <w:jc w:val="left"/>
    </w:pPr>
    <w:rPr>
      <w:sz w:val="18"/>
      <w:szCs w:val="18"/>
    </w:rPr>
  </w:style>
  <w:style w:type="paragraph" w:styleId="8">
    <w:name w:val="Body Text First Indent 2"/>
    <w:basedOn w:val="2"/>
    <w:unhideWhenUsed/>
    <w:qFormat/>
    <w:uiPriority w:val="99"/>
    <w:pPr>
      <w:ind w:firstLine="420" w:firstLineChars="200"/>
    </w:pPr>
  </w:style>
  <w:style w:type="paragraph" w:styleId="9">
    <w:name w:val="Normal (Web)"/>
    <w:basedOn w:val="1"/>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bidi="ar"/>
    </w:rPr>
  </w:style>
  <w:style w:type="character" w:customStyle="1" w:styleId="12">
    <w:name w:val="页眉 Char"/>
    <w:basedOn w:val="11"/>
    <w:link w:val="6"/>
    <w:qFormat/>
    <w:uiPriority w:val="99"/>
    <w:rPr>
      <w:sz w:val="18"/>
      <w:szCs w:val="18"/>
    </w:rPr>
  </w:style>
  <w:style w:type="character" w:customStyle="1" w:styleId="13">
    <w:name w:val="页脚 Char"/>
    <w:basedOn w:val="11"/>
    <w:link w:val="5"/>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4"/>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43</Pages>
  <Words>2430</Words>
  <Characters>2913</Characters>
  <Lines>69</Lines>
  <Paragraphs>19</Paragraphs>
  <TotalTime>7</TotalTime>
  <ScaleCrop>false</ScaleCrop>
  <LinksUpToDate>false</LinksUpToDate>
  <CharactersWithSpaces>3445</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2025-08-21T18:17:00Z</dcterms:created>
  <dc:creator>李航 null</dc:creator>
  <cp:lastModifiedBy>greatwall</cp:lastModifiedBy>
  <cp:lastPrinted>2024-08-12T02:20:00Z</cp:lastPrinted>
  <dcterms:modified xsi:type="dcterms:W3CDTF">2026-09-29T10:37:00Z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19F1ED08F9F3E3D750A8AC6AEC4B1878_43</vt:lpwstr>
  </property>
  <property fmtid="{D5CDD505-2E9C-101B-9397-08002B2CF9AE}" pid="4" name="KSOTemplateDocerSaveRecord">
    <vt:lpwstr>eyJoZGlkIjoiNGM3NTdjZjgyZjFlNDIxZGQ2NjE4NGI3NjViMjZmOGIiLCJ1c2VySWQiOiIxMTUzODU5MDc1In0=</vt:lpwstr>
  </property>
</Properties>
</file>