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eastAsia" w:ascii="黑体" w:hAnsi="宋体" w:eastAsia="黑体" w:cs="黑体"/>
          <w:color w:val="00000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52"/>
          <w:szCs w:val="52"/>
        </w:rPr>
        <w:t>2021年度怀化市老干部教育活动中心部门决算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目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firstLine="643" w:firstLineChars="200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第一部分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怀化市老干部教育活动中心概况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一、部门职责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二、机构设置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3" w:firstLineChars="200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第二部分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2021年度部门决算表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一、收入支出决算总表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二、收入决算表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三、支出决算表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四、财政拨款收入支出决算总表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五、一般公共预算财政拨款支出决算表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六、一般公共预算财政拨款基本支出决算表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七、一般公共预算财政拨款“三公”经费支出决算表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八、政府性基金预算财政拨款收入支出决算表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九、国有资本经营预算财政拨款支出决算表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firstLine="643" w:firstLineChars="200"/>
        <w:jc w:val="left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第三部分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2021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年度部门决算情况说明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一、收入支出决算总体情况说明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二、收入决算情况说明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三、支出决算情况说明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四、财政拨款收入支出决算总体情况说明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五、一般公共预算财政拨款支出决算情况说明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六、一般公共预算财政拨款基本支出决算情况说明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七、一般公共预算财政拨款三公经费支出决算情况说明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八、政府性基金预算收入支出决算情况说明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九、国有资本经营预算财政拨款支出决算情况说明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十、关于机关运行经费支出说明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十一、一般性支出情况说明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十二、关于政府采购支出说明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十三、关于国有资产占用情况说明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十四、关于2021年度预算绩效情况的说明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firstLine="643" w:firstLineChars="200"/>
        <w:jc w:val="left"/>
        <w:rPr>
          <w:rFonts w:hint="eastAsia" w:ascii="黑体" w:hAnsi="黑体" w:eastAsia="黑体" w:cs="黑体"/>
          <w:color w:val="3D3D3D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第四部分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名词解释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firstLine="643" w:firstLineChars="200"/>
        <w:jc w:val="left"/>
        <w:rPr>
          <w:rFonts w:hint="eastAsia" w:ascii="黑体" w:hAnsi="黑体" w:eastAsia="黑体" w:cs="黑体"/>
          <w:color w:val="3D3D3D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第五部分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52"/>
          <w:szCs w:val="5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0"/>
        <w:jc w:val="both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52"/>
          <w:szCs w:val="5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/>
        <w:jc w:val="center"/>
        <w:textAlignment w:val="auto"/>
        <w:rPr>
          <w:rFonts w:hint="eastAsia" w:ascii="黑体" w:hAnsi="宋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第一部分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怀化市老干部教育活动中心概况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0"/>
        <w:jc w:val="both"/>
        <w:textAlignment w:val="auto"/>
        <w:rPr>
          <w:rFonts w:hint="default" w:ascii="Calibri" w:hAnsi="Calibri" w:cs="Calibri"/>
          <w:color w:val="3D3D3D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0"/>
        <w:jc w:val="both"/>
        <w:textAlignment w:val="auto"/>
        <w:rPr>
          <w:rFonts w:hint="default" w:ascii="Calibri" w:hAnsi="Calibri" w:cs="Calibri"/>
          <w:color w:val="3D3D3D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720" w:right="0" w:hanging="720"/>
        <w:jc w:val="both"/>
        <w:textAlignment w:val="auto"/>
        <w:rPr>
          <w:rFonts w:hint="default" w:ascii="Calibri" w:hAnsi="Calibri" w:cs="Calibri"/>
          <w:b/>
          <w:bCs/>
          <w:color w:val="3D3D3D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D3D3D"/>
          <w:spacing w:val="0"/>
          <w:sz w:val="32"/>
          <w:szCs w:val="32"/>
        </w:rPr>
        <w:t>一、部门职责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3D3D3D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做好市直机关老干部和其他老年人文化体育活动的协调管理服务，对全市老年活动组织的建立和活动设施的建设进行指导；负责市直机关老干部老有所学年度方案的制定和实施，督促指导各单位组织开展有益于老同志身心健康的文化体育活动，加强老干部思想政治工作，开展老有所学，负责各老年协会组织的工作协调、管理、服务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atLeast"/>
        <w:ind w:left="0" w:right="0"/>
        <w:jc w:val="both"/>
        <w:textAlignment w:val="auto"/>
        <w:rPr>
          <w:rFonts w:hint="default" w:ascii="Calibri" w:hAnsi="Calibri" w:cs="Calibri"/>
          <w:b/>
          <w:bCs/>
          <w:color w:val="3D3D3D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D3D3D"/>
          <w:spacing w:val="0"/>
          <w:sz w:val="32"/>
          <w:szCs w:val="32"/>
        </w:rPr>
        <w:t>二、机构设置及决算单位构成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3D3D3D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（一）内设机构设置。怀化市老干部教育活动中心内设机构包括：办公室、教学服务办公室、电教设备管理办公室、活动指导办公室。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（二）决算单位构成。怀化市老干部教育活动中心2021年部门决算汇总公开单位构成包括：怀化市老干部教育活动中心。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72"/>
          <w:szCs w:val="7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D3D3D"/>
          <w:spacing w:val="0"/>
          <w:sz w:val="72"/>
          <w:szCs w:val="7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center"/>
        <w:textAlignment w:val="auto"/>
        <w:rPr>
          <w:rFonts w:hint="default" w:ascii="Calibri" w:hAnsi="Calibri" w:cs="Calibri"/>
          <w:b/>
          <w:bCs/>
          <w:color w:val="3D3D3D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D3D3D"/>
          <w:spacing w:val="0"/>
          <w:sz w:val="44"/>
          <w:szCs w:val="44"/>
        </w:rPr>
        <w:t>第二部分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D3D3D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D3D3D"/>
          <w:spacing w:val="0"/>
          <w:sz w:val="44"/>
          <w:szCs w:val="44"/>
        </w:rPr>
        <w:t>部门决算表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3520" w:firstLineChars="11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3520" w:firstLineChars="1100"/>
        <w:jc w:val="both"/>
        <w:textAlignment w:val="auto"/>
        <w:rPr>
          <w:rFonts w:hint="default" w:ascii="Calibri" w:hAnsi="Calibri" w:cs="Calibri"/>
          <w:color w:val="3D3D3D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2"/>
          <w:szCs w:val="32"/>
        </w:rPr>
        <w:t>见附件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72"/>
          <w:szCs w:val="7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72"/>
          <w:szCs w:val="7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center"/>
        <w:textAlignment w:val="auto"/>
        <w:rPr>
          <w:rFonts w:hint="eastAsia" w:ascii="黑体" w:hAnsi="宋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第三部分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2021年度部门决算情况说明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964" w:firstLineChars="300"/>
        <w:jc w:val="both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3" w:firstLineChars="200"/>
        <w:jc w:val="both"/>
        <w:textAlignment w:val="auto"/>
        <w:rPr>
          <w:rFonts w:hint="eastAsia" w:ascii="黑体" w:hAnsi="宋体" w:eastAsia="黑体" w:cs="黑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一、收入支出决算总体情况说明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2021年度收、支总计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465.13万元。与上年相比，增加4.2万元，增长0.91%，主要是因为年初结余结转资金较多。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eastAsia" w:ascii="黑体" w:hAnsi="宋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二、收入决算情况说明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2021年度收入合计410.1万元，其中：财政拨款收入394.55万元，占96.21%；上级补助收入0万元，占0%；事业收入15.5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万元，占3.79%；经营收入0万元，占0%；附属单位上缴收入0万元，占0%；其他收入0万元，占0%。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三、支出决算情况说明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2021年度支出合计465.13万元，其中：基本支出465.13万元，占100%；项目支出0万元，占0%；上缴上级支出0万元，占0%；经营支出0万元，占0%；对附属单位补助支出0万元，占0%。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四、财政拨款收入支出决算总体情况说明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2021年度财政拨款收、支总计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449.57万元，与上年相比，增加63.77万元,增长16.53%，主要是因为年初财政拨款结余结转资金较多。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一般公共预算财政拨款支出决算情况说明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（一）财政拨款支出决算总体情况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2021年度财政拨款支出449.57万元，占本年支出合计的96.65%，与上年相比，财政拨款支出增加93.81万元，增长26.37%，主要是因为一般公共服务支出及社会保障和就业支出增加。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（二）财政拨款支出决算结构情况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2021年度财政拨款支出449.57万元，主要用于以下方面：一般公共服务（类）支出66.99万元，占14.90%；教育（类）支出4万元，占0.89%；文化旅游体育与传媒（类）支出11万元，占2.45%;社会保障和就业（类）支出361.66万元，占80.45%;卫生健康（类）支出5.92万元，占1.3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（三）财政拨款支出决算具体情况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2021年度财政拨款支出年初预算数为282.18万元，支出决算数为449.57万元，完成年初预算的159.32%，其中：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1、一般公共服务支出（类）财政事务（款）其他财政事务支出（项）。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年初预算为0万元，支出决算为2万元，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年初预算为0万元，无法计算完成比率，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决算数大于年初预算数的主要原因是：追加预算。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2、一般公共服务支出（类）党委办公厅（室）及相关机构事务（款）一般行政管理事务（项）。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年初预算为0万元，支出决算为31.6万元，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年初预算为0万元，无法计算完成比率，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决算数大于年初预算数的主要原因是：追加预算。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3、一般公共服务支出（类）其他一般公共服务支出（款）其他一般公共服务支出（项）。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年初预算为0万元，支出决算为33.39万元，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年初预算为0万元，无法计算完成比率，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决算数大于年初预算数的主要原因是：追加预算。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4、教育支出（类）其他教育支出（款）其他教育支出（项）。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年初预算为0万元，支出决算为4万元，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年初预算为0万元，无法计算完成比率，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决算数大于年初预算数的主要原因是：追加预算。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5、文化旅游体育与传媒支出（类）其他文化旅游体育与传媒支出（款）其他文化旅游体育与传媒支出（项）。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年初预算为0万元，支出决算为11万元，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年初预算为0万元，无法计算完成比率，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决算数大于年初预算数的主要原因是：追加预算。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6、社会保障和就业支出（类）行政事业单位养老支出（款）事业单位离退休（项）。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年初预算为3.38万元，支出决算为3.38万元，完成年初预算的100%，决算数等于年初预算数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主要原因厉行节约。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7、社会保障和就业支出（类）行政事业单位养老支出（款）离退休人员管理机构（项）。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年初预算为278.8万元，支出决算为339.06万元，完成年初预算的121.6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%，决算数大于年初预算数的主要原因是：追加预算。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8、社会保障和就业支出（类）行政事业单位养老支出（款）机关事业单位基本养老保险缴费支出（项）。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年初预算为0万元，支出决算为12.55万元，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年初预算为0万元，无法计算完成比率，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决算数大于年初预算数的主要原因是：社保由财政统筹未纳入预算。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9、社会保障和就业支出（类）行政事业单位养老支出（款）其他行政事业单位养老支出（项）。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年初预算为0万元，支出决算为6.68万元，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年初预算为0万元，无法计算完成比率，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决算数大于年初预算数的主要原因是：社保由财政统筹未纳入预算。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10、卫生健康支出（类）行政事业单位医疗（款）行政单位医疗（项）。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年初预算为0万元，支出决算为5.43万元，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年初预算为0万元，无法计算完成比率，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决算数大于年初预算数的主要原因是：社保由财政统筹未纳入预算。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11、卫生健康支出（类）行政事业单位医疗（款）其他行政事业单位医疗支出（项）。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年初预算为0万元，支出决算为0.48万元，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年初预算为0万元，无法计算完成比率，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决算数大于年初预算数的主要原因是：社保由财政统筹未纳入预算。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六、一般公共预算财政拨款基本支出决算情况说明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2021年度财政拨款基本支出449.57万元，其中：人员经费204万元，占基本支出的45.38%,主要包括基本工资、津贴补贴、奖金、机关事业单位基本养老保险缴费、职工基本医疗保险缴费、其他社会保障缴费、住房公积金、其他工资福利支出、生活补助、奖励金、其他对个人和家庭的补助；公用经费245.57万元，占基本支出的54.62%，主要包括办公费、印刷费、水费、电费、邮电费、物业管理费、差旅费、维修（护）费、租赁费、会议费、培训费、公务接待费、专用材料费、劳务费、委托业务费、工会经费、福利费、其他交通费用、其他商品和服务支出、办公设备购置、专用设备购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643" w:right="0" w:hanging="643" w:hanging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七、一般公共预算财政拨款“三公”经费支出决算情况说明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（一）“三公”经费财政拨款支出决算总体情况说明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2021年度“三公”经费财政拨款支出预算为1.08万元，支出决算为0.3万元，完成预算的27.78%，其中：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因公出国（境）费支出预算为0万元，支出决算为0万元，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决算数与预算数持平，与上年相比持平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主要原因是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本单位无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因公出国（境）费支出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公务接待费支出预算为1.08万元，支出决算为0.3万元，完成预算的27.78%，决算数小于预算数的主要原因是严格执行厉行节约措施，与上年相比减少0.23万元，减少43.40%,减少的主要原因是严格执行厉行节约措施，严格三公经费开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45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公务用车购置费支出预算为0万元，支出决算为0万元，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决算数与预算数持平，与上年相比持平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主要原因是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压减经费开支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公务用车运行维护费支出预算为0万元，支出决算为0万元，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决算数与预算数持平，与上年相比持平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主要原因是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压减经费开支。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（二）“三公”经费财政拨款支出决算具体情况说明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2021年度“三公”经费财政拨款支出决算中，公务接待费支出决算0.3万元，占100%,因公出国（境）费支出决算0万元，占0%,公务用车购置费及运行维护费支出决算0万元，占0%。其中：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因公出国（境）费支出决算为0万元，全年安排因公出国（境）团组0个，累计0人次。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8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公务接待费支出决算为0.3万元，全年共接待来访团组4个、来宾35人次，主要是老年大学工作交流发生的接待支出。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800"/>
        <w:jc w:val="both"/>
        <w:textAlignment w:val="auto"/>
        <w:rPr>
          <w:rFonts w:hint="eastAsia" w:ascii="仿宋" w:hAnsi="仿宋" w:eastAsia="仿宋" w:cs="仿宋"/>
          <w:color w:val="3D3D3D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公务用车购置费及运行维护费支出决算为0万元，其中：公务用车购置费0万元，怀化市老干部教育活动中心更新公务用车0辆。公务用车运行维护费0万元，截至2021年12月31日，我单位开支财政拨款的公务用车保有量为0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八、政府性基金预算收入支出决算情况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3D3D3D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</w:rPr>
        <w:t>本单位无政府性基金收支。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九、国有资本经营预算财政拨款支出决算情况说明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本单位无国有资本经营预算财政拨款支出。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十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、机关运行经费支出说明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本部门2021年度机关运行经费支出245.57万元，比上年决算数增加72.17万元，增长41.62%。主要原因是：上年度因疫情影响开支较少，基数较低。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、一般性支出情况说明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2021年本部门开支会议费1.19万元，用于召开省老年大学协会二届三次会议，人数50人，内容为老年教育工作会议；开支培训费0.44万元，用于开展成都会议培训，人数1人，内容为老年大学培训；用于开展老年教育理论研讨会培训，人数2人，内容为老年教育理论的培训；未举办节庆、晚会、论坛、赛事活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十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、政府采购支出说明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本部门2021年度政府采购支出总额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168.96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万元，其中：政府采购货物支出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145.75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万元、政府采购工程支出0万元、政府采购服务支出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23.21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万元。授予中小企业合同金额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168.96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万元，占政府采购支出总额的100%，其中：授予小微企业合同金额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168.96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万元，占政府采购支出总额的100%；货物采购授予中小企业合同金额占货物支出金额的100%，工程采购授予中小企业合同金额占工程支出金额的百分比无法计算，服务采购授予中小企业合同金额占服务支出金额的100%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十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、国有资产占用情况说明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截至2021年12月31日，部门（单位）共有车辆0辆，其中，主要领导干部用车0辆，机要通信用车0辆、应急保障用车0辆、执法执勤用车0辆、特种专业技术用车0辆、其他用车0辆；单位价值50万元以上通用设备0台（套）；单位价值100万元以上专用设备0台（套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十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、2021年度预算绩效情况说明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640"/>
        <w:jc w:val="both"/>
        <w:textAlignment w:val="auto"/>
        <w:rPr>
          <w:rFonts w:hint="eastAsia" w:ascii="黑体" w:hAnsi="宋体" w:eastAsia="仿宋" w:cs="黑体"/>
          <w:i w:val="0"/>
          <w:iCs w:val="0"/>
          <w:caps w:val="0"/>
          <w:color w:val="000000"/>
          <w:spacing w:val="0"/>
          <w:sz w:val="72"/>
          <w:szCs w:val="7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预算绩效管理要求，我单位组织对怀化市老干部教育活动中心1个单位开展整体支出绩效评价，涉及一般公共预算支出465.13万元，政府性基金预算支出0万元。从评价情况来看，本部门2021年按财政局要求认真开展落实绩效管理工作，切实完成年度绩效目标和绩效评价工作。自评报告见附件。本单位无重点项目，因此无重点项目绩效报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center"/>
        <w:textAlignment w:val="auto"/>
        <w:rPr>
          <w:rFonts w:hint="default" w:ascii="Calibri" w:hAnsi="Calibri" w:cs="Calibri"/>
          <w:color w:val="3D3D3D"/>
          <w:sz w:val="21"/>
          <w:szCs w:val="21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第四部分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名词解释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/>
        <w:ind w:left="0" w:right="0"/>
        <w:jc w:val="both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default" w:ascii="Calibri" w:hAnsi="Calibri" w:cs="Calibri"/>
          <w:color w:val="3D3D3D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3D3D3D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、机关运行经费。为保障行政单位（包括参照公务员管理的事业单位）运行。用一般公共预算拨款安排用于购买货物和服务的各项资金，包括办公及印刷费、邮电费、咨询费、会议费、福利费、日常维修费、办公用房水电费、公务用车维护费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3D3D3D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二、“三公”经费。纳入财政预算管理的“三公”经费，是指用一般公共预算拨款安排的公务接待费、公共用车购置及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both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300" w:lineRule="atLeast"/>
        <w:ind w:left="0" w:right="0"/>
        <w:jc w:val="center"/>
        <w:textAlignment w:val="auto"/>
        <w:rPr>
          <w:rFonts w:hint="default" w:ascii="Calibri" w:hAnsi="Calibri" w:cs="Calibri"/>
          <w:color w:val="3D3D3D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第五部分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附件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DCCC4"/>
    <w:multiLevelType w:val="singleLevel"/>
    <w:tmpl w:val="D61DCCC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jM4OGRjMjA1YmIwNDg3YWY0MmMwNWU4YTAwYjIifQ=="/>
  </w:docVars>
  <w:rsids>
    <w:rsidRoot w:val="699408F0"/>
    <w:rsid w:val="022D0C0D"/>
    <w:rsid w:val="15194B44"/>
    <w:rsid w:val="28E954BA"/>
    <w:rsid w:val="2E5F5866"/>
    <w:rsid w:val="2ECF524E"/>
    <w:rsid w:val="379D2F5B"/>
    <w:rsid w:val="3BB33593"/>
    <w:rsid w:val="51F31C9E"/>
    <w:rsid w:val="5BAE6BBA"/>
    <w:rsid w:val="5E8961C9"/>
    <w:rsid w:val="60395667"/>
    <w:rsid w:val="699408F0"/>
    <w:rsid w:val="6C980484"/>
    <w:rsid w:val="6D10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2023-09-03T13:12:00Z</dcterms:created>
  <dc:creator>岔不桗</dc:creator>
  <cp:lastModifiedBy>非鱼</cp:lastModifiedBy>
  <dcterms:modified xsi:type="dcterms:W3CDTF">2023-09-30T08:58:24Z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DA407DFA03A34BE380035D1AE1273E64_11</vt:lpwstr>
  </property>
</Properties>
</file>