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73E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auto"/>
          <w:spacing w:val="0"/>
          <w:sz w:val="24"/>
          <w:szCs w:val="24"/>
          <w:highlight w:val="none"/>
          <w:shd w:val="clear" w:color="auto" w:fill="auto"/>
          <w:lang w:val="en-US" w:eastAsia="zh-CN"/>
        </w:rPr>
      </w:pPr>
    </w:p>
    <w:p w14:paraId="666046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auto"/>
          <w:spacing w:val="0"/>
          <w:sz w:val="24"/>
          <w:szCs w:val="24"/>
          <w:highlight w:val="none"/>
          <w:shd w:val="clear" w:color="auto" w:fill="auto"/>
          <w:lang w:val="en-US" w:eastAsia="zh-CN"/>
        </w:rPr>
      </w:pPr>
    </w:p>
    <w:p w14:paraId="596574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简体" w:hAnsi="方正小标宋简体" w:eastAsia="方正小标宋简体" w:cs="方正小标宋简体"/>
          <w:i w:val="0"/>
          <w:iCs w:val="0"/>
          <w:caps w:val="0"/>
          <w:color w:val="auto"/>
          <w:spacing w:val="0"/>
          <w:sz w:val="44"/>
          <w:szCs w:val="44"/>
          <w:highlight w:val="none"/>
          <w:shd w:val="clear" w:color="auto" w:fill="auto"/>
          <w:lang w:val="en-US" w:eastAsia="zh-CN"/>
        </w:rPr>
      </w:pPr>
    </w:p>
    <w:p w14:paraId="1DAF7D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简体" w:hAnsi="方正小标宋简体" w:eastAsia="方正小标宋简体" w:cs="方正小标宋简体"/>
          <w:i w:val="0"/>
          <w:iCs w:val="0"/>
          <w:caps w:val="0"/>
          <w:color w:val="auto"/>
          <w:spacing w:val="0"/>
          <w:sz w:val="44"/>
          <w:szCs w:val="44"/>
          <w:highlight w:val="none"/>
          <w:shd w:val="clear" w:color="auto" w:fill="auto"/>
          <w:lang w:val="en-US" w:eastAsia="zh-CN"/>
        </w:rPr>
      </w:pPr>
    </w:p>
    <w:p w14:paraId="346978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简体" w:hAnsi="方正小标宋简体" w:eastAsia="方正小标宋简体" w:cs="方正小标宋简体"/>
          <w:i w:val="0"/>
          <w:iCs w:val="0"/>
          <w:caps w:val="0"/>
          <w:color w:val="auto"/>
          <w:spacing w:val="0"/>
          <w:sz w:val="44"/>
          <w:szCs w:val="44"/>
          <w:highlight w:val="none"/>
          <w:shd w:val="clear" w:color="auto" w:fill="auto"/>
          <w:lang w:val="en-US" w:eastAsia="zh-CN"/>
        </w:rPr>
      </w:pPr>
    </w:p>
    <w:p w14:paraId="58ACEB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简体" w:hAnsi="方正小标宋简体" w:eastAsia="方正小标宋简体" w:cs="方正小标宋简体"/>
          <w:i w:val="0"/>
          <w:iCs w:val="0"/>
          <w:caps w:val="0"/>
          <w:color w:val="auto"/>
          <w:spacing w:val="0"/>
          <w:sz w:val="44"/>
          <w:szCs w:val="44"/>
          <w:highlight w:val="none"/>
          <w:shd w:val="clear" w:color="auto" w:fill="auto"/>
          <w:lang w:val="en-US" w:eastAsia="zh-CN"/>
        </w:rPr>
      </w:pPr>
    </w:p>
    <w:p w14:paraId="7FC155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简体" w:hAnsi="方正小标宋简体" w:eastAsia="方正小标宋简体" w:cs="方正小标宋简体"/>
          <w:i w:val="0"/>
          <w:iCs w:val="0"/>
          <w:caps w:val="0"/>
          <w:color w:val="auto"/>
          <w:spacing w:val="0"/>
          <w:sz w:val="44"/>
          <w:szCs w:val="44"/>
          <w:highlight w:val="none"/>
          <w:shd w:val="clear" w:color="auto" w:fill="auto"/>
          <w:lang w:val="en-US" w:eastAsia="zh-CN"/>
        </w:rPr>
      </w:pPr>
    </w:p>
    <w:p w14:paraId="201964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720" w:lineRule="exact"/>
        <w:ind w:right="0"/>
        <w:jc w:val="center"/>
        <w:textAlignment w:val="auto"/>
        <w:rPr>
          <w:rFonts w:hint="eastAsia" w:ascii="方正小标宋简体" w:hAnsi="方正小标宋简体" w:eastAsia="方正小标宋简体" w:cs="方正小标宋简体"/>
          <w:i w:val="0"/>
          <w:iCs w:val="0"/>
          <w:caps w:val="0"/>
          <w:color w:val="auto"/>
          <w:spacing w:val="0"/>
          <w:sz w:val="52"/>
          <w:szCs w:val="52"/>
          <w:highlight w:val="none"/>
          <w:shd w:val="clear" w:color="auto" w:fill="auto"/>
          <w:lang w:val="en-US" w:eastAsia="zh-CN"/>
        </w:rPr>
      </w:pPr>
      <w:r>
        <w:rPr>
          <w:rFonts w:hint="eastAsia" w:ascii="方正小标宋简体" w:hAnsi="方正小标宋简体" w:eastAsia="方正小标宋简体" w:cs="方正小标宋简体"/>
          <w:i w:val="0"/>
          <w:iCs w:val="0"/>
          <w:caps w:val="0"/>
          <w:color w:val="auto"/>
          <w:spacing w:val="0"/>
          <w:sz w:val="52"/>
          <w:szCs w:val="52"/>
          <w:highlight w:val="none"/>
          <w:shd w:val="clear" w:color="auto" w:fill="auto"/>
          <w:lang w:val="en-US" w:eastAsia="zh-CN"/>
        </w:rPr>
        <w:t>2025年度中共怀化市委组织部</w:t>
      </w:r>
    </w:p>
    <w:p w14:paraId="3D863E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720" w:lineRule="exact"/>
        <w:ind w:right="0"/>
        <w:jc w:val="center"/>
        <w:textAlignment w:val="auto"/>
        <w:rPr>
          <w:rFonts w:hint="eastAsia" w:ascii="方正小标宋简体" w:hAnsi="方正小标宋简体" w:eastAsia="方正小标宋简体" w:cs="方正小标宋简体"/>
          <w:i w:val="0"/>
          <w:iCs w:val="0"/>
          <w:caps w:val="0"/>
          <w:color w:val="auto"/>
          <w:spacing w:val="0"/>
          <w:sz w:val="52"/>
          <w:szCs w:val="52"/>
          <w:highlight w:val="none"/>
          <w:shd w:val="clear" w:color="auto" w:fill="auto"/>
          <w:lang w:val="en-US" w:eastAsia="zh-CN"/>
        </w:rPr>
      </w:pPr>
      <w:r>
        <w:rPr>
          <w:rFonts w:hint="eastAsia" w:ascii="方正小标宋简体" w:hAnsi="方正小标宋简体" w:eastAsia="方正小标宋简体" w:cs="方正小标宋简体"/>
          <w:i w:val="0"/>
          <w:iCs w:val="0"/>
          <w:caps w:val="0"/>
          <w:color w:val="auto"/>
          <w:spacing w:val="0"/>
          <w:sz w:val="52"/>
          <w:szCs w:val="52"/>
          <w:highlight w:val="none"/>
          <w:shd w:val="clear" w:color="auto" w:fill="auto"/>
          <w:lang w:val="en-US" w:eastAsia="zh-CN"/>
        </w:rPr>
        <w:t>整体支出绩效自评报告</w:t>
      </w:r>
    </w:p>
    <w:p w14:paraId="696D8A70">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textAlignment w:val="auto"/>
        <w:rPr>
          <w:rFonts w:hint="eastAsia" w:ascii="方正小标宋简体" w:hAnsi="方正小标宋简体" w:eastAsia="方正小标宋简体" w:cs="方正小标宋简体"/>
          <w:b/>
          <w:bCs/>
          <w:color w:val="auto"/>
          <w:sz w:val="44"/>
          <w:szCs w:val="44"/>
          <w:highlight w:val="none"/>
          <w:lang w:val="en-US" w:eastAsia="zh-CN"/>
        </w:rPr>
      </w:pPr>
    </w:p>
    <w:p w14:paraId="69D948B3">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textAlignment w:val="auto"/>
        <w:rPr>
          <w:rFonts w:hint="eastAsia" w:ascii="方正小标宋简体" w:hAnsi="方正小标宋简体" w:eastAsia="方正小标宋简体" w:cs="方正小标宋简体"/>
          <w:b/>
          <w:bCs/>
          <w:color w:val="auto"/>
          <w:sz w:val="44"/>
          <w:szCs w:val="44"/>
          <w:highlight w:val="none"/>
          <w:lang w:val="en-US" w:eastAsia="zh-CN"/>
        </w:rPr>
      </w:pPr>
    </w:p>
    <w:p w14:paraId="021916C7">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textAlignment w:val="auto"/>
        <w:rPr>
          <w:rFonts w:hint="eastAsia" w:ascii="方正小标宋简体" w:hAnsi="方正小标宋简体" w:eastAsia="方正小标宋简体" w:cs="方正小标宋简体"/>
          <w:b/>
          <w:bCs/>
          <w:color w:val="auto"/>
          <w:sz w:val="44"/>
          <w:szCs w:val="44"/>
          <w:highlight w:val="none"/>
          <w:lang w:val="en-US" w:eastAsia="zh-CN"/>
        </w:rPr>
      </w:pPr>
    </w:p>
    <w:p w14:paraId="14E9446D">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textAlignment w:val="auto"/>
        <w:rPr>
          <w:rFonts w:hint="eastAsia" w:ascii="方正小标宋简体" w:hAnsi="方正小标宋简体" w:eastAsia="方正小标宋简体" w:cs="方正小标宋简体"/>
          <w:b/>
          <w:bCs/>
          <w:color w:val="auto"/>
          <w:sz w:val="44"/>
          <w:szCs w:val="44"/>
          <w:highlight w:val="none"/>
          <w:lang w:val="en-US" w:eastAsia="zh-CN"/>
        </w:rPr>
      </w:pPr>
    </w:p>
    <w:p w14:paraId="63386674">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textAlignment w:val="auto"/>
        <w:rPr>
          <w:rFonts w:hint="eastAsia" w:ascii="方正小标宋简体" w:hAnsi="方正小标宋简体" w:eastAsia="方正小标宋简体" w:cs="方正小标宋简体"/>
          <w:b/>
          <w:bCs/>
          <w:color w:val="auto"/>
          <w:sz w:val="44"/>
          <w:szCs w:val="44"/>
          <w:highlight w:val="none"/>
          <w:lang w:val="en-US" w:eastAsia="zh-CN"/>
        </w:rPr>
      </w:pPr>
    </w:p>
    <w:p w14:paraId="0E86065D">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textAlignment w:val="auto"/>
        <w:rPr>
          <w:rFonts w:hint="eastAsia" w:ascii="方正小标宋简体" w:hAnsi="方正小标宋简体" w:eastAsia="方正小标宋简体" w:cs="方正小标宋简体"/>
          <w:b/>
          <w:bCs/>
          <w:color w:val="auto"/>
          <w:sz w:val="44"/>
          <w:szCs w:val="44"/>
          <w:highlight w:val="none"/>
          <w:lang w:val="en-US" w:eastAsia="zh-CN"/>
        </w:rPr>
      </w:pPr>
    </w:p>
    <w:p w14:paraId="2C998C7F">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textAlignment w:val="auto"/>
        <w:rPr>
          <w:rFonts w:hint="eastAsia" w:ascii="方正小标宋简体" w:hAnsi="方正小标宋简体" w:eastAsia="方正小标宋简体" w:cs="方正小标宋简体"/>
          <w:b/>
          <w:bCs/>
          <w:color w:val="auto"/>
          <w:sz w:val="44"/>
          <w:szCs w:val="44"/>
          <w:highlight w:val="none"/>
          <w:lang w:val="en-US" w:eastAsia="zh-CN"/>
        </w:rPr>
      </w:pPr>
    </w:p>
    <w:p w14:paraId="5E890112">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textAlignment w:val="auto"/>
        <w:rPr>
          <w:rFonts w:hint="eastAsia" w:ascii="方正小标宋简体" w:hAnsi="方正小标宋简体" w:eastAsia="方正小标宋简体" w:cs="方正小标宋简体"/>
          <w:b/>
          <w:bCs/>
          <w:color w:val="auto"/>
          <w:sz w:val="44"/>
          <w:szCs w:val="44"/>
          <w:highlight w:val="none"/>
          <w:lang w:val="en-US" w:eastAsia="zh-CN"/>
        </w:rPr>
      </w:pPr>
    </w:p>
    <w:p w14:paraId="1A0C873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3BB254E">
      <w:pPr>
        <w:pStyle w:val="2"/>
        <w:rPr>
          <w:rFonts w:hint="default" w:ascii="方正黑体_GBK" w:hAnsi="方正黑体_GBK" w:eastAsia="方正黑体_GBK" w:cs="方正黑体_GBK"/>
          <w:b/>
          <w:bCs/>
          <w:color w:val="auto"/>
          <w:sz w:val="32"/>
          <w:szCs w:val="32"/>
          <w:highlight w:val="none"/>
          <w:lang w:val="en-US" w:eastAsia="zh-CN"/>
        </w:rPr>
      </w:pPr>
    </w:p>
    <w:p w14:paraId="51B152E6">
      <w:pPr>
        <w:rPr>
          <w:rFonts w:hint="default" w:ascii="方正黑体_GBK" w:hAnsi="方正黑体_GBK" w:eastAsia="方正黑体_GBK" w:cs="方正黑体_GBK"/>
          <w:b/>
          <w:bCs/>
          <w:color w:val="auto"/>
          <w:sz w:val="32"/>
          <w:szCs w:val="32"/>
          <w:highlight w:val="none"/>
          <w:lang w:val="en-US" w:eastAsia="zh-CN"/>
        </w:rPr>
      </w:pPr>
    </w:p>
    <w:p w14:paraId="4E447CC2">
      <w:pPr>
        <w:pStyle w:val="2"/>
        <w:rPr>
          <w:rFonts w:hint="default"/>
          <w:lang w:val="en-US" w:eastAsia="zh-CN"/>
        </w:rPr>
      </w:pPr>
    </w:p>
    <w:p w14:paraId="5078278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31B3151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EB66B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33BEBAE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BF0B80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D38C227">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黑体" w:hAnsi="黑体" w:eastAsia="黑体" w:cs="黑体"/>
          <w:b w:val="0"/>
          <w:bCs w:val="0"/>
          <w:color w:val="auto"/>
          <w:sz w:val="32"/>
          <w:szCs w:val="32"/>
          <w:highlight w:val="none"/>
          <w:lang w:val="en-US" w:eastAsia="zh-CN"/>
        </w:rPr>
      </w:pPr>
    </w:p>
    <w:p w14:paraId="3BF5A18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一、部门概况</w:t>
      </w:r>
    </w:p>
    <w:p w14:paraId="4AB0B49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楷体_GB2312" w:cs="Times New Roman"/>
          <w:b/>
          <w:bCs/>
          <w:i w:val="0"/>
          <w:iCs w:val="0"/>
          <w:caps w:val="0"/>
          <w:color w:val="000000"/>
          <w:spacing w:val="0"/>
          <w:kern w:val="0"/>
          <w:sz w:val="32"/>
          <w:szCs w:val="32"/>
          <w:shd w:val="clear" w:color="auto" w:fill="auto"/>
          <w:lang w:val="en-US" w:eastAsia="zh-CN" w:bidi="ar"/>
        </w:rPr>
      </w:pPr>
      <w:r>
        <w:rPr>
          <w:rFonts w:hint="eastAsia" w:ascii="Times New Roman" w:hAnsi="Times New Roman" w:eastAsia="楷体_GB2312" w:cs="Times New Roman"/>
          <w:b/>
          <w:bCs/>
          <w:i w:val="0"/>
          <w:iCs w:val="0"/>
          <w:caps w:val="0"/>
          <w:color w:val="000000"/>
          <w:spacing w:val="0"/>
          <w:kern w:val="0"/>
          <w:sz w:val="32"/>
          <w:szCs w:val="32"/>
          <w:shd w:val="clear" w:color="auto" w:fill="auto"/>
          <w:lang w:val="en-US" w:eastAsia="zh-CN" w:bidi="ar"/>
        </w:rPr>
        <w:t>（一）部门（单位）基本情况。</w:t>
      </w:r>
    </w:p>
    <w:p w14:paraId="443E71F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eastAsia="zh-CN"/>
        </w:rPr>
        <w:t>机构设置情况</w:t>
      </w:r>
    </w:p>
    <w:p w14:paraId="6F01EB4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共怀化市委组织部作为一级部门预算单位，内设科（室、中心）为：办公室、研究室、人事科、机关党委、市委党建办、组织指导科、党代表联络办、党员管理科、干部一科、干部二科、干部三科、干部规划办、公务员一科、公务员二科、公务员三科、干部信息科、干部监督科、举报中心、干部教育科、人才科、考核评价科、党员教育中心（信息化建设中心）、人才发展服务中心、通道转兵红色资源教育中心。</w:t>
      </w:r>
    </w:p>
    <w:p w14:paraId="52C9F5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eastAsia" w:ascii="Times New Roman" w:hAnsi="Times New Roman" w:eastAsia="楷体_GB2312" w:cs="Times New Roman"/>
          <w:b/>
          <w:bCs/>
          <w:i w:val="0"/>
          <w:iCs w:val="0"/>
          <w:caps w:val="0"/>
          <w:color w:val="000000"/>
          <w:spacing w:val="0"/>
          <w:sz w:val="32"/>
          <w:szCs w:val="32"/>
          <w:shd w:val="clear" w:color="auto" w:fill="auto"/>
          <w:lang w:val="en-US" w:eastAsia="zh-CN"/>
        </w:rPr>
      </w:pPr>
      <w:r>
        <w:rPr>
          <w:rFonts w:hint="eastAsia" w:ascii="仿宋_GB2312" w:hAnsi="仿宋_GB2312" w:eastAsia="仿宋_GB2312" w:cs="仿宋_GB2312"/>
          <w:kern w:val="2"/>
          <w:sz w:val="32"/>
          <w:szCs w:val="32"/>
          <w:lang w:val="en-US" w:eastAsia="zh-CN" w:bidi="ar-SA"/>
        </w:rPr>
        <w:t>2、人员编制情况</w:t>
      </w:r>
    </w:p>
    <w:p w14:paraId="2B846DC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2025年年末实有在职人数72人。</w:t>
      </w:r>
    </w:p>
    <w:p w14:paraId="3F637762">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楷体_GB2312" w:cs="Times New Roman"/>
          <w:b/>
          <w:bCs/>
          <w:i w:val="0"/>
          <w:iCs w:val="0"/>
          <w:caps w:val="0"/>
          <w:color w:val="000000"/>
          <w:spacing w:val="0"/>
          <w:kern w:val="0"/>
          <w:sz w:val="32"/>
          <w:szCs w:val="32"/>
          <w:shd w:val="clear" w:color="auto" w:fill="auto"/>
          <w:lang w:val="en-US" w:eastAsia="zh-CN" w:bidi="ar"/>
        </w:rPr>
      </w:pPr>
      <w:r>
        <w:rPr>
          <w:rFonts w:hint="eastAsia" w:ascii="Times New Roman" w:hAnsi="Times New Roman" w:eastAsia="楷体_GB2312" w:cs="Times New Roman"/>
          <w:b/>
          <w:bCs/>
          <w:i w:val="0"/>
          <w:iCs w:val="0"/>
          <w:caps w:val="0"/>
          <w:color w:val="000000"/>
          <w:spacing w:val="0"/>
          <w:kern w:val="0"/>
          <w:sz w:val="32"/>
          <w:szCs w:val="32"/>
          <w:shd w:val="clear" w:color="auto" w:fill="auto"/>
          <w:lang w:val="en-US" w:eastAsia="zh-CN" w:bidi="ar"/>
        </w:rPr>
        <w:t>（二）部门（单位）整体支出规模、使用方向和主要内容、涉及范围等。</w:t>
      </w:r>
    </w:p>
    <w:p w14:paraId="7ECF5AA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2025年度整体支出总额为2375.46万元，主要用于人员支出及日常工作保障支出。</w:t>
      </w:r>
    </w:p>
    <w:p w14:paraId="6D6239B0">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二、一般公共预算支出情况</w:t>
      </w:r>
    </w:p>
    <w:p w14:paraId="3A27F1D9">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楷体_GB2312" w:cs="Times New Roman"/>
          <w:b/>
          <w:bCs/>
          <w:i w:val="0"/>
          <w:iCs w:val="0"/>
          <w:caps w:val="0"/>
          <w:color w:val="000000"/>
          <w:spacing w:val="0"/>
          <w:kern w:val="0"/>
          <w:sz w:val="32"/>
          <w:szCs w:val="32"/>
          <w:shd w:val="clear" w:color="auto" w:fill="auto"/>
          <w:lang w:val="en-US" w:eastAsia="zh-CN" w:bidi="ar"/>
        </w:rPr>
      </w:pPr>
      <w:r>
        <w:rPr>
          <w:rFonts w:hint="default" w:ascii="Times New Roman" w:hAnsi="Times New Roman" w:eastAsia="楷体_GB2312" w:cs="Times New Roman"/>
          <w:b/>
          <w:bCs/>
          <w:i w:val="0"/>
          <w:iCs w:val="0"/>
          <w:caps w:val="0"/>
          <w:color w:val="000000"/>
          <w:spacing w:val="0"/>
          <w:kern w:val="0"/>
          <w:sz w:val="32"/>
          <w:szCs w:val="32"/>
          <w:shd w:val="clear" w:color="auto" w:fill="auto"/>
          <w:lang w:val="en-US" w:eastAsia="zh-CN" w:bidi="ar"/>
        </w:rPr>
        <w:t>（一）基本支出</w:t>
      </w:r>
    </w:p>
    <w:p w14:paraId="73A81E2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基本支出是保障机构正常运转、完成日常工作任务而发生的各项支出，包括用于人员工资、社保等人员经费以及办公费、差旅费、办公设备购置等日常工作经费。2025年一般公共预算支出2375.46万元，其中基本支出总额为1713.37万元，占一般公共预算支出的72.13%。“三公经费”年初预算为43万元，2025年实际支出39.92万元，其中公车购置24.99万元，公车运行维护14.51万元，公务接待0.42万元</w:t>
      </w:r>
      <w:r>
        <w:rPr>
          <w:rFonts w:hint="default" w:ascii="仿宋_GB2312" w:hAnsi="仿宋_GB2312" w:eastAsia="仿宋_GB2312" w:cs="仿宋_GB2312"/>
          <w:sz w:val="32"/>
          <w:szCs w:val="32"/>
          <w:lang w:val="en-US" w:eastAsia="zh-CN"/>
        </w:rPr>
        <w:t>。</w:t>
      </w:r>
    </w:p>
    <w:p w14:paraId="2D31BDE7">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楷体_GB2312" w:cs="Times New Roman"/>
          <w:b/>
          <w:bCs/>
          <w:i w:val="0"/>
          <w:iCs w:val="0"/>
          <w:caps w:val="0"/>
          <w:color w:val="000000"/>
          <w:spacing w:val="0"/>
          <w:kern w:val="0"/>
          <w:sz w:val="32"/>
          <w:szCs w:val="32"/>
          <w:shd w:val="clear" w:color="auto" w:fill="auto"/>
          <w:lang w:val="en-US" w:eastAsia="zh-CN" w:bidi="ar"/>
        </w:rPr>
      </w:pPr>
      <w:r>
        <w:rPr>
          <w:rFonts w:hint="default" w:ascii="Times New Roman" w:hAnsi="Times New Roman" w:eastAsia="楷体_GB2312" w:cs="Times New Roman"/>
          <w:b/>
          <w:bCs/>
          <w:i w:val="0"/>
          <w:iCs w:val="0"/>
          <w:caps w:val="0"/>
          <w:color w:val="000000"/>
          <w:spacing w:val="0"/>
          <w:kern w:val="0"/>
          <w:sz w:val="32"/>
          <w:szCs w:val="32"/>
          <w:shd w:val="clear" w:color="auto" w:fill="auto"/>
          <w:lang w:val="en-US" w:eastAsia="zh-CN" w:bidi="ar"/>
        </w:rPr>
        <w:t>（二）项目支出</w:t>
      </w:r>
    </w:p>
    <w:p w14:paraId="51FB2FD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2025年一般公共预算支出2375.46万元，其中项目支出662.09万元，占一般公共预算支出的27.87%。主要用于公务员招录及初任培训、党员教育、党建工作等方面。</w:t>
      </w:r>
    </w:p>
    <w:p w14:paraId="53AFC9F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三、项目组织实施情况</w:t>
      </w:r>
    </w:p>
    <w:p w14:paraId="1230760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各项目资金安排责任科室及责任人负责，按项目资金的用途专款专用。在使用项目资金时，严格执行项目资金使用的相关规定和财务制度，同时对各项目资金的使用进行监督，并开展绩效自评工作。</w:t>
      </w:r>
    </w:p>
    <w:p w14:paraId="041BEA4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四、资产管理情况</w:t>
      </w:r>
    </w:p>
    <w:p w14:paraId="7A08ED1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一是提高资产运用率。通过资产日常管理，能够最大化固定资产利用效率，保障单位各项工作的高效开展。</w:t>
      </w:r>
    </w:p>
    <w:p w14:paraId="4839C7B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二是提高财务管理水平。充分运用资产系统的各项功能开展资产日常管理工作，有助于提高资产的盘活及盘点工作效率。能够提高资产运用率，避免不必要的资产流失，提高核算的准确性。</w:t>
      </w:r>
    </w:p>
    <w:p w14:paraId="4848A1E2">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五、政府性基金预算支出情况</w:t>
      </w:r>
    </w:p>
    <w:p w14:paraId="06122F1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2025年我部门无政府性基金预算支出。</w:t>
      </w:r>
    </w:p>
    <w:p w14:paraId="6F35251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六、国有资本经营预算支出情况</w:t>
      </w:r>
    </w:p>
    <w:p w14:paraId="1AC70231">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2025年我部门无国有资本经营预算支出。</w:t>
      </w:r>
    </w:p>
    <w:p w14:paraId="5963965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七、社会保险基金预算支出情况</w:t>
      </w:r>
    </w:p>
    <w:p w14:paraId="667698D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2025年我部门无社会保险基金预算支出。</w:t>
      </w:r>
    </w:p>
    <w:p w14:paraId="6DB0A13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八、部门整体支出绩效情况</w:t>
      </w:r>
    </w:p>
    <w:p w14:paraId="755DAAD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600" w:lineRule="exact"/>
        <w:ind w:left="0" w:leftChars="0" w:right="0" w:rightChars="0" w:firstLine="640" w:firstLineChars="200"/>
        <w:jc w:val="both"/>
        <w:textAlignment w:val="auto"/>
        <w:rPr>
          <w:rFonts w:hint="eastAsia" w:ascii="仿宋_GB2312" w:hAnsi="仿宋_GB2312" w:eastAsia="仿宋_GB2312" w:cs="仿宋_GB2312"/>
          <w:b w:val="0"/>
          <w:bCs w:val="0"/>
          <w:color w:val="000000"/>
          <w:spacing w:val="0"/>
          <w:sz w:val="32"/>
          <w:szCs w:val="32"/>
          <w:lang w:val="en"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b w:val="0"/>
          <w:bCs w:val="0"/>
          <w:color w:val="000000"/>
          <w:spacing w:val="0"/>
          <w:sz w:val="32"/>
          <w:szCs w:val="32"/>
          <w:lang w:val="en-US" w:eastAsia="zh-CN"/>
        </w:rPr>
        <w:t>围绕凝心铸魂，汇聚抓改革促发展的强大动力。聚焦干部教育培训主题主线，举办处级干部进修班、中青年干部培训班等主体班；推动通道转兵红色资源开发利用，通道转兵红色资源教育中心被省委组织部列入全省五个示范教学点之一。围绕我市发展重点，依托上海交通大学、中南大学等平台，举办外向型经济高质量发展、产业高质量发展、文旅产业融合发展等专题培训班。持续选派年轻干部到上海市杨浦区和怀化国际陆港经开区等地学习锻炼，为经济发展部门干部和年轻干部开拓视野、提升本领搭建平台。及时发挥正向激励机制作用，市县两级共对在第五届湖南旅发大会、重大项目建设等重点专项工作中表现突出机关事业单位集体、机关事业单位工作人员开展及时奖励。</w:t>
      </w:r>
    </w:p>
    <w:p w14:paraId="03F4273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600" w:lineRule="exact"/>
        <w:ind w:left="0" w:leftChars="0" w:right="0" w:rightChars="0" w:firstLine="640" w:firstLineChars="200"/>
        <w:jc w:val="both"/>
        <w:textAlignment w:val="auto"/>
        <w:rPr>
          <w:rFonts w:hint="eastAsia" w:ascii="仿宋_GB2312" w:hAnsi="仿宋_GB2312" w:eastAsia="仿宋_GB2312" w:cs="仿宋_GB2312"/>
          <w:b w:val="0"/>
          <w:bCs w:val="0"/>
          <w:color w:val="000000"/>
          <w:spacing w:val="0"/>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val="0"/>
          <w:bCs w:val="0"/>
          <w:color w:val="000000"/>
          <w:spacing w:val="0"/>
          <w:sz w:val="32"/>
          <w:szCs w:val="32"/>
          <w:lang w:val="en-US" w:eastAsia="zh-CN"/>
        </w:rPr>
        <w:t>强化选贤任能，锻造堪当重任的高素质干部队伍。坚持凭德才和实干实绩选拔任用干部，积极运用要素分析法选优配强地方领导班子，提拔重用实绩突出的市管干部。提前对县市区领导班子进行分析研判，摸清一批年轻干部情况，着眼换届需求提前配备一批年轻干部、女干部、党外干部进县市区党政班子。制定出台《关于贯彻落实&lt;全国党政领导班子建设规划纲要&gt;的十五条措施》，分层分类推行年轻干部配备预审制度。加强年轻干部培育力度。率先探索建立考核结果“组织预审、多方联审、问题复审”制度和精简优化考核乡镇监测点机制，科学提升考核工作效能。扎实开展领导干部个人有关事项报告查核，持续做好干部日常监督管理各项工作。按照“人岗相适、平稳有序、分步推进”原则实施市县公安机构改革，副处级（含高配）岗位压减。</w:t>
      </w:r>
    </w:p>
    <w:p w14:paraId="7D3A936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600" w:lineRule="exact"/>
        <w:ind w:left="0" w:leftChars="0" w:right="0" w:rightChars="0" w:firstLine="640" w:firstLineChars="200"/>
        <w:jc w:val="both"/>
        <w:textAlignment w:val="auto"/>
        <w:rPr>
          <w:rFonts w:hint="eastAsia" w:ascii="仿宋_GB2312" w:hAnsi="仿宋_GB2312" w:eastAsia="仿宋_GB2312" w:cs="仿宋_GB2312"/>
          <w:b w:val="0"/>
          <w:bCs w:val="0"/>
          <w:color w:val="000000"/>
          <w:spacing w:val="0"/>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val="0"/>
          <w:bCs w:val="0"/>
          <w:color w:val="000000"/>
          <w:spacing w:val="0"/>
          <w:sz w:val="32"/>
          <w:szCs w:val="32"/>
          <w:lang w:val="en-US" w:eastAsia="zh-CN"/>
        </w:rPr>
        <w:t>注重强基固本，筑牢坚强有力的战斗堡垒。牢固树立大抓基层鲜明导向，开展乡村治理“小马拉大车”突出问</w:t>
      </w:r>
      <w:bookmarkStart w:id="0" w:name="_GoBack"/>
      <w:bookmarkEnd w:id="0"/>
      <w:r>
        <w:rPr>
          <w:rFonts w:hint="eastAsia" w:ascii="仿宋_GB2312" w:hAnsi="仿宋_GB2312" w:eastAsia="仿宋_GB2312" w:cs="仿宋_GB2312"/>
          <w:b w:val="0"/>
          <w:bCs w:val="0"/>
          <w:color w:val="000000"/>
          <w:spacing w:val="0"/>
          <w:sz w:val="32"/>
          <w:szCs w:val="32"/>
          <w:lang w:val="en-US" w:eastAsia="zh-CN"/>
        </w:rPr>
        <w:t>题“回头看”，进一步规范村级组织挂牌，全面完成乡镇（街道）履职事项清单编制工作。新一轮从村（社区）党组织书记中考核招聘乡镇（街道）事业编制工作人员。扎实推进村（社区）“两委”换届工作，确保换届工作平稳有序推进。选派新一轮驻村工作队，实现脱贫村、易地扶贫搬迁集中安置村（社区）、党组织软弱涣散村等“三类村”驻村全覆盖。做实抓细片组邻“三长制”，解决群众急难愁盼问题。制定围绕党员教育培训工作规划总体要求，采取“线上+线下”相结合的方式，推动全体党员应训尽训，精心制作党员教育专题片。</w:t>
      </w:r>
    </w:p>
    <w:p w14:paraId="2DE36BA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600" w:lineRule="exact"/>
        <w:ind w:left="0" w:leftChars="0" w:right="0" w:rightChars="0" w:firstLine="640" w:firstLineChars="200"/>
        <w:jc w:val="both"/>
        <w:textAlignment w:val="auto"/>
        <w:rPr>
          <w:rFonts w:hint="eastAsia" w:ascii="仿宋_GB2312" w:hAnsi="仿宋_GB2312" w:eastAsia="仿宋_GB2312" w:cs="仿宋_GB2312"/>
          <w:b w:val="0"/>
          <w:bCs w:val="0"/>
          <w:color w:val="000000"/>
          <w:spacing w:val="0"/>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b w:val="0"/>
          <w:bCs w:val="0"/>
          <w:color w:val="000000"/>
          <w:spacing w:val="0"/>
          <w:sz w:val="32"/>
          <w:szCs w:val="32"/>
          <w:lang w:val="en-US" w:eastAsia="zh-CN"/>
        </w:rPr>
        <w:t>突出育才聚才，强化高质量发展的人才支撑。聚焦打造五省边际人才新高地，持续推动“五溪人才计划”提档升级。以构建“5+10”现代化产业体系和建设区域性医疗中心、教育中心为重点，组织市县企事业单位赴西安交通大学等知名高校开展“智汇潇湘·才聚五溪”怀化市2025年招才引才高校行系列活动，引进各类人才，我市招才引智人才回湘工作排全省第四。继续实施科教兴农“三小工程”，湖南农业大学新一批次“支农小队”完成入驻，持续推动科技小院发挥作用。做好省级科技领军人才来怀疗养工作，优化市领导联系服务专家人才制度。</w:t>
      </w:r>
    </w:p>
    <w:p w14:paraId="213C26A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600" w:lineRule="exact"/>
        <w:ind w:left="0" w:leftChars="0" w:right="0" w:rightChars="0" w:firstLine="640" w:firstLineChars="200"/>
        <w:jc w:val="both"/>
        <w:textAlignment w:val="auto"/>
        <w:rPr>
          <w:rFonts w:hint="eastAsia" w:ascii="仿宋_GB2312" w:hAnsi="仿宋_GB2312" w:eastAsia="仿宋_GB2312" w:cs="仿宋_GB2312"/>
          <w:b w:val="0"/>
          <w:bCs w:val="0"/>
          <w:color w:val="000000"/>
          <w:spacing w:val="0"/>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b w:val="0"/>
          <w:bCs w:val="0"/>
          <w:color w:val="000000"/>
          <w:spacing w:val="0"/>
          <w:sz w:val="32"/>
          <w:szCs w:val="32"/>
          <w:lang w:val="en-US" w:eastAsia="zh-CN"/>
        </w:rPr>
        <w:t>坚持从严治部，打造模范部门和过硬队伍。扎实开展深入贯彻中央八项规定精神学习教育，紧扣“学查改”一体推进要求，推动组织部门在学习教育中走在前、作表率。印发严格落实《党政机关厉行节约反对浪费条例》的工作提示，严格控制、规范“三公经费”支出。严格落实全面从严治党主体责任，积极支持驻部纪检监察组开展工作，部务会成员不定期与科室负责人、年轻干部开展谈心谈话和廉政家访。</w:t>
      </w:r>
    </w:p>
    <w:p w14:paraId="2DC83982">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九、存在的问题及原因分析</w:t>
      </w:r>
    </w:p>
    <w:p w14:paraId="472EAD4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部门预算编制需</w:t>
      </w:r>
      <w:r>
        <w:rPr>
          <w:rFonts w:hint="eastAsia" w:ascii="仿宋_GB2312" w:hAnsi="仿宋_GB2312" w:eastAsia="仿宋_GB2312" w:cs="仿宋_GB2312"/>
          <w:sz w:val="32"/>
          <w:szCs w:val="32"/>
          <w:lang w:val="en-US" w:eastAsia="zh-CN"/>
        </w:rPr>
        <w:t>进一步</w:t>
      </w:r>
      <w:r>
        <w:rPr>
          <w:rFonts w:hint="default" w:ascii="仿宋_GB2312" w:hAnsi="仿宋_GB2312" w:eastAsia="仿宋_GB2312" w:cs="仿宋_GB2312"/>
          <w:sz w:val="32"/>
          <w:szCs w:val="32"/>
          <w:lang w:val="en-US" w:eastAsia="zh-CN"/>
        </w:rPr>
        <w:t>提高精细度。</w:t>
      </w:r>
    </w:p>
    <w:p w14:paraId="55985FF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十、下一步改进措施</w:t>
      </w:r>
    </w:p>
    <w:p w14:paraId="450AB66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在今后的工作中我们将进一步加强对预算编制和执行的监督，提高预算管理水平。同时加强对科室预算执行情况的跟踪，及时发现并解决问题。提高项目绩效目标管理的执行力，提升项目绩效目标管理水平。</w:t>
      </w:r>
    </w:p>
    <w:p w14:paraId="4A696B1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十一、绩效自评结果拟应用和公开情况</w:t>
      </w:r>
    </w:p>
    <w:p w14:paraId="03A7148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将按规定公开自评结果，并将自评结果作为后续资金安排、项目申报和配置的重要依据</w:t>
      </w:r>
      <w:r>
        <w:rPr>
          <w:rFonts w:hint="default" w:ascii="仿宋_GB2312" w:hAnsi="仿宋_GB2312" w:eastAsia="仿宋_GB2312" w:cs="仿宋_GB2312"/>
          <w:sz w:val="32"/>
          <w:szCs w:val="32"/>
          <w:lang w:val="en-US" w:eastAsia="zh-CN"/>
        </w:rPr>
        <w:t>。</w:t>
      </w:r>
    </w:p>
    <w:p w14:paraId="6E966BC6">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十二、其他需要说明的情况</w:t>
      </w:r>
    </w:p>
    <w:p w14:paraId="26F50CD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sectPr>
      <w:pgSz w:w="11906" w:h="16838"/>
      <w:pgMar w:top="1440" w:right="1800" w:bottom="132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D7556E"/>
    <w:rsid w:val="024B505A"/>
    <w:rsid w:val="030C07A3"/>
    <w:rsid w:val="03AA4003"/>
    <w:rsid w:val="0723298C"/>
    <w:rsid w:val="0F6320DC"/>
    <w:rsid w:val="10EE0BAB"/>
    <w:rsid w:val="1B2D1349"/>
    <w:rsid w:val="21D7556E"/>
    <w:rsid w:val="28243AD4"/>
    <w:rsid w:val="2C0954BB"/>
    <w:rsid w:val="2FD37FF8"/>
    <w:rsid w:val="33ED3D18"/>
    <w:rsid w:val="35510C78"/>
    <w:rsid w:val="35970B2C"/>
    <w:rsid w:val="3FBB48C6"/>
    <w:rsid w:val="41257EB1"/>
    <w:rsid w:val="46072075"/>
    <w:rsid w:val="47FE33D1"/>
    <w:rsid w:val="481A0C03"/>
    <w:rsid w:val="4AE72A13"/>
    <w:rsid w:val="52E37F64"/>
    <w:rsid w:val="551E34D6"/>
    <w:rsid w:val="59747B68"/>
    <w:rsid w:val="5C9D73D6"/>
    <w:rsid w:val="5D546734"/>
    <w:rsid w:val="5DC30C17"/>
    <w:rsid w:val="5F6B51B5"/>
    <w:rsid w:val="664B4963"/>
    <w:rsid w:val="769F582D"/>
    <w:rsid w:val="79BE0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next w:val="1"/>
    <w:qFormat/>
    <w:uiPriority w:val="0"/>
    <w:pPr>
      <w:tabs>
        <w:tab w:val="center" w:pos="4153"/>
        <w:tab w:val="right" w:pos="8307"/>
      </w:tabs>
      <w:snapToGrid w:val="0"/>
      <w:jc w:val="left"/>
    </w:pPr>
    <w:rPr>
      <w:kern w:val="2"/>
      <w:sz w:val="18"/>
      <w:szCs w:val="24"/>
    </w:rPr>
  </w:style>
  <w:style w:type="paragraph" w:styleId="3">
    <w:name w:val="Body Text"/>
    <w:basedOn w:val="1"/>
    <w:qFormat/>
    <w:uiPriority w:val="0"/>
    <w:pPr>
      <w:spacing w:after="120" w:afterLines="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w:basedOn w:val="3"/>
    <w:qFormat/>
    <w:uiPriority w:val="0"/>
    <w:pPr>
      <w:ind w:firstLine="664"/>
    </w:pPr>
  </w:style>
  <w:style w:type="paragraph" w:customStyle="1" w:styleId="8">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2479</Words>
  <Characters>2568</Characters>
  <Lines>0</Lines>
  <Paragraphs>0</Paragraphs>
  <TotalTime>4</TotalTime>
  <ScaleCrop>false</ScaleCrop>
  <LinksUpToDate>false</LinksUpToDate>
  <CharactersWithSpaces>2568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2025-06-24T08:17:00Z</dcterms:created>
  <dc:creator>WPS_1697591619</dc:creator>
  <cp:lastModifiedBy>楠木</cp:lastModifiedBy>
  <cp:lastPrinted>2026-09-08T10:04:29Z</cp:lastPrinted>
  <dcterms:modified xsi:type="dcterms:W3CDTF">2026-09-09T00:18:14Z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2F69F25EF3BF4F11AEB38ED73761508E_13</vt:lpwstr>
  </property>
  <property fmtid="{D5CDD505-2E9C-101B-9397-08002B2CF9AE}" pid="4" name="KSOTemplateDocerSaveRecord">
    <vt:lpwstr>eyJoZGlkIjoiYjIzOWQzOGFlMDNjN2UzMmZiY2JlYjNjNzlmY2UyYTEiLCJ1c2VySWQiOiI1MjYwNjc3ODkifQ==</vt:lpwstr>
  </property>
</Properties>
</file>