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FDAA">
      <w:pPr>
        <w:pStyle w:val="14"/>
        <w:tabs>
          <w:tab w:val="left" w:pos="1890"/>
        </w:tabs>
        <w:jc w:val="both"/>
        <w:rPr>
          <w:rFonts w:hAnsi="黑体"/>
          <w:sz w:val="36"/>
          <w:szCs w:val="36"/>
        </w:rPr>
      </w:pPr>
      <w:r>
        <w:rPr>
          <w:rFonts w:hint="eastAsia" w:hAnsi="黑体"/>
          <w:sz w:val="36"/>
          <w:szCs w:val="36"/>
        </w:rPr>
        <w:t>附件1</w:t>
      </w:r>
    </w:p>
    <w:p w14:paraId="0D946286">
      <w:pPr>
        <w:pStyle w:val="14"/>
        <w:jc w:val="center"/>
        <w:rPr>
          <w:rFonts w:ascii="Times New Roman" w:hAnsi="Times New Roman" w:cs="Times New Roman"/>
          <w:sz w:val="56"/>
          <w:szCs w:val="56"/>
        </w:rPr>
      </w:pPr>
    </w:p>
    <w:p w14:paraId="19258CB5">
      <w:pPr>
        <w:pStyle w:val="14"/>
        <w:jc w:val="center"/>
        <w:rPr>
          <w:rFonts w:ascii="Times New Roman" w:hAnsi="Times New Roman" w:cs="Times New Roman"/>
          <w:sz w:val="84"/>
          <w:szCs w:val="84"/>
        </w:rPr>
      </w:pPr>
    </w:p>
    <w:p w14:paraId="1A977BA8">
      <w:pPr>
        <w:pStyle w:val="14"/>
        <w:jc w:val="center"/>
        <w:rPr>
          <w:rFonts w:ascii="Times New Roman" w:hAnsi="Times New Roman" w:cs="Times New Roman"/>
          <w:sz w:val="84"/>
          <w:szCs w:val="84"/>
        </w:rPr>
      </w:pPr>
    </w:p>
    <w:p w14:paraId="3B8587C5">
      <w:pPr>
        <w:pStyle w:val="14"/>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w:t>
      </w:r>
    </w:p>
    <w:p w14:paraId="07A2CD61">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怀化市住房公积金管理中心</w:t>
      </w:r>
      <w:r>
        <w:rPr>
          <w:rFonts w:ascii="Times New Roman" w:hAnsi="Times New Roman" w:eastAsia="方正小标宋简体" w:cs="Times New Roman"/>
          <w:sz w:val="72"/>
          <w:szCs w:val="72"/>
        </w:rPr>
        <w:t>部门决算</w:t>
      </w:r>
    </w:p>
    <w:p w14:paraId="157F5DD0">
      <w:pPr>
        <w:pStyle w:val="14"/>
        <w:jc w:val="center"/>
        <w:rPr>
          <w:rFonts w:ascii="Times New Roman" w:hAnsi="Times New Roman" w:eastAsia="方正小标宋_GBK" w:cs="Times New Roman"/>
          <w:sz w:val="56"/>
          <w:szCs w:val="56"/>
        </w:rPr>
      </w:pPr>
    </w:p>
    <w:p w14:paraId="4FA7D4A4">
      <w:pPr>
        <w:pStyle w:val="14"/>
        <w:jc w:val="center"/>
        <w:rPr>
          <w:rFonts w:ascii="Times New Roman" w:hAnsi="Times New Roman" w:cs="Times New Roman"/>
          <w:sz w:val="56"/>
          <w:szCs w:val="56"/>
        </w:rPr>
      </w:pPr>
    </w:p>
    <w:p w14:paraId="58E09657">
      <w:pPr>
        <w:pStyle w:val="14"/>
        <w:rPr>
          <w:rFonts w:ascii="Times New Roman" w:hAnsi="Times New Roman" w:cs="Times New Roman"/>
          <w:sz w:val="56"/>
          <w:szCs w:val="56"/>
        </w:rPr>
      </w:pPr>
    </w:p>
    <w:p w14:paraId="7545B388">
      <w:pPr>
        <w:pStyle w:val="14"/>
        <w:jc w:val="center"/>
        <w:rPr>
          <w:rFonts w:ascii="Times New Roman" w:hAnsi="Times New Roman" w:cs="Times New Roman"/>
          <w:sz w:val="32"/>
          <w:szCs w:val="32"/>
        </w:rPr>
      </w:pPr>
    </w:p>
    <w:p w14:paraId="4D00B17C">
      <w:pPr>
        <w:pStyle w:val="14"/>
        <w:jc w:val="center"/>
        <w:rPr>
          <w:rFonts w:ascii="Times New Roman" w:hAnsi="Times New Roman" w:cs="Times New Roman"/>
          <w:sz w:val="32"/>
          <w:szCs w:val="32"/>
        </w:rPr>
      </w:pPr>
    </w:p>
    <w:p w14:paraId="68C22B3C">
      <w:pPr>
        <w:pStyle w:val="14"/>
        <w:jc w:val="center"/>
        <w:rPr>
          <w:rFonts w:ascii="Times New Roman" w:hAnsi="Times New Roman" w:cs="Times New Roman"/>
          <w:sz w:val="32"/>
          <w:szCs w:val="32"/>
        </w:rPr>
      </w:pPr>
    </w:p>
    <w:p w14:paraId="5A836683">
      <w:pPr>
        <w:pStyle w:val="14"/>
        <w:jc w:val="center"/>
        <w:rPr>
          <w:rFonts w:ascii="Times New Roman" w:hAnsi="Times New Roman" w:cs="Times New Roman"/>
          <w:sz w:val="32"/>
          <w:szCs w:val="32"/>
        </w:rPr>
      </w:pPr>
    </w:p>
    <w:p w14:paraId="498E36D5">
      <w:pPr>
        <w:pStyle w:val="14"/>
        <w:jc w:val="center"/>
        <w:rPr>
          <w:rFonts w:ascii="Times New Roman" w:hAnsi="Times New Roman" w:cs="Times New Roman"/>
          <w:sz w:val="32"/>
          <w:szCs w:val="32"/>
        </w:rPr>
      </w:pPr>
    </w:p>
    <w:p w14:paraId="428AB6C6">
      <w:pPr>
        <w:pStyle w:val="14"/>
        <w:spacing w:line="600" w:lineRule="exact"/>
        <w:jc w:val="both"/>
        <w:rPr>
          <w:rFonts w:ascii="Times New Roman" w:hAnsi="Times New Roman" w:cs="Times New Roman"/>
          <w:b/>
          <w:sz w:val="36"/>
          <w:szCs w:val="28"/>
        </w:rPr>
        <w:sectPr>
          <w:headerReference r:id="rId4" w:type="first"/>
          <w:footerReference r:id="rId6" w:type="first"/>
          <w:headerReference r:id="rId3" w:type="default"/>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AFC282D">
      <w:pPr>
        <w:pStyle w:val="14"/>
        <w:spacing w:line="600" w:lineRule="exact"/>
        <w:jc w:val="both"/>
        <w:rPr>
          <w:rFonts w:ascii="Times New Roman" w:hAnsi="Times New Roman" w:cs="Times New Roman"/>
          <w:b/>
          <w:sz w:val="36"/>
          <w:szCs w:val="28"/>
        </w:rPr>
      </w:pPr>
    </w:p>
    <w:p w14:paraId="27F671D1">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0E5BFD3">
      <w:pPr>
        <w:pStyle w:val="14"/>
        <w:spacing w:line="600" w:lineRule="exact"/>
        <w:jc w:val="center"/>
        <w:rPr>
          <w:rFonts w:ascii="Times New Roman" w:hAnsi="Times New Roman" w:cs="Times New Roman"/>
          <w:b/>
          <w:sz w:val="36"/>
          <w:szCs w:val="28"/>
        </w:rPr>
      </w:pPr>
    </w:p>
    <w:p w14:paraId="4D74B11A">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怀化市住房公积金管理中心</w:t>
      </w:r>
      <w:r>
        <w:rPr>
          <w:rFonts w:ascii="Times New Roman" w:hAnsi="Times New Roman" w:cs="Times New Roman"/>
          <w:bCs/>
          <w:sz w:val="32"/>
          <w:szCs w:val="32"/>
        </w:rPr>
        <w:t>概况</w:t>
      </w:r>
    </w:p>
    <w:p w14:paraId="337D05D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42BF2A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AFFD3D7">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7074E0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218B47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0BE460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35D679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68749D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FB1839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83771A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FE5BFE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158F7B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0CD7AA3">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1B11B9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977A35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6C0FCD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640685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EE5A1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022499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7" w:type="default"/>
          <w:pgSz w:w="11906" w:h="16838"/>
          <w:pgMar w:top="1417" w:right="1588" w:bottom="1417" w:left="158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1CE0FE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672BAB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2F911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A364FEB">
      <w:pPr>
        <w:autoSpaceDE w:val="0"/>
        <w:autoSpaceDN w:val="0"/>
        <w:adjustRightInd w:val="0"/>
        <w:spacing w:line="600" w:lineRule="exact"/>
        <w:jc w:val="left"/>
        <w:rPr>
          <w:rFonts w:hint="eastAsia" w:eastAsia="仿宋_GB2312"/>
          <w:lang w:eastAsia="zh-CN"/>
        </w:rPr>
      </w:pPr>
      <w:r>
        <w:rPr>
          <w:rFonts w:hint="eastAsia" w:ascii="Times New Roman" w:hAnsi="Times New Roman" w:eastAsia="仿宋_GB2312" w:cs="Times New Roman"/>
          <w:color w:val="000000"/>
          <w:kern w:val="0"/>
          <w:sz w:val="32"/>
          <w:szCs w:val="32"/>
          <w:lang w:eastAsia="zh-CN"/>
        </w:rPr>
        <w:t>九、国有资本经营预算收入支出决算情况</w:t>
      </w:r>
    </w:p>
    <w:p w14:paraId="468DAD6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14:paraId="244769D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37304E2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十二</w:t>
      </w:r>
      <w:r>
        <w:rPr>
          <w:rFonts w:ascii="Times New Roman" w:hAnsi="Times New Roman" w:eastAsia="仿宋_GB2312" w:cs="Times New Roman"/>
          <w:color w:val="000000"/>
          <w:kern w:val="0"/>
          <w:sz w:val="32"/>
          <w:szCs w:val="32"/>
        </w:rPr>
        <w:t>、关于政府采购支出说明</w:t>
      </w:r>
    </w:p>
    <w:p w14:paraId="4CF7D1A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十三、关于国有资产占用情况说明</w:t>
      </w:r>
    </w:p>
    <w:p w14:paraId="46663E00">
      <w:pPr>
        <w:pStyle w:val="14"/>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十四</w:t>
      </w:r>
      <w:r>
        <w:rPr>
          <w:rFonts w:ascii="Times New Roman" w:hAnsi="Times New Roman" w:eastAsia="仿宋_GB2312" w:cs="Times New Roman"/>
          <w:sz w:val="32"/>
          <w:szCs w:val="32"/>
        </w:rPr>
        <w:t>、关于2024年度预算绩效管理情况的说明</w:t>
      </w:r>
    </w:p>
    <w:p w14:paraId="4E821CF1">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7FA4C83">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6DE39A1">
      <w:pPr>
        <w:pStyle w:val="14"/>
        <w:spacing w:line="600" w:lineRule="exact"/>
        <w:rPr>
          <w:rFonts w:ascii="Times New Roman" w:hAnsi="Times New Roman" w:cs="Times New Roman"/>
          <w:bCs/>
          <w:sz w:val="28"/>
          <w:szCs w:val="28"/>
        </w:rPr>
      </w:pPr>
    </w:p>
    <w:p w14:paraId="10435F4A">
      <w:pPr>
        <w:jc w:val="center"/>
        <w:rPr>
          <w:rFonts w:ascii="Times New Roman" w:hAnsi="Times New Roman" w:cs="Times New Roman"/>
          <w:sz w:val="72"/>
          <w:szCs w:val="72"/>
        </w:rPr>
      </w:pPr>
    </w:p>
    <w:p w14:paraId="6848501F">
      <w:pPr>
        <w:jc w:val="center"/>
        <w:rPr>
          <w:rFonts w:ascii="Times New Roman" w:hAnsi="Times New Roman" w:cs="Times New Roman"/>
          <w:sz w:val="72"/>
          <w:szCs w:val="72"/>
        </w:rPr>
      </w:pPr>
    </w:p>
    <w:p w14:paraId="10532FBA">
      <w:pPr>
        <w:jc w:val="center"/>
        <w:rPr>
          <w:rFonts w:ascii="Times New Roman" w:hAnsi="Times New Roman" w:cs="Times New Roman"/>
          <w:sz w:val="72"/>
          <w:szCs w:val="72"/>
        </w:rPr>
      </w:pPr>
    </w:p>
    <w:p w14:paraId="4446FB07">
      <w:pPr>
        <w:pStyle w:val="2"/>
        <w:rPr>
          <w:rFonts w:ascii="Times New Roman" w:hAnsi="Times New Roman" w:cs="Times New Roman"/>
        </w:rPr>
        <w:sectPr>
          <w:footerReference r:id="rId8" w:type="default"/>
          <w:pgSz w:w="11906" w:h="16838"/>
          <w:pgMar w:top="1417" w:right="1588" w:bottom="1417" w:left="158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D625174">
      <w:pPr>
        <w:pStyle w:val="2"/>
      </w:pPr>
    </w:p>
    <w:p w14:paraId="454C751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D9D61C9">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怀化市住房公积金管理中心</w:t>
      </w:r>
      <w:r>
        <w:rPr>
          <w:rFonts w:ascii="Times New Roman" w:hAnsi="Times New Roman" w:eastAsia="方正小标宋_GBK" w:cs="Times New Roman"/>
          <w:sz w:val="52"/>
          <w:szCs w:val="52"/>
        </w:rPr>
        <w:t>概况</w:t>
      </w:r>
    </w:p>
    <w:p w14:paraId="005B375B">
      <w:pPr>
        <w:pStyle w:val="3"/>
        <w:ind w:left="0" w:leftChars="0" w:firstLine="0" w:firstLineChars="0"/>
        <w:rPr>
          <w:rFonts w:ascii="Times New Roman" w:hAnsi="Times New Roman" w:cs="Times New Roman"/>
        </w:rPr>
      </w:pPr>
    </w:p>
    <w:p w14:paraId="089ED546">
      <w:pPr>
        <w:pStyle w:val="15"/>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0645801">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怀化市住房公积金管理中心（以下简称市住房公积金管理中心）为市人民政府直属公益一类事业单位，机构规格相当于正处级。市住房公积金管理中心贯彻落实党中央和省委关于住房公积金管理工作的方针政策和决策部署，全面落实市委市政府关于住房公积金管理工作的部署要求，在履行职责过程中坚</w:t>
      </w:r>
      <w:r>
        <w:rPr>
          <w:rFonts w:hint="eastAsia" w:ascii="Times New Roman" w:hAnsi="Times New Roman" w:eastAsia="仿宋_GB2312" w:cs="Times New Roman"/>
          <w:spacing w:val="-6"/>
          <w:sz w:val="32"/>
          <w:szCs w:val="32"/>
        </w:rPr>
        <w:t>持和加强党对住房公积金管理工作的集中统一领导。主要职责是：</w:t>
      </w:r>
    </w:p>
    <w:p w14:paraId="0267B0A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（一）贯彻执行国家、省、市关于住房公积金管理的法律法规、政策规定；拟订全市住房公积金事业发展规划；负责住房公积金制度的宣传、建立和推广；负责全市住房公积金的管理运作。</w:t>
      </w:r>
    </w:p>
    <w:p w14:paraId="756D1E5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（二）拟订全市住房公积金业务操作规程、实施细则并组织实施；对住房公积金管理的法规政策、规章制度执行情况进行监督，对违规行为进行处理。</w:t>
      </w:r>
    </w:p>
    <w:p w14:paraId="15F048E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（三）编制、执行全市住房公积金年度归集、使用计划；编制全市住房公积金年度归集、使用计划执行情况报告和增值收益分配方案，经市财政部门审核，报管委会审议后执行。  </w:t>
      </w:r>
    </w:p>
    <w:p w14:paraId="7014DDB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（四）编制全市住房公积金年度预决算，经市财政部门审核，报管委会审议后执行。</w:t>
      </w:r>
    </w:p>
    <w:p w14:paraId="26D76CA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（五）编制住房公积金年度报告，经管委会审议后定期向社会公布。</w:t>
      </w:r>
    </w:p>
    <w:p w14:paraId="2641B44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定期核定、调整全市住房公积金的缴存基数、缴存比例，督促缴存单位和个人按时足额缴纳住房公积金；负责记载职工个人住房公积金的缴存、使用、转移、封存、冻结、账户注销等情况以及与缴存单位、个人定期对账。</w:t>
      </w:r>
    </w:p>
    <w:p w14:paraId="255C4DF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（七）审核单位降低住房公积金缴存比例或者缓缴的申请，报管委会批准后执行。</w:t>
      </w:r>
    </w:p>
    <w:p w14:paraId="09D34ED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（八）审批个人住房公积金的提取、贷款。</w:t>
      </w:r>
    </w:p>
    <w:p w14:paraId="38870AF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（九）负责住房公积金的保值增值和归还。</w:t>
      </w:r>
    </w:p>
    <w:p w14:paraId="6429CE7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（十）依规办理全市住房公积金呆账核销工作。</w:t>
      </w:r>
    </w:p>
    <w:p w14:paraId="558D0FE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（十一）负责市本级原房改房住房基金及维修基金的管理工作。</w:t>
      </w:r>
    </w:p>
    <w:p w14:paraId="328A763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（十二）负责建设、维护、管理全市住房公积金业务管理信息系统，建立健全住房公积金业务信息系统互联互通和信息资源共享机制。</w:t>
      </w:r>
    </w:p>
    <w:p w14:paraId="09DB4F60">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（十三）负责全市住房公积金管理系统思想政治建设、组织文化建设和队伍建设，提高全市住房公积金管理人员的业务能力和综合素质。</w:t>
      </w:r>
    </w:p>
    <w:p w14:paraId="1D0A1E6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（十四）负责对各县市区管理部人、财、物的全面管理，直接负责全市住房公积金管理系统人员招录、中层及以下工作人员的考察任免事项。</w:t>
      </w:r>
    </w:p>
    <w:p w14:paraId="3F29C62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（十五）承办市委、市政府交办的其他工作。</w:t>
      </w:r>
    </w:p>
    <w:p w14:paraId="379CE451">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13093D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内设机构设置。怀化市住房公积金管理中心作为一级部门预算单位，内设科室8个：综合部、人事部、财务部、稽核部、资金核算部、科技信息部、政策法规部、网办政务服务部；下设不具备独立法人资格的正科级分支机构15个：市直管理一部、市直管理二部、沅陵县管理部、辰溪县管理部、溆浦县管理部、麻阳苗族自治县管理部、新晃侗族自治县管理部、芷江侗族自治县管理部、鹤城区管理部、中方县管理部、洪江市管理部、洪江区管理部、会同县管理部、靖州苗族侗族自治县管理部、通道侗族自治县管理部。</w:t>
      </w:r>
    </w:p>
    <w:p w14:paraId="1CBD831C">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Times New Roman" w:hAnsi="Times New Roman" w:eastAsia="黑体" w:cs="Times New Roman"/>
          <w:sz w:val="28"/>
          <w:szCs w:val="28"/>
        </w:rPr>
      </w:pPr>
      <w:r>
        <w:rPr>
          <w:rFonts w:hint="eastAsia" w:ascii="Times New Roman" w:hAnsi="Times New Roman" w:eastAsia="仿宋_GB2312" w:cs="Times New Roman"/>
          <w:bCs/>
          <w:kern w:val="0"/>
          <w:sz w:val="32"/>
          <w:szCs w:val="32"/>
        </w:rPr>
        <w:t>（二）决算单位构成。怀化市住房公积金管理中心2024年部门决算汇总公开单位构成包括：怀化市住房公积金管理中心本级。</w:t>
      </w:r>
    </w:p>
    <w:p w14:paraId="4163535A">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Times New Roman" w:hAnsi="Times New Roman" w:eastAsia="黑体" w:cs="Times New Roman"/>
          <w:sz w:val="28"/>
          <w:szCs w:val="28"/>
        </w:rPr>
        <w:sectPr>
          <w:headerReference r:id="rId9" w:type="default"/>
          <w:footerReference r:id="rId10" w:type="default"/>
          <w:pgSz w:w="11906" w:h="16838"/>
          <w:pgMar w:top="1417" w:right="1587" w:bottom="1417" w:left="158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9F1D8B9">
      <w:pPr>
        <w:jc w:val="center"/>
        <w:rPr>
          <w:rFonts w:ascii="Times New Roman" w:hAnsi="Times New Roman" w:eastAsia="黑体" w:cs="Times New Roman"/>
          <w:sz w:val="28"/>
          <w:szCs w:val="28"/>
        </w:rPr>
      </w:pPr>
    </w:p>
    <w:p w14:paraId="25A60615">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tbl>
      <w:tblPr>
        <w:tblStyle w:val="10"/>
        <w:tblW w:w="14900" w:type="dxa"/>
        <w:tblInd w:w="0" w:type="dxa"/>
        <w:tblLayout w:type="fixed"/>
        <w:tblCellMar>
          <w:top w:w="0" w:type="dxa"/>
          <w:left w:w="108" w:type="dxa"/>
          <w:bottom w:w="0" w:type="dxa"/>
          <w:right w:w="108" w:type="dxa"/>
        </w:tblCellMar>
      </w:tblPr>
      <w:tblGrid>
        <w:gridCol w:w="4024"/>
        <w:gridCol w:w="712"/>
        <w:gridCol w:w="1150"/>
        <w:gridCol w:w="4610"/>
        <w:gridCol w:w="1"/>
        <w:gridCol w:w="1974"/>
        <w:gridCol w:w="2429"/>
      </w:tblGrid>
      <w:tr w14:paraId="1DFE29F4">
        <w:tblPrEx>
          <w:tblCellMar>
            <w:top w:w="0" w:type="dxa"/>
            <w:left w:w="108" w:type="dxa"/>
            <w:bottom w:w="0" w:type="dxa"/>
            <w:right w:w="108" w:type="dxa"/>
          </w:tblCellMar>
        </w:tblPrEx>
        <w:trPr>
          <w:trHeight w:val="90" w:hRule="atLeast"/>
        </w:trPr>
        <w:tc>
          <w:tcPr>
            <w:tcW w:w="14900" w:type="dxa"/>
            <w:gridSpan w:val="7"/>
            <w:tcBorders>
              <w:top w:val="nil"/>
              <w:left w:val="nil"/>
              <w:bottom w:val="nil"/>
              <w:right w:val="nil"/>
            </w:tcBorders>
            <w:shd w:val="clear" w:color="auto" w:fill="auto"/>
            <w:vAlign w:val="center"/>
          </w:tcPr>
          <w:p w14:paraId="6A89F89A">
            <w:pPr>
              <w:widowControl/>
              <w:jc w:val="center"/>
              <w:textAlignment w:val="center"/>
              <w:rPr>
                <w:rFonts w:ascii="仿宋" w:hAnsi="仿宋" w:eastAsia="仿宋" w:cs="华文中宋"/>
                <w:color w:val="000000"/>
                <w:sz w:val="32"/>
                <w:szCs w:val="32"/>
              </w:rPr>
            </w:pPr>
            <w:r>
              <w:rPr>
                <w:rFonts w:hint="eastAsia" w:ascii="黑体" w:hAnsi="黑体" w:eastAsia="黑体" w:cs="黑体"/>
                <w:color w:val="000000"/>
                <w:kern w:val="0"/>
                <w:sz w:val="36"/>
                <w:szCs w:val="36"/>
              </w:rPr>
              <w:t>收入支出决算总表</w:t>
            </w:r>
          </w:p>
        </w:tc>
      </w:tr>
      <w:tr w14:paraId="2AEF2208">
        <w:tblPrEx>
          <w:tblCellMar>
            <w:top w:w="0" w:type="dxa"/>
            <w:left w:w="108" w:type="dxa"/>
            <w:bottom w:w="0" w:type="dxa"/>
            <w:right w:w="108" w:type="dxa"/>
          </w:tblCellMar>
        </w:tblPrEx>
        <w:trPr>
          <w:trHeight w:val="301" w:hRule="atLeast"/>
        </w:trPr>
        <w:tc>
          <w:tcPr>
            <w:tcW w:w="4024" w:type="dxa"/>
            <w:tcBorders>
              <w:top w:val="nil"/>
              <w:left w:val="nil"/>
              <w:bottom w:val="nil"/>
              <w:right w:val="nil"/>
            </w:tcBorders>
            <w:shd w:val="clear" w:color="auto" w:fill="FFFFFF"/>
            <w:vAlign w:val="center"/>
          </w:tcPr>
          <w:p w14:paraId="7D12CF12">
            <w:pPr>
              <w:jc w:val="right"/>
              <w:rPr>
                <w:rFonts w:hint="default" w:ascii="Times New Roman" w:hAnsi="Times New Roman" w:eastAsia="仿宋_GB2312" w:cs="Times New Roman"/>
                <w:color w:val="000000"/>
                <w:sz w:val="20"/>
                <w:szCs w:val="20"/>
              </w:rPr>
            </w:pPr>
          </w:p>
        </w:tc>
        <w:tc>
          <w:tcPr>
            <w:tcW w:w="712" w:type="dxa"/>
            <w:tcBorders>
              <w:top w:val="nil"/>
              <w:left w:val="nil"/>
              <w:bottom w:val="nil"/>
              <w:right w:val="nil"/>
            </w:tcBorders>
            <w:shd w:val="clear" w:color="auto" w:fill="FFFFFF"/>
            <w:vAlign w:val="center"/>
          </w:tcPr>
          <w:p w14:paraId="3F9EC967">
            <w:pPr>
              <w:jc w:val="right"/>
              <w:rPr>
                <w:rFonts w:hint="default" w:ascii="Times New Roman" w:hAnsi="Times New Roman" w:eastAsia="仿宋_GB2312" w:cs="Times New Roman"/>
                <w:color w:val="000000"/>
                <w:sz w:val="20"/>
                <w:szCs w:val="20"/>
              </w:rPr>
            </w:pPr>
          </w:p>
        </w:tc>
        <w:tc>
          <w:tcPr>
            <w:tcW w:w="1150" w:type="dxa"/>
            <w:tcBorders>
              <w:top w:val="nil"/>
              <w:left w:val="nil"/>
              <w:bottom w:val="nil"/>
              <w:right w:val="nil"/>
            </w:tcBorders>
            <w:shd w:val="clear" w:color="auto" w:fill="FFFFFF"/>
            <w:vAlign w:val="center"/>
          </w:tcPr>
          <w:p w14:paraId="5D91226F">
            <w:pPr>
              <w:jc w:val="right"/>
              <w:rPr>
                <w:rFonts w:hint="default" w:ascii="Times New Roman" w:hAnsi="Times New Roman" w:eastAsia="仿宋_GB2312" w:cs="Times New Roman"/>
                <w:color w:val="000000"/>
                <w:sz w:val="20"/>
                <w:szCs w:val="20"/>
              </w:rPr>
            </w:pPr>
          </w:p>
        </w:tc>
        <w:tc>
          <w:tcPr>
            <w:tcW w:w="4611" w:type="dxa"/>
            <w:gridSpan w:val="2"/>
            <w:tcBorders>
              <w:top w:val="nil"/>
              <w:left w:val="nil"/>
              <w:bottom w:val="nil"/>
              <w:right w:val="nil"/>
            </w:tcBorders>
            <w:shd w:val="clear" w:color="auto" w:fill="FFFFFF"/>
            <w:vAlign w:val="center"/>
          </w:tcPr>
          <w:p w14:paraId="71FFA8F9">
            <w:pPr>
              <w:jc w:val="right"/>
              <w:rPr>
                <w:rFonts w:hint="default" w:ascii="Times New Roman" w:hAnsi="Times New Roman" w:eastAsia="仿宋_GB2312" w:cs="Times New Roman"/>
                <w:color w:val="000000"/>
                <w:sz w:val="20"/>
                <w:szCs w:val="20"/>
              </w:rPr>
            </w:pPr>
          </w:p>
        </w:tc>
        <w:tc>
          <w:tcPr>
            <w:tcW w:w="1974" w:type="dxa"/>
            <w:tcBorders>
              <w:top w:val="nil"/>
              <w:left w:val="nil"/>
              <w:bottom w:val="nil"/>
              <w:right w:val="nil"/>
            </w:tcBorders>
            <w:shd w:val="clear" w:color="auto" w:fill="FFFFFF"/>
            <w:vAlign w:val="center"/>
          </w:tcPr>
          <w:p w14:paraId="57CBA26C">
            <w:pPr>
              <w:jc w:val="right"/>
              <w:rPr>
                <w:rFonts w:hint="default" w:ascii="Times New Roman" w:hAnsi="Times New Roman" w:eastAsia="仿宋_GB2312" w:cs="Times New Roman"/>
                <w:color w:val="000000"/>
                <w:sz w:val="20"/>
                <w:szCs w:val="20"/>
              </w:rPr>
            </w:pPr>
          </w:p>
        </w:tc>
        <w:tc>
          <w:tcPr>
            <w:tcW w:w="2429" w:type="dxa"/>
            <w:tcBorders>
              <w:top w:val="nil"/>
              <w:left w:val="nil"/>
              <w:bottom w:val="nil"/>
              <w:right w:val="nil"/>
            </w:tcBorders>
            <w:shd w:val="clear" w:color="auto" w:fill="FFFFFF"/>
            <w:vAlign w:val="center"/>
          </w:tcPr>
          <w:p w14:paraId="049B2ECA">
            <w:pPr>
              <w:widowControl/>
              <w:jc w:val="righ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公开01表</w:t>
            </w:r>
          </w:p>
        </w:tc>
      </w:tr>
      <w:tr w14:paraId="37EFB9EF">
        <w:tblPrEx>
          <w:tblCellMar>
            <w:top w:w="0" w:type="dxa"/>
            <w:left w:w="108" w:type="dxa"/>
            <w:bottom w:w="0" w:type="dxa"/>
            <w:right w:w="108" w:type="dxa"/>
          </w:tblCellMar>
        </w:tblPrEx>
        <w:trPr>
          <w:trHeight w:val="215" w:hRule="atLeast"/>
        </w:trPr>
        <w:tc>
          <w:tcPr>
            <w:tcW w:w="4024" w:type="dxa"/>
            <w:tcBorders>
              <w:top w:val="nil"/>
              <w:left w:val="nil"/>
              <w:bottom w:val="nil"/>
              <w:right w:val="nil"/>
            </w:tcBorders>
            <w:shd w:val="clear" w:color="auto" w:fill="FFFFFF"/>
            <w:vAlign w:val="center"/>
          </w:tcPr>
          <w:p w14:paraId="06CDB78F">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部门：怀化市住房公积金管理中心</w:t>
            </w:r>
          </w:p>
        </w:tc>
        <w:tc>
          <w:tcPr>
            <w:tcW w:w="712" w:type="dxa"/>
            <w:tcBorders>
              <w:top w:val="nil"/>
              <w:left w:val="nil"/>
              <w:bottom w:val="nil"/>
              <w:right w:val="nil"/>
            </w:tcBorders>
            <w:shd w:val="clear" w:color="auto" w:fill="FFFFFF"/>
            <w:vAlign w:val="center"/>
          </w:tcPr>
          <w:p w14:paraId="79ABEB71">
            <w:pPr>
              <w:jc w:val="right"/>
              <w:rPr>
                <w:rFonts w:hint="default" w:ascii="Times New Roman" w:hAnsi="Times New Roman" w:eastAsia="仿宋_GB2312" w:cs="Times New Roman"/>
                <w:color w:val="000000"/>
                <w:sz w:val="20"/>
                <w:szCs w:val="20"/>
              </w:rPr>
            </w:pPr>
          </w:p>
        </w:tc>
        <w:tc>
          <w:tcPr>
            <w:tcW w:w="1150" w:type="dxa"/>
            <w:tcBorders>
              <w:top w:val="nil"/>
              <w:left w:val="nil"/>
              <w:bottom w:val="nil"/>
              <w:right w:val="nil"/>
            </w:tcBorders>
            <w:shd w:val="clear" w:color="auto" w:fill="FFFFFF"/>
            <w:vAlign w:val="center"/>
          </w:tcPr>
          <w:p w14:paraId="79C241E0">
            <w:pPr>
              <w:jc w:val="right"/>
              <w:rPr>
                <w:rFonts w:hint="default" w:ascii="Times New Roman" w:hAnsi="Times New Roman" w:eastAsia="仿宋_GB2312" w:cs="Times New Roman"/>
                <w:color w:val="000000"/>
                <w:sz w:val="20"/>
                <w:szCs w:val="20"/>
              </w:rPr>
            </w:pPr>
          </w:p>
        </w:tc>
        <w:tc>
          <w:tcPr>
            <w:tcW w:w="4611" w:type="dxa"/>
            <w:gridSpan w:val="2"/>
            <w:tcBorders>
              <w:top w:val="nil"/>
              <w:left w:val="nil"/>
              <w:bottom w:val="nil"/>
              <w:right w:val="nil"/>
            </w:tcBorders>
            <w:shd w:val="clear" w:color="auto" w:fill="FFFFFF"/>
            <w:vAlign w:val="center"/>
          </w:tcPr>
          <w:p w14:paraId="0D27F4D1">
            <w:pPr>
              <w:jc w:val="right"/>
              <w:rPr>
                <w:rFonts w:hint="default" w:ascii="Times New Roman" w:hAnsi="Times New Roman" w:eastAsia="仿宋_GB2312" w:cs="Times New Roman"/>
                <w:color w:val="000000"/>
                <w:sz w:val="20"/>
                <w:szCs w:val="20"/>
              </w:rPr>
            </w:pPr>
          </w:p>
        </w:tc>
        <w:tc>
          <w:tcPr>
            <w:tcW w:w="1974" w:type="dxa"/>
            <w:tcBorders>
              <w:top w:val="nil"/>
              <w:left w:val="nil"/>
              <w:bottom w:val="nil"/>
              <w:right w:val="nil"/>
            </w:tcBorders>
            <w:shd w:val="clear" w:color="auto" w:fill="FFFFFF"/>
            <w:vAlign w:val="center"/>
          </w:tcPr>
          <w:p w14:paraId="5A26A03E">
            <w:pPr>
              <w:jc w:val="right"/>
              <w:rPr>
                <w:rFonts w:hint="default" w:ascii="Times New Roman" w:hAnsi="Times New Roman" w:eastAsia="仿宋_GB2312" w:cs="Times New Roman"/>
                <w:color w:val="000000"/>
                <w:sz w:val="20"/>
                <w:szCs w:val="20"/>
              </w:rPr>
            </w:pPr>
          </w:p>
        </w:tc>
        <w:tc>
          <w:tcPr>
            <w:tcW w:w="2429" w:type="dxa"/>
            <w:tcBorders>
              <w:top w:val="nil"/>
              <w:left w:val="nil"/>
              <w:bottom w:val="nil"/>
              <w:right w:val="nil"/>
            </w:tcBorders>
            <w:shd w:val="clear" w:color="auto" w:fill="FFFFFF"/>
            <w:vAlign w:val="center"/>
          </w:tcPr>
          <w:p w14:paraId="583349ED">
            <w:pPr>
              <w:widowControl/>
              <w:jc w:val="righ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单位：万元</w:t>
            </w:r>
          </w:p>
        </w:tc>
      </w:tr>
      <w:tr w14:paraId="6460E1C1">
        <w:tblPrEx>
          <w:tblCellMar>
            <w:top w:w="0" w:type="dxa"/>
            <w:left w:w="108" w:type="dxa"/>
            <w:bottom w:w="0" w:type="dxa"/>
            <w:right w:w="108" w:type="dxa"/>
          </w:tblCellMar>
        </w:tblPrEx>
        <w:trPr>
          <w:trHeight w:val="341" w:hRule="atLeast"/>
        </w:trPr>
        <w:tc>
          <w:tcPr>
            <w:tcW w:w="58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694E3A">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收入</w:t>
            </w:r>
          </w:p>
        </w:tc>
        <w:tc>
          <w:tcPr>
            <w:tcW w:w="901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9CD6794">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支出</w:t>
            </w:r>
          </w:p>
        </w:tc>
      </w:tr>
      <w:tr w14:paraId="619B2608">
        <w:tblPrEx>
          <w:tblCellMar>
            <w:top w:w="0" w:type="dxa"/>
            <w:left w:w="108" w:type="dxa"/>
            <w:bottom w:w="0" w:type="dxa"/>
            <w:right w:w="108" w:type="dxa"/>
          </w:tblCellMar>
        </w:tblPrEx>
        <w:trPr>
          <w:trHeight w:val="410" w:hRule="atLeast"/>
        </w:trPr>
        <w:tc>
          <w:tcPr>
            <w:tcW w:w="4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25F40">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项    目</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2C59E">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行次</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FFC36">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决算数</w:t>
            </w:r>
          </w:p>
        </w:tc>
        <w:tc>
          <w:tcPr>
            <w:tcW w:w="4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65377">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项    目</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3DF7A4">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行次</w:t>
            </w:r>
          </w:p>
        </w:tc>
        <w:tc>
          <w:tcPr>
            <w:tcW w:w="2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FE750">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决算数</w:t>
            </w:r>
          </w:p>
        </w:tc>
      </w:tr>
      <w:tr w14:paraId="1D742A39">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8FFA5">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栏    次</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BFB93">
            <w:pPr>
              <w:jc w:val="center"/>
              <w:rPr>
                <w:rFonts w:hint="default" w:ascii="Times New Roman" w:hAnsi="Times New Roman" w:eastAsia="仿宋_GB2312" w:cs="Times New Roman"/>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006B3">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1</w:t>
            </w:r>
          </w:p>
        </w:tc>
        <w:tc>
          <w:tcPr>
            <w:tcW w:w="4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9A94B">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栏    次</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EA7D4C">
            <w:pPr>
              <w:jc w:val="center"/>
              <w:rPr>
                <w:rFonts w:hint="default" w:ascii="Times New Roman" w:hAnsi="Times New Roman" w:eastAsia="仿宋_GB2312" w:cs="Times New Roman"/>
                <w:color w:val="000000"/>
                <w:sz w:val="20"/>
                <w:szCs w:val="20"/>
              </w:rPr>
            </w:pPr>
          </w:p>
        </w:tc>
        <w:tc>
          <w:tcPr>
            <w:tcW w:w="2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D73B5">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2</w:t>
            </w:r>
          </w:p>
        </w:tc>
      </w:tr>
      <w:tr w14:paraId="2A7E51D2">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2A55">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一、一般公共预算财政拨款收入</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E97F1">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5735">
            <w:pPr>
              <w:jc w:val="righ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2829.40</w:t>
            </w:r>
          </w:p>
        </w:tc>
        <w:tc>
          <w:tcPr>
            <w:tcW w:w="4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E8E8A">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一、一般公共服务支出</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2302BB">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14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D2FE">
            <w:pPr>
              <w:jc w:val="righ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2.40</w:t>
            </w:r>
          </w:p>
        </w:tc>
      </w:tr>
      <w:tr w14:paraId="4BAA6615">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69D26">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二、政府性基金预算财政拨款收入</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CE7B7">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5C5F">
            <w:pPr>
              <w:jc w:val="right"/>
              <w:rPr>
                <w:rFonts w:hint="default" w:ascii="Times New Roman" w:hAnsi="Times New Roman" w:eastAsia="仿宋_GB2312" w:cs="Times New Roman"/>
                <w:color w:val="000000"/>
                <w:sz w:val="20"/>
                <w:szCs w:val="20"/>
              </w:rPr>
            </w:pPr>
          </w:p>
        </w:tc>
        <w:tc>
          <w:tcPr>
            <w:tcW w:w="4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4FE36">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二、外交支出</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9128C9">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15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B85F">
            <w:pPr>
              <w:jc w:val="right"/>
              <w:rPr>
                <w:rFonts w:hint="default" w:ascii="Times New Roman" w:hAnsi="Times New Roman" w:eastAsia="仿宋_GB2312" w:cs="Times New Roman"/>
                <w:color w:val="000000"/>
                <w:sz w:val="20"/>
                <w:szCs w:val="20"/>
              </w:rPr>
            </w:pPr>
          </w:p>
        </w:tc>
      </w:tr>
      <w:tr w14:paraId="140E6EA5">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2C77">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三、国有资本经营预算财政拨款收入</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B4FBC">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AD24">
            <w:pPr>
              <w:jc w:val="right"/>
              <w:rPr>
                <w:rFonts w:hint="default" w:ascii="Times New Roman" w:hAnsi="Times New Roman" w:eastAsia="仿宋_GB2312" w:cs="Times New Roman"/>
                <w:color w:val="000000"/>
                <w:sz w:val="20"/>
                <w:szCs w:val="20"/>
              </w:rPr>
            </w:pPr>
          </w:p>
        </w:tc>
        <w:tc>
          <w:tcPr>
            <w:tcW w:w="4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597C8">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三、国防支出</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65C5BB">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16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0E9A">
            <w:pPr>
              <w:jc w:val="right"/>
              <w:rPr>
                <w:rFonts w:hint="default" w:ascii="Times New Roman" w:hAnsi="Times New Roman" w:eastAsia="仿宋_GB2312" w:cs="Times New Roman"/>
                <w:color w:val="000000"/>
                <w:sz w:val="20"/>
                <w:szCs w:val="20"/>
              </w:rPr>
            </w:pPr>
          </w:p>
        </w:tc>
      </w:tr>
      <w:tr w14:paraId="743486C2">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A8876">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四、上级补助收入</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2AEDE">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567A">
            <w:pPr>
              <w:jc w:val="right"/>
              <w:rPr>
                <w:rFonts w:hint="default" w:ascii="Times New Roman" w:hAnsi="Times New Roman" w:eastAsia="仿宋_GB2312" w:cs="Times New Roman"/>
                <w:color w:val="000000"/>
                <w:sz w:val="20"/>
                <w:szCs w:val="20"/>
              </w:rPr>
            </w:pPr>
          </w:p>
        </w:tc>
        <w:tc>
          <w:tcPr>
            <w:tcW w:w="4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88226">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四、公共安全支出</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8C9C09">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17</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6DEE">
            <w:pPr>
              <w:jc w:val="right"/>
              <w:rPr>
                <w:rFonts w:hint="default" w:ascii="Times New Roman" w:hAnsi="Times New Roman" w:eastAsia="仿宋_GB2312" w:cs="Times New Roman"/>
                <w:color w:val="000000"/>
                <w:sz w:val="20"/>
                <w:szCs w:val="20"/>
              </w:rPr>
            </w:pPr>
          </w:p>
        </w:tc>
      </w:tr>
      <w:tr w14:paraId="027F7D82">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B18B1">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五、事业收入</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674D7">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00A3">
            <w:pPr>
              <w:jc w:val="right"/>
              <w:rPr>
                <w:rFonts w:hint="default" w:ascii="Times New Roman" w:hAnsi="Times New Roman" w:eastAsia="仿宋_GB2312" w:cs="Times New Roman"/>
                <w:color w:val="000000"/>
                <w:sz w:val="20"/>
                <w:szCs w:val="20"/>
              </w:rPr>
            </w:pPr>
          </w:p>
        </w:tc>
        <w:tc>
          <w:tcPr>
            <w:tcW w:w="4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D2A96">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五、教育支出</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FA6677">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18</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2128">
            <w:pPr>
              <w:jc w:val="right"/>
              <w:rPr>
                <w:rFonts w:hint="default" w:ascii="Times New Roman" w:hAnsi="Times New Roman" w:eastAsia="仿宋_GB2312" w:cs="Times New Roman"/>
                <w:color w:val="000000"/>
                <w:sz w:val="20"/>
                <w:szCs w:val="20"/>
              </w:rPr>
            </w:pPr>
          </w:p>
        </w:tc>
      </w:tr>
      <w:tr w14:paraId="626DF17E">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47C93">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六、经营收入</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BB7DD">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2CD4">
            <w:pPr>
              <w:jc w:val="right"/>
              <w:rPr>
                <w:rFonts w:hint="default" w:ascii="Times New Roman" w:hAnsi="Times New Roman" w:eastAsia="仿宋_GB2312" w:cs="Times New Roman"/>
                <w:color w:val="000000"/>
                <w:sz w:val="20"/>
                <w:szCs w:val="20"/>
              </w:rPr>
            </w:pPr>
          </w:p>
        </w:tc>
        <w:tc>
          <w:tcPr>
            <w:tcW w:w="4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36F5A">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六、科学技术支出</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518CC2">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19</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012D">
            <w:pPr>
              <w:jc w:val="right"/>
              <w:rPr>
                <w:rFonts w:hint="default" w:ascii="Times New Roman" w:hAnsi="Times New Roman" w:eastAsia="仿宋_GB2312" w:cs="Times New Roman"/>
                <w:color w:val="000000"/>
                <w:sz w:val="20"/>
                <w:szCs w:val="20"/>
              </w:rPr>
            </w:pPr>
          </w:p>
        </w:tc>
      </w:tr>
      <w:tr w14:paraId="46F6552A">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5EC9B">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七、附属单位上缴收入</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42F15">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1B51">
            <w:pPr>
              <w:jc w:val="right"/>
              <w:rPr>
                <w:rFonts w:hint="default" w:ascii="Times New Roman" w:hAnsi="Times New Roman" w:eastAsia="仿宋_GB2312" w:cs="Times New Roman"/>
                <w:color w:val="000000"/>
                <w:sz w:val="20"/>
                <w:szCs w:val="20"/>
              </w:rPr>
            </w:pP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64C7">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B81A7A">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20</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AC0C">
            <w:pPr>
              <w:jc w:val="right"/>
              <w:rPr>
                <w:rFonts w:hint="default" w:ascii="Times New Roman" w:hAnsi="Times New Roman" w:eastAsia="仿宋_GB2312" w:cs="Times New Roman"/>
                <w:color w:val="000000"/>
                <w:sz w:val="20"/>
                <w:szCs w:val="20"/>
              </w:rPr>
            </w:pPr>
          </w:p>
        </w:tc>
      </w:tr>
      <w:tr w14:paraId="122F3A8F">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86D65">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八、其他收入</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A911C">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6265">
            <w:pPr>
              <w:jc w:val="left"/>
              <w:rPr>
                <w:rFonts w:hint="default" w:ascii="Times New Roman" w:hAnsi="Times New Roman" w:eastAsia="仿宋_GB2312" w:cs="Times New Roman"/>
                <w:color w:val="000000"/>
                <w:sz w:val="20"/>
                <w:szCs w:val="20"/>
              </w:rPr>
            </w:pP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584C">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十九、住房保障支出</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9E1A1B">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21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2A27">
            <w:pPr>
              <w:jc w:val="righ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2827.00</w:t>
            </w:r>
          </w:p>
        </w:tc>
      </w:tr>
      <w:tr w14:paraId="53884702">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10E6">
            <w:pPr>
              <w:jc w:val="right"/>
              <w:rPr>
                <w:rFonts w:hint="default" w:ascii="Times New Roman" w:hAnsi="Times New Roman" w:eastAsia="仿宋_GB2312" w:cs="Times New Roman"/>
                <w:color w:val="000000"/>
                <w:sz w:val="20"/>
                <w:szCs w:val="20"/>
              </w:rPr>
            </w:pP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27ED9">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715D">
            <w:pPr>
              <w:jc w:val="right"/>
              <w:rPr>
                <w:rFonts w:hint="default" w:ascii="Times New Roman" w:hAnsi="Times New Roman" w:eastAsia="仿宋_GB2312" w:cs="Times New Roman"/>
                <w:color w:val="000000"/>
                <w:sz w:val="20"/>
                <w:szCs w:val="20"/>
              </w:rPr>
            </w:pP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91AF">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二十三、其他支出</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F9ED53">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22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2132">
            <w:pPr>
              <w:jc w:val="right"/>
              <w:rPr>
                <w:rFonts w:hint="default" w:ascii="Times New Roman" w:hAnsi="Times New Roman" w:eastAsia="仿宋_GB2312" w:cs="Times New Roman"/>
                <w:b/>
                <w:color w:val="000000"/>
                <w:sz w:val="20"/>
                <w:szCs w:val="20"/>
              </w:rPr>
            </w:pPr>
          </w:p>
        </w:tc>
      </w:tr>
      <w:tr w14:paraId="4EEA3F1A">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9AC4">
            <w:pPr>
              <w:widowControl/>
              <w:jc w:val="center"/>
              <w:textAlignment w:val="center"/>
              <w:rPr>
                <w:rFonts w:hint="default" w:ascii="Times New Roman" w:hAnsi="Times New Roman" w:eastAsia="仿宋_GB2312" w:cs="Times New Roman"/>
                <w:b/>
                <w:color w:val="000000"/>
                <w:sz w:val="20"/>
                <w:szCs w:val="20"/>
              </w:rPr>
            </w:pPr>
            <w:r>
              <w:rPr>
                <w:rFonts w:hint="default" w:ascii="Times New Roman" w:hAnsi="Times New Roman" w:eastAsia="仿宋_GB2312" w:cs="Times New Roman"/>
                <w:b/>
                <w:color w:val="000000"/>
                <w:kern w:val="0"/>
                <w:sz w:val="20"/>
                <w:szCs w:val="20"/>
              </w:rPr>
              <w:t>本年收入合计</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D6D45">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2E59">
            <w:pPr>
              <w:jc w:val="righ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2829.40</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93F3">
            <w:pPr>
              <w:widowControl/>
              <w:jc w:val="center"/>
              <w:textAlignment w:val="center"/>
              <w:rPr>
                <w:rFonts w:hint="default" w:ascii="Times New Roman" w:hAnsi="Times New Roman" w:eastAsia="仿宋_GB2312" w:cs="Times New Roman"/>
                <w:b/>
                <w:color w:val="000000"/>
                <w:sz w:val="20"/>
                <w:szCs w:val="20"/>
              </w:rPr>
            </w:pPr>
            <w:r>
              <w:rPr>
                <w:rFonts w:hint="default" w:ascii="Times New Roman" w:hAnsi="Times New Roman" w:eastAsia="仿宋_GB2312" w:cs="Times New Roman"/>
                <w:b/>
                <w:color w:val="000000"/>
                <w:kern w:val="0"/>
                <w:sz w:val="20"/>
                <w:szCs w:val="20"/>
              </w:rPr>
              <w:t>本年支出合计</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99A768">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23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5144">
            <w:pPr>
              <w:jc w:val="righ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2829.40</w:t>
            </w:r>
          </w:p>
        </w:tc>
      </w:tr>
      <w:tr w14:paraId="6AD490D3">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1387">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 xml:space="preserve">    使用非财政拨款结余（含专用结余）</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DB2F2">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CCB6">
            <w:pPr>
              <w:jc w:val="right"/>
              <w:rPr>
                <w:rFonts w:hint="default" w:ascii="Times New Roman" w:hAnsi="Times New Roman" w:eastAsia="仿宋_GB2312" w:cs="Times New Roman"/>
                <w:color w:val="000000"/>
                <w:sz w:val="20"/>
                <w:szCs w:val="20"/>
              </w:rPr>
            </w:pP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A9AE">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 xml:space="preserve">                结余分配</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AB9484">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24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C367">
            <w:pPr>
              <w:rPr>
                <w:rFonts w:hint="default" w:ascii="Times New Roman" w:hAnsi="Times New Roman" w:eastAsia="仿宋_GB2312" w:cs="Times New Roman"/>
                <w:color w:val="000000"/>
                <w:sz w:val="20"/>
                <w:szCs w:val="20"/>
              </w:rPr>
            </w:pPr>
          </w:p>
        </w:tc>
      </w:tr>
      <w:tr w14:paraId="7610A07D">
        <w:tblPrEx>
          <w:tblCellMar>
            <w:top w:w="0" w:type="dxa"/>
            <w:left w:w="108" w:type="dxa"/>
            <w:bottom w:w="0" w:type="dxa"/>
            <w:right w:w="108" w:type="dxa"/>
          </w:tblCellMar>
        </w:tblPrEx>
        <w:trPr>
          <w:trHeight w:val="474" w:hRule="atLeast"/>
        </w:trPr>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BD8A">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 xml:space="preserve">         年初结转和结余</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28E71">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E54D">
            <w:pPr>
              <w:jc w:val="right"/>
              <w:rPr>
                <w:rFonts w:hint="default" w:ascii="Times New Roman" w:hAnsi="Times New Roman" w:eastAsia="仿宋_GB2312" w:cs="Times New Roman"/>
                <w:color w:val="000000"/>
                <w:sz w:val="20"/>
                <w:szCs w:val="20"/>
                <w:lang w:eastAsia="zh-CN"/>
              </w:rPr>
            </w:pP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AC2">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 xml:space="preserve">                年末结转和结余</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82B7B2">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25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AC1E">
            <w:pPr>
              <w:rPr>
                <w:rFonts w:hint="default" w:ascii="Times New Roman" w:hAnsi="Times New Roman" w:eastAsia="仿宋_GB2312" w:cs="Times New Roman"/>
                <w:color w:val="000000"/>
                <w:sz w:val="20"/>
                <w:szCs w:val="20"/>
              </w:rPr>
            </w:pPr>
          </w:p>
        </w:tc>
      </w:tr>
      <w:tr w14:paraId="0697BA0E">
        <w:tblPrEx>
          <w:tblCellMar>
            <w:top w:w="0" w:type="dxa"/>
            <w:left w:w="108" w:type="dxa"/>
            <w:bottom w:w="0" w:type="dxa"/>
            <w:right w:w="108" w:type="dxa"/>
          </w:tblCellMar>
        </w:tblPrEx>
        <w:trPr>
          <w:trHeight w:val="341" w:hRule="atLeast"/>
        </w:trPr>
        <w:tc>
          <w:tcPr>
            <w:tcW w:w="4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73025">
            <w:pPr>
              <w:widowControl/>
              <w:jc w:val="center"/>
              <w:textAlignment w:val="center"/>
              <w:rPr>
                <w:rFonts w:hint="default" w:ascii="Times New Roman" w:hAnsi="Times New Roman" w:eastAsia="仿宋_GB2312" w:cs="Times New Roman"/>
                <w:b/>
                <w:color w:val="000000"/>
                <w:sz w:val="20"/>
                <w:szCs w:val="20"/>
              </w:rPr>
            </w:pPr>
            <w:r>
              <w:rPr>
                <w:rFonts w:hint="default" w:ascii="Times New Roman" w:hAnsi="Times New Roman" w:eastAsia="仿宋_GB2312" w:cs="Times New Roman"/>
                <w:b/>
                <w:color w:val="000000"/>
                <w:kern w:val="0"/>
                <w:sz w:val="20"/>
                <w:szCs w:val="20"/>
              </w:rPr>
              <w:t>总计</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60B90">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DC99">
            <w:pPr>
              <w:jc w:val="righ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2829.40</w:t>
            </w:r>
          </w:p>
        </w:tc>
        <w:tc>
          <w:tcPr>
            <w:tcW w:w="4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F11E3">
            <w:pPr>
              <w:widowControl/>
              <w:jc w:val="center"/>
              <w:textAlignment w:val="center"/>
              <w:rPr>
                <w:rFonts w:hint="default" w:ascii="Times New Roman" w:hAnsi="Times New Roman" w:eastAsia="仿宋_GB2312" w:cs="Times New Roman"/>
                <w:b/>
                <w:color w:val="000000"/>
                <w:sz w:val="20"/>
                <w:szCs w:val="20"/>
              </w:rPr>
            </w:pPr>
            <w:r>
              <w:rPr>
                <w:rFonts w:hint="default" w:ascii="Times New Roman" w:hAnsi="Times New Roman" w:eastAsia="仿宋_GB2312" w:cs="Times New Roman"/>
                <w:b/>
                <w:color w:val="000000"/>
                <w:kern w:val="0"/>
                <w:sz w:val="20"/>
                <w:szCs w:val="20"/>
              </w:rPr>
              <w:t>总计</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844740">
            <w:pPr>
              <w:widowControl/>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rPr>
              <w:t>26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6A75">
            <w:pPr>
              <w:jc w:val="righ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2829.40</w:t>
            </w:r>
          </w:p>
        </w:tc>
      </w:tr>
      <w:tr w14:paraId="0C319801">
        <w:tblPrEx>
          <w:tblCellMar>
            <w:top w:w="0" w:type="dxa"/>
            <w:left w:w="108" w:type="dxa"/>
            <w:bottom w:w="0" w:type="dxa"/>
            <w:right w:w="108" w:type="dxa"/>
          </w:tblCellMar>
        </w:tblPrEx>
        <w:trPr>
          <w:trHeight w:val="762" w:hRule="atLeast"/>
        </w:trPr>
        <w:tc>
          <w:tcPr>
            <w:tcW w:w="14900" w:type="dxa"/>
            <w:gridSpan w:val="7"/>
            <w:tcBorders>
              <w:top w:val="nil"/>
              <w:left w:val="nil"/>
              <w:bottom w:val="nil"/>
              <w:right w:val="nil"/>
            </w:tcBorders>
            <w:shd w:val="clear" w:color="auto" w:fill="auto"/>
            <w:vAlign w:val="center"/>
          </w:tcPr>
          <w:p w14:paraId="352522E9">
            <w:pPr>
              <w:widowControl/>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_GB2312" w:cs="Times New Roman"/>
                <w:color w:val="000000"/>
                <w:kern w:val="0"/>
                <w:sz w:val="20"/>
                <w:szCs w:val="20"/>
              </w:rPr>
              <w:t>注：1.本表反映部门本年度的总收支和年末结转结余情况。</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 xml:space="preserve">    2.本套报表金额单位转换时可能存在尾数误差。</w:t>
            </w:r>
          </w:p>
        </w:tc>
      </w:tr>
    </w:tbl>
    <w:p w14:paraId="05A3A174">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20D9D44">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4E4FB4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B0D72D1">
      <w:pPr>
        <w:tabs>
          <w:tab w:val="left" w:pos="315"/>
          <w:tab w:val="left" w:pos="630"/>
          <w:tab w:val="left" w:pos="2100"/>
          <w:tab w:val="left" w:pos="3895"/>
          <w:tab w:val="left" w:pos="5690"/>
          <w:tab w:val="left" w:pos="7485"/>
          <w:tab w:val="left" w:pos="9280"/>
          <w:tab w:val="left" w:pos="11075"/>
          <w:tab w:val="left" w:pos="12870"/>
        </w:tabs>
        <w:jc w:val="right"/>
        <w:rPr>
          <w:rFonts w:hint="default"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default" w:ascii="Times New Roman" w:hAnsi="Times New Roman" w:eastAsia="仿宋_GB2312" w:cs="Times New Roman"/>
          <w:color w:val="000000"/>
          <w:sz w:val="20"/>
          <w:szCs w:val="20"/>
        </w:rPr>
        <w:t>公开02表</w:t>
      </w:r>
    </w:p>
    <w:p w14:paraId="7337323F">
      <w:pPr>
        <w:tabs>
          <w:tab w:val="left" w:pos="630"/>
          <w:tab w:val="left" w:pos="2100"/>
          <w:tab w:val="left" w:pos="3895"/>
          <w:tab w:val="left" w:pos="5690"/>
          <w:tab w:val="left" w:pos="7485"/>
          <w:tab w:val="left" w:pos="9280"/>
          <w:tab w:val="left" w:pos="11075"/>
          <w:tab w:val="left" w:pos="12870"/>
        </w:tabs>
        <w:jc w:val="righ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部门：</w:t>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color w:val="000000"/>
          <w:sz w:val="20"/>
          <w:szCs w:val="20"/>
        </w:rPr>
        <w:t>　</w:t>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4E18DC28">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AB6B01">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A934C2">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A83007">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BA5772">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86EA31">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902F72">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201BF9">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7928EE">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其他收入</w:t>
            </w:r>
          </w:p>
        </w:tc>
      </w:tr>
      <w:tr w14:paraId="09577EBC">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354029">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DAFEAB">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F495B63">
            <w:pPr>
              <w:rPr>
                <w:rFonts w:hint="default"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0D45FFB">
            <w:pPr>
              <w:rPr>
                <w:rFonts w:hint="default"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9BAD435">
            <w:pPr>
              <w:rPr>
                <w:rFonts w:hint="default"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61B6C7D">
            <w:pPr>
              <w:rPr>
                <w:rFonts w:hint="default"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57C8B24">
            <w:pPr>
              <w:rPr>
                <w:rFonts w:hint="default"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778D402">
            <w:pPr>
              <w:rPr>
                <w:rFonts w:hint="default"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53103E6">
            <w:pPr>
              <w:rPr>
                <w:rFonts w:hint="default" w:ascii="Times New Roman" w:hAnsi="Times New Roman" w:eastAsia="仿宋_GB2312" w:cs="Times New Roman"/>
                <w:sz w:val="24"/>
                <w:szCs w:val="24"/>
              </w:rPr>
            </w:pPr>
          </w:p>
        </w:tc>
      </w:tr>
      <w:tr w14:paraId="560704DC">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523C67FE">
            <w:pPr>
              <w:rPr>
                <w:rFonts w:hint="default"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3E3B9127">
            <w:pPr>
              <w:rPr>
                <w:rFonts w:hint="default"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53FBEC">
            <w:pPr>
              <w:rPr>
                <w:rFonts w:hint="default"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61EB7B3">
            <w:pPr>
              <w:rPr>
                <w:rFonts w:hint="default"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EBFB50D">
            <w:pPr>
              <w:rPr>
                <w:rFonts w:hint="default"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83A60F9">
            <w:pPr>
              <w:rPr>
                <w:rFonts w:hint="default"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6E481D0">
            <w:pPr>
              <w:rPr>
                <w:rFonts w:hint="default"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91A44ED">
            <w:pPr>
              <w:rPr>
                <w:rFonts w:hint="default"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B2A8435">
            <w:pPr>
              <w:rPr>
                <w:rFonts w:hint="default" w:ascii="Times New Roman" w:hAnsi="Times New Roman" w:eastAsia="仿宋_GB2312" w:cs="Times New Roman"/>
                <w:sz w:val="24"/>
                <w:szCs w:val="24"/>
              </w:rPr>
            </w:pPr>
          </w:p>
        </w:tc>
      </w:tr>
      <w:tr w14:paraId="4302185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890C3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A8BB33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1AFB37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33D9E5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25C609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3711B4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D7BC42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6DB0EB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7</w:t>
            </w:r>
          </w:p>
        </w:tc>
      </w:tr>
      <w:tr w14:paraId="07932D50">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E7151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6FF61F">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2,829.40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9F4A36">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2,829.40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F13555">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769B41">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4532C1">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F0BDBA">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36B93A">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0.00</w:t>
            </w:r>
          </w:p>
        </w:tc>
      </w:tr>
      <w:tr w14:paraId="4C07434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62ED80">
            <w:pPr>
              <w:rPr>
                <w:rFonts w:hint="default" w:ascii="Times New Roman" w:hAnsi="Times New Roman" w:eastAsia="仿宋_GB2312" w:cs="Times New Roman"/>
                <w:sz w:val="24"/>
                <w:szCs w:val="24"/>
              </w:rPr>
            </w:pPr>
            <w:r>
              <w:rPr>
                <w:rFonts w:hint="default" w:ascii="Times New Roman" w:hAnsi="Times New Roman" w:eastAsia="仿宋_GB2312" w:cs="Times New Roman"/>
                <w:sz w:val="20"/>
                <w:szCs w:val="20"/>
              </w:rPr>
              <w:t>　201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7B9CFA7">
            <w:pPr>
              <w:rPr>
                <w:rFonts w:hint="default" w:ascii="Times New Roman" w:hAnsi="Times New Roman" w:eastAsia="仿宋_GB2312" w:cs="Times New Roman"/>
                <w:sz w:val="24"/>
                <w:szCs w:val="24"/>
              </w:rPr>
            </w:pPr>
            <w:r>
              <w:rPr>
                <w:rFonts w:hint="default" w:ascii="Times New Roman" w:hAnsi="Times New Roman" w:eastAsia="仿宋_GB2312" w:cs="Times New Roman"/>
                <w:sz w:val="20"/>
                <w:szCs w:val="20"/>
              </w:rPr>
              <w:t>　一般公共服务支出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69F090">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2.40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69B3CC">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2.40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655977">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46F7BE">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ED3574">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DB94D2">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CC33E5">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052CA5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F337F8">
            <w:pPr>
              <w:rPr>
                <w:rFonts w:hint="default" w:ascii="Times New Roman" w:hAnsi="Times New Roman" w:eastAsia="仿宋_GB2312" w:cs="Times New Roman"/>
                <w:sz w:val="24"/>
                <w:szCs w:val="24"/>
              </w:rPr>
            </w:pPr>
            <w:r>
              <w:rPr>
                <w:rFonts w:hint="default" w:ascii="Times New Roman" w:hAnsi="Times New Roman" w:eastAsia="仿宋_GB2312" w:cs="Times New Roman"/>
                <w:sz w:val="20"/>
                <w:szCs w:val="20"/>
              </w:rPr>
              <w:t>　20132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3938199">
            <w:pPr>
              <w:rPr>
                <w:rFonts w:hint="default" w:ascii="Times New Roman" w:hAnsi="Times New Roman" w:eastAsia="仿宋_GB2312" w:cs="Times New Roman"/>
                <w:sz w:val="24"/>
                <w:szCs w:val="24"/>
              </w:rPr>
            </w:pPr>
            <w:r>
              <w:rPr>
                <w:rFonts w:hint="default" w:ascii="Times New Roman" w:hAnsi="Times New Roman" w:eastAsia="仿宋_GB2312" w:cs="Times New Roman"/>
                <w:sz w:val="20"/>
                <w:szCs w:val="20"/>
              </w:rPr>
              <w:t>　组织事务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32A1C7">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2.40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08C345">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2.40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B66272">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44DA16">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83A95D">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5E27C1">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BFC8E6">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BDEAA6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4EE2A4">
            <w:pPr>
              <w:rPr>
                <w:rFonts w:hint="default" w:ascii="Times New Roman" w:hAnsi="Times New Roman" w:eastAsia="仿宋_GB2312" w:cs="Times New Roman"/>
                <w:sz w:val="24"/>
                <w:szCs w:val="24"/>
              </w:rPr>
            </w:pPr>
            <w:r>
              <w:rPr>
                <w:rFonts w:hint="default" w:ascii="Times New Roman" w:hAnsi="Times New Roman" w:eastAsia="仿宋_GB2312" w:cs="Times New Roman"/>
                <w:sz w:val="20"/>
                <w:szCs w:val="20"/>
              </w:rPr>
              <w:t>　2013299</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B510951">
            <w:pPr>
              <w:rPr>
                <w:rFonts w:hint="default" w:ascii="Times New Roman" w:hAnsi="Times New Roman" w:eastAsia="仿宋_GB2312" w:cs="Times New Roman"/>
                <w:sz w:val="24"/>
                <w:szCs w:val="24"/>
              </w:rPr>
            </w:pPr>
            <w:r>
              <w:rPr>
                <w:rFonts w:hint="default" w:ascii="Times New Roman" w:hAnsi="Times New Roman" w:eastAsia="仿宋_GB2312" w:cs="Times New Roman"/>
                <w:sz w:val="20"/>
                <w:szCs w:val="20"/>
              </w:rPr>
              <w:t>　其他组织事务支出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B2EF6F">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2.40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BE2E70">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2.40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0CEE54">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1342F3">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6D31BE">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672E7E">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5E58F5">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4A79D9E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6828B2">
            <w:pPr>
              <w:rPr>
                <w:rFonts w:hint="default" w:ascii="Times New Roman" w:hAnsi="Times New Roman" w:eastAsia="仿宋_GB2312" w:cs="Times New Roman"/>
                <w:sz w:val="24"/>
                <w:szCs w:val="24"/>
              </w:rPr>
            </w:pPr>
            <w:r>
              <w:rPr>
                <w:rFonts w:hint="default" w:ascii="Times New Roman" w:hAnsi="Times New Roman" w:eastAsia="仿宋_GB2312" w:cs="Times New Roman"/>
                <w:sz w:val="20"/>
                <w:szCs w:val="20"/>
              </w:rPr>
              <w:t>　221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4FC7AF2">
            <w:pPr>
              <w:rPr>
                <w:rFonts w:hint="default" w:ascii="Times New Roman" w:hAnsi="Times New Roman" w:eastAsia="仿宋_GB2312" w:cs="Times New Roman"/>
                <w:sz w:val="24"/>
                <w:szCs w:val="24"/>
              </w:rPr>
            </w:pPr>
            <w:r>
              <w:rPr>
                <w:rFonts w:hint="default" w:ascii="Times New Roman" w:hAnsi="Times New Roman" w:eastAsia="仿宋_GB2312" w:cs="Times New Roman"/>
                <w:sz w:val="20"/>
                <w:szCs w:val="20"/>
              </w:rPr>
              <w:t>　住房保障支出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F88E89">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2,827.00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8979BA">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2,827.00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943FB1">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F53514">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E2790E">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758C91">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2D0365">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51B9C18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710943">
            <w:pPr>
              <w:rPr>
                <w:rFonts w:hint="default" w:ascii="Times New Roman" w:hAnsi="Times New Roman" w:eastAsia="仿宋_GB2312" w:cs="Times New Roman"/>
                <w:sz w:val="24"/>
                <w:szCs w:val="24"/>
              </w:rPr>
            </w:pPr>
            <w:r>
              <w:rPr>
                <w:rFonts w:hint="default" w:ascii="Times New Roman" w:hAnsi="Times New Roman" w:eastAsia="仿宋_GB2312" w:cs="Times New Roman"/>
                <w:sz w:val="20"/>
                <w:szCs w:val="20"/>
              </w:rPr>
              <w:t>　22103</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5062804">
            <w:pPr>
              <w:rPr>
                <w:rFonts w:hint="default" w:ascii="Times New Roman" w:hAnsi="Times New Roman" w:eastAsia="仿宋_GB2312" w:cs="Times New Roman"/>
                <w:sz w:val="24"/>
                <w:szCs w:val="24"/>
              </w:rPr>
            </w:pPr>
            <w:r>
              <w:rPr>
                <w:rFonts w:hint="default" w:ascii="Times New Roman" w:hAnsi="Times New Roman" w:eastAsia="仿宋_GB2312" w:cs="Times New Roman"/>
                <w:sz w:val="20"/>
                <w:szCs w:val="20"/>
              </w:rPr>
              <w:t>　城乡社区住宅</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040078">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2,827.00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12D8C1">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2,827.00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8B6D65">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CBC619">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64E72F">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BB7E3F">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D9F763">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56DFE09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9354D4">
            <w:pPr>
              <w:rPr>
                <w:rFonts w:hint="default" w:ascii="Times New Roman" w:hAnsi="Times New Roman" w:eastAsia="仿宋_GB2312" w:cs="Times New Roman"/>
                <w:sz w:val="24"/>
                <w:szCs w:val="24"/>
              </w:rPr>
            </w:pPr>
            <w:r>
              <w:rPr>
                <w:rFonts w:hint="default" w:ascii="Times New Roman" w:hAnsi="Times New Roman" w:eastAsia="仿宋_GB2312" w:cs="Times New Roman"/>
                <w:sz w:val="20"/>
                <w:szCs w:val="20"/>
              </w:rPr>
              <w:t>　2210302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7E366B2">
            <w:pPr>
              <w:rPr>
                <w:rFonts w:hint="default" w:ascii="Times New Roman" w:hAnsi="Times New Roman" w:eastAsia="仿宋_GB2312" w:cs="Times New Roman"/>
                <w:sz w:val="24"/>
                <w:szCs w:val="24"/>
              </w:rPr>
            </w:pPr>
            <w:r>
              <w:rPr>
                <w:rFonts w:hint="default" w:ascii="Times New Roman" w:hAnsi="Times New Roman" w:eastAsia="仿宋_GB2312" w:cs="Times New Roman"/>
                <w:sz w:val="20"/>
                <w:szCs w:val="20"/>
              </w:rPr>
              <w:t>　住房公积金管理</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C7CD0D">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2,827.00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FA8F43">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2,827.00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6FA767">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6D6348">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36DB72">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818DAB">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173051">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r>
    </w:tbl>
    <w:p w14:paraId="1A7C51AC">
      <w:pPr>
        <w:spacing w:before="120"/>
        <w:rPr>
          <w:rFonts w:hint="default" w:ascii="Times New Roman" w:hAnsi="Times New Roman" w:eastAsia="仿宋_GB2312" w:cs="Times New Roman"/>
          <w:sz w:val="24"/>
          <w:szCs w:val="24"/>
        </w:rPr>
      </w:pPr>
      <w:r>
        <w:rPr>
          <w:rFonts w:hint="default" w:ascii="Times New Roman" w:hAnsi="Times New Roman" w:eastAsia="仿宋_GB2312" w:cs="Times New Roman"/>
        </w:rPr>
        <w:t>注：本表反映部门本年度取得的各项收入情况。</w:t>
      </w:r>
    </w:p>
    <w:p w14:paraId="644BFEC1">
      <w:pPr>
        <w:widowControl/>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w:t>
      </w:r>
      <w:r>
        <w:rPr>
          <w:rFonts w:hint="default" w:ascii="Times New Roman" w:hAnsi="Times New Roman" w:eastAsia="仿宋_GB2312" w:cs="Times New Roman"/>
          <w:bCs/>
          <w:kern w:val="0"/>
          <w:sz w:val="32"/>
          <w:szCs w:val="32"/>
        </w:rPr>
        <w:br w:type="page"/>
      </w:r>
    </w:p>
    <w:p w14:paraId="7E71DB8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6BC53D92">
      <w:pPr>
        <w:widowControl/>
        <w:tabs>
          <w:tab w:val="left" w:pos="1236"/>
          <w:tab w:val="left" w:pos="1499"/>
          <w:tab w:val="left" w:pos="2980"/>
          <w:tab w:val="left" w:pos="4932"/>
          <w:tab w:val="left" w:pos="6923"/>
          <w:tab w:val="left" w:pos="8914"/>
          <w:tab w:val="left" w:pos="10905"/>
          <w:tab w:val="left" w:pos="12896"/>
        </w:tabs>
        <w:jc w:val="right"/>
        <w:rPr>
          <w:rFonts w:hint="default"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default" w:ascii="Times New Roman" w:hAnsi="Times New Roman" w:eastAsia="仿宋_GB2312" w:cs="Times New Roman"/>
          <w:color w:val="000000"/>
          <w:kern w:val="0"/>
          <w:sz w:val="20"/>
          <w:szCs w:val="20"/>
        </w:rPr>
        <w:t>公开03表</w:t>
      </w:r>
    </w:p>
    <w:p w14:paraId="2C4C939D">
      <w:pPr>
        <w:widowControl/>
        <w:tabs>
          <w:tab w:val="left" w:pos="1236"/>
          <w:tab w:val="left" w:pos="1499"/>
          <w:tab w:val="left" w:pos="2980"/>
          <w:tab w:val="left" w:pos="4932"/>
          <w:tab w:val="left" w:pos="6923"/>
          <w:tab w:val="left" w:pos="8914"/>
          <w:tab w:val="left" w:pos="10905"/>
          <w:tab w:val="left" w:pos="12896"/>
        </w:tabs>
        <w:jc w:val="righ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部门：</w:t>
      </w:r>
      <w:r>
        <w:rPr>
          <w:rFonts w:hint="default" w:ascii="Times New Roman" w:hAnsi="Times New Roman" w:eastAsia="仿宋_GB2312" w:cs="Times New Roman"/>
          <w:color w:val="000000"/>
          <w:kern w:val="0"/>
          <w:sz w:val="20"/>
          <w:szCs w:val="20"/>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color w:val="000000"/>
          <w:kern w:val="0"/>
          <w:sz w:val="20"/>
          <w:szCs w:val="20"/>
        </w:rPr>
        <w:t>　</w:t>
      </w:r>
      <w:r>
        <w:rPr>
          <w:rFonts w:hint="default" w:ascii="Times New Roman" w:hAnsi="Times New Roman" w:eastAsia="仿宋_GB2312" w:cs="Times New Roman"/>
          <w:color w:val="000000"/>
          <w:kern w:val="0"/>
          <w:sz w:val="20"/>
          <w:szCs w:val="20"/>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color w:val="000000"/>
          <w:kern w:val="0"/>
          <w:sz w:val="20"/>
          <w:szCs w:val="20"/>
        </w:rPr>
        <w:t>单位：万元</w:t>
      </w:r>
    </w:p>
    <w:tbl>
      <w:tblPr>
        <w:tblStyle w:val="10"/>
        <w:tblW w:w="14214" w:type="dxa"/>
        <w:jc w:val="center"/>
        <w:tblLayout w:type="fixed"/>
        <w:tblCellMar>
          <w:top w:w="0" w:type="dxa"/>
          <w:left w:w="108" w:type="dxa"/>
          <w:bottom w:w="0" w:type="dxa"/>
          <w:right w:w="108" w:type="dxa"/>
        </w:tblCellMar>
      </w:tblPr>
      <w:tblGrid>
        <w:gridCol w:w="2426"/>
        <w:gridCol w:w="1337"/>
        <w:gridCol w:w="1877"/>
        <w:gridCol w:w="1334"/>
        <w:gridCol w:w="1333"/>
        <w:gridCol w:w="1876"/>
        <w:gridCol w:w="1333"/>
        <w:gridCol w:w="2698"/>
      </w:tblGrid>
      <w:tr w14:paraId="1C1E159E">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8CCE61C">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25571B">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1D38FA">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56C05C">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A7FFA7">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77D17F8">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EEF8E4">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对附属单位补助支出</w:t>
            </w:r>
          </w:p>
        </w:tc>
      </w:tr>
      <w:tr w14:paraId="37C7D030">
        <w:tblPrEx>
          <w:tblCellMar>
            <w:top w:w="0" w:type="dxa"/>
            <w:left w:w="108" w:type="dxa"/>
            <w:bottom w:w="0" w:type="dxa"/>
            <w:right w:w="108" w:type="dxa"/>
          </w:tblCellMar>
        </w:tblPrEx>
        <w:trPr>
          <w:trHeight w:val="312" w:hRule="exact"/>
          <w:jc w:val="center"/>
        </w:trPr>
        <w:tc>
          <w:tcPr>
            <w:tcW w:w="2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F60D23">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功能分类科目编码</w:t>
            </w:r>
          </w:p>
        </w:tc>
        <w:tc>
          <w:tcPr>
            <w:tcW w:w="1337" w:type="dxa"/>
            <w:vMerge w:val="restart"/>
            <w:tcBorders>
              <w:top w:val="nil"/>
              <w:left w:val="single" w:color="auto" w:sz="4" w:space="0"/>
              <w:bottom w:val="single" w:color="auto" w:sz="4" w:space="0"/>
              <w:right w:val="single" w:color="auto" w:sz="4" w:space="0"/>
            </w:tcBorders>
            <w:shd w:val="clear" w:color="000000" w:fill="FFFFFF"/>
            <w:vAlign w:val="center"/>
          </w:tcPr>
          <w:p w14:paraId="44182E05">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4629E3E8">
            <w:pPr>
              <w:widowControl/>
              <w:jc w:val="left"/>
              <w:rPr>
                <w:rFonts w:hint="default"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5723CEC7">
            <w:pPr>
              <w:widowControl/>
              <w:jc w:val="left"/>
              <w:rPr>
                <w:rFonts w:hint="default"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2E5DFBC2">
            <w:pPr>
              <w:widowControl/>
              <w:jc w:val="left"/>
              <w:rPr>
                <w:rFonts w:hint="default"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2A145D1F">
            <w:pPr>
              <w:widowControl/>
              <w:jc w:val="left"/>
              <w:rPr>
                <w:rFonts w:hint="default"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73FC00D8">
            <w:pPr>
              <w:widowControl/>
              <w:jc w:val="left"/>
              <w:rPr>
                <w:rFonts w:hint="default" w:ascii="Times New Roman" w:hAnsi="Times New Roman" w:eastAsia="仿宋_GB2312" w:cs="Times New Roman"/>
                <w:b/>
                <w:bCs/>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1DDB59E9">
            <w:pPr>
              <w:widowControl/>
              <w:jc w:val="left"/>
              <w:rPr>
                <w:rFonts w:hint="default" w:ascii="Times New Roman" w:hAnsi="Times New Roman" w:eastAsia="仿宋_GB2312" w:cs="Times New Roman"/>
                <w:b/>
                <w:bCs/>
                <w:kern w:val="0"/>
                <w:sz w:val="24"/>
                <w:szCs w:val="24"/>
              </w:rPr>
            </w:pPr>
          </w:p>
        </w:tc>
      </w:tr>
      <w:tr w14:paraId="32A8D5A8">
        <w:tblPrEx>
          <w:tblCellMar>
            <w:top w:w="0" w:type="dxa"/>
            <w:left w:w="108" w:type="dxa"/>
            <w:bottom w:w="0" w:type="dxa"/>
            <w:right w:w="108" w:type="dxa"/>
          </w:tblCellMar>
        </w:tblPrEx>
        <w:trPr>
          <w:trHeight w:val="595" w:hRule="atLeast"/>
          <w:jc w:val="center"/>
        </w:trPr>
        <w:tc>
          <w:tcPr>
            <w:tcW w:w="2426" w:type="dxa"/>
            <w:vMerge w:val="continue"/>
            <w:tcBorders>
              <w:top w:val="single" w:color="auto" w:sz="4" w:space="0"/>
              <w:left w:val="single" w:color="auto" w:sz="4" w:space="0"/>
              <w:bottom w:val="single" w:color="auto" w:sz="4" w:space="0"/>
              <w:right w:val="single" w:color="auto" w:sz="4" w:space="0"/>
            </w:tcBorders>
            <w:vAlign w:val="center"/>
          </w:tcPr>
          <w:p w14:paraId="2A2AC712">
            <w:pPr>
              <w:widowControl/>
              <w:jc w:val="left"/>
              <w:rPr>
                <w:rFonts w:hint="default" w:ascii="Times New Roman" w:hAnsi="Times New Roman" w:eastAsia="仿宋_GB2312" w:cs="Times New Roman"/>
                <w:kern w:val="0"/>
                <w:sz w:val="24"/>
                <w:szCs w:val="24"/>
              </w:rPr>
            </w:pPr>
          </w:p>
        </w:tc>
        <w:tc>
          <w:tcPr>
            <w:tcW w:w="1337" w:type="dxa"/>
            <w:vMerge w:val="continue"/>
            <w:tcBorders>
              <w:top w:val="nil"/>
              <w:left w:val="single" w:color="auto" w:sz="4" w:space="0"/>
              <w:bottom w:val="single" w:color="auto" w:sz="4" w:space="0"/>
              <w:right w:val="single" w:color="auto" w:sz="4" w:space="0"/>
            </w:tcBorders>
            <w:vAlign w:val="center"/>
          </w:tcPr>
          <w:p w14:paraId="4D488E64">
            <w:pPr>
              <w:widowControl/>
              <w:jc w:val="left"/>
              <w:rPr>
                <w:rFonts w:hint="default"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5BA51D23">
            <w:pPr>
              <w:widowControl/>
              <w:jc w:val="left"/>
              <w:rPr>
                <w:rFonts w:hint="default"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5EBD046E">
            <w:pPr>
              <w:widowControl/>
              <w:jc w:val="left"/>
              <w:rPr>
                <w:rFonts w:hint="default"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2C3D73F5">
            <w:pPr>
              <w:widowControl/>
              <w:jc w:val="left"/>
              <w:rPr>
                <w:rFonts w:hint="default"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3564E3AA">
            <w:pPr>
              <w:widowControl/>
              <w:jc w:val="left"/>
              <w:rPr>
                <w:rFonts w:hint="default"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0EDAEAE6">
            <w:pPr>
              <w:widowControl/>
              <w:jc w:val="left"/>
              <w:rPr>
                <w:rFonts w:hint="default" w:ascii="Times New Roman" w:hAnsi="Times New Roman" w:eastAsia="仿宋_GB2312" w:cs="Times New Roman"/>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09EDD666">
            <w:pPr>
              <w:widowControl/>
              <w:jc w:val="left"/>
              <w:rPr>
                <w:rFonts w:hint="default" w:ascii="Times New Roman" w:hAnsi="Times New Roman" w:eastAsia="仿宋_GB2312" w:cs="Times New Roman"/>
                <w:kern w:val="0"/>
                <w:sz w:val="24"/>
                <w:szCs w:val="24"/>
              </w:rPr>
            </w:pPr>
          </w:p>
        </w:tc>
      </w:tr>
      <w:tr w14:paraId="5555A0D5">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867B37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栏次</w:t>
            </w:r>
          </w:p>
        </w:tc>
        <w:tc>
          <w:tcPr>
            <w:tcW w:w="1877" w:type="dxa"/>
            <w:tcBorders>
              <w:top w:val="nil"/>
              <w:left w:val="nil"/>
              <w:bottom w:val="single" w:color="auto" w:sz="4" w:space="0"/>
              <w:right w:val="single" w:color="auto" w:sz="4" w:space="0"/>
            </w:tcBorders>
            <w:shd w:val="clear" w:color="000000" w:fill="FFFFFF"/>
            <w:vAlign w:val="center"/>
          </w:tcPr>
          <w:p w14:paraId="14250A9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334" w:type="dxa"/>
            <w:tcBorders>
              <w:top w:val="nil"/>
              <w:left w:val="nil"/>
              <w:bottom w:val="single" w:color="auto" w:sz="4" w:space="0"/>
              <w:right w:val="single" w:color="auto" w:sz="4" w:space="0"/>
            </w:tcBorders>
            <w:shd w:val="clear" w:color="000000" w:fill="FFFFFF"/>
            <w:vAlign w:val="center"/>
          </w:tcPr>
          <w:p w14:paraId="074E281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1333" w:type="dxa"/>
            <w:tcBorders>
              <w:top w:val="nil"/>
              <w:left w:val="nil"/>
              <w:bottom w:val="single" w:color="auto" w:sz="4" w:space="0"/>
              <w:right w:val="single" w:color="auto" w:sz="4" w:space="0"/>
            </w:tcBorders>
            <w:shd w:val="clear" w:color="000000" w:fill="FFFFFF"/>
            <w:vAlign w:val="center"/>
          </w:tcPr>
          <w:p w14:paraId="67D9129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1876" w:type="dxa"/>
            <w:tcBorders>
              <w:top w:val="nil"/>
              <w:left w:val="nil"/>
              <w:bottom w:val="single" w:color="auto" w:sz="4" w:space="0"/>
              <w:right w:val="single" w:color="auto" w:sz="4" w:space="0"/>
            </w:tcBorders>
            <w:shd w:val="clear" w:color="000000" w:fill="FFFFFF"/>
            <w:vAlign w:val="center"/>
          </w:tcPr>
          <w:p w14:paraId="3CBBE60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1333" w:type="dxa"/>
            <w:tcBorders>
              <w:top w:val="nil"/>
              <w:left w:val="nil"/>
              <w:bottom w:val="single" w:color="auto" w:sz="4" w:space="0"/>
              <w:right w:val="single" w:color="auto" w:sz="4" w:space="0"/>
            </w:tcBorders>
            <w:shd w:val="clear" w:color="000000" w:fill="FFFFFF"/>
            <w:vAlign w:val="center"/>
          </w:tcPr>
          <w:p w14:paraId="2C5A4C8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c>
          <w:tcPr>
            <w:tcW w:w="2698" w:type="dxa"/>
            <w:tcBorders>
              <w:top w:val="nil"/>
              <w:left w:val="nil"/>
              <w:bottom w:val="single" w:color="auto" w:sz="4" w:space="0"/>
              <w:right w:val="single" w:color="auto" w:sz="4" w:space="0"/>
            </w:tcBorders>
            <w:shd w:val="clear" w:color="000000" w:fill="FFFFFF"/>
            <w:vAlign w:val="center"/>
          </w:tcPr>
          <w:p w14:paraId="5F938FA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w:t>
            </w:r>
          </w:p>
        </w:tc>
      </w:tr>
      <w:tr w14:paraId="6D03E0EA">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99D6FC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vAlign w:val="center"/>
          </w:tcPr>
          <w:p w14:paraId="24409B1E">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i w:val="0"/>
                <w:color w:val="000000"/>
                <w:kern w:val="0"/>
                <w:sz w:val="22"/>
                <w:szCs w:val="22"/>
                <w:u w:val="none"/>
                <w:lang w:val="en-US" w:eastAsia="zh-CN" w:bidi="ar"/>
              </w:rPr>
              <w:t>2,829.40</w:t>
            </w:r>
          </w:p>
        </w:tc>
        <w:tc>
          <w:tcPr>
            <w:tcW w:w="1334" w:type="dxa"/>
            <w:tcBorders>
              <w:top w:val="nil"/>
              <w:left w:val="nil"/>
              <w:bottom w:val="single" w:color="auto" w:sz="4" w:space="0"/>
              <w:right w:val="single" w:color="auto" w:sz="4" w:space="0"/>
            </w:tcBorders>
            <w:shd w:val="clear" w:color="auto" w:fill="auto"/>
            <w:vAlign w:val="center"/>
          </w:tcPr>
          <w:p w14:paraId="04B2ED09">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i w:val="0"/>
                <w:color w:val="000000"/>
                <w:kern w:val="0"/>
                <w:sz w:val="22"/>
                <w:szCs w:val="22"/>
                <w:u w:val="none"/>
                <w:lang w:val="en-US" w:eastAsia="zh-CN" w:bidi="ar"/>
              </w:rPr>
              <w:t>1,743.92</w:t>
            </w:r>
          </w:p>
        </w:tc>
        <w:tc>
          <w:tcPr>
            <w:tcW w:w="1333" w:type="dxa"/>
            <w:tcBorders>
              <w:top w:val="nil"/>
              <w:left w:val="nil"/>
              <w:bottom w:val="single" w:color="auto" w:sz="4" w:space="0"/>
              <w:right w:val="single" w:color="auto" w:sz="4" w:space="0"/>
            </w:tcBorders>
            <w:shd w:val="clear" w:color="auto" w:fill="auto"/>
            <w:vAlign w:val="center"/>
          </w:tcPr>
          <w:p w14:paraId="66C5458E">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i w:val="0"/>
                <w:color w:val="000000"/>
                <w:kern w:val="0"/>
                <w:sz w:val="22"/>
                <w:szCs w:val="22"/>
                <w:u w:val="none"/>
                <w:lang w:val="en-US" w:eastAsia="zh-CN" w:bidi="ar"/>
              </w:rPr>
              <w:t>1,085.48</w:t>
            </w:r>
          </w:p>
        </w:tc>
        <w:tc>
          <w:tcPr>
            <w:tcW w:w="1876" w:type="dxa"/>
            <w:tcBorders>
              <w:top w:val="nil"/>
              <w:left w:val="nil"/>
              <w:bottom w:val="single" w:color="auto" w:sz="4" w:space="0"/>
              <w:right w:val="single" w:color="auto" w:sz="4" w:space="0"/>
            </w:tcBorders>
            <w:shd w:val="clear" w:color="auto" w:fill="auto"/>
            <w:vAlign w:val="center"/>
          </w:tcPr>
          <w:p w14:paraId="76BF4AE9">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vAlign w:val="center"/>
          </w:tcPr>
          <w:p w14:paraId="492C731A">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i w:val="0"/>
                <w:color w:val="000000"/>
                <w:kern w:val="0"/>
                <w:sz w:val="22"/>
                <w:szCs w:val="22"/>
                <w:u w:val="none"/>
                <w:lang w:val="en-US" w:eastAsia="zh-CN" w:bidi="ar"/>
              </w:rPr>
              <w:t>0.00</w:t>
            </w:r>
          </w:p>
        </w:tc>
        <w:tc>
          <w:tcPr>
            <w:tcW w:w="2698" w:type="dxa"/>
            <w:tcBorders>
              <w:top w:val="nil"/>
              <w:left w:val="nil"/>
              <w:bottom w:val="single" w:color="auto" w:sz="4" w:space="0"/>
              <w:right w:val="single" w:color="auto" w:sz="4" w:space="0"/>
            </w:tcBorders>
            <w:shd w:val="clear" w:color="auto" w:fill="auto"/>
            <w:vAlign w:val="center"/>
          </w:tcPr>
          <w:p w14:paraId="1C8B2792">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i w:val="0"/>
                <w:color w:val="000000"/>
                <w:kern w:val="0"/>
                <w:sz w:val="22"/>
                <w:szCs w:val="22"/>
                <w:u w:val="none"/>
                <w:lang w:val="en-US" w:eastAsia="zh-CN" w:bidi="ar"/>
              </w:rPr>
              <w:t>0.00</w:t>
            </w:r>
          </w:p>
        </w:tc>
      </w:tr>
      <w:tr w14:paraId="535D4BD5">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14:paraId="79B32C5B">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201</w:t>
            </w:r>
          </w:p>
        </w:tc>
        <w:tc>
          <w:tcPr>
            <w:tcW w:w="1337" w:type="dxa"/>
            <w:tcBorders>
              <w:top w:val="nil"/>
              <w:left w:val="nil"/>
              <w:bottom w:val="single" w:color="auto" w:sz="4" w:space="0"/>
              <w:right w:val="single" w:color="auto" w:sz="4" w:space="0"/>
            </w:tcBorders>
            <w:shd w:val="clear" w:color="000000" w:fill="FFFFFF"/>
            <w:vAlign w:val="center"/>
          </w:tcPr>
          <w:p w14:paraId="7FD6DB11">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一般公共服务支出</w:t>
            </w:r>
          </w:p>
        </w:tc>
        <w:tc>
          <w:tcPr>
            <w:tcW w:w="1877" w:type="dxa"/>
            <w:tcBorders>
              <w:top w:val="nil"/>
              <w:left w:val="nil"/>
              <w:bottom w:val="single" w:color="auto" w:sz="4" w:space="0"/>
              <w:right w:val="single" w:color="auto" w:sz="4" w:space="0"/>
            </w:tcBorders>
            <w:shd w:val="clear" w:color="auto" w:fill="auto"/>
            <w:vAlign w:val="center"/>
          </w:tcPr>
          <w:p w14:paraId="25FEE929">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2.40</w:t>
            </w:r>
          </w:p>
        </w:tc>
        <w:tc>
          <w:tcPr>
            <w:tcW w:w="1334" w:type="dxa"/>
            <w:tcBorders>
              <w:top w:val="nil"/>
              <w:left w:val="nil"/>
              <w:bottom w:val="single" w:color="auto" w:sz="4" w:space="0"/>
              <w:right w:val="single" w:color="auto" w:sz="4" w:space="0"/>
            </w:tcBorders>
            <w:shd w:val="clear" w:color="auto" w:fill="auto"/>
            <w:vAlign w:val="center"/>
          </w:tcPr>
          <w:p w14:paraId="152FF560">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vAlign w:val="center"/>
          </w:tcPr>
          <w:p w14:paraId="5F572D3A">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2.40</w:t>
            </w:r>
          </w:p>
        </w:tc>
        <w:tc>
          <w:tcPr>
            <w:tcW w:w="1876" w:type="dxa"/>
            <w:tcBorders>
              <w:top w:val="nil"/>
              <w:left w:val="nil"/>
              <w:bottom w:val="single" w:color="auto" w:sz="4" w:space="0"/>
              <w:right w:val="single" w:color="auto" w:sz="4" w:space="0"/>
            </w:tcBorders>
            <w:shd w:val="clear" w:color="auto" w:fill="auto"/>
            <w:vAlign w:val="center"/>
          </w:tcPr>
          <w:p w14:paraId="363D5AE3">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vAlign w:val="center"/>
          </w:tcPr>
          <w:p w14:paraId="332778F4">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2698" w:type="dxa"/>
            <w:tcBorders>
              <w:top w:val="nil"/>
              <w:left w:val="nil"/>
              <w:bottom w:val="single" w:color="auto" w:sz="4" w:space="0"/>
              <w:right w:val="single" w:color="auto" w:sz="4" w:space="0"/>
            </w:tcBorders>
            <w:shd w:val="clear" w:color="auto" w:fill="auto"/>
            <w:vAlign w:val="center"/>
          </w:tcPr>
          <w:p w14:paraId="5DADCFFC">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r>
      <w:tr w14:paraId="2424A8F3">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14:paraId="12DBA067">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20132</w:t>
            </w:r>
          </w:p>
        </w:tc>
        <w:tc>
          <w:tcPr>
            <w:tcW w:w="1337" w:type="dxa"/>
            <w:tcBorders>
              <w:top w:val="nil"/>
              <w:left w:val="nil"/>
              <w:bottom w:val="single" w:color="auto" w:sz="4" w:space="0"/>
              <w:right w:val="single" w:color="auto" w:sz="4" w:space="0"/>
            </w:tcBorders>
            <w:shd w:val="clear" w:color="000000" w:fill="FFFFFF"/>
            <w:vAlign w:val="center"/>
          </w:tcPr>
          <w:p w14:paraId="7567BCEF">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组织事务</w:t>
            </w:r>
          </w:p>
        </w:tc>
        <w:tc>
          <w:tcPr>
            <w:tcW w:w="1877" w:type="dxa"/>
            <w:tcBorders>
              <w:top w:val="nil"/>
              <w:left w:val="nil"/>
              <w:bottom w:val="single" w:color="auto" w:sz="4" w:space="0"/>
              <w:right w:val="single" w:color="auto" w:sz="4" w:space="0"/>
            </w:tcBorders>
            <w:shd w:val="clear" w:color="auto" w:fill="auto"/>
            <w:vAlign w:val="center"/>
          </w:tcPr>
          <w:p w14:paraId="2FCC6E6A">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2.40</w:t>
            </w:r>
          </w:p>
        </w:tc>
        <w:tc>
          <w:tcPr>
            <w:tcW w:w="1334" w:type="dxa"/>
            <w:tcBorders>
              <w:top w:val="nil"/>
              <w:left w:val="nil"/>
              <w:bottom w:val="single" w:color="auto" w:sz="4" w:space="0"/>
              <w:right w:val="single" w:color="auto" w:sz="4" w:space="0"/>
            </w:tcBorders>
            <w:shd w:val="clear" w:color="auto" w:fill="auto"/>
            <w:vAlign w:val="center"/>
          </w:tcPr>
          <w:p w14:paraId="024F307C">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vAlign w:val="center"/>
          </w:tcPr>
          <w:p w14:paraId="7ABC8986">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2.40</w:t>
            </w:r>
          </w:p>
        </w:tc>
        <w:tc>
          <w:tcPr>
            <w:tcW w:w="1876" w:type="dxa"/>
            <w:tcBorders>
              <w:top w:val="nil"/>
              <w:left w:val="nil"/>
              <w:bottom w:val="single" w:color="auto" w:sz="4" w:space="0"/>
              <w:right w:val="single" w:color="auto" w:sz="4" w:space="0"/>
            </w:tcBorders>
            <w:shd w:val="clear" w:color="auto" w:fill="auto"/>
            <w:vAlign w:val="center"/>
          </w:tcPr>
          <w:p w14:paraId="1C9363D9">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vAlign w:val="center"/>
          </w:tcPr>
          <w:p w14:paraId="0C12EE07">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2698" w:type="dxa"/>
            <w:tcBorders>
              <w:top w:val="nil"/>
              <w:left w:val="nil"/>
              <w:bottom w:val="single" w:color="auto" w:sz="4" w:space="0"/>
              <w:right w:val="single" w:color="auto" w:sz="4" w:space="0"/>
            </w:tcBorders>
            <w:shd w:val="clear" w:color="auto" w:fill="auto"/>
            <w:vAlign w:val="center"/>
          </w:tcPr>
          <w:p w14:paraId="495BBEAC">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r>
      <w:tr w14:paraId="5BE79A09">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14:paraId="4F899EFF">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2013299</w:t>
            </w:r>
          </w:p>
        </w:tc>
        <w:tc>
          <w:tcPr>
            <w:tcW w:w="1337" w:type="dxa"/>
            <w:tcBorders>
              <w:top w:val="nil"/>
              <w:left w:val="nil"/>
              <w:bottom w:val="single" w:color="auto" w:sz="4" w:space="0"/>
              <w:right w:val="single" w:color="auto" w:sz="4" w:space="0"/>
            </w:tcBorders>
            <w:shd w:val="clear" w:color="000000" w:fill="FFFFFF"/>
            <w:vAlign w:val="center"/>
          </w:tcPr>
          <w:p w14:paraId="7B3386B4">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 xml:space="preserve">  其他组织事务支出</w:t>
            </w:r>
          </w:p>
        </w:tc>
        <w:tc>
          <w:tcPr>
            <w:tcW w:w="1877" w:type="dxa"/>
            <w:tcBorders>
              <w:top w:val="nil"/>
              <w:left w:val="nil"/>
              <w:bottom w:val="single" w:color="auto" w:sz="4" w:space="0"/>
              <w:right w:val="single" w:color="auto" w:sz="4" w:space="0"/>
            </w:tcBorders>
            <w:shd w:val="clear" w:color="auto" w:fill="auto"/>
            <w:vAlign w:val="center"/>
          </w:tcPr>
          <w:p w14:paraId="3F44AB07">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2.40</w:t>
            </w:r>
          </w:p>
        </w:tc>
        <w:tc>
          <w:tcPr>
            <w:tcW w:w="1334" w:type="dxa"/>
            <w:tcBorders>
              <w:top w:val="nil"/>
              <w:left w:val="nil"/>
              <w:bottom w:val="single" w:color="auto" w:sz="4" w:space="0"/>
              <w:right w:val="single" w:color="auto" w:sz="4" w:space="0"/>
            </w:tcBorders>
            <w:shd w:val="clear" w:color="auto" w:fill="auto"/>
            <w:vAlign w:val="center"/>
          </w:tcPr>
          <w:p w14:paraId="7CE4BCB7">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vAlign w:val="center"/>
          </w:tcPr>
          <w:p w14:paraId="51470EA9">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2.40</w:t>
            </w:r>
          </w:p>
        </w:tc>
        <w:tc>
          <w:tcPr>
            <w:tcW w:w="1876" w:type="dxa"/>
            <w:tcBorders>
              <w:top w:val="nil"/>
              <w:left w:val="nil"/>
              <w:bottom w:val="single" w:color="auto" w:sz="4" w:space="0"/>
              <w:right w:val="single" w:color="auto" w:sz="4" w:space="0"/>
            </w:tcBorders>
            <w:shd w:val="clear" w:color="auto" w:fill="auto"/>
            <w:vAlign w:val="center"/>
          </w:tcPr>
          <w:p w14:paraId="606972C8">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vAlign w:val="center"/>
          </w:tcPr>
          <w:p w14:paraId="36B46CE2">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2698" w:type="dxa"/>
            <w:tcBorders>
              <w:top w:val="nil"/>
              <w:left w:val="nil"/>
              <w:bottom w:val="single" w:color="auto" w:sz="4" w:space="0"/>
              <w:right w:val="single" w:color="auto" w:sz="4" w:space="0"/>
            </w:tcBorders>
            <w:shd w:val="clear" w:color="auto" w:fill="auto"/>
            <w:vAlign w:val="center"/>
          </w:tcPr>
          <w:p w14:paraId="2907DDF3">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r>
      <w:tr w14:paraId="5D8A5288">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14:paraId="4194E9AF">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221</w:t>
            </w:r>
          </w:p>
        </w:tc>
        <w:tc>
          <w:tcPr>
            <w:tcW w:w="1337" w:type="dxa"/>
            <w:tcBorders>
              <w:top w:val="nil"/>
              <w:left w:val="nil"/>
              <w:bottom w:val="single" w:color="auto" w:sz="4" w:space="0"/>
              <w:right w:val="single" w:color="auto" w:sz="4" w:space="0"/>
            </w:tcBorders>
            <w:shd w:val="clear" w:color="000000" w:fill="FFFFFF"/>
            <w:vAlign w:val="center"/>
          </w:tcPr>
          <w:p w14:paraId="08EF7FD0">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住房保障支出</w:t>
            </w:r>
          </w:p>
        </w:tc>
        <w:tc>
          <w:tcPr>
            <w:tcW w:w="1877" w:type="dxa"/>
            <w:tcBorders>
              <w:top w:val="nil"/>
              <w:left w:val="nil"/>
              <w:bottom w:val="single" w:color="auto" w:sz="4" w:space="0"/>
              <w:right w:val="single" w:color="auto" w:sz="4" w:space="0"/>
            </w:tcBorders>
            <w:shd w:val="clear" w:color="auto" w:fill="auto"/>
            <w:vAlign w:val="center"/>
          </w:tcPr>
          <w:p w14:paraId="24347299">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2,827.00</w:t>
            </w:r>
          </w:p>
        </w:tc>
        <w:tc>
          <w:tcPr>
            <w:tcW w:w="1334" w:type="dxa"/>
            <w:tcBorders>
              <w:top w:val="nil"/>
              <w:left w:val="nil"/>
              <w:bottom w:val="single" w:color="auto" w:sz="4" w:space="0"/>
              <w:right w:val="single" w:color="auto" w:sz="4" w:space="0"/>
            </w:tcBorders>
            <w:shd w:val="clear" w:color="auto" w:fill="auto"/>
            <w:vAlign w:val="center"/>
          </w:tcPr>
          <w:p w14:paraId="0BE1C52E">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1,743.92</w:t>
            </w:r>
          </w:p>
        </w:tc>
        <w:tc>
          <w:tcPr>
            <w:tcW w:w="1333" w:type="dxa"/>
            <w:tcBorders>
              <w:top w:val="nil"/>
              <w:left w:val="nil"/>
              <w:bottom w:val="single" w:color="auto" w:sz="4" w:space="0"/>
              <w:right w:val="single" w:color="auto" w:sz="4" w:space="0"/>
            </w:tcBorders>
            <w:shd w:val="clear" w:color="auto" w:fill="auto"/>
            <w:vAlign w:val="center"/>
          </w:tcPr>
          <w:p w14:paraId="1A3575E6">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1,083.08</w:t>
            </w:r>
          </w:p>
        </w:tc>
        <w:tc>
          <w:tcPr>
            <w:tcW w:w="1876" w:type="dxa"/>
            <w:tcBorders>
              <w:top w:val="nil"/>
              <w:left w:val="nil"/>
              <w:bottom w:val="single" w:color="auto" w:sz="4" w:space="0"/>
              <w:right w:val="single" w:color="auto" w:sz="4" w:space="0"/>
            </w:tcBorders>
            <w:shd w:val="clear" w:color="auto" w:fill="auto"/>
            <w:vAlign w:val="center"/>
          </w:tcPr>
          <w:p w14:paraId="1863E535">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vAlign w:val="center"/>
          </w:tcPr>
          <w:p w14:paraId="5745FC02">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2698" w:type="dxa"/>
            <w:tcBorders>
              <w:top w:val="nil"/>
              <w:left w:val="nil"/>
              <w:bottom w:val="single" w:color="auto" w:sz="4" w:space="0"/>
              <w:right w:val="single" w:color="auto" w:sz="4" w:space="0"/>
            </w:tcBorders>
            <w:shd w:val="clear" w:color="auto" w:fill="auto"/>
            <w:vAlign w:val="center"/>
          </w:tcPr>
          <w:p w14:paraId="5E0E686C">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r>
      <w:tr w14:paraId="7C53219D">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14:paraId="79DDA9CE">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22103</w:t>
            </w:r>
          </w:p>
        </w:tc>
        <w:tc>
          <w:tcPr>
            <w:tcW w:w="1337" w:type="dxa"/>
            <w:tcBorders>
              <w:top w:val="nil"/>
              <w:left w:val="nil"/>
              <w:bottom w:val="single" w:color="auto" w:sz="4" w:space="0"/>
              <w:right w:val="single" w:color="auto" w:sz="4" w:space="0"/>
            </w:tcBorders>
            <w:shd w:val="clear" w:color="000000" w:fill="FFFFFF"/>
            <w:vAlign w:val="center"/>
          </w:tcPr>
          <w:p w14:paraId="1B371EF5">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城乡社区住宅</w:t>
            </w:r>
          </w:p>
        </w:tc>
        <w:tc>
          <w:tcPr>
            <w:tcW w:w="1877" w:type="dxa"/>
            <w:tcBorders>
              <w:top w:val="nil"/>
              <w:left w:val="nil"/>
              <w:bottom w:val="single" w:color="auto" w:sz="4" w:space="0"/>
              <w:right w:val="single" w:color="auto" w:sz="4" w:space="0"/>
            </w:tcBorders>
            <w:shd w:val="clear" w:color="auto" w:fill="auto"/>
            <w:vAlign w:val="center"/>
          </w:tcPr>
          <w:p w14:paraId="0B7C60FE">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2,827.00</w:t>
            </w:r>
          </w:p>
        </w:tc>
        <w:tc>
          <w:tcPr>
            <w:tcW w:w="1334" w:type="dxa"/>
            <w:tcBorders>
              <w:top w:val="nil"/>
              <w:left w:val="nil"/>
              <w:bottom w:val="single" w:color="auto" w:sz="4" w:space="0"/>
              <w:right w:val="single" w:color="auto" w:sz="4" w:space="0"/>
            </w:tcBorders>
            <w:shd w:val="clear" w:color="auto" w:fill="auto"/>
            <w:vAlign w:val="center"/>
          </w:tcPr>
          <w:p w14:paraId="6CE975B9">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1,743.92</w:t>
            </w:r>
          </w:p>
        </w:tc>
        <w:tc>
          <w:tcPr>
            <w:tcW w:w="1333" w:type="dxa"/>
            <w:tcBorders>
              <w:top w:val="nil"/>
              <w:left w:val="nil"/>
              <w:bottom w:val="single" w:color="auto" w:sz="4" w:space="0"/>
              <w:right w:val="single" w:color="auto" w:sz="4" w:space="0"/>
            </w:tcBorders>
            <w:shd w:val="clear" w:color="auto" w:fill="auto"/>
            <w:vAlign w:val="center"/>
          </w:tcPr>
          <w:p w14:paraId="1437C37E">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1,083.08</w:t>
            </w:r>
          </w:p>
        </w:tc>
        <w:tc>
          <w:tcPr>
            <w:tcW w:w="1876" w:type="dxa"/>
            <w:tcBorders>
              <w:top w:val="nil"/>
              <w:left w:val="nil"/>
              <w:bottom w:val="single" w:color="auto" w:sz="4" w:space="0"/>
              <w:right w:val="single" w:color="auto" w:sz="4" w:space="0"/>
            </w:tcBorders>
            <w:shd w:val="clear" w:color="auto" w:fill="auto"/>
            <w:vAlign w:val="center"/>
          </w:tcPr>
          <w:p w14:paraId="2343CB84">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vAlign w:val="center"/>
          </w:tcPr>
          <w:p w14:paraId="304A334E">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2698" w:type="dxa"/>
            <w:tcBorders>
              <w:top w:val="nil"/>
              <w:left w:val="nil"/>
              <w:bottom w:val="single" w:color="auto" w:sz="4" w:space="0"/>
              <w:right w:val="single" w:color="auto" w:sz="4" w:space="0"/>
            </w:tcBorders>
            <w:shd w:val="clear" w:color="auto" w:fill="auto"/>
            <w:vAlign w:val="center"/>
          </w:tcPr>
          <w:p w14:paraId="3B00695B">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r>
      <w:tr w14:paraId="335D4A06">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14:paraId="11C20836">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2210302</w:t>
            </w:r>
          </w:p>
        </w:tc>
        <w:tc>
          <w:tcPr>
            <w:tcW w:w="1337" w:type="dxa"/>
            <w:tcBorders>
              <w:top w:val="nil"/>
              <w:left w:val="nil"/>
              <w:bottom w:val="single" w:color="auto" w:sz="4" w:space="0"/>
              <w:right w:val="single" w:color="auto" w:sz="4" w:space="0"/>
            </w:tcBorders>
            <w:shd w:val="clear" w:color="000000" w:fill="FFFFFF"/>
            <w:vAlign w:val="center"/>
          </w:tcPr>
          <w:p w14:paraId="6F1CE64E">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 xml:space="preserve">  住房公积金管理</w:t>
            </w:r>
          </w:p>
        </w:tc>
        <w:tc>
          <w:tcPr>
            <w:tcW w:w="1877" w:type="dxa"/>
            <w:tcBorders>
              <w:top w:val="nil"/>
              <w:left w:val="nil"/>
              <w:bottom w:val="single" w:color="auto" w:sz="4" w:space="0"/>
              <w:right w:val="single" w:color="auto" w:sz="4" w:space="0"/>
            </w:tcBorders>
            <w:shd w:val="clear" w:color="auto" w:fill="auto"/>
            <w:vAlign w:val="center"/>
          </w:tcPr>
          <w:p w14:paraId="4F1DE2BA">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2,827.00</w:t>
            </w:r>
          </w:p>
        </w:tc>
        <w:tc>
          <w:tcPr>
            <w:tcW w:w="1334" w:type="dxa"/>
            <w:tcBorders>
              <w:top w:val="nil"/>
              <w:left w:val="nil"/>
              <w:bottom w:val="single" w:color="auto" w:sz="4" w:space="0"/>
              <w:right w:val="single" w:color="auto" w:sz="4" w:space="0"/>
            </w:tcBorders>
            <w:shd w:val="clear" w:color="auto" w:fill="auto"/>
            <w:vAlign w:val="center"/>
          </w:tcPr>
          <w:p w14:paraId="670462AA">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1,743.92</w:t>
            </w:r>
          </w:p>
        </w:tc>
        <w:tc>
          <w:tcPr>
            <w:tcW w:w="1333" w:type="dxa"/>
            <w:tcBorders>
              <w:top w:val="nil"/>
              <w:left w:val="nil"/>
              <w:bottom w:val="single" w:color="auto" w:sz="4" w:space="0"/>
              <w:right w:val="single" w:color="auto" w:sz="4" w:space="0"/>
            </w:tcBorders>
            <w:shd w:val="clear" w:color="auto" w:fill="auto"/>
            <w:vAlign w:val="center"/>
          </w:tcPr>
          <w:p w14:paraId="1C65B8D1">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1,083.08</w:t>
            </w:r>
          </w:p>
        </w:tc>
        <w:tc>
          <w:tcPr>
            <w:tcW w:w="1876" w:type="dxa"/>
            <w:tcBorders>
              <w:top w:val="nil"/>
              <w:left w:val="nil"/>
              <w:bottom w:val="single" w:color="auto" w:sz="4" w:space="0"/>
              <w:right w:val="single" w:color="auto" w:sz="4" w:space="0"/>
            </w:tcBorders>
            <w:shd w:val="clear" w:color="auto" w:fill="auto"/>
            <w:vAlign w:val="center"/>
          </w:tcPr>
          <w:p w14:paraId="20F67069">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auto"/>
            <w:vAlign w:val="center"/>
          </w:tcPr>
          <w:p w14:paraId="3F8875BA">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c>
          <w:tcPr>
            <w:tcW w:w="2698" w:type="dxa"/>
            <w:tcBorders>
              <w:top w:val="nil"/>
              <w:left w:val="nil"/>
              <w:bottom w:val="single" w:color="auto" w:sz="4" w:space="0"/>
              <w:right w:val="single" w:color="auto" w:sz="4" w:space="0"/>
            </w:tcBorders>
            <w:shd w:val="clear" w:color="auto" w:fill="auto"/>
            <w:vAlign w:val="center"/>
          </w:tcPr>
          <w:p w14:paraId="36723195">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2"/>
                <w:szCs w:val="22"/>
                <w:u w:val="none"/>
                <w:lang w:val="en-US" w:eastAsia="zh-CN" w:bidi="ar"/>
              </w:rPr>
              <w:t>0.00</w:t>
            </w:r>
          </w:p>
        </w:tc>
      </w:tr>
    </w:tbl>
    <w:p w14:paraId="738518E1">
      <w:pPr>
        <w:widowControl/>
        <w:spacing w:before="120"/>
        <w:jc w:val="left"/>
        <w:rPr>
          <w:rFonts w:hint="default" w:ascii="Times New Roman" w:hAnsi="Times New Roman" w:eastAsia="仿宋_GB2312" w:cs="Times New Roman"/>
          <w:color w:val="000000"/>
          <w:kern w:val="0"/>
          <w:sz w:val="36"/>
          <w:szCs w:val="21"/>
        </w:rPr>
      </w:pPr>
      <w:r>
        <w:rPr>
          <w:rFonts w:hint="default" w:ascii="Times New Roman" w:hAnsi="Times New Roman" w:eastAsia="仿宋_GB2312" w:cs="Times New Roman"/>
          <w:kern w:val="0"/>
          <w:sz w:val="24"/>
          <w:szCs w:val="24"/>
        </w:rPr>
        <w:t>注：本表反映部门本年度各项支出情况。</w:t>
      </w:r>
    </w:p>
    <w:p w14:paraId="3B0121A5">
      <w:pPr>
        <w:widowControl/>
        <w:jc w:val="center"/>
        <w:textAlignment w:val="center"/>
        <w:rPr>
          <w:rFonts w:hint="default" w:ascii="Times New Roman" w:hAnsi="Times New Roman" w:eastAsia="仿宋_GB2312" w:cs="Times New Roman"/>
          <w:color w:val="000000"/>
          <w:kern w:val="0"/>
          <w:sz w:val="32"/>
          <w:szCs w:val="32"/>
          <w:lang w:bidi="ar"/>
        </w:rPr>
      </w:pPr>
    </w:p>
    <w:p w14:paraId="3D5E9D71">
      <w:pPr>
        <w:pStyle w:val="2"/>
        <w:rPr>
          <w:rFonts w:hint="default" w:ascii="Times New Roman" w:hAnsi="Times New Roman" w:eastAsia="仿宋_GB2312" w:cs="Times New Roman"/>
        </w:rPr>
      </w:pPr>
    </w:p>
    <w:p w14:paraId="3628BFF7">
      <w:pPr>
        <w:widowControl/>
        <w:tabs>
          <w:tab w:val="left" w:pos="1236"/>
          <w:tab w:val="left" w:pos="1499"/>
          <w:tab w:val="left" w:pos="2980"/>
          <w:tab w:val="left" w:pos="4932"/>
          <w:tab w:val="left" w:pos="6923"/>
          <w:tab w:val="left" w:pos="8914"/>
          <w:tab w:val="left" w:pos="10905"/>
          <w:tab w:val="left" w:pos="12896"/>
        </w:tabs>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bookmarkStart w:id="0" w:name="RANGE!A1:F16"/>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p>
    <w:p w14:paraId="10127617">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E06321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2C3F7073">
      <w:pPr>
        <w:widowControl/>
        <w:tabs>
          <w:tab w:val="left" w:pos="3595"/>
          <w:tab w:val="left" w:pos="4031"/>
          <w:tab w:val="left" w:pos="5109"/>
          <w:tab w:val="left" w:pos="9152"/>
          <w:tab w:val="left" w:pos="9587"/>
          <w:tab w:val="left" w:pos="11160"/>
          <w:tab w:val="left" w:pos="12554"/>
          <w:tab w:val="left" w:pos="13948"/>
        </w:tabs>
        <w:jc w:val="center"/>
        <w:rPr>
          <w:rFonts w:hint="default"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default" w:ascii="Times New Roman" w:hAnsi="Times New Roman" w:eastAsia="仿宋_GB2312" w:cs="Times New Roman"/>
          <w:color w:val="000000"/>
          <w:kern w:val="0"/>
          <w:sz w:val="20"/>
          <w:szCs w:val="20"/>
        </w:rPr>
        <w:t xml:space="preserve">  公开04表</w:t>
      </w:r>
    </w:p>
    <w:p w14:paraId="0C676216">
      <w:pPr>
        <w:widowControl/>
        <w:tabs>
          <w:tab w:val="left" w:pos="3595"/>
          <w:tab w:val="left" w:pos="4031"/>
          <w:tab w:val="left" w:pos="5109"/>
          <w:tab w:val="left" w:pos="9152"/>
          <w:tab w:val="left" w:pos="9587"/>
          <w:tab w:val="left" w:pos="11160"/>
          <w:tab w:val="left" w:pos="12554"/>
          <w:tab w:val="left" w:pos="13948"/>
        </w:tabs>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部门：</w:t>
      </w:r>
      <w:r>
        <w:rPr>
          <w:rFonts w:hint="default" w:ascii="Times New Roman" w:hAnsi="Times New Roman" w:eastAsia="仿宋_GB2312" w:cs="Times New Roman"/>
          <w:color w:val="000000"/>
          <w:kern w:val="0"/>
          <w:sz w:val="20"/>
          <w:szCs w:val="20"/>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color w:val="000000"/>
          <w:kern w:val="0"/>
          <w:sz w:val="20"/>
          <w:szCs w:val="20"/>
        </w:rPr>
        <w:t>单位：万元</w:t>
      </w:r>
    </w:p>
    <w:tbl>
      <w:tblPr>
        <w:tblStyle w:val="10"/>
        <w:tblW w:w="13540" w:type="dxa"/>
        <w:jc w:val="center"/>
        <w:tblLayout w:type="fixed"/>
        <w:tblCellMar>
          <w:top w:w="0" w:type="dxa"/>
          <w:left w:w="108" w:type="dxa"/>
          <w:bottom w:w="0" w:type="dxa"/>
          <w:right w:w="108" w:type="dxa"/>
        </w:tblCellMar>
      </w:tblPr>
      <w:tblGrid>
        <w:gridCol w:w="3017"/>
        <w:gridCol w:w="533"/>
        <w:gridCol w:w="1047"/>
        <w:gridCol w:w="2511"/>
        <w:gridCol w:w="587"/>
        <w:gridCol w:w="935"/>
        <w:gridCol w:w="1486"/>
        <w:gridCol w:w="1675"/>
        <w:gridCol w:w="1749"/>
      </w:tblGrid>
      <w:tr w14:paraId="42427C3D">
        <w:tblPrEx>
          <w:tblCellMar>
            <w:top w:w="0" w:type="dxa"/>
            <w:left w:w="108" w:type="dxa"/>
            <w:bottom w:w="0" w:type="dxa"/>
            <w:right w:w="108" w:type="dxa"/>
          </w:tblCellMar>
        </w:tblPrEx>
        <w:trPr>
          <w:trHeight w:val="360" w:hRule="atLeast"/>
          <w:jc w:val="center"/>
        </w:trPr>
        <w:tc>
          <w:tcPr>
            <w:tcW w:w="459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2D1B4C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收入</w:t>
            </w:r>
          </w:p>
        </w:tc>
        <w:tc>
          <w:tcPr>
            <w:tcW w:w="8943" w:type="dxa"/>
            <w:gridSpan w:val="6"/>
            <w:tcBorders>
              <w:top w:val="single" w:color="auto" w:sz="4" w:space="0"/>
              <w:left w:val="nil"/>
              <w:bottom w:val="single" w:color="auto" w:sz="4" w:space="0"/>
              <w:right w:val="single" w:color="auto" w:sz="4" w:space="0"/>
            </w:tcBorders>
            <w:shd w:val="clear" w:color="000000" w:fill="FFFFFF"/>
            <w:vAlign w:val="center"/>
          </w:tcPr>
          <w:p w14:paraId="03CD62A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支出</w:t>
            </w:r>
          </w:p>
        </w:tc>
      </w:tr>
      <w:tr w14:paraId="1AA8AC68">
        <w:tblPrEx>
          <w:tblCellMar>
            <w:top w:w="0" w:type="dxa"/>
            <w:left w:w="108" w:type="dxa"/>
            <w:bottom w:w="0" w:type="dxa"/>
            <w:right w:w="108" w:type="dxa"/>
          </w:tblCellMar>
        </w:tblPrEx>
        <w:trPr>
          <w:trHeight w:val="71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03D1F3C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    目</w:t>
            </w:r>
          </w:p>
        </w:tc>
        <w:tc>
          <w:tcPr>
            <w:tcW w:w="533" w:type="dxa"/>
            <w:tcBorders>
              <w:top w:val="nil"/>
              <w:left w:val="nil"/>
              <w:bottom w:val="single" w:color="auto" w:sz="4" w:space="0"/>
              <w:right w:val="single" w:color="auto" w:sz="4" w:space="0"/>
            </w:tcBorders>
            <w:shd w:val="clear" w:color="auto" w:fill="auto"/>
            <w:vAlign w:val="center"/>
          </w:tcPr>
          <w:p w14:paraId="2E055C49">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行次</w:t>
            </w:r>
          </w:p>
        </w:tc>
        <w:tc>
          <w:tcPr>
            <w:tcW w:w="1047" w:type="dxa"/>
            <w:tcBorders>
              <w:top w:val="nil"/>
              <w:left w:val="nil"/>
              <w:bottom w:val="single" w:color="auto" w:sz="4" w:space="0"/>
              <w:right w:val="single" w:color="auto" w:sz="4" w:space="0"/>
            </w:tcBorders>
            <w:shd w:val="clear" w:color="auto" w:fill="auto"/>
            <w:vAlign w:val="center"/>
          </w:tcPr>
          <w:p w14:paraId="2E41A06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金额</w:t>
            </w:r>
          </w:p>
        </w:tc>
        <w:tc>
          <w:tcPr>
            <w:tcW w:w="2511" w:type="dxa"/>
            <w:tcBorders>
              <w:top w:val="nil"/>
              <w:left w:val="nil"/>
              <w:bottom w:val="single" w:color="auto" w:sz="4" w:space="0"/>
              <w:right w:val="single" w:color="auto" w:sz="4" w:space="0"/>
            </w:tcBorders>
            <w:shd w:val="clear" w:color="auto" w:fill="auto"/>
            <w:vAlign w:val="center"/>
          </w:tcPr>
          <w:p w14:paraId="285EC31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    目</w:t>
            </w:r>
          </w:p>
        </w:tc>
        <w:tc>
          <w:tcPr>
            <w:tcW w:w="587" w:type="dxa"/>
            <w:tcBorders>
              <w:top w:val="nil"/>
              <w:left w:val="nil"/>
              <w:bottom w:val="single" w:color="auto" w:sz="4" w:space="0"/>
              <w:right w:val="single" w:color="auto" w:sz="4" w:space="0"/>
            </w:tcBorders>
            <w:shd w:val="clear" w:color="auto" w:fill="auto"/>
            <w:vAlign w:val="center"/>
          </w:tcPr>
          <w:p w14:paraId="568FB56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行次</w:t>
            </w:r>
          </w:p>
        </w:tc>
        <w:tc>
          <w:tcPr>
            <w:tcW w:w="935" w:type="dxa"/>
            <w:tcBorders>
              <w:top w:val="nil"/>
              <w:left w:val="nil"/>
              <w:bottom w:val="single" w:color="auto" w:sz="4" w:space="0"/>
              <w:right w:val="single" w:color="auto" w:sz="4" w:space="0"/>
            </w:tcBorders>
            <w:shd w:val="clear" w:color="auto" w:fill="auto"/>
            <w:vAlign w:val="center"/>
          </w:tcPr>
          <w:p w14:paraId="1B89F32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486" w:type="dxa"/>
            <w:tcBorders>
              <w:top w:val="nil"/>
              <w:left w:val="nil"/>
              <w:bottom w:val="single" w:color="auto" w:sz="4" w:space="0"/>
              <w:right w:val="single" w:color="auto" w:sz="4" w:space="0"/>
            </w:tcBorders>
            <w:shd w:val="clear" w:color="auto" w:fill="auto"/>
            <w:vAlign w:val="center"/>
          </w:tcPr>
          <w:p w14:paraId="607ACA9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一般公共预算财政拨款</w:t>
            </w:r>
          </w:p>
        </w:tc>
        <w:tc>
          <w:tcPr>
            <w:tcW w:w="1675" w:type="dxa"/>
            <w:tcBorders>
              <w:top w:val="nil"/>
              <w:left w:val="nil"/>
              <w:bottom w:val="single" w:color="auto" w:sz="4" w:space="0"/>
              <w:right w:val="single" w:color="auto" w:sz="4" w:space="0"/>
            </w:tcBorders>
            <w:shd w:val="clear" w:color="auto" w:fill="auto"/>
            <w:vAlign w:val="center"/>
          </w:tcPr>
          <w:p w14:paraId="6CF8A81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政府性基金预算财政拨款</w:t>
            </w:r>
          </w:p>
        </w:tc>
        <w:tc>
          <w:tcPr>
            <w:tcW w:w="1749" w:type="dxa"/>
            <w:tcBorders>
              <w:top w:val="nil"/>
              <w:left w:val="nil"/>
              <w:bottom w:val="single" w:color="auto" w:sz="4" w:space="0"/>
              <w:right w:val="single" w:color="auto" w:sz="4" w:space="0"/>
            </w:tcBorders>
            <w:shd w:val="clear" w:color="auto" w:fill="auto"/>
            <w:vAlign w:val="center"/>
          </w:tcPr>
          <w:p w14:paraId="2424FE0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国有资本经营预算财政拨款</w:t>
            </w:r>
          </w:p>
        </w:tc>
      </w:tr>
      <w:tr w14:paraId="6586FC88">
        <w:tblPrEx>
          <w:tblCellMar>
            <w:top w:w="0" w:type="dxa"/>
            <w:left w:w="108" w:type="dxa"/>
            <w:bottom w:w="0" w:type="dxa"/>
            <w:right w:w="108" w:type="dxa"/>
          </w:tblCellMar>
        </w:tblPrEx>
        <w:trPr>
          <w:trHeight w:val="36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725AD26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栏    次</w:t>
            </w:r>
          </w:p>
        </w:tc>
        <w:tc>
          <w:tcPr>
            <w:tcW w:w="533" w:type="dxa"/>
            <w:tcBorders>
              <w:top w:val="nil"/>
              <w:left w:val="nil"/>
              <w:bottom w:val="single" w:color="auto" w:sz="4" w:space="0"/>
              <w:right w:val="single" w:color="auto" w:sz="4" w:space="0"/>
            </w:tcBorders>
            <w:shd w:val="clear" w:color="auto" w:fill="auto"/>
            <w:vAlign w:val="center"/>
          </w:tcPr>
          <w:p w14:paraId="05F17CD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047" w:type="dxa"/>
            <w:tcBorders>
              <w:top w:val="nil"/>
              <w:left w:val="nil"/>
              <w:bottom w:val="single" w:color="auto" w:sz="4" w:space="0"/>
              <w:right w:val="single" w:color="auto" w:sz="4" w:space="0"/>
            </w:tcBorders>
            <w:shd w:val="clear" w:color="auto" w:fill="auto"/>
            <w:vAlign w:val="center"/>
          </w:tcPr>
          <w:p w14:paraId="43F783C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2511" w:type="dxa"/>
            <w:tcBorders>
              <w:top w:val="nil"/>
              <w:left w:val="nil"/>
              <w:bottom w:val="single" w:color="auto" w:sz="4" w:space="0"/>
              <w:right w:val="single" w:color="auto" w:sz="4" w:space="0"/>
            </w:tcBorders>
            <w:shd w:val="clear" w:color="auto" w:fill="auto"/>
            <w:vAlign w:val="center"/>
          </w:tcPr>
          <w:p w14:paraId="2F3310D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栏    次</w:t>
            </w:r>
          </w:p>
        </w:tc>
        <w:tc>
          <w:tcPr>
            <w:tcW w:w="587" w:type="dxa"/>
            <w:tcBorders>
              <w:top w:val="nil"/>
              <w:left w:val="nil"/>
              <w:bottom w:val="single" w:color="auto" w:sz="4" w:space="0"/>
              <w:right w:val="single" w:color="auto" w:sz="4" w:space="0"/>
            </w:tcBorders>
            <w:shd w:val="clear" w:color="auto" w:fill="auto"/>
            <w:vAlign w:val="center"/>
          </w:tcPr>
          <w:p w14:paraId="02392FE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935" w:type="dxa"/>
            <w:tcBorders>
              <w:top w:val="nil"/>
              <w:left w:val="nil"/>
              <w:bottom w:val="single" w:color="auto" w:sz="4" w:space="0"/>
              <w:right w:val="single" w:color="auto" w:sz="4" w:space="0"/>
            </w:tcBorders>
            <w:shd w:val="clear" w:color="auto" w:fill="auto"/>
            <w:vAlign w:val="center"/>
          </w:tcPr>
          <w:p w14:paraId="0007A29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1486" w:type="dxa"/>
            <w:tcBorders>
              <w:top w:val="nil"/>
              <w:left w:val="nil"/>
              <w:bottom w:val="single" w:color="auto" w:sz="4" w:space="0"/>
              <w:right w:val="single" w:color="auto" w:sz="4" w:space="0"/>
            </w:tcBorders>
            <w:shd w:val="clear" w:color="auto" w:fill="auto"/>
            <w:vAlign w:val="center"/>
          </w:tcPr>
          <w:p w14:paraId="47937E5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1675" w:type="dxa"/>
            <w:tcBorders>
              <w:top w:val="nil"/>
              <w:left w:val="nil"/>
              <w:bottom w:val="single" w:color="auto" w:sz="4" w:space="0"/>
              <w:right w:val="single" w:color="auto" w:sz="4" w:space="0"/>
            </w:tcBorders>
            <w:shd w:val="clear" w:color="auto" w:fill="auto"/>
            <w:vAlign w:val="center"/>
          </w:tcPr>
          <w:p w14:paraId="76E6E4A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1749" w:type="dxa"/>
            <w:tcBorders>
              <w:top w:val="nil"/>
              <w:left w:val="nil"/>
              <w:bottom w:val="single" w:color="auto" w:sz="4" w:space="0"/>
              <w:right w:val="single" w:color="auto" w:sz="4" w:space="0"/>
            </w:tcBorders>
            <w:shd w:val="clear" w:color="auto" w:fill="auto"/>
            <w:vAlign w:val="center"/>
          </w:tcPr>
          <w:p w14:paraId="2E1E72F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r>
      <w:tr w14:paraId="1DCE49CF">
        <w:tblPrEx>
          <w:tblCellMar>
            <w:top w:w="0" w:type="dxa"/>
            <w:left w:w="108" w:type="dxa"/>
            <w:bottom w:w="0" w:type="dxa"/>
            <w:right w:w="108" w:type="dxa"/>
          </w:tblCellMar>
        </w:tblPrEx>
        <w:trPr>
          <w:trHeight w:val="36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60E95A59">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一、一般公共预算财政拨款</w:t>
            </w:r>
          </w:p>
        </w:tc>
        <w:tc>
          <w:tcPr>
            <w:tcW w:w="533" w:type="dxa"/>
            <w:tcBorders>
              <w:top w:val="nil"/>
              <w:left w:val="nil"/>
              <w:bottom w:val="single" w:color="auto" w:sz="4" w:space="0"/>
              <w:right w:val="single" w:color="auto" w:sz="4" w:space="0"/>
            </w:tcBorders>
            <w:shd w:val="clear" w:color="auto" w:fill="auto"/>
            <w:vAlign w:val="center"/>
          </w:tcPr>
          <w:p w14:paraId="74C71A8C">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w:t>
            </w:r>
          </w:p>
        </w:tc>
        <w:tc>
          <w:tcPr>
            <w:tcW w:w="1047" w:type="dxa"/>
            <w:tcBorders>
              <w:top w:val="nil"/>
              <w:left w:val="nil"/>
              <w:bottom w:val="single" w:color="auto" w:sz="4" w:space="0"/>
              <w:right w:val="single" w:color="auto" w:sz="4" w:space="0"/>
            </w:tcBorders>
            <w:shd w:val="clear" w:color="auto" w:fill="auto"/>
            <w:vAlign w:val="center"/>
          </w:tcPr>
          <w:p w14:paraId="2B0C97E4">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2829.40</w:t>
            </w:r>
            <w:r>
              <w:rPr>
                <w:rFonts w:hint="default" w:ascii="Times New Roman" w:hAnsi="Times New Roman" w:eastAsia="仿宋_GB2312" w:cs="Times New Roman"/>
                <w:kern w:val="0"/>
                <w:sz w:val="22"/>
              </w:rPr>
              <w:t>　</w:t>
            </w:r>
          </w:p>
        </w:tc>
        <w:tc>
          <w:tcPr>
            <w:tcW w:w="2511" w:type="dxa"/>
            <w:tcBorders>
              <w:top w:val="nil"/>
              <w:left w:val="nil"/>
              <w:bottom w:val="single" w:color="auto" w:sz="4" w:space="0"/>
              <w:right w:val="single" w:color="auto" w:sz="4" w:space="0"/>
            </w:tcBorders>
            <w:shd w:val="clear" w:color="auto" w:fill="auto"/>
            <w:vAlign w:val="center"/>
          </w:tcPr>
          <w:p w14:paraId="3667CAB0">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一、一般公共服务支出</w:t>
            </w:r>
          </w:p>
        </w:tc>
        <w:tc>
          <w:tcPr>
            <w:tcW w:w="587" w:type="dxa"/>
            <w:tcBorders>
              <w:top w:val="nil"/>
              <w:left w:val="nil"/>
              <w:bottom w:val="single" w:color="auto" w:sz="4" w:space="0"/>
              <w:right w:val="single" w:color="auto" w:sz="4" w:space="0"/>
            </w:tcBorders>
            <w:shd w:val="clear" w:color="auto" w:fill="auto"/>
            <w:vAlign w:val="center"/>
          </w:tcPr>
          <w:p w14:paraId="0B85AF18">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15</w:t>
            </w:r>
          </w:p>
        </w:tc>
        <w:tc>
          <w:tcPr>
            <w:tcW w:w="935" w:type="dxa"/>
            <w:tcBorders>
              <w:top w:val="nil"/>
              <w:left w:val="nil"/>
              <w:bottom w:val="single" w:color="auto" w:sz="4" w:space="0"/>
              <w:right w:val="single" w:color="auto" w:sz="4" w:space="0"/>
            </w:tcBorders>
            <w:shd w:val="clear" w:color="auto" w:fill="auto"/>
            <w:vAlign w:val="center"/>
          </w:tcPr>
          <w:p w14:paraId="0E183F6E">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2.40</w:t>
            </w:r>
          </w:p>
        </w:tc>
        <w:tc>
          <w:tcPr>
            <w:tcW w:w="1486" w:type="dxa"/>
            <w:tcBorders>
              <w:top w:val="nil"/>
              <w:left w:val="nil"/>
              <w:bottom w:val="single" w:color="auto" w:sz="4" w:space="0"/>
              <w:right w:val="single" w:color="auto" w:sz="4" w:space="0"/>
            </w:tcBorders>
            <w:shd w:val="clear" w:color="auto" w:fill="auto"/>
            <w:vAlign w:val="center"/>
          </w:tcPr>
          <w:p w14:paraId="271D59CB">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2.40</w:t>
            </w:r>
            <w:r>
              <w:rPr>
                <w:rFonts w:hint="default" w:ascii="Times New Roman" w:hAnsi="Times New Roman" w:eastAsia="仿宋_GB2312" w:cs="Times New Roman"/>
                <w:kern w:val="0"/>
                <w:sz w:val="22"/>
              </w:rPr>
              <w:t>　</w:t>
            </w:r>
          </w:p>
        </w:tc>
        <w:tc>
          <w:tcPr>
            <w:tcW w:w="1675" w:type="dxa"/>
            <w:tcBorders>
              <w:top w:val="nil"/>
              <w:left w:val="nil"/>
              <w:bottom w:val="single" w:color="auto" w:sz="4" w:space="0"/>
              <w:right w:val="single" w:color="auto" w:sz="4" w:space="0"/>
            </w:tcBorders>
            <w:shd w:val="clear" w:color="auto" w:fill="auto"/>
            <w:vAlign w:val="center"/>
          </w:tcPr>
          <w:p w14:paraId="244ECF1B">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39DF0551">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7AE515FA">
        <w:tblPrEx>
          <w:tblCellMar>
            <w:top w:w="0" w:type="dxa"/>
            <w:left w:w="108" w:type="dxa"/>
            <w:bottom w:w="0" w:type="dxa"/>
            <w:right w:w="108" w:type="dxa"/>
          </w:tblCellMar>
        </w:tblPrEx>
        <w:trPr>
          <w:trHeight w:val="36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7A15DD6F">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二、政府性基金预算财政拨款</w:t>
            </w:r>
          </w:p>
        </w:tc>
        <w:tc>
          <w:tcPr>
            <w:tcW w:w="533" w:type="dxa"/>
            <w:tcBorders>
              <w:top w:val="nil"/>
              <w:left w:val="nil"/>
              <w:bottom w:val="single" w:color="auto" w:sz="4" w:space="0"/>
              <w:right w:val="single" w:color="auto" w:sz="4" w:space="0"/>
            </w:tcBorders>
            <w:shd w:val="clear" w:color="auto" w:fill="auto"/>
            <w:vAlign w:val="center"/>
          </w:tcPr>
          <w:p w14:paraId="4393A4A0">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w:t>
            </w:r>
          </w:p>
        </w:tc>
        <w:tc>
          <w:tcPr>
            <w:tcW w:w="1047" w:type="dxa"/>
            <w:tcBorders>
              <w:top w:val="nil"/>
              <w:left w:val="nil"/>
              <w:bottom w:val="single" w:color="auto" w:sz="4" w:space="0"/>
              <w:right w:val="single" w:color="auto" w:sz="4" w:space="0"/>
            </w:tcBorders>
            <w:shd w:val="clear" w:color="auto" w:fill="auto"/>
            <w:vAlign w:val="center"/>
          </w:tcPr>
          <w:p w14:paraId="52C64BA3">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2511" w:type="dxa"/>
            <w:tcBorders>
              <w:top w:val="nil"/>
              <w:left w:val="nil"/>
              <w:bottom w:val="single" w:color="auto" w:sz="4" w:space="0"/>
              <w:right w:val="single" w:color="auto" w:sz="4" w:space="0"/>
            </w:tcBorders>
            <w:shd w:val="clear" w:color="auto" w:fill="auto"/>
            <w:vAlign w:val="center"/>
          </w:tcPr>
          <w:p w14:paraId="3D9F2DA6">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二、外交支出</w:t>
            </w:r>
          </w:p>
        </w:tc>
        <w:tc>
          <w:tcPr>
            <w:tcW w:w="587" w:type="dxa"/>
            <w:tcBorders>
              <w:top w:val="nil"/>
              <w:left w:val="nil"/>
              <w:bottom w:val="single" w:color="auto" w:sz="4" w:space="0"/>
              <w:right w:val="single" w:color="auto" w:sz="4" w:space="0"/>
            </w:tcBorders>
            <w:shd w:val="clear" w:color="auto" w:fill="auto"/>
            <w:vAlign w:val="center"/>
          </w:tcPr>
          <w:p w14:paraId="64EF25F4">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16</w:t>
            </w:r>
          </w:p>
        </w:tc>
        <w:tc>
          <w:tcPr>
            <w:tcW w:w="935" w:type="dxa"/>
            <w:tcBorders>
              <w:top w:val="nil"/>
              <w:left w:val="nil"/>
              <w:bottom w:val="single" w:color="auto" w:sz="4" w:space="0"/>
              <w:right w:val="single" w:color="auto" w:sz="4" w:space="0"/>
            </w:tcBorders>
            <w:shd w:val="clear" w:color="auto" w:fill="auto"/>
            <w:vAlign w:val="center"/>
          </w:tcPr>
          <w:p w14:paraId="28BC7102">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486" w:type="dxa"/>
            <w:tcBorders>
              <w:top w:val="nil"/>
              <w:left w:val="nil"/>
              <w:bottom w:val="single" w:color="auto" w:sz="4" w:space="0"/>
              <w:right w:val="single" w:color="auto" w:sz="4" w:space="0"/>
            </w:tcBorders>
            <w:shd w:val="clear" w:color="auto" w:fill="auto"/>
            <w:vAlign w:val="center"/>
          </w:tcPr>
          <w:p w14:paraId="1B1897D7">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675" w:type="dxa"/>
            <w:tcBorders>
              <w:top w:val="nil"/>
              <w:left w:val="nil"/>
              <w:bottom w:val="single" w:color="auto" w:sz="4" w:space="0"/>
              <w:right w:val="single" w:color="auto" w:sz="4" w:space="0"/>
            </w:tcBorders>
            <w:shd w:val="clear" w:color="auto" w:fill="auto"/>
            <w:vAlign w:val="center"/>
          </w:tcPr>
          <w:p w14:paraId="13E69110">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33EE769E">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210ECD5F">
        <w:tblPrEx>
          <w:tblCellMar>
            <w:top w:w="0" w:type="dxa"/>
            <w:left w:w="108" w:type="dxa"/>
            <w:bottom w:w="0" w:type="dxa"/>
            <w:right w:w="108" w:type="dxa"/>
          </w:tblCellMar>
        </w:tblPrEx>
        <w:trPr>
          <w:trHeight w:val="71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0592BB69">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三、国有资本经营预算财政拨款</w:t>
            </w:r>
          </w:p>
        </w:tc>
        <w:tc>
          <w:tcPr>
            <w:tcW w:w="533" w:type="dxa"/>
            <w:tcBorders>
              <w:top w:val="nil"/>
              <w:left w:val="nil"/>
              <w:bottom w:val="single" w:color="auto" w:sz="4" w:space="0"/>
              <w:right w:val="single" w:color="auto" w:sz="4" w:space="0"/>
            </w:tcBorders>
            <w:shd w:val="clear" w:color="auto" w:fill="auto"/>
            <w:vAlign w:val="center"/>
          </w:tcPr>
          <w:p w14:paraId="0CEC5EB2">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w:t>
            </w:r>
          </w:p>
        </w:tc>
        <w:tc>
          <w:tcPr>
            <w:tcW w:w="1047" w:type="dxa"/>
            <w:tcBorders>
              <w:top w:val="nil"/>
              <w:left w:val="nil"/>
              <w:bottom w:val="single" w:color="auto" w:sz="4" w:space="0"/>
              <w:right w:val="single" w:color="auto" w:sz="4" w:space="0"/>
            </w:tcBorders>
            <w:shd w:val="clear" w:color="auto" w:fill="auto"/>
            <w:vAlign w:val="center"/>
          </w:tcPr>
          <w:p w14:paraId="05AA8E2E">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2511" w:type="dxa"/>
            <w:tcBorders>
              <w:top w:val="nil"/>
              <w:left w:val="nil"/>
              <w:bottom w:val="single" w:color="auto" w:sz="4" w:space="0"/>
              <w:right w:val="single" w:color="auto" w:sz="4" w:space="0"/>
            </w:tcBorders>
            <w:shd w:val="clear" w:color="auto" w:fill="auto"/>
            <w:vAlign w:val="center"/>
          </w:tcPr>
          <w:p w14:paraId="7525E34B">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三、国防支出</w:t>
            </w:r>
          </w:p>
        </w:tc>
        <w:tc>
          <w:tcPr>
            <w:tcW w:w="587" w:type="dxa"/>
            <w:tcBorders>
              <w:top w:val="nil"/>
              <w:left w:val="nil"/>
              <w:bottom w:val="single" w:color="auto" w:sz="4" w:space="0"/>
              <w:right w:val="single" w:color="auto" w:sz="4" w:space="0"/>
            </w:tcBorders>
            <w:shd w:val="clear" w:color="auto" w:fill="auto"/>
            <w:vAlign w:val="center"/>
          </w:tcPr>
          <w:p w14:paraId="7805F5D9">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17</w:t>
            </w:r>
          </w:p>
        </w:tc>
        <w:tc>
          <w:tcPr>
            <w:tcW w:w="935" w:type="dxa"/>
            <w:tcBorders>
              <w:top w:val="nil"/>
              <w:left w:val="nil"/>
              <w:bottom w:val="single" w:color="auto" w:sz="4" w:space="0"/>
              <w:right w:val="single" w:color="auto" w:sz="4" w:space="0"/>
            </w:tcBorders>
            <w:shd w:val="clear" w:color="auto" w:fill="auto"/>
            <w:vAlign w:val="center"/>
          </w:tcPr>
          <w:p w14:paraId="38F8BB9B">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486" w:type="dxa"/>
            <w:tcBorders>
              <w:top w:val="nil"/>
              <w:left w:val="nil"/>
              <w:bottom w:val="single" w:color="auto" w:sz="4" w:space="0"/>
              <w:right w:val="single" w:color="auto" w:sz="4" w:space="0"/>
            </w:tcBorders>
            <w:shd w:val="clear" w:color="auto" w:fill="auto"/>
            <w:vAlign w:val="center"/>
          </w:tcPr>
          <w:p w14:paraId="144CC398">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675" w:type="dxa"/>
            <w:tcBorders>
              <w:top w:val="nil"/>
              <w:left w:val="nil"/>
              <w:bottom w:val="single" w:color="auto" w:sz="4" w:space="0"/>
              <w:right w:val="single" w:color="auto" w:sz="4" w:space="0"/>
            </w:tcBorders>
            <w:shd w:val="clear" w:color="auto" w:fill="auto"/>
            <w:vAlign w:val="center"/>
          </w:tcPr>
          <w:p w14:paraId="28F61BAA">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2189FF49">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4FFC40B6">
        <w:tblPrEx>
          <w:tblCellMar>
            <w:top w:w="0" w:type="dxa"/>
            <w:left w:w="108" w:type="dxa"/>
            <w:bottom w:w="0" w:type="dxa"/>
            <w:right w:w="108" w:type="dxa"/>
          </w:tblCellMar>
        </w:tblPrEx>
        <w:trPr>
          <w:trHeight w:val="36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40BF0089">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533" w:type="dxa"/>
            <w:tcBorders>
              <w:top w:val="nil"/>
              <w:left w:val="nil"/>
              <w:bottom w:val="single" w:color="auto" w:sz="4" w:space="0"/>
              <w:right w:val="single" w:color="auto" w:sz="4" w:space="0"/>
            </w:tcBorders>
            <w:shd w:val="clear" w:color="auto" w:fill="auto"/>
            <w:vAlign w:val="center"/>
          </w:tcPr>
          <w:p w14:paraId="07845790">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w:t>
            </w:r>
          </w:p>
        </w:tc>
        <w:tc>
          <w:tcPr>
            <w:tcW w:w="1047" w:type="dxa"/>
            <w:tcBorders>
              <w:top w:val="nil"/>
              <w:left w:val="nil"/>
              <w:bottom w:val="single" w:color="auto" w:sz="4" w:space="0"/>
              <w:right w:val="single" w:color="auto" w:sz="4" w:space="0"/>
            </w:tcBorders>
            <w:shd w:val="clear" w:color="auto" w:fill="auto"/>
            <w:vAlign w:val="center"/>
          </w:tcPr>
          <w:p w14:paraId="17788FDC">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2511" w:type="dxa"/>
            <w:tcBorders>
              <w:top w:val="nil"/>
              <w:left w:val="nil"/>
              <w:bottom w:val="single" w:color="auto" w:sz="4" w:space="0"/>
              <w:right w:val="single" w:color="auto" w:sz="4" w:space="0"/>
            </w:tcBorders>
            <w:shd w:val="clear" w:color="auto" w:fill="auto"/>
            <w:vAlign w:val="center"/>
          </w:tcPr>
          <w:p w14:paraId="0C208935">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eastAsia="zh-CN"/>
              </w:rPr>
              <w:t>四</w:t>
            </w:r>
            <w:r>
              <w:rPr>
                <w:rFonts w:hint="default" w:ascii="Times New Roman" w:hAnsi="Times New Roman" w:eastAsia="仿宋_GB2312" w:cs="Times New Roman"/>
                <w:kern w:val="0"/>
                <w:sz w:val="22"/>
              </w:rPr>
              <w:t>、教育支出</w:t>
            </w:r>
          </w:p>
        </w:tc>
        <w:tc>
          <w:tcPr>
            <w:tcW w:w="587" w:type="dxa"/>
            <w:tcBorders>
              <w:top w:val="nil"/>
              <w:left w:val="nil"/>
              <w:bottom w:val="single" w:color="auto" w:sz="4" w:space="0"/>
              <w:right w:val="single" w:color="auto" w:sz="4" w:space="0"/>
            </w:tcBorders>
            <w:shd w:val="clear" w:color="auto" w:fill="auto"/>
            <w:vAlign w:val="center"/>
          </w:tcPr>
          <w:p w14:paraId="32CC9797">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19</w:t>
            </w:r>
          </w:p>
        </w:tc>
        <w:tc>
          <w:tcPr>
            <w:tcW w:w="935" w:type="dxa"/>
            <w:tcBorders>
              <w:top w:val="nil"/>
              <w:left w:val="nil"/>
              <w:bottom w:val="single" w:color="auto" w:sz="4" w:space="0"/>
              <w:right w:val="single" w:color="auto" w:sz="4" w:space="0"/>
            </w:tcBorders>
            <w:shd w:val="clear" w:color="auto" w:fill="auto"/>
            <w:vAlign w:val="center"/>
          </w:tcPr>
          <w:p w14:paraId="7A0EB9B9">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486" w:type="dxa"/>
            <w:tcBorders>
              <w:top w:val="nil"/>
              <w:left w:val="nil"/>
              <w:bottom w:val="single" w:color="auto" w:sz="4" w:space="0"/>
              <w:right w:val="single" w:color="auto" w:sz="4" w:space="0"/>
            </w:tcBorders>
            <w:shd w:val="clear" w:color="auto" w:fill="auto"/>
            <w:vAlign w:val="center"/>
          </w:tcPr>
          <w:p w14:paraId="29AE64F5">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675" w:type="dxa"/>
            <w:tcBorders>
              <w:top w:val="nil"/>
              <w:left w:val="nil"/>
              <w:bottom w:val="single" w:color="auto" w:sz="4" w:space="0"/>
              <w:right w:val="single" w:color="auto" w:sz="4" w:space="0"/>
            </w:tcBorders>
            <w:shd w:val="clear" w:color="auto" w:fill="auto"/>
            <w:vAlign w:val="center"/>
          </w:tcPr>
          <w:p w14:paraId="2758F21B">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5F07A8F7">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3BAFF96C">
        <w:tblPrEx>
          <w:tblCellMar>
            <w:top w:w="0" w:type="dxa"/>
            <w:left w:w="108" w:type="dxa"/>
            <w:bottom w:w="0" w:type="dxa"/>
            <w:right w:w="108" w:type="dxa"/>
          </w:tblCellMar>
        </w:tblPrEx>
        <w:trPr>
          <w:trHeight w:val="36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090FDF83">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533" w:type="dxa"/>
            <w:tcBorders>
              <w:top w:val="nil"/>
              <w:left w:val="nil"/>
              <w:bottom w:val="single" w:color="auto" w:sz="4" w:space="0"/>
              <w:right w:val="single" w:color="auto" w:sz="4" w:space="0"/>
            </w:tcBorders>
            <w:shd w:val="clear" w:color="auto" w:fill="auto"/>
            <w:vAlign w:val="center"/>
          </w:tcPr>
          <w:p w14:paraId="1DF9E179">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6</w:t>
            </w:r>
          </w:p>
        </w:tc>
        <w:tc>
          <w:tcPr>
            <w:tcW w:w="1047" w:type="dxa"/>
            <w:tcBorders>
              <w:top w:val="nil"/>
              <w:left w:val="nil"/>
              <w:bottom w:val="single" w:color="auto" w:sz="4" w:space="0"/>
              <w:right w:val="single" w:color="auto" w:sz="4" w:space="0"/>
            </w:tcBorders>
            <w:shd w:val="clear" w:color="auto" w:fill="auto"/>
            <w:vAlign w:val="center"/>
          </w:tcPr>
          <w:p w14:paraId="5F03E9E0">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2511" w:type="dxa"/>
            <w:tcBorders>
              <w:top w:val="nil"/>
              <w:left w:val="nil"/>
              <w:bottom w:val="single" w:color="auto" w:sz="4" w:space="0"/>
              <w:right w:val="single" w:color="auto" w:sz="4" w:space="0"/>
            </w:tcBorders>
            <w:shd w:val="clear" w:color="auto" w:fill="auto"/>
            <w:vAlign w:val="center"/>
          </w:tcPr>
          <w:p w14:paraId="1CF7E2A0">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eastAsia="zh-CN"/>
              </w:rPr>
              <w:t>五</w:t>
            </w:r>
            <w:r>
              <w:rPr>
                <w:rFonts w:hint="default" w:ascii="Times New Roman" w:hAnsi="Times New Roman" w:eastAsia="仿宋_GB2312" w:cs="Times New Roman"/>
                <w:kern w:val="0"/>
                <w:sz w:val="22"/>
              </w:rPr>
              <w:t>、科学技术支出</w:t>
            </w:r>
          </w:p>
        </w:tc>
        <w:tc>
          <w:tcPr>
            <w:tcW w:w="587" w:type="dxa"/>
            <w:tcBorders>
              <w:top w:val="nil"/>
              <w:left w:val="nil"/>
              <w:bottom w:val="single" w:color="auto" w:sz="4" w:space="0"/>
              <w:right w:val="single" w:color="auto" w:sz="4" w:space="0"/>
            </w:tcBorders>
            <w:shd w:val="clear" w:color="auto" w:fill="auto"/>
            <w:vAlign w:val="center"/>
          </w:tcPr>
          <w:p w14:paraId="222B9F47">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20</w:t>
            </w:r>
          </w:p>
        </w:tc>
        <w:tc>
          <w:tcPr>
            <w:tcW w:w="935" w:type="dxa"/>
            <w:tcBorders>
              <w:top w:val="nil"/>
              <w:left w:val="nil"/>
              <w:bottom w:val="single" w:color="auto" w:sz="4" w:space="0"/>
              <w:right w:val="single" w:color="auto" w:sz="4" w:space="0"/>
            </w:tcBorders>
            <w:shd w:val="clear" w:color="auto" w:fill="auto"/>
            <w:vAlign w:val="center"/>
          </w:tcPr>
          <w:p w14:paraId="3A322911">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486" w:type="dxa"/>
            <w:tcBorders>
              <w:top w:val="nil"/>
              <w:left w:val="nil"/>
              <w:bottom w:val="single" w:color="auto" w:sz="4" w:space="0"/>
              <w:right w:val="single" w:color="auto" w:sz="4" w:space="0"/>
            </w:tcBorders>
            <w:shd w:val="clear" w:color="auto" w:fill="auto"/>
            <w:vAlign w:val="center"/>
          </w:tcPr>
          <w:p w14:paraId="124CCF53">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675" w:type="dxa"/>
            <w:tcBorders>
              <w:top w:val="nil"/>
              <w:left w:val="nil"/>
              <w:bottom w:val="single" w:color="auto" w:sz="4" w:space="0"/>
              <w:right w:val="single" w:color="auto" w:sz="4" w:space="0"/>
            </w:tcBorders>
            <w:shd w:val="clear" w:color="auto" w:fill="auto"/>
            <w:vAlign w:val="center"/>
          </w:tcPr>
          <w:p w14:paraId="2DCB8608">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3406CE90">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09EBBFC0">
        <w:tblPrEx>
          <w:tblCellMar>
            <w:top w:w="0" w:type="dxa"/>
            <w:left w:w="108" w:type="dxa"/>
            <w:bottom w:w="0" w:type="dxa"/>
            <w:right w:w="108" w:type="dxa"/>
          </w:tblCellMar>
        </w:tblPrEx>
        <w:trPr>
          <w:trHeight w:val="36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03707A19">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533" w:type="dxa"/>
            <w:tcBorders>
              <w:top w:val="nil"/>
              <w:left w:val="nil"/>
              <w:bottom w:val="single" w:color="auto" w:sz="4" w:space="0"/>
              <w:right w:val="single" w:color="auto" w:sz="4" w:space="0"/>
            </w:tcBorders>
            <w:shd w:val="clear" w:color="auto" w:fill="auto"/>
            <w:vAlign w:val="center"/>
          </w:tcPr>
          <w:p w14:paraId="2CBE9242">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7</w:t>
            </w:r>
          </w:p>
        </w:tc>
        <w:tc>
          <w:tcPr>
            <w:tcW w:w="1047" w:type="dxa"/>
            <w:tcBorders>
              <w:top w:val="nil"/>
              <w:left w:val="nil"/>
              <w:bottom w:val="single" w:color="auto" w:sz="4" w:space="0"/>
              <w:right w:val="single" w:color="auto" w:sz="4" w:space="0"/>
            </w:tcBorders>
            <w:shd w:val="clear" w:color="auto" w:fill="auto"/>
            <w:vAlign w:val="center"/>
          </w:tcPr>
          <w:p w14:paraId="7479943D">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2511" w:type="dxa"/>
            <w:tcBorders>
              <w:top w:val="nil"/>
              <w:left w:val="nil"/>
              <w:bottom w:val="single" w:color="auto" w:sz="4" w:space="0"/>
              <w:right w:val="single" w:color="auto" w:sz="4" w:space="0"/>
            </w:tcBorders>
            <w:shd w:val="clear" w:color="auto" w:fill="auto"/>
            <w:vAlign w:val="center"/>
          </w:tcPr>
          <w:p w14:paraId="314CF7C7">
            <w:pPr>
              <w:widowControl/>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六、住房保障支出</w:t>
            </w:r>
          </w:p>
        </w:tc>
        <w:tc>
          <w:tcPr>
            <w:tcW w:w="587" w:type="dxa"/>
            <w:tcBorders>
              <w:top w:val="nil"/>
              <w:left w:val="nil"/>
              <w:bottom w:val="single" w:color="auto" w:sz="4" w:space="0"/>
              <w:right w:val="single" w:color="auto" w:sz="4" w:space="0"/>
            </w:tcBorders>
            <w:shd w:val="clear" w:color="auto" w:fill="auto"/>
            <w:vAlign w:val="center"/>
          </w:tcPr>
          <w:p w14:paraId="2DDDF8BF">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21</w:t>
            </w:r>
          </w:p>
        </w:tc>
        <w:tc>
          <w:tcPr>
            <w:tcW w:w="935" w:type="dxa"/>
            <w:tcBorders>
              <w:top w:val="nil"/>
              <w:left w:val="nil"/>
              <w:bottom w:val="single" w:color="auto" w:sz="4" w:space="0"/>
              <w:right w:val="single" w:color="auto" w:sz="4" w:space="0"/>
            </w:tcBorders>
            <w:shd w:val="clear" w:color="auto" w:fill="auto"/>
            <w:vAlign w:val="center"/>
          </w:tcPr>
          <w:p w14:paraId="6B30E92A">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2827.00</w:t>
            </w:r>
            <w:r>
              <w:rPr>
                <w:rFonts w:hint="default" w:ascii="Times New Roman" w:hAnsi="Times New Roman" w:eastAsia="仿宋_GB2312" w:cs="Times New Roman"/>
                <w:kern w:val="0"/>
                <w:sz w:val="22"/>
              </w:rPr>
              <w:t>　</w:t>
            </w:r>
          </w:p>
        </w:tc>
        <w:tc>
          <w:tcPr>
            <w:tcW w:w="1486" w:type="dxa"/>
            <w:tcBorders>
              <w:top w:val="nil"/>
              <w:left w:val="nil"/>
              <w:bottom w:val="single" w:color="auto" w:sz="4" w:space="0"/>
              <w:right w:val="single" w:color="auto" w:sz="4" w:space="0"/>
            </w:tcBorders>
            <w:shd w:val="clear" w:color="auto" w:fill="auto"/>
            <w:vAlign w:val="center"/>
          </w:tcPr>
          <w:p w14:paraId="506A9AE6">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2827.00</w:t>
            </w:r>
            <w:r>
              <w:rPr>
                <w:rFonts w:hint="default" w:ascii="Times New Roman" w:hAnsi="Times New Roman" w:eastAsia="仿宋_GB2312" w:cs="Times New Roman"/>
                <w:kern w:val="0"/>
                <w:sz w:val="22"/>
              </w:rPr>
              <w:t>　</w:t>
            </w:r>
          </w:p>
        </w:tc>
        <w:tc>
          <w:tcPr>
            <w:tcW w:w="1675" w:type="dxa"/>
            <w:tcBorders>
              <w:top w:val="nil"/>
              <w:left w:val="nil"/>
              <w:bottom w:val="single" w:color="auto" w:sz="4" w:space="0"/>
              <w:right w:val="single" w:color="auto" w:sz="4" w:space="0"/>
            </w:tcBorders>
            <w:shd w:val="clear" w:color="auto" w:fill="auto"/>
            <w:vAlign w:val="center"/>
          </w:tcPr>
          <w:p w14:paraId="386435A9">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46B925D7">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034A35EC">
        <w:tblPrEx>
          <w:tblCellMar>
            <w:top w:w="0" w:type="dxa"/>
            <w:left w:w="108" w:type="dxa"/>
            <w:bottom w:w="0" w:type="dxa"/>
            <w:right w:w="108" w:type="dxa"/>
          </w:tblCellMar>
        </w:tblPrEx>
        <w:trPr>
          <w:trHeight w:val="36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05F9F605">
            <w:pPr>
              <w:widowControl/>
              <w:jc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b/>
                <w:bCs/>
                <w:kern w:val="0"/>
                <w:sz w:val="22"/>
              </w:rPr>
              <w:t>本年收入合计</w:t>
            </w:r>
          </w:p>
        </w:tc>
        <w:tc>
          <w:tcPr>
            <w:tcW w:w="533" w:type="dxa"/>
            <w:tcBorders>
              <w:top w:val="nil"/>
              <w:left w:val="nil"/>
              <w:bottom w:val="single" w:color="auto" w:sz="4" w:space="0"/>
              <w:right w:val="single" w:color="auto" w:sz="4" w:space="0"/>
            </w:tcBorders>
            <w:shd w:val="clear" w:color="auto" w:fill="auto"/>
            <w:vAlign w:val="center"/>
          </w:tcPr>
          <w:p w14:paraId="528CD7B9">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9</w:t>
            </w:r>
          </w:p>
        </w:tc>
        <w:tc>
          <w:tcPr>
            <w:tcW w:w="1047" w:type="dxa"/>
            <w:tcBorders>
              <w:top w:val="nil"/>
              <w:left w:val="nil"/>
              <w:bottom w:val="single" w:color="auto" w:sz="4" w:space="0"/>
              <w:right w:val="single" w:color="auto" w:sz="4" w:space="0"/>
            </w:tcBorders>
            <w:shd w:val="clear" w:color="auto" w:fill="auto"/>
            <w:vAlign w:val="center"/>
          </w:tcPr>
          <w:p w14:paraId="5D6C0057">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2829.40</w:t>
            </w:r>
            <w:r>
              <w:rPr>
                <w:rFonts w:hint="default" w:ascii="Times New Roman" w:hAnsi="Times New Roman" w:eastAsia="仿宋_GB2312" w:cs="Times New Roman"/>
                <w:kern w:val="0"/>
                <w:sz w:val="22"/>
              </w:rPr>
              <w:t>　</w:t>
            </w:r>
          </w:p>
        </w:tc>
        <w:tc>
          <w:tcPr>
            <w:tcW w:w="2511" w:type="dxa"/>
            <w:tcBorders>
              <w:top w:val="nil"/>
              <w:left w:val="nil"/>
              <w:bottom w:val="single" w:color="auto" w:sz="4" w:space="0"/>
              <w:right w:val="single" w:color="auto" w:sz="4" w:space="0"/>
            </w:tcBorders>
            <w:shd w:val="clear" w:color="auto" w:fill="auto"/>
            <w:vAlign w:val="center"/>
          </w:tcPr>
          <w:p w14:paraId="5F73A01F">
            <w:pPr>
              <w:widowControl/>
              <w:jc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b/>
                <w:bCs/>
                <w:kern w:val="0"/>
                <w:sz w:val="22"/>
              </w:rPr>
              <w:t>本年支出合计</w:t>
            </w:r>
          </w:p>
        </w:tc>
        <w:tc>
          <w:tcPr>
            <w:tcW w:w="587" w:type="dxa"/>
            <w:tcBorders>
              <w:top w:val="nil"/>
              <w:left w:val="nil"/>
              <w:bottom w:val="single" w:color="auto" w:sz="4" w:space="0"/>
              <w:right w:val="single" w:color="auto" w:sz="4" w:space="0"/>
            </w:tcBorders>
            <w:shd w:val="clear" w:color="auto" w:fill="auto"/>
            <w:vAlign w:val="center"/>
          </w:tcPr>
          <w:p w14:paraId="198DE20A">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23</w:t>
            </w:r>
          </w:p>
        </w:tc>
        <w:tc>
          <w:tcPr>
            <w:tcW w:w="935" w:type="dxa"/>
            <w:tcBorders>
              <w:top w:val="nil"/>
              <w:left w:val="nil"/>
              <w:bottom w:val="single" w:color="auto" w:sz="4" w:space="0"/>
              <w:right w:val="single" w:color="auto" w:sz="4" w:space="0"/>
            </w:tcBorders>
            <w:shd w:val="clear" w:color="auto" w:fill="auto"/>
            <w:vAlign w:val="center"/>
          </w:tcPr>
          <w:p w14:paraId="5B39BC2A">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2829.40</w:t>
            </w:r>
          </w:p>
        </w:tc>
        <w:tc>
          <w:tcPr>
            <w:tcW w:w="1486" w:type="dxa"/>
            <w:tcBorders>
              <w:top w:val="nil"/>
              <w:left w:val="nil"/>
              <w:bottom w:val="single" w:color="auto" w:sz="4" w:space="0"/>
              <w:right w:val="single" w:color="auto" w:sz="4" w:space="0"/>
            </w:tcBorders>
            <w:shd w:val="clear" w:color="auto" w:fill="auto"/>
            <w:vAlign w:val="center"/>
          </w:tcPr>
          <w:p w14:paraId="447991B3">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2829.40</w:t>
            </w:r>
            <w:r>
              <w:rPr>
                <w:rFonts w:hint="default" w:ascii="Times New Roman" w:hAnsi="Times New Roman" w:eastAsia="仿宋_GB2312" w:cs="Times New Roman"/>
                <w:kern w:val="0"/>
                <w:sz w:val="22"/>
              </w:rPr>
              <w:t>　</w:t>
            </w:r>
          </w:p>
        </w:tc>
        <w:tc>
          <w:tcPr>
            <w:tcW w:w="1675" w:type="dxa"/>
            <w:tcBorders>
              <w:top w:val="nil"/>
              <w:left w:val="nil"/>
              <w:bottom w:val="single" w:color="auto" w:sz="4" w:space="0"/>
              <w:right w:val="single" w:color="auto" w:sz="4" w:space="0"/>
            </w:tcBorders>
            <w:shd w:val="clear" w:color="auto" w:fill="auto"/>
            <w:vAlign w:val="center"/>
          </w:tcPr>
          <w:p w14:paraId="075A57C3">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7DFE1252">
            <w:pPr>
              <w:widowControl/>
              <w:jc w:val="left"/>
              <w:rPr>
                <w:rFonts w:hint="default" w:ascii="Times New Roman" w:hAnsi="Times New Roman" w:eastAsia="仿宋_GB2312" w:cs="Times New Roman"/>
                <w:b/>
                <w:bCs/>
                <w:kern w:val="0"/>
                <w:sz w:val="22"/>
              </w:rPr>
            </w:pPr>
            <w:r>
              <w:rPr>
                <w:rFonts w:hint="default" w:ascii="Times New Roman" w:hAnsi="Times New Roman" w:eastAsia="仿宋_GB2312" w:cs="Times New Roman"/>
                <w:b/>
                <w:bCs/>
                <w:kern w:val="0"/>
                <w:sz w:val="22"/>
              </w:rPr>
              <w:t>　</w:t>
            </w:r>
          </w:p>
        </w:tc>
      </w:tr>
      <w:tr w14:paraId="630CBCAB">
        <w:tblPrEx>
          <w:tblCellMar>
            <w:top w:w="0" w:type="dxa"/>
            <w:left w:w="108" w:type="dxa"/>
            <w:bottom w:w="0" w:type="dxa"/>
            <w:right w:w="108" w:type="dxa"/>
          </w:tblCellMar>
        </w:tblPrEx>
        <w:trPr>
          <w:trHeight w:val="71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220F3F44">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年初财政拨款结转和结余</w:t>
            </w:r>
          </w:p>
        </w:tc>
        <w:tc>
          <w:tcPr>
            <w:tcW w:w="533" w:type="dxa"/>
            <w:tcBorders>
              <w:top w:val="nil"/>
              <w:left w:val="nil"/>
              <w:bottom w:val="single" w:color="auto" w:sz="4" w:space="0"/>
              <w:right w:val="single" w:color="auto" w:sz="4" w:space="0"/>
            </w:tcBorders>
            <w:shd w:val="clear" w:color="auto" w:fill="auto"/>
            <w:vAlign w:val="center"/>
          </w:tcPr>
          <w:p w14:paraId="447CA018">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10</w:t>
            </w:r>
          </w:p>
        </w:tc>
        <w:tc>
          <w:tcPr>
            <w:tcW w:w="1047" w:type="dxa"/>
            <w:tcBorders>
              <w:top w:val="nil"/>
              <w:left w:val="nil"/>
              <w:bottom w:val="single" w:color="auto" w:sz="4" w:space="0"/>
              <w:right w:val="single" w:color="auto" w:sz="4" w:space="0"/>
            </w:tcBorders>
            <w:shd w:val="clear" w:color="auto" w:fill="auto"/>
            <w:vAlign w:val="center"/>
          </w:tcPr>
          <w:p w14:paraId="7639C81F">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2511" w:type="dxa"/>
            <w:tcBorders>
              <w:top w:val="nil"/>
              <w:left w:val="nil"/>
              <w:bottom w:val="single" w:color="auto" w:sz="4" w:space="0"/>
              <w:right w:val="single" w:color="auto" w:sz="4" w:space="0"/>
            </w:tcBorders>
            <w:shd w:val="clear" w:color="auto" w:fill="auto"/>
            <w:vAlign w:val="center"/>
          </w:tcPr>
          <w:p w14:paraId="0E77B391">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年末财政拨款结转和结余</w:t>
            </w:r>
          </w:p>
        </w:tc>
        <w:tc>
          <w:tcPr>
            <w:tcW w:w="587" w:type="dxa"/>
            <w:tcBorders>
              <w:top w:val="nil"/>
              <w:left w:val="nil"/>
              <w:bottom w:val="single" w:color="auto" w:sz="4" w:space="0"/>
              <w:right w:val="single" w:color="auto" w:sz="4" w:space="0"/>
            </w:tcBorders>
            <w:shd w:val="clear" w:color="auto" w:fill="auto"/>
            <w:vAlign w:val="center"/>
          </w:tcPr>
          <w:p w14:paraId="03160087">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24</w:t>
            </w:r>
          </w:p>
        </w:tc>
        <w:tc>
          <w:tcPr>
            <w:tcW w:w="935" w:type="dxa"/>
            <w:tcBorders>
              <w:top w:val="nil"/>
              <w:left w:val="nil"/>
              <w:bottom w:val="single" w:color="auto" w:sz="4" w:space="0"/>
              <w:right w:val="single" w:color="auto" w:sz="4" w:space="0"/>
            </w:tcBorders>
            <w:shd w:val="clear" w:color="auto" w:fill="auto"/>
            <w:vAlign w:val="center"/>
          </w:tcPr>
          <w:p w14:paraId="7A5515B2">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486" w:type="dxa"/>
            <w:tcBorders>
              <w:top w:val="nil"/>
              <w:left w:val="nil"/>
              <w:bottom w:val="single" w:color="auto" w:sz="4" w:space="0"/>
              <w:right w:val="single" w:color="auto" w:sz="4" w:space="0"/>
            </w:tcBorders>
            <w:shd w:val="clear" w:color="auto" w:fill="auto"/>
            <w:vAlign w:val="center"/>
          </w:tcPr>
          <w:p w14:paraId="1D3AD699">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675" w:type="dxa"/>
            <w:tcBorders>
              <w:top w:val="nil"/>
              <w:left w:val="nil"/>
              <w:bottom w:val="single" w:color="auto" w:sz="4" w:space="0"/>
              <w:right w:val="single" w:color="auto" w:sz="4" w:space="0"/>
            </w:tcBorders>
            <w:shd w:val="clear" w:color="auto" w:fill="auto"/>
            <w:vAlign w:val="center"/>
          </w:tcPr>
          <w:p w14:paraId="3CCF1AE5">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479BB489">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60C27433">
        <w:tblPrEx>
          <w:tblCellMar>
            <w:top w:w="0" w:type="dxa"/>
            <w:left w:w="108" w:type="dxa"/>
            <w:bottom w:w="0" w:type="dxa"/>
            <w:right w:w="108" w:type="dxa"/>
          </w:tblCellMar>
        </w:tblPrEx>
        <w:trPr>
          <w:trHeight w:val="36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078BF3E6">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xml:space="preserve">   一般公共预算财政拨款</w:t>
            </w:r>
          </w:p>
        </w:tc>
        <w:tc>
          <w:tcPr>
            <w:tcW w:w="533" w:type="dxa"/>
            <w:tcBorders>
              <w:top w:val="nil"/>
              <w:left w:val="nil"/>
              <w:bottom w:val="single" w:color="auto" w:sz="4" w:space="0"/>
              <w:right w:val="single" w:color="auto" w:sz="4" w:space="0"/>
            </w:tcBorders>
            <w:shd w:val="clear" w:color="auto" w:fill="auto"/>
            <w:vAlign w:val="center"/>
          </w:tcPr>
          <w:p w14:paraId="42AB2852">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11</w:t>
            </w:r>
          </w:p>
        </w:tc>
        <w:tc>
          <w:tcPr>
            <w:tcW w:w="1047" w:type="dxa"/>
            <w:tcBorders>
              <w:top w:val="nil"/>
              <w:left w:val="nil"/>
              <w:bottom w:val="single" w:color="auto" w:sz="4" w:space="0"/>
              <w:right w:val="single" w:color="auto" w:sz="4" w:space="0"/>
            </w:tcBorders>
            <w:shd w:val="clear" w:color="auto" w:fill="auto"/>
            <w:vAlign w:val="center"/>
          </w:tcPr>
          <w:p w14:paraId="5EC77736">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2511" w:type="dxa"/>
            <w:tcBorders>
              <w:top w:val="nil"/>
              <w:left w:val="nil"/>
              <w:bottom w:val="single" w:color="auto" w:sz="4" w:space="0"/>
              <w:right w:val="single" w:color="auto" w:sz="4" w:space="0"/>
            </w:tcBorders>
            <w:shd w:val="clear" w:color="auto" w:fill="auto"/>
            <w:vAlign w:val="center"/>
          </w:tcPr>
          <w:p w14:paraId="24199062">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587" w:type="dxa"/>
            <w:tcBorders>
              <w:top w:val="nil"/>
              <w:left w:val="nil"/>
              <w:bottom w:val="single" w:color="auto" w:sz="4" w:space="0"/>
              <w:right w:val="single" w:color="auto" w:sz="4" w:space="0"/>
            </w:tcBorders>
            <w:shd w:val="clear" w:color="auto" w:fill="auto"/>
            <w:vAlign w:val="center"/>
          </w:tcPr>
          <w:p w14:paraId="62DF4A63">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25</w:t>
            </w:r>
          </w:p>
        </w:tc>
        <w:tc>
          <w:tcPr>
            <w:tcW w:w="935" w:type="dxa"/>
            <w:tcBorders>
              <w:top w:val="nil"/>
              <w:left w:val="nil"/>
              <w:bottom w:val="single" w:color="auto" w:sz="4" w:space="0"/>
              <w:right w:val="single" w:color="auto" w:sz="4" w:space="0"/>
            </w:tcBorders>
            <w:shd w:val="clear" w:color="auto" w:fill="auto"/>
            <w:vAlign w:val="center"/>
          </w:tcPr>
          <w:p w14:paraId="17217259">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486" w:type="dxa"/>
            <w:tcBorders>
              <w:top w:val="nil"/>
              <w:left w:val="nil"/>
              <w:bottom w:val="single" w:color="auto" w:sz="4" w:space="0"/>
              <w:right w:val="single" w:color="auto" w:sz="4" w:space="0"/>
            </w:tcBorders>
            <w:shd w:val="clear" w:color="auto" w:fill="auto"/>
            <w:vAlign w:val="center"/>
          </w:tcPr>
          <w:p w14:paraId="60163F80">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675" w:type="dxa"/>
            <w:tcBorders>
              <w:top w:val="nil"/>
              <w:left w:val="nil"/>
              <w:bottom w:val="single" w:color="auto" w:sz="4" w:space="0"/>
              <w:right w:val="single" w:color="auto" w:sz="4" w:space="0"/>
            </w:tcBorders>
            <w:shd w:val="clear" w:color="auto" w:fill="auto"/>
            <w:vAlign w:val="center"/>
          </w:tcPr>
          <w:p w14:paraId="732F1670">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7348793E">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296E7EAC">
        <w:tblPrEx>
          <w:tblCellMar>
            <w:top w:w="0" w:type="dxa"/>
            <w:left w:w="108" w:type="dxa"/>
            <w:bottom w:w="0" w:type="dxa"/>
            <w:right w:w="108" w:type="dxa"/>
          </w:tblCellMar>
        </w:tblPrEx>
        <w:trPr>
          <w:trHeight w:val="71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1C8C290E">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xml:space="preserve">     政府性基金预算财政拨款</w:t>
            </w:r>
          </w:p>
        </w:tc>
        <w:tc>
          <w:tcPr>
            <w:tcW w:w="533" w:type="dxa"/>
            <w:tcBorders>
              <w:top w:val="nil"/>
              <w:left w:val="nil"/>
              <w:bottom w:val="single" w:color="auto" w:sz="4" w:space="0"/>
              <w:right w:val="single" w:color="auto" w:sz="4" w:space="0"/>
            </w:tcBorders>
            <w:shd w:val="clear" w:color="auto" w:fill="auto"/>
            <w:vAlign w:val="center"/>
          </w:tcPr>
          <w:p w14:paraId="7221B24B">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12</w:t>
            </w:r>
          </w:p>
        </w:tc>
        <w:tc>
          <w:tcPr>
            <w:tcW w:w="1047" w:type="dxa"/>
            <w:tcBorders>
              <w:top w:val="nil"/>
              <w:left w:val="nil"/>
              <w:bottom w:val="single" w:color="auto" w:sz="4" w:space="0"/>
              <w:right w:val="single" w:color="auto" w:sz="4" w:space="0"/>
            </w:tcBorders>
            <w:shd w:val="clear" w:color="auto" w:fill="auto"/>
            <w:vAlign w:val="center"/>
          </w:tcPr>
          <w:p w14:paraId="0D0EF3B9">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2511" w:type="dxa"/>
            <w:tcBorders>
              <w:top w:val="nil"/>
              <w:left w:val="nil"/>
              <w:bottom w:val="single" w:color="auto" w:sz="4" w:space="0"/>
              <w:right w:val="single" w:color="auto" w:sz="4" w:space="0"/>
            </w:tcBorders>
            <w:shd w:val="clear" w:color="auto" w:fill="auto"/>
            <w:vAlign w:val="center"/>
          </w:tcPr>
          <w:p w14:paraId="43B85754">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587" w:type="dxa"/>
            <w:tcBorders>
              <w:top w:val="nil"/>
              <w:left w:val="nil"/>
              <w:bottom w:val="single" w:color="auto" w:sz="4" w:space="0"/>
              <w:right w:val="single" w:color="auto" w:sz="4" w:space="0"/>
            </w:tcBorders>
            <w:shd w:val="clear" w:color="auto" w:fill="auto"/>
            <w:vAlign w:val="center"/>
          </w:tcPr>
          <w:p w14:paraId="09923608">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26</w:t>
            </w:r>
          </w:p>
        </w:tc>
        <w:tc>
          <w:tcPr>
            <w:tcW w:w="935" w:type="dxa"/>
            <w:tcBorders>
              <w:top w:val="nil"/>
              <w:left w:val="nil"/>
              <w:bottom w:val="single" w:color="auto" w:sz="4" w:space="0"/>
              <w:right w:val="single" w:color="auto" w:sz="4" w:space="0"/>
            </w:tcBorders>
            <w:shd w:val="clear" w:color="auto" w:fill="auto"/>
            <w:vAlign w:val="center"/>
          </w:tcPr>
          <w:p w14:paraId="09C9344B">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486" w:type="dxa"/>
            <w:tcBorders>
              <w:top w:val="nil"/>
              <w:left w:val="nil"/>
              <w:bottom w:val="single" w:color="auto" w:sz="4" w:space="0"/>
              <w:right w:val="single" w:color="auto" w:sz="4" w:space="0"/>
            </w:tcBorders>
            <w:shd w:val="clear" w:color="auto" w:fill="auto"/>
            <w:vAlign w:val="center"/>
          </w:tcPr>
          <w:p w14:paraId="5196E76E">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675" w:type="dxa"/>
            <w:tcBorders>
              <w:top w:val="nil"/>
              <w:left w:val="nil"/>
              <w:bottom w:val="single" w:color="auto" w:sz="4" w:space="0"/>
              <w:right w:val="single" w:color="auto" w:sz="4" w:space="0"/>
            </w:tcBorders>
            <w:shd w:val="clear" w:color="auto" w:fill="auto"/>
            <w:vAlign w:val="center"/>
          </w:tcPr>
          <w:p w14:paraId="368008CD">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4787C440">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7D635FF2">
        <w:tblPrEx>
          <w:tblCellMar>
            <w:top w:w="0" w:type="dxa"/>
            <w:left w:w="108" w:type="dxa"/>
            <w:bottom w:w="0" w:type="dxa"/>
            <w:right w:w="108" w:type="dxa"/>
          </w:tblCellMar>
        </w:tblPrEx>
        <w:trPr>
          <w:trHeight w:val="710" w:hRule="atLeast"/>
          <w:jc w:val="center"/>
        </w:trPr>
        <w:tc>
          <w:tcPr>
            <w:tcW w:w="3017" w:type="dxa"/>
            <w:tcBorders>
              <w:top w:val="nil"/>
              <w:left w:val="single" w:color="auto" w:sz="4" w:space="0"/>
              <w:bottom w:val="single" w:color="auto" w:sz="4" w:space="0"/>
              <w:right w:val="single" w:color="auto" w:sz="4" w:space="0"/>
            </w:tcBorders>
            <w:shd w:val="clear" w:color="auto" w:fill="auto"/>
            <w:vAlign w:val="center"/>
          </w:tcPr>
          <w:p w14:paraId="4C62E051">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xml:space="preserve">      国有资本经营预算财政拨款</w:t>
            </w:r>
          </w:p>
        </w:tc>
        <w:tc>
          <w:tcPr>
            <w:tcW w:w="533" w:type="dxa"/>
            <w:tcBorders>
              <w:top w:val="nil"/>
              <w:left w:val="nil"/>
              <w:bottom w:val="single" w:color="auto" w:sz="4" w:space="0"/>
              <w:right w:val="single" w:color="auto" w:sz="4" w:space="0"/>
            </w:tcBorders>
            <w:shd w:val="clear" w:color="auto" w:fill="auto"/>
            <w:vAlign w:val="center"/>
          </w:tcPr>
          <w:p w14:paraId="55EFEFD9">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13</w:t>
            </w:r>
          </w:p>
        </w:tc>
        <w:tc>
          <w:tcPr>
            <w:tcW w:w="1047" w:type="dxa"/>
            <w:tcBorders>
              <w:top w:val="nil"/>
              <w:left w:val="nil"/>
              <w:bottom w:val="single" w:color="auto" w:sz="4" w:space="0"/>
              <w:right w:val="single" w:color="auto" w:sz="4" w:space="0"/>
            </w:tcBorders>
            <w:shd w:val="clear" w:color="auto" w:fill="auto"/>
            <w:vAlign w:val="center"/>
          </w:tcPr>
          <w:p w14:paraId="5C1A5B86">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2511" w:type="dxa"/>
            <w:tcBorders>
              <w:top w:val="nil"/>
              <w:left w:val="nil"/>
              <w:bottom w:val="single" w:color="auto" w:sz="4" w:space="0"/>
              <w:right w:val="single" w:color="auto" w:sz="4" w:space="0"/>
            </w:tcBorders>
            <w:shd w:val="clear" w:color="auto" w:fill="auto"/>
            <w:vAlign w:val="center"/>
          </w:tcPr>
          <w:p w14:paraId="685AEB62">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587" w:type="dxa"/>
            <w:tcBorders>
              <w:top w:val="nil"/>
              <w:left w:val="nil"/>
              <w:bottom w:val="single" w:color="auto" w:sz="4" w:space="0"/>
              <w:right w:val="single" w:color="auto" w:sz="4" w:space="0"/>
            </w:tcBorders>
            <w:shd w:val="clear" w:color="auto" w:fill="auto"/>
            <w:vAlign w:val="center"/>
          </w:tcPr>
          <w:p w14:paraId="0FB8BBDB">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27</w:t>
            </w:r>
          </w:p>
        </w:tc>
        <w:tc>
          <w:tcPr>
            <w:tcW w:w="935" w:type="dxa"/>
            <w:tcBorders>
              <w:top w:val="nil"/>
              <w:left w:val="nil"/>
              <w:bottom w:val="single" w:color="auto" w:sz="4" w:space="0"/>
              <w:right w:val="single" w:color="auto" w:sz="4" w:space="0"/>
            </w:tcBorders>
            <w:shd w:val="clear" w:color="auto" w:fill="auto"/>
            <w:vAlign w:val="center"/>
          </w:tcPr>
          <w:p w14:paraId="109A3D5C">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486" w:type="dxa"/>
            <w:tcBorders>
              <w:top w:val="nil"/>
              <w:left w:val="nil"/>
              <w:bottom w:val="single" w:color="auto" w:sz="4" w:space="0"/>
              <w:right w:val="single" w:color="auto" w:sz="4" w:space="0"/>
            </w:tcBorders>
            <w:shd w:val="clear" w:color="auto" w:fill="auto"/>
            <w:vAlign w:val="center"/>
          </w:tcPr>
          <w:p w14:paraId="5CBB388E">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675" w:type="dxa"/>
            <w:tcBorders>
              <w:top w:val="nil"/>
              <w:left w:val="nil"/>
              <w:bottom w:val="single" w:color="auto" w:sz="4" w:space="0"/>
              <w:right w:val="single" w:color="auto" w:sz="4" w:space="0"/>
            </w:tcBorders>
            <w:shd w:val="clear" w:color="auto" w:fill="auto"/>
            <w:vAlign w:val="center"/>
          </w:tcPr>
          <w:p w14:paraId="6E5722B8">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04D8E699">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1F3D2880">
        <w:tblPrEx>
          <w:tblCellMar>
            <w:top w:w="0" w:type="dxa"/>
            <w:left w:w="108" w:type="dxa"/>
            <w:bottom w:w="0" w:type="dxa"/>
            <w:right w:w="108" w:type="dxa"/>
          </w:tblCellMar>
        </w:tblPrEx>
        <w:trPr>
          <w:trHeight w:val="372" w:hRule="atLeast"/>
          <w:jc w:val="center"/>
        </w:trPr>
        <w:tc>
          <w:tcPr>
            <w:tcW w:w="3017" w:type="dxa"/>
            <w:tcBorders>
              <w:top w:val="nil"/>
              <w:left w:val="single" w:color="auto" w:sz="4" w:space="0"/>
              <w:bottom w:val="single" w:color="auto" w:sz="4" w:space="0"/>
              <w:right w:val="single" w:color="auto" w:sz="4" w:space="0"/>
            </w:tcBorders>
            <w:shd w:val="clear" w:color="000000" w:fill="FFFFFF"/>
            <w:vAlign w:val="center"/>
          </w:tcPr>
          <w:p w14:paraId="30C014FD">
            <w:pPr>
              <w:widowControl/>
              <w:jc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b/>
                <w:bCs/>
                <w:kern w:val="0"/>
                <w:sz w:val="22"/>
              </w:rPr>
              <w:t>总计</w:t>
            </w:r>
          </w:p>
        </w:tc>
        <w:tc>
          <w:tcPr>
            <w:tcW w:w="533" w:type="dxa"/>
            <w:tcBorders>
              <w:top w:val="nil"/>
              <w:left w:val="nil"/>
              <w:bottom w:val="single" w:color="auto" w:sz="4" w:space="0"/>
              <w:right w:val="single" w:color="auto" w:sz="4" w:space="0"/>
            </w:tcBorders>
            <w:shd w:val="clear" w:color="000000" w:fill="FFFFFF"/>
            <w:vAlign w:val="center"/>
          </w:tcPr>
          <w:p w14:paraId="7F78AC81">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14</w:t>
            </w:r>
          </w:p>
        </w:tc>
        <w:tc>
          <w:tcPr>
            <w:tcW w:w="1047" w:type="dxa"/>
            <w:tcBorders>
              <w:top w:val="nil"/>
              <w:left w:val="nil"/>
              <w:bottom w:val="single" w:color="auto" w:sz="4" w:space="0"/>
              <w:right w:val="single" w:color="auto" w:sz="4" w:space="0"/>
            </w:tcBorders>
            <w:shd w:val="clear" w:color="auto" w:fill="auto"/>
            <w:vAlign w:val="center"/>
          </w:tcPr>
          <w:p w14:paraId="10334118">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2829.40</w:t>
            </w:r>
            <w:r>
              <w:rPr>
                <w:rFonts w:hint="default" w:ascii="Times New Roman" w:hAnsi="Times New Roman" w:eastAsia="仿宋_GB2312" w:cs="Times New Roman"/>
                <w:kern w:val="0"/>
                <w:sz w:val="22"/>
              </w:rPr>
              <w:t>　</w:t>
            </w:r>
          </w:p>
        </w:tc>
        <w:tc>
          <w:tcPr>
            <w:tcW w:w="2511" w:type="dxa"/>
            <w:tcBorders>
              <w:top w:val="nil"/>
              <w:left w:val="nil"/>
              <w:bottom w:val="single" w:color="auto" w:sz="4" w:space="0"/>
              <w:right w:val="single" w:color="auto" w:sz="4" w:space="0"/>
            </w:tcBorders>
            <w:shd w:val="clear" w:color="000000" w:fill="FFFFFF"/>
            <w:vAlign w:val="center"/>
          </w:tcPr>
          <w:p w14:paraId="42111DD3">
            <w:pPr>
              <w:widowControl/>
              <w:jc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b/>
                <w:bCs/>
                <w:kern w:val="0"/>
                <w:sz w:val="22"/>
              </w:rPr>
              <w:t>总计</w:t>
            </w:r>
          </w:p>
        </w:tc>
        <w:tc>
          <w:tcPr>
            <w:tcW w:w="587" w:type="dxa"/>
            <w:tcBorders>
              <w:top w:val="nil"/>
              <w:left w:val="nil"/>
              <w:bottom w:val="single" w:color="auto" w:sz="4" w:space="0"/>
              <w:right w:val="single" w:color="auto" w:sz="4" w:space="0"/>
            </w:tcBorders>
            <w:shd w:val="clear" w:color="000000" w:fill="FFFFFF"/>
            <w:vAlign w:val="center"/>
          </w:tcPr>
          <w:p w14:paraId="1BDAABFE">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28</w:t>
            </w:r>
          </w:p>
        </w:tc>
        <w:tc>
          <w:tcPr>
            <w:tcW w:w="935" w:type="dxa"/>
            <w:tcBorders>
              <w:top w:val="nil"/>
              <w:left w:val="nil"/>
              <w:bottom w:val="single" w:color="auto" w:sz="4" w:space="0"/>
              <w:right w:val="single" w:color="auto" w:sz="4" w:space="0"/>
            </w:tcBorders>
            <w:shd w:val="clear" w:color="000000" w:fill="FFFFFF"/>
            <w:vAlign w:val="center"/>
          </w:tcPr>
          <w:p w14:paraId="734A9F4D">
            <w:pPr>
              <w:widowControl/>
              <w:jc w:val="center"/>
              <w:rPr>
                <w:rFonts w:hint="default" w:ascii="Times New Roman" w:hAnsi="Times New Roman" w:eastAsia="仿宋_GB2312" w:cs="Times New Roman"/>
                <w:kern w:val="0"/>
                <w:sz w:val="22"/>
                <w:lang w:eastAsia="zh-CN"/>
              </w:rPr>
            </w:pPr>
            <w:r>
              <w:rPr>
                <w:rFonts w:hint="default" w:ascii="Times New Roman" w:hAnsi="Times New Roman" w:eastAsia="仿宋_GB2312" w:cs="Times New Roman"/>
                <w:kern w:val="0"/>
                <w:sz w:val="22"/>
                <w:lang w:val="en-US" w:eastAsia="zh-CN"/>
              </w:rPr>
              <w:t>2829.40</w:t>
            </w:r>
          </w:p>
        </w:tc>
        <w:tc>
          <w:tcPr>
            <w:tcW w:w="1486" w:type="dxa"/>
            <w:tcBorders>
              <w:top w:val="nil"/>
              <w:left w:val="nil"/>
              <w:bottom w:val="single" w:color="auto" w:sz="4" w:space="0"/>
              <w:right w:val="single" w:color="auto" w:sz="4" w:space="0"/>
            </w:tcBorders>
            <w:shd w:val="clear" w:color="000000" w:fill="FFFFFF"/>
            <w:vAlign w:val="center"/>
          </w:tcPr>
          <w:p w14:paraId="2D3EBA76">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lang w:val="en-US" w:eastAsia="zh-CN"/>
              </w:rPr>
              <w:t>2829.40</w:t>
            </w:r>
            <w:r>
              <w:rPr>
                <w:rFonts w:hint="default" w:ascii="Times New Roman" w:hAnsi="Times New Roman" w:eastAsia="仿宋_GB2312" w:cs="Times New Roman"/>
                <w:kern w:val="0"/>
                <w:sz w:val="22"/>
              </w:rPr>
              <w:t>　</w:t>
            </w:r>
          </w:p>
        </w:tc>
        <w:tc>
          <w:tcPr>
            <w:tcW w:w="1675" w:type="dxa"/>
            <w:tcBorders>
              <w:top w:val="nil"/>
              <w:left w:val="nil"/>
              <w:bottom w:val="single" w:color="auto" w:sz="4" w:space="0"/>
              <w:right w:val="single" w:color="auto" w:sz="4" w:space="0"/>
            </w:tcBorders>
            <w:shd w:val="clear" w:color="auto" w:fill="auto"/>
            <w:vAlign w:val="center"/>
          </w:tcPr>
          <w:p w14:paraId="712DD305">
            <w:pPr>
              <w:widowControl/>
              <w:jc w:val="left"/>
              <w:rPr>
                <w:rFonts w:hint="default" w:ascii="Times New Roman" w:hAnsi="Times New Roman" w:eastAsia="仿宋_GB2312" w:cs="Times New Roman"/>
                <w:b/>
                <w:bCs/>
                <w:kern w:val="0"/>
                <w:sz w:val="22"/>
              </w:rPr>
            </w:pPr>
            <w:r>
              <w:rPr>
                <w:rFonts w:hint="default" w:ascii="Times New Roman" w:hAnsi="Times New Roman" w:eastAsia="仿宋_GB2312" w:cs="Times New Roman"/>
                <w:b/>
                <w:bCs/>
                <w:kern w:val="0"/>
                <w:sz w:val="22"/>
              </w:rPr>
              <w:t>　</w:t>
            </w:r>
          </w:p>
        </w:tc>
        <w:tc>
          <w:tcPr>
            <w:tcW w:w="1749" w:type="dxa"/>
            <w:tcBorders>
              <w:top w:val="nil"/>
              <w:left w:val="nil"/>
              <w:bottom w:val="single" w:color="auto" w:sz="4" w:space="0"/>
              <w:right w:val="single" w:color="auto" w:sz="4" w:space="0"/>
            </w:tcBorders>
            <w:shd w:val="clear" w:color="auto" w:fill="auto"/>
            <w:vAlign w:val="center"/>
          </w:tcPr>
          <w:p w14:paraId="04503612">
            <w:pPr>
              <w:widowControl/>
              <w:jc w:val="left"/>
              <w:rPr>
                <w:rFonts w:hint="default" w:ascii="Times New Roman" w:hAnsi="Times New Roman" w:eastAsia="仿宋_GB2312" w:cs="Times New Roman"/>
                <w:b/>
                <w:bCs/>
                <w:kern w:val="0"/>
                <w:sz w:val="22"/>
              </w:rPr>
            </w:pPr>
            <w:r>
              <w:rPr>
                <w:rFonts w:hint="default" w:ascii="Times New Roman" w:hAnsi="Times New Roman" w:eastAsia="仿宋_GB2312" w:cs="Times New Roman"/>
                <w:b/>
                <w:bCs/>
                <w:kern w:val="0"/>
                <w:sz w:val="22"/>
              </w:rPr>
              <w:t>　</w:t>
            </w:r>
          </w:p>
        </w:tc>
      </w:tr>
    </w:tbl>
    <w:p w14:paraId="03805A11">
      <w:pPr>
        <w:widowControl/>
        <w:jc w:val="left"/>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注：</w:t>
      </w:r>
      <w:r>
        <w:rPr>
          <w:rFonts w:hint="default"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r>
        <w:rPr>
          <w:rFonts w:ascii="Times New Roman" w:hAnsi="Times New Roman" w:eastAsia="仿宋_GB2312" w:cs="Times New Roman"/>
          <w:spacing w:val="-6"/>
          <w:kern w:val="0"/>
          <w:sz w:val="24"/>
          <w:szCs w:val="24"/>
        </w:rPr>
        <w:t>。</w:t>
      </w:r>
    </w:p>
    <w:p w14:paraId="33490B68">
      <w:pPr>
        <w:widowControl/>
        <w:jc w:val="center"/>
        <w:rPr>
          <w:rFonts w:ascii="Times New Roman" w:hAnsi="Times New Roman" w:eastAsia="方正小标宋_GBK" w:cs="Times New Roman"/>
          <w:kern w:val="0"/>
          <w:sz w:val="36"/>
          <w:szCs w:val="36"/>
        </w:rPr>
      </w:pPr>
    </w:p>
    <w:p w14:paraId="7BDF4FE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0"/>
    </w:p>
    <w:p w14:paraId="1B1D0BA8">
      <w:pPr>
        <w:widowControl/>
        <w:spacing w:before="156" w:beforeLines="50"/>
        <w:jc w:val="left"/>
        <w:rPr>
          <w:rFonts w:hint="default"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default" w:ascii="Times New Roman" w:hAnsi="Times New Roman" w:eastAsia="仿宋_GB2312" w:cs="Times New Roman"/>
          <w:color w:val="000000"/>
          <w:kern w:val="0"/>
          <w:szCs w:val="21"/>
        </w:rPr>
        <w:t xml:space="preserve"> 公开05表</w:t>
      </w:r>
    </w:p>
    <w:p w14:paraId="116D90F4">
      <w:pPr>
        <w:widowControl/>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 xml:space="preserve">                                                                                                               单位：万元</w:t>
      </w:r>
    </w:p>
    <w:tbl>
      <w:tblPr>
        <w:tblStyle w:val="10"/>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3C455DED">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146A53D">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9256E31">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r>
      <w:tr w14:paraId="4060DFC7">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EDCAA3A">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B301615">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35CFFB6">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334D7B2">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108089D">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r>
      <w:tr w14:paraId="4094336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5135BD5">
            <w:pPr>
              <w:widowControl/>
              <w:jc w:val="left"/>
              <w:rPr>
                <w:rFonts w:hint="default"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80A2E8C">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72E7A3D">
            <w:pPr>
              <w:widowControl/>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A89EA8B">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3DA2D87">
            <w:pPr>
              <w:widowControl/>
              <w:jc w:val="left"/>
              <w:rPr>
                <w:rFonts w:hint="default" w:ascii="Times New Roman" w:hAnsi="Times New Roman" w:eastAsia="仿宋_GB2312" w:cs="Times New Roman"/>
                <w:kern w:val="0"/>
                <w:szCs w:val="21"/>
              </w:rPr>
            </w:pPr>
          </w:p>
        </w:tc>
      </w:tr>
      <w:tr w14:paraId="75602F65">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9075F6E">
            <w:pPr>
              <w:widowControl/>
              <w:jc w:val="left"/>
              <w:rPr>
                <w:rFonts w:hint="default"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03B4F01">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3D2BC71">
            <w:pPr>
              <w:widowControl/>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2D2D94E">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E26F926">
            <w:pPr>
              <w:widowControl/>
              <w:jc w:val="left"/>
              <w:rPr>
                <w:rFonts w:hint="default" w:ascii="Times New Roman" w:hAnsi="Times New Roman" w:eastAsia="仿宋_GB2312" w:cs="Times New Roman"/>
                <w:kern w:val="0"/>
                <w:szCs w:val="21"/>
              </w:rPr>
            </w:pPr>
          </w:p>
        </w:tc>
      </w:tr>
      <w:tr w14:paraId="3AD048E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193D093">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5D05DEB">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0AD3E85">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D96E508">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14:paraId="45C3F06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903DCF1">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BDA0B6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b/>
                <w:i w:val="0"/>
                <w:color w:val="000000"/>
                <w:kern w:val="0"/>
                <w:sz w:val="22"/>
                <w:szCs w:val="22"/>
                <w:u w:val="none"/>
                <w:lang w:val="en-US" w:eastAsia="zh-CN" w:bidi="ar"/>
              </w:rPr>
              <w:t>2,829.40</w:t>
            </w:r>
          </w:p>
        </w:tc>
        <w:tc>
          <w:tcPr>
            <w:tcW w:w="3492" w:type="dxa"/>
            <w:tcBorders>
              <w:top w:val="nil"/>
              <w:left w:val="nil"/>
              <w:bottom w:val="single" w:color="auto" w:sz="4" w:space="0"/>
              <w:right w:val="single" w:color="auto" w:sz="4" w:space="0"/>
            </w:tcBorders>
            <w:shd w:val="clear" w:color="auto" w:fill="auto"/>
            <w:vAlign w:val="center"/>
          </w:tcPr>
          <w:p w14:paraId="56E215FD">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b/>
                <w:i w:val="0"/>
                <w:color w:val="000000"/>
                <w:kern w:val="0"/>
                <w:sz w:val="22"/>
                <w:szCs w:val="22"/>
                <w:u w:val="none"/>
                <w:lang w:val="en-US" w:eastAsia="zh-CN" w:bidi="ar"/>
              </w:rPr>
              <w:t>1,743.92</w:t>
            </w:r>
          </w:p>
        </w:tc>
        <w:tc>
          <w:tcPr>
            <w:tcW w:w="3000" w:type="dxa"/>
            <w:tcBorders>
              <w:top w:val="nil"/>
              <w:left w:val="nil"/>
              <w:bottom w:val="single" w:color="auto" w:sz="4" w:space="0"/>
              <w:right w:val="single" w:color="auto" w:sz="8" w:space="0"/>
            </w:tcBorders>
            <w:shd w:val="clear" w:color="auto" w:fill="auto"/>
            <w:vAlign w:val="center"/>
          </w:tcPr>
          <w:p w14:paraId="37362833">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b/>
                <w:i w:val="0"/>
                <w:color w:val="000000"/>
                <w:kern w:val="0"/>
                <w:sz w:val="22"/>
                <w:szCs w:val="22"/>
                <w:u w:val="none"/>
                <w:lang w:val="en-US" w:eastAsia="zh-CN" w:bidi="ar"/>
              </w:rPr>
              <w:t>1,085.48</w:t>
            </w:r>
          </w:p>
        </w:tc>
      </w:tr>
      <w:tr w14:paraId="39D57D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F284A1">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6F9588DE">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295A870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14:paraId="124E7859">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CCACF6C">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2.40</w:t>
            </w:r>
          </w:p>
        </w:tc>
      </w:tr>
      <w:tr w14:paraId="3FD0AA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EA91CF">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20132</w:t>
            </w:r>
          </w:p>
        </w:tc>
        <w:tc>
          <w:tcPr>
            <w:tcW w:w="3527" w:type="dxa"/>
            <w:tcBorders>
              <w:top w:val="nil"/>
              <w:left w:val="nil"/>
              <w:bottom w:val="single" w:color="auto" w:sz="4" w:space="0"/>
              <w:right w:val="single" w:color="auto" w:sz="4" w:space="0"/>
            </w:tcBorders>
            <w:shd w:val="clear" w:color="auto" w:fill="auto"/>
            <w:vAlign w:val="center"/>
          </w:tcPr>
          <w:p w14:paraId="4A16C47F">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组织事务</w:t>
            </w:r>
          </w:p>
        </w:tc>
        <w:tc>
          <w:tcPr>
            <w:tcW w:w="3000" w:type="dxa"/>
            <w:tcBorders>
              <w:top w:val="nil"/>
              <w:left w:val="nil"/>
              <w:bottom w:val="single" w:color="auto" w:sz="4" w:space="0"/>
              <w:right w:val="single" w:color="auto" w:sz="4" w:space="0"/>
            </w:tcBorders>
            <w:shd w:val="clear" w:color="auto" w:fill="auto"/>
            <w:vAlign w:val="center"/>
          </w:tcPr>
          <w:p w14:paraId="77320B2E">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14:paraId="2197143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A3B6610">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2.40</w:t>
            </w:r>
          </w:p>
        </w:tc>
      </w:tr>
      <w:tr w14:paraId="6EAF39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63109B">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2013299</w:t>
            </w:r>
          </w:p>
        </w:tc>
        <w:tc>
          <w:tcPr>
            <w:tcW w:w="3527" w:type="dxa"/>
            <w:tcBorders>
              <w:top w:val="nil"/>
              <w:left w:val="nil"/>
              <w:bottom w:val="single" w:color="auto" w:sz="4" w:space="0"/>
              <w:right w:val="single" w:color="auto" w:sz="4" w:space="0"/>
            </w:tcBorders>
            <w:shd w:val="clear" w:color="auto" w:fill="auto"/>
            <w:vAlign w:val="center"/>
          </w:tcPr>
          <w:p w14:paraId="328D2A4A">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 xml:space="preserve">  其他组织事务支出</w:t>
            </w:r>
          </w:p>
        </w:tc>
        <w:tc>
          <w:tcPr>
            <w:tcW w:w="3000" w:type="dxa"/>
            <w:tcBorders>
              <w:top w:val="nil"/>
              <w:left w:val="nil"/>
              <w:bottom w:val="single" w:color="auto" w:sz="4" w:space="0"/>
              <w:right w:val="single" w:color="auto" w:sz="4" w:space="0"/>
            </w:tcBorders>
            <w:shd w:val="clear" w:color="auto" w:fill="auto"/>
            <w:vAlign w:val="center"/>
          </w:tcPr>
          <w:p w14:paraId="7D8E8994">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14:paraId="1599778F">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98C55B5">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2.40</w:t>
            </w:r>
          </w:p>
        </w:tc>
      </w:tr>
      <w:tr w14:paraId="42AFD4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F8591B">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71318B23">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709FC62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2,827.00</w:t>
            </w:r>
          </w:p>
        </w:tc>
        <w:tc>
          <w:tcPr>
            <w:tcW w:w="3492" w:type="dxa"/>
            <w:tcBorders>
              <w:top w:val="nil"/>
              <w:left w:val="nil"/>
              <w:bottom w:val="single" w:color="auto" w:sz="4" w:space="0"/>
              <w:right w:val="single" w:color="auto" w:sz="4" w:space="0"/>
            </w:tcBorders>
            <w:shd w:val="clear" w:color="auto" w:fill="auto"/>
            <w:vAlign w:val="center"/>
          </w:tcPr>
          <w:p w14:paraId="03E5CF6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1,743.92</w:t>
            </w:r>
          </w:p>
        </w:tc>
        <w:tc>
          <w:tcPr>
            <w:tcW w:w="3000" w:type="dxa"/>
            <w:tcBorders>
              <w:top w:val="nil"/>
              <w:left w:val="nil"/>
              <w:bottom w:val="single" w:color="auto" w:sz="4" w:space="0"/>
              <w:right w:val="single" w:color="auto" w:sz="8" w:space="0"/>
            </w:tcBorders>
            <w:shd w:val="clear" w:color="auto" w:fill="auto"/>
            <w:vAlign w:val="center"/>
          </w:tcPr>
          <w:p w14:paraId="0FDD7D89">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1,083.08</w:t>
            </w:r>
          </w:p>
        </w:tc>
      </w:tr>
      <w:tr w14:paraId="7ABFE9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DBA617">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22103</w:t>
            </w:r>
          </w:p>
        </w:tc>
        <w:tc>
          <w:tcPr>
            <w:tcW w:w="3527" w:type="dxa"/>
            <w:tcBorders>
              <w:top w:val="nil"/>
              <w:left w:val="nil"/>
              <w:bottom w:val="single" w:color="auto" w:sz="4" w:space="0"/>
              <w:right w:val="single" w:color="auto" w:sz="4" w:space="0"/>
            </w:tcBorders>
            <w:shd w:val="clear" w:color="auto" w:fill="auto"/>
            <w:vAlign w:val="center"/>
          </w:tcPr>
          <w:p w14:paraId="230F697E">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城乡社区住宅</w:t>
            </w:r>
          </w:p>
        </w:tc>
        <w:tc>
          <w:tcPr>
            <w:tcW w:w="3000" w:type="dxa"/>
            <w:tcBorders>
              <w:top w:val="nil"/>
              <w:left w:val="nil"/>
              <w:bottom w:val="single" w:color="auto" w:sz="4" w:space="0"/>
              <w:right w:val="single" w:color="auto" w:sz="4" w:space="0"/>
            </w:tcBorders>
            <w:shd w:val="clear" w:color="auto" w:fill="auto"/>
            <w:vAlign w:val="center"/>
          </w:tcPr>
          <w:p w14:paraId="0E1F42A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2,827.00</w:t>
            </w:r>
          </w:p>
        </w:tc>
        <w:tc>
          <w:tcPr>
            <w:tcW w:w="3492" w:type="dxa"/>
            <w:tcBorders>
              <w:top w:val="nil"/>
              <w:left w:val="nil"/>
              <w:bottom w:val="single" w:color="auto" w:sz="4" w:space="0"/>
              <w:right w:val="single" w:color="auto" w:sz="4" w:space="0"/>
            </w:tcBorders>
            <w:shd w:val="clear" w:color="auto" w:fill="auto"/>
            <w:vAlign w:val="center"/>
          </w:tcPr>
          <w:p w14:paraId="3790ADD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1,743.92</w:t>
            </w:r>
          </w:p>
        </w:tc>
        <w:tc>
          <w:tcPr>
            <w:tcW w:w="3000" w:type="dxa"/>
            <w:tcBorders>
              <w:top w:val="nil"/>
              <w:left w:val="nil"/>
              <w:bottom w:val="single" w:color="auto" w:sz="4" w:space="0"/>
              <w:right w:val="single" w:color="auto" w:sz="8" w:space="0"/>
            </w:tcBorders>
            <w:shd w:val="clear" w:color="auto" w:fill="auto"/>
            <w:vAlign w:val="center"/>
          </w:tcPr>
          <w:p w14:paraId="1711D378">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1,083.08</w:t>
            </w:r>
          </w:p>
        </w:tc>
      </w:tr>
      <w:tr w14:paraId="63E0AD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48DC982">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2210302</w:t>
            </w:r>
          </w:p>
        </w:tc>
        <w:tc>
          <w:tcPr>
            <w:tcW w:w="3527" w:type="dxa"/>
            <w:tcBorders>
              <w:top w:val="nil"/>
              <w:left w:val="nil"/>
              <w:bottom w:val="single" w:color="auto" w:sz="8" w:space="0"/>
              <w:right w:val="single" w:color="auto" w:sz="4" w:space="0"/>
            </w:tcBorders>
            <w:shd w:val="clear" w:color="auto" w:fill="auto"/>
            <w:vAlign w:val="center"/>
          </w:tcPr>
          <w:p w14:paraId="43F9D7B8">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 xml:space="preserve">  住房公积金管理</w:t>
            </w:r>
          </w:p>
        </w:tc>
        <w:tc>
          <w:tcPr>
            <w:tcW w:w="3000" w:type="dxa"/>
            <w:tcBorders>
              <w:top w:val="nil"/>
              <w:left w:val="nil"/>
              <w:bottom w:val="single" w:color="auto" w:sz="8" w:space="0"/>
              <w:right w:val="single" w:color="auto" w:sz="4" w:space="0"/>
            </w:tcBorders>
            <w:shd w:val="clear" w:color="auto" w:fill="auto"/>
            <w:vAlign w:val="center"/>
          </w:tcPr>
          <w:p w14:paraId="53F5912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2,827.00</w:t>
            </w:r>
          </w:p>
        </w:tc>
        <w:tc>
          <w:tcPr>
            <w:tcW w:w="3492" w:type="dxa"/>
            <w:tcBorders>
              <w:top w:val="nil"/>
              <w:left w:val="nil"/>
              <w:bottom w:val="single" w:color="auto" w:sz="8" w:space="0"/>
              <w:right w:val="single" w:color="auto" w:sz="4" w:space="0"/>
            </w:tcBorders>
            <w:shd w:val="clear" w:color="auto" w:fill="auto"/>
            <w:vAlign w:val="center"/>
          </w:tcPr>
          <w:p w14:paraId="570FA66E">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1,743.92</w:t>
            </w:r>
          </w:p>
        </w:tc>
        <w:tc>
          <w:tcPr>
            <w:tcW w:w="3000" w:type="dxa"/>
            <w:tcBorders>
              <w:top w:val="nil"/>
              <w:left w:val="nil"/>
              <w:bottom w:val="single" w:color="auto" w:sz="8" w:space="0"/>
              <w:right w:val="single" w:color="auto" w:sz="8" w:space="0"/>
            </w:tcBorders>
            <w:shd w:val="clear" w:color="auto" w:fill="auto"/>
            <w:vAlign w:val="center"/>
          </w:tcPr>
          <w:p w14:paraId="793715F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2"/>
                <w:szCs w:val="22"/>
                <w:u w:val="none"/>
                <w:lang w:val="en-US" w:eastAsia="zh-CN" w:bidi="ar"/>
              </w:rPr>
              <w:t>1,083.08</w:t>
            </w:r>
          </w:p>
        </w:tc>
      </w:tr>
    </w:tbl>
    <w:p w14:paraId="4A7770AC">
      <w:pPr>
        <w:widowControl/>
        <w:spacing w:before="12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注：本表反映部门本年度一般公共预算财政拨款支出情况。</w:t>
      </w:r>
    </w:p>
    <w:p w14:paraId="0BAF4D4A">
      <w:pPr>
        <w:widowControl/>
        <w:jc w:val="left"/>
        <w:rPr>
          <w:rFonts w:hint="default" w:ascii="Times New Roman" w:hAnsi="Times New Roman" w:eastAsia="仿宋_GB2312" w:cs="Times New Roman"/>
          <w:bCs/>
          <w:kern w:val="0"/>
          <w:szCs w:val="21"/>
        </w:rPr>
      </w:pPr>
    </w:p>
    <w:p w14:paraId="23F9C67A">
      <w:pPr>
        <w:widowControl/>
        <w:jc w:val="left"/>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br w:type="page"/>
      </w:r>
    </w:p>
    <w:p w14:paraId="7C711CBA">
      <w:pPr>
        <w:widowControl/>
        <w:spacing w:after="120"/>
        <w:jc w:val="center"/>
        <w:textAlignment w:val="center"/>
        <w:rPr>
          <w:rFonts w:ascii="Times New Roman" w:hAnsi="Times New Roman" w:eastAsia="黑体" w:cs="Times New Roman"/>
          <w:color w:val="000000"/>
          <w:kern w:val="0"/>
          <w:sz w:val="36"/>
          <w:szCs w:val="36"/>
          <w:lang w:bidi="ar"/>
        </w:rPr>
      </w:pPr>
      <w:bookmarkStart w:id="1" w:name="RANGE!A1:I34"/>
      <w:r>
        <w:rPr>
          <w:rFonts w:ascii="Times New Roman" w:hAnsi="Times New Roman" w:eastAsia="黑体" w:cs="Times New Roman"/>
          <w:color w:val="000000"/>
          <w:kern w:val="0"/>
          <w:sz w:val="36"/>
          <w:szCs w:val="36"/>
          <w:lang w:bidi="ar"/>
        </w:rPr>
        <w:t>一般公共预算财政拨款基本支出决算明细表</w:t>
      </w:r>
      <w:bookmarkEnd w:id="1"/>
    </w:p>
    <w:p w14:paraId="13F1975A">
      <w:pPr>
        <w:widowControl/>
        <w:wordWrap w:val="0"/>
        <w:spacing w:line="240" w:lineRule="exact"/>
        <w:jc w:val="right"/>
        <w:rPr>
          <w:rFonts w:hint="default"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default" w:ascii="Times New Roman" w:hAnsi="Times New Roman" w:eastAsia="仿宋_GB2312" w:cs="Times New Roman"/>
          <w:color w:val="000000"/>
          <w:kern w:val="0"/>
          <w:szCs w:val="21"/>
        </w:rPr>
        <w:t xml:space="preserve">  公开06表</w:t>
      </w:r>
    </w:p>
    <w:p w14:paraId="45DEA82D">
      <w:pPr>
        <w:widowControl/>
        <w:spacing w:line="240" w:lineRule="exact"/>
        <w:jc w:val="right"/>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1083"/>
        <w:gridCol w:w="1116"/>
        <w:gridCol w:w="1901"/>
        <w:gridCol w:w="933"/>
        <w:gridCol w:w="1217"/>
        <w:gridCol w:w="3517"/>
        <w:gridCol w:w="929"/>
      </w:tblGrid>
      <w:tr w14:paraId="13397532">
        <w:tblPrEx>
          <w:tblCellMar>
            <w:top w:w="0" w:type="dxa"/>
            <w:left w:w="108" w:type="dxa"/>
            <w:bottom w:w="0" w:type="dxa"/>
            <w:right w:w="108" w:type="dxa"/>
          </w:tblCellMar>
        </w:tblPrEx>
        <w:trPr>
          <w:trHeight w:val="453"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CBBF11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97BA2C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科目名称</w:t>
            </w:r>
          </w:p>
        </w:tc>
        <w:tc>
          <w:tcPr>
            <w:tcW w:w="1083" w:type="dxa"/>
            <w:tcBorders>
              <w:top w:val="single" w:color="auto" w:sz="4" w:space="0"/>
              <w:left w:val="nil"/>
              <w:bottom w:val="single" w:color="auto" w:sz="4" w:space="0"/>
              <w:right w:val="single" w:color="auto" w:sz="4" w:space="0"/>
            </w:tcBorders>
            <w:shd w:val="clear" w:color="auto" w:fill="auto"/>
            <w:vAlign w:val="center"/>
          </w:tcPr>
          <w:p w14:paraId="1D3620F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0DBD8D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经济分类科目编码</w:t>
            </w:r>
          </w:p>
        </w:tc>
        <w:tc>
          <w:tcPr>
            <w:tcW w:w="1901" w:type="dxa"/>
            <w:tcBorders>
              <w:top w:val="single" w:color="auto" w:sz="4" w:space="0"/>
              <w:left w:val="nil"/>
              <w:bottom w:val="single" w:color="auto" w:sz="4" w:space="0"/>
              <w:right w:val="single" w:color="auto" w:sz="4" w:space="0"/>
            </w:tcBorders>
            <w:shd w:val="clear" w:color="auto" w:fill="auto"/>
            <w:vAlign w:val="center"/>
          </w:tcPr>
          <w:p w14:paraId="100E6E9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67048D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C02374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4F25C9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025205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决算数</w:t>
            </w:r>
          </w:p>
        </w:tc>
      </w:tr>
      <w:tr w14:paraId="46D932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ACC8E0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14:paraId="564BB5D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工资福利支出</w:t>
            </w:r>
          </w:p>
        </w:tc>
        <w:tc>
          <w:tcPr>
            <w:tcW w:w="1083" w:type="dxa"/>
            <w:tcBorders>
              <w:top w:val="nil"/>
              <w:left w:val="nil"/>
              <w:bottom w:val="single" w:color="auto" w:sz="4" w:space="0"/>
              <w:right w:val="single" w:color="auto" w:sz="4" w:space="0"/>
            </w:tcBorders>
            <w:shd w:val="clear" w:color="auto" w:fill="auto"/>
            <w:vAlign w:val="center"/>
          </w:tcPr>
          <w:p w14:paraId="777FF71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1404.599595959</w:t>
            </w:r>
          </w:p>
        </w:tc>
        <w:tc>
          <w:tcPr>
            <w:tcW w:w="1116" w:type="dxa"/>
            <w:tcBorders>
              <w:top w:val="nil"/>
              <w:left w:val="nil"/>
              <w:bottom w:val="single" w:color="auto" w:sz="4" w:space="0"/>
              <w:right w:val="single" w:color="auto" w:sz="4" w:space="0"/>
            </w:tcBorders>
            <w:shd w:val="clear" w:color="auto" w:fill="auto"/>
            <w:vAlign w:val="center"/>
          </w:tcPr>
          <w:p w14:paraId="5D5ED56F">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w:t>
            </w:r>
          </w:p>
        </w:tc>
        <w:tc>
          <w:tcPr>
            <w:tcW w:w="1901" w:type="dxa"/>
            <w:tcBorders>
              <w:top w:val="nil"/>
              <w:left w:val="nil"/>
              <w:bottom w:val="single" w:color="auto" w:sz="4" w:space="0"/>
              <w:right w:val="single" w:color="auto" w:sz="4" w:space="0"/>
            </w:tcBorders>
            <w:shd w:val="clear" w:color="auto" w:fill="auto"/>
            <w:vAlign w:val="center"/>
          </w:tcPr>
          <w:p w14:paraId="524DE251">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14:paraId="1DBD40A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270.13</w:t>
            </w:r>
          </w:p>
        </w:tc>
        <w:tc>
          <w:tcPr>
            <w:tcW w:w="1217" w:type="dxa"/>
            <w:tcBorders>
              <w:top w:val="nil"/>
              <w:left w:val="nil"/>
              <w:bottom w:val="single" w:color="auto" w:sz="4" w:space="0"/>
              <w:right w:val="single" w:color="auto" w:sz="4" w:space="0"/>
            </w:tcBorders>
            <w:shd w:val="clear" w:color="auto" w:fill="auto"/>
            <w:vAlign w:val="center"/>
          </w:tcPr>
          <w:p w14:paraId="407C5836">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14:paraId="67CF065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14:paraId="350769B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066E7C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A3B5BE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14:paraId="3D8DB9F1">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基本工资</w:t>
            </w:r>
          </w:p>
        </w:tc>
        <w:tc>
          <w:tcPr>
            <w:tcW w:w="1083" w:type="dxa"/>
            <w:tcBorders>
              <w:top w:val="nil"/>
              <w:left w:val="nil"/>
              <w:bottom w:val="single" w:color="auto" w:sz="4" w:space="0"/>
              <w:right w:val="single" w:color="auto" w:sz="4" w:space="0"/>
            </w:tcBorders>
            <w:shd w:val="clear" w:color="auto" w:fill="auto"/>
            <w:vAlign w:val="center"/>
          </w:tcPr>
          <w:p w14:paraId="5DD152E3">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404.07</w:t>
            </w:r>
          </w:p>
        </w:tc>
        <w:tc>
          <w:tcPr>
            <w:tcW w:w="1116" w:type="dxa"/>
            <w:tcBorders>
              <w:top w:val="nil"/>
              <w:left w:val="nil"/>
              <w:bottom w:val="single" w:color="auto" w:sz="4" w:space="0"/>
              <w:right w:val="single" w:color="auto" w:sz="4" w:space="0"/>
            </w:tcBorders>
            <w:shd w:val="clear" w:color="auto" w:fill="auto"/>
            <w:vAlign w:val="center"/>
          </w:tcPr>
          <w:p w14:paraId="36E021F4">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30201</w:t>
            </w:r>
          </w:p>
        </w:tc>
        <w:tc>
          <w:tcPr>
            <w:tcW w:w="1901" w:type="dxa"/>
            <w:tcBorders>
              <w:top w:val="nil"/>
              <w:left w:val="nil"/>
              <w:bottom w:val="single" w:color="auto" w:sz="4" w:space="0"/>
              <w:right w:val="single" w:color="auto" w:sz="4" w:space="0"/>
            </w:tcBorders>
            <w:shd w:val="clear" w:color="auto" w:fill="auto"/>
            <w:vAlign w:val="center"/>
          </w:tcPr>
          <w:p w14:paraId="4CF5BEBF">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14:paraId="368807F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54.06</w:t>
            </w:r>
          </w:p>
        </w:tc>
        <w:tc>
          <w:tcPr>
            <w:tcW w:w="1217" w:type="dxa"/>
            <w:tcBorders>
              <w:top w:val="nil"/>
              <w:left w:val="nil"/>
              <w:bottom w:val="single" w:color="auto" w:sz="4" w:space="0"/>
              <w:right w:val="single" w:color="auto" w:sz="4" w:space="0"/>
            </w:tcBorders>
            <w:shd w:val="clear" w:color="auto" w:fill="auto"/>
            <w:vAlign w:val="center"/>
          </w:tcPr>
          <w:p w14:paraId="7EAF2E0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14:paraId="4DD92E5D">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14:paraId="281158A4">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115E95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1A38A4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14:paraId="4D353E2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津贴补贴</w:t>
            </w:r>
          </w:p>
        </w:tc>
        <w:tc>
          <w:tcPr>
            <w:tcW w:w="1083" w:type="dxa"/>
            <w:tcBorders>
              <w:top w:val="nil"/>
              <w:left w:val="nil"/>
              <w:bottom w:val="single" w:color="auto" w:sz="4" w:space="0"/>
              <w:right w:val="single" w:color="auto" w:sz="4" w:space="0"/>
            </w:tcBorders>
            <w:shd w:val="clear" w:color="auto" w:fill="auto"/>
            <w:vAlign w:val="center"/>
          </w:tcPr>
          <w:p w14:paraId="30ABE5DC">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5.73</w:t>
            </w:r>
          </w:p>
        </w:tc>
        <w:tc>
          <w:tcPr>
            <w:tcW w:w="1116" w:type="dxa"/>
            <w:tcBorders>
              <w:top w:val="nil"/>
              <w:left w:val="nil"/>
              <w:bottom w:val="single" w:color="auto" w:sz="4" w:space="0"/>
              <w:right w:val="single" w:color="auto" w:sz="4" w:space="0"/>
            </w:tcBorders>
            <w:shd w:val="clear" w:color="auto" w:fill="auto"/>
            <w:vAlign w:val="center"/>
          </w:tcPr>
          <w:p w14:paraId="2F0C568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30202</w:t>
            </w:r>
          </w:p>
        </w:tc>
        <w:tc>
          <w:tcPr>
            <w:tcW w:w="1901" w:type="dxa"/>
            <w:tcBorders>
              <w:top w:val="nil"/>
              <w:left w:val="nil"/>
              <w:bottom w:val="single" w:color="auto" w:sz="4" w:space="0"/>
              <w:right w:val="single" w:color="auto" w:sz="4" w:space="0"/>
            </w:tcBorders>
            <w:shd w:val="clear" w:color="auto" w:fill="auto"/>
            <w:vAlign w:val="center"/>
          </w:tcPr>
          <w:p w14:paraId="0B2A46F7">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14:paraId="6A4DC613">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1.04</w:t>
            </w:r>
          </w:p>
        </w:tc>
        <w:tc>
          <w:tcPr>
            <w:tcW w:w="1217" w:type="dxa"/>
            <w:tcBorders>
              <w:top w:val="nil"/>
              <w:left w:val="nil"/>
              <w:bottom w:val="single" w:color="auto" w:sz="4" w:space="0"/>
              <w:right w:val="single" w:color="auto" w:sz="4" w:space="0"/>
            </w:tcBorders>
            <w:shd w:val="clear" w:color="auto" w:fill="auto"/>
            <w:vAlign w:val="center"/>
          </w:tcPr>
          <w:p w14:paraId="6825A4B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14:paraId="0189669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14:paraId="4B9BDD3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18A039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89C7919">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14:paraId="5165412C">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奖金</w:t>
            </w:r>
          </w:p>
        </w:tc>
        <w:tc>
          <w:tcPr>
            <w:tcW w:w="1083" w:type="dxa"/>
            <w:tcBorders>
              <w:top w:val="nil"/>
              <w:left w:val="nil"/>
              <w:bottom w:val="single" w:color="auto" w:sz="4" w:space="0"/>
              <w:right w:val="single" w:color="auto" w:sz="4" w:space="0"/>
            </w:tcBorders>
            <w:shd w:val="clear" w:color="auto" w:fill="auto"/>
            <w:vAlign w:val="center"/>
          </w:tcPr>
          <w:p w14:paraId="7FB366B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253.18</w:t>
            </w:r>
          </w:p>
        </w:tc>
        <w:tc>
          <w:tcPr>
            <w:tcW w:w="1116" w:type="dxa"/>
            <w:tcBorders>
              <w:top w:val="nil"/>
              <w:left w:val="nil"/>
              <w:bottom w:val="single" w:color="auto" w:sz="4" w:space="0"/>
              <w:right w:val="single" w:color="auto" w:sz="4" w:space="0"/>
            </w:tcBorders>
            <w:shd w:val="clear" w:color="auto" w:fill="auto"/>
            <w:vAlign w:val="center"/>
          </w:tcPr>
          <w:p w14:paraId="398DA66F">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30203</w:t>
            </w:r>
          </w:p>
        </w:tc>
        <w:tc>
          <w:tcPr>
            <w:tcW w:w="1901" w:type="dxa"/>
            <w:tcBorders>
              <w:top w:val="nil"/>
              <w:left w:val="nil"/>
              <w:bottom w:val="single" w:color="auto" w:sz="4" w:space="0"/>
              <w:right w:val="single" w:color="auto" w:sz="4" w:space="0"/>
            </w:tcBorders>
            <w:shd w:val="clear" w:color="auto" w:fill="auto"/>
            <w:vAlign w:val="center"/>
          </w:tcPr>
          <w:p w14:paraId="449F2E1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14:paraId="17A3B3B9">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5.00</w:t>
            </w:r>
          </w:p>
        </w:tc>
        <w:tc>
          <w:tcPr>
            <w:tcW w:w="1217" w:type="dxa"/>
            <w:tcBorders>
              <w:top w:val="nil"/>
              <w:left w:val="nil"/>
              <w:bottom w:val="single" w:color="auto" w:sz="4" w:space="0"/>
              <w:right w:val="single" w:color="auto" w:sz="4" w:space="0"/>
            </w:tcBorders>
            <w:shd w:val="clear" w:color="auto" w:fill="auto"/>
            <w:vAlign w:val="center"/>
          </w:tcPr>
          <w:p w14:paraId="795DD4C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14:paraId="6E8BECF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14:paraId="46718EA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0.77</w:t>
            </w:r>
          </w:p>
        </w:tc>
      </w:tr>
      <w:tr w14:paraId="536805F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6D93B1E">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14:paraId="32B5E175">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伙食补助费</w:t>
            </w:r>
          </w:p>
        </w:tc>
        <w:tc>
          <w:tcPr>
            <w:tcW w:w="1083" w:type="dxa"/>
            <w:tcBorders>
              <w:top w:val="nil"/>
              <w:left w:val="nil"/>
              <w:bottom w:val="single" w:color="auto" w:sz="4" w:space="0"/>
              <w:right w:val="single" w:color="auto" w:sz="4" w:space="0"/>
            </w:tcBorders>
            <w:shd w:val="clear" w:color="auto" w:fill="auto"/>
            <w:vAlign w:val="center"/>
          </w:tcPr>
          <w:p w14:paraId="16E88FAC">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2FC8DE25">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30204</w:t>
            </w:r>
          </w:p>
        </w:tc>
        <w:tc>
          <w:tcPr>
            <w:tcW w:w="1901" w:type="dxa"/>
            <w:tcBorders>
              <w:top w:val="nil"/>
              <w:left w:val="nil"/>
              <w:bottom w:val="single" w:color="auto" w:sz="4" w:space="0"/>
              <w:right w:val="single" w:color="auto" w:sz="4" w:space="0"/>
            </w:tcBorders>
            <w:shd w:val="clear" w:color="auto" w:fill="auto"/>
            <w:vAlign w:val="center"/>
          </w:tcPr>
          <w:p w14:paraId="3FA6D899">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14:paraId="017B39AC">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0.02</w:t>
            </w:r>
          </w:p>
        </w:tc>
        <w:tc>
          <w:tcPr>
            <w:tcW w:w="1217" w:type="dxa"/>
            <w:tcBorders>
              <w:top w:val="nil"/>
              <w:left w:val="nil"/>
              <w:bottom w:val="single" w:color="auto" w:sz="4" w:space="0"/>
              <w:right w:val="single" w:color="auto" w:sz="4" w:space="0"/>
            </w:tcBorders>
            <w:shd w:val="clear" w:color="auto" w:fill="auto"/>
            <w:vAlign w:val="center"/>
          </w:tcPr>
          <w:p w14:paraId="6107BCC8">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14:paraId="322546D4">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14:paraId="278B2D7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175537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F91764B">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14:paraId="4DB28F1B">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绩效工资</w:t>
            </w:r>
          </w:p>
        </w:tc>
        <w:tc>
          <w:tcPr>
            <w:tcW w:w="1083" w:type="dxa"/>
            <w:tcBorders>
              <w:top w:val="nil"/>
              <w:left w:val="nil"/>
              <w:bottom w:val="single" w:color="auto" w:sz="4" w:space="0"/>
              <w:right w:val="single" w:color="auto" w:sz="4" w:space="0"/>
            </w:tcBorders>
            <w:shd w:val="clear" w:color="auto" w:fill="auto"/>
            <w:vAlign w:val="center"/>
          </w:tcPr>
          <w:p w14:paraId="3863143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273.99</w:t>
            </w:r>
          </w:p>
        </w:tc>
        <w:tc>
          <w:tcPr>
            <w:tcW w:w="1116" w:type="dxa"/>
            <w:tcBorders>
              <w:top w:val="nil"/>
              <w:left w:val="nil"/>
              <w:bottom w:val="single" w:color="auto" w:sz="4" w:space="0"/>
              <w:right w:val="single" w:color="auto" w:sz="4" w:space="0"/>
            </w:tcBorders>
            <w:shd w:val="clear" w:color="auto" w:fill="auto"/>
            <w:vAlign w:val="center"/>
          </w:tcPr>
          <w:p w14:paraId="6F233009">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30205</w:t>
            </w:r>
          </w:p>
        </w:tc>
        <w:tc>
          <w:tcPr>
            <w:tcW w:w="1901" w:type="dxa"/>
            <w:tcBorders>
              <w:top w:val="nil"/>
              <w:left w:val="nil"/>
              <w:bottom w:val="single" w:color="auto" w:sz="4" w:space="0"/>
              <w:right w:val="single" w:color="auto" w:sz="4" w:space="0"/>
            </w:tcBorders>
            <w:shd w:val="clear" w:color="auto" w:fill="auto"/>
            <w:vAlign w:val="center"/>
          </w:tcPr>
          <w:p w14:paraId="26904897">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14:paraId="4FB70CEC">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1.71</w:t>
            </w:r>
          </w:p>
        </w:tc>
        <w:tc>
          <w:tcPr>
            <w:tcW w:w="1217" w:type="dxa"/>
            <w:tcBorders>
              <w:top w:val="nil"/>
              <w:left w:val="nil"/>
              <w:bottom w:val="single" w:color="auto" w:sz="4" w:space="0"/>
              <w:right w:val="single" w:color="auto" w:sz="4" w:space="0"/>
            </w:tcBorders>
            <w:shd w:val="clear" w:color="auto" w:fill="auto"/>
            <w:vAlign w:val="center"/>
          </w:tcPr>
          <w:p w14:paraId="6229ECA4">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14:paraId="63B73C6D">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14:paraId="711CB9F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0.77</w:t>
            </w:r>
          </w:p>
        </w:tc>
      </w:tr>
      <w:tr w14:paraId="37A116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4D41206">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14:paraId="5DFC6739">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机关事业单位基本养老保险缴费</w:t>
            </w:r>
          </w:p>
        </w:tc>
        <w:tc>
          <w:tcPr>
            <w:tcW w:w="1083" w:type="dxa"/>
            <w:tcBorders>
              <w:top w:val="nil"/>
              <w:left w:val="nil"/>
              <w:bottom w:val="single" w:color="auto" w:sz="4" w:space="0"/>
              <w:right w:val="single" w:color="auto" w:sz="4" w:space="0"/>
            </w:tcBorders>
            <w:shd w:val="clear" w:color="auto" w:fill="auto"/>
            <w:vAlign w:val="center"/>
          </w:tcPr>
          <w:p w14:paraId="407C8235">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136.05</w:t>
            </w:r>
          </w:p>
        </w:tc>
        <w:tc>
          <w:tcPr>
            <w:tcW w:w="1116" w:type="dxa"/>
            <w:tcBorders>
              <w:top w:val="nil"/>
              <w:left w:val="nil"/>
              <w:bottom w:val="single" w:color="auto" w:sz="4" w:space="0"/>
              <w:right w:val="single" w:color="auto" w:sz="4" w:space="0"/>
            </w:tcBorders>
            <w:shd w:val="clear" w:color="auto" w:fill="auto"/>
            <w:vAlign w:val="center"/>
          </w:tcPr>
          <w:p w14:paraId="443B70B8">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30206</w:t>
            </w:r>
          </w:p>
        </w:tc>
        <w:tc>
          <w:tcPr>
            <w:tcW w:w="1901" w:type="dxa"/>
            <w:tcBorders>
              <w:top w:val="nil"/>
              <w:left w:val="nil"/>
              <w:bottom w:val="single" w:color="auto" w:sz="4" w:space="0"/>
              <w:right w:val="single" w:color="auto" w:sz="4" w:space="0"/>
            </w:tcBorders>
            <w:shd w:val="clear" w:color="auto" w:fill="auto"/>
            <w:vAlign w:val="center"/>
          </w:tcPr>
          <w:p w14:paraId="0E4BF784">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14:paraId="21E07B1E">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26.12</w:t>
            </w:r>
          </w:p>
        </w:tc>
        <w:tc>
          <w:tcPr>
            <w:tcW w:w="1217" w:type="dxa"/>
            <w:tcBorders>
              <w:top w:val="nil"/>
              <w:left w:val="nil"/>
              <w:bottom w:val="single" w:color="auto" w:sz="4" w:space="0"/>
              <w:right w:val="single" w:color="auto" w:sz="4" w:space="0"/>
            </w:tcBorders>
            <w:shd w:val="clear" w:color="auto" w:fill="auto"/>
            <w:vAlign w:val="center"/>
          </w:tcPr>
          <w:p w14:paraId="3A297845">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14:paraId="31F6C459">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14:paraId="74ED384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93865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67DABE7">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14:paraId="66104C19">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职业年金缴费</w:t>
            </w:r>
          </w:p>
        </w:tc>
        <w:tc>
          <w:tcPr>
            <w:tcW w:w="1083" w:type="dxa"/>
            <w:tcBorders>
              <w:top w:val="nil"/>
              <w:left w:val="nil"/>
              <w:bottom w:val="single" w:color="auto" w:sz="4" w:space="0"/>
              <w:right w:val="single" w:color="auto" w:sz="4" w:space="0"/>
            </w:tcBorders>
            <w:shd w:val="clear" w:color="auto" w:fill="auto"/>
            <w:vAlign w:val="center"/>
          </w:tcPr>
          <w:p w14:paraId="382EC005">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68.02</w:t>
            </w:r>
          </w:p>
        </w:tc>
        <w:tc>
          <w:tcPr>
            <w:tcW w:w="1116" w:type="dxa"/>
            <w:tcBorders>
              <w:top w:val="nil"/>
              <w:left w:val="nil"/>
              <w:bottom w:val="single" w:color="auto" w:sz="4" w:space="0"/>
              <w:right w:val="single" w:color="auto" w:sz="4" w:space="0"/>
            </w:tcBorders>
            <w:shd w:val="clear" w:color="auto" w:fill="auto"/>
            <w:vAlign w:val="center"/>
          </w:tcPr>
          <w:p w14:paraId="742CD86C">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30207</w:t>
            </w:r>
          </w:p>
        </w:tc>
        <w:tc>
          <w:tcPr>
            <w:tcW w:w="1901" w:type="dxa"/>
            <w:tcBorders>
              <w:top w:val="nil"/>
              <w:left w:val="nil"/>
              <w:bottom w:val="single" w:color="auto" w:sz="4" w:space="0"/>
              <w:right w:val="single" w:color="auto" w:sz="4" w:space="0"/>
            </w:tcBorders>
            <w:shd w:val="clear" w:color="auto" w:fill="auto"/>
            <w:vAlign w:val="center"/>
          </w:tcPr>
          <w:p w14:paraId="6124AAF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14:paraId="49AE262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4.99</w:t>
            </w:r>
          </w:p>
        </w:tc>
        <w:tc>
          <w:tcPr>
            <w:tcW w:w="1217" w:type="dxa"/>
            <w:tcBorders>
              <w:top w:val="nil"/>
              <w:left w:val="nil"/>
              <w:bottom w:val="single" w:color="auto" w:sz="4" w:space="0"/>
              <w:right w:val="single" w:color="auto" w:sz="4" w:space="0"/>
            </w:tcBorders>
            <w:shd w:val="clear" w:color="auto" w:fill="auto"/>
            <w:vAlign w:val="center"/>
          </w:tcPr>
          <w:p w14:paraId="6189DDDA">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14:paraId="4DA722EB">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14:paraId="7A818BAA">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2648F2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2A287E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14:paraId="0B5F1B1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职工基本医疗保险缴费</w:t>
            </w:r>
          </w:p>
        </w:tc>
        <w:tc>
          <w:tcPr>
            <w:tcW w:w="1083" w:type="dxa"/>
            <w:tcBorders>
              <w:top w:val="nil"/>
              <w:left w:val="nil"/>
              <w:bottom w:val="single" w:color="auto" w:sz="4" w:space="0"/>
              <w:right w:val="single" w:color="auto" w:sz="4" w:space="0"/>
            </w:tcBorders>
            <w:shd w:val="clear" w:color="auto" w:fill="auto"/>
            <w:vAlign w:val="center"/>
          </w:tcPr>
          <w:p w14:paraId="0784CE69">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131.81</w:t>
            </w:r>
          </w:p>
        </w:tc>
        <w:tc>
          <w:tcPr>
            <w:tcW w:w="1116" w:type="dxa"/>
            <w:tcBorders>
              <w:top w:val="nil"/>
              <w:left w:val="nil"/>
              <w:bottom w:val="single" w:color="auto" w:sz="4" w:space="0"/>
              <w:right w:val="single" w:color="auto" w:sz="4" w:space="0"/>
            </w:tcBorders>
            <w:shd w:val="clear" w:color="auto" w:fill="auto"/>
            <w:vAlign w:val="center"/>
          </w:tcPr>
          <w:p w14:paraId="416893A8">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30208</w:t>
            </w:r>
          </w:p>
        </w:tc>
        <w:tc>
          <w:tcPr>
            <w:tcW w:w="1901" w:type="dxa"/>
            <w:tcBorders>
              <w:top w:val="nil"/>
              <w:left w:val="nil"/>
              <w:bottom w:val="single" w:color="auto" w:sz="4" w:space="0"/>
              <w:right w:val="single" w:color="auto" w:sz="4" w:space="0"/>
            </w:tcBorders>
            <w:shd w:val="clear" w:color="auto" w:fill="auto"/>
            <w:vAlign w:val="center"/>
          </w:tcPr>
          <w:p w14:paraId="0D09BF95">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14:paraId="6648E83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14:paraId="10C9D4BC">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14:paraId="584D12E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14:paraId="6E808795">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0C1E4B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35F1C3C">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14:paraId="484FE774">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公务员医疗补助缴费</w:t>
            </w:r>
          </w:p>
        </w:tc>
        <w:tc>
          <w:tcPr>
            <w:tcW w:w="1083" w:type="dxa"/>
            <w:tcBorders>
              <w:top w:val="nil"/>
              <w:left w:val="nil"/>
              <w:bottom w:val="single" w:color="auto" w:sz="4" w:space="0"/>
              <w:right w:val="single" w:color="auto" w:sz="4" w:space="0"/>
            </w:tcBorders>
            <w:shd w:val="clear" w:color="auto" w:fill="auto"/>
            <w:vAlign w:val="center"/>
          </w:tcPr>
          <w:p w14:paraId="69553371">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5D36923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30209</w:t>
            </w:r>
          </w:p>
        </w:tc>
        <w:tc>
          <w:tcPr>
            <w:tcW w:w="1901" w:type="dxa"/>
            <w:tcBorders>
              <w:top w:val="nil"/>
              <w:left w:val="nil"/>
              <w:bottom w:val="single" w:color="auto" w:sz="4" w:space="0"/>
              <w:right w:val="single" w:color="auto" w:sz="4" w:space="0"/>
            </w:tcBorders>
            <w:shd w:val="clear" w:color="auto" w:fill="auto"/>
            <w:vAlign w:val="center"/>
          </w:tcPr>
          <w:p w14:paraId="0174D3EE">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14:paraId="7C533F4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0.50</w:t>
            </w:r>
          </w:p>
        </w:tc>
        <w:tc>
          <w:tcPr>
            <w:tcW w:w="1217" w:type="dxa"/>
            <w:tcBorders>
              <w:top w:val="nil"/>
              <w:left w:val="nil"/>
              <w:bottom w:val="single" w:color="auto" w:sz="4" w:space="0"/>
              <w:right w:val="single" w:color="auto" w:sz="4" w:space="0"/>
            </w:tcBorders>
            <w:shd w:val="clear" w:color="auto" w:fill="auto"/>
            <w:vAlign w:val="center"/>
          </w:tcPr>
          <w:p w14:paraId="3DC8BC8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14:paraId="075BE41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14:paraId="3AE51B4C">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08B94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1E9E8FB">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14:paraId="11FD30EC">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其他社会保障缴费</w:t>
            </w:r>
          </w:p>
        </w:tc>
        <w:tc>
          <w:tcPr>
            <w:tcW w:w="1083" w:type="dxa"/>
            <w:tcBorders>
              <w:top w:val="nil"/>
              <w:left w:val="nil"/>
              <w:bottom w:val="single" w:color="auto" w:sz="4" w:space="0"/>
              <w:right w:val="single" w:color="auto" w:sz="4" w:space="0"/>
            </w:tcBorders>
            <w:shd w:val="clear" w:color="auto" w:fill="auto"/>
            <w:vAlign w:val="center"/>
          </w:tcPr>
          <w:p w14:paraId="704DF6B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21.63</w:t>
            </w:r>
          </w:p>
        </w:tc>
        <w:tc>
          <w:tcPr>
            <w:tcW w:w="1116" w:type="dxa"/>
            <w:tcBorders>
              <w:top w:val="nil"/>
              <w:left w:val="nil"/>
              <w:bottom w:val="single" w:color="auto" w:sz="4" w:space="0"/>
              <w:right w:val="single" w:color="auto" w:sz="4" w:space="0"/>
            </w:tcBorders>
            <w:shd w:val="clear" w:color="auto" w:fill="auto"/>
            <w:vAlign w:val="center"/>
          </w:tcPr>
          <w:p w14:paraId="3D555B4F">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30211</w:t>
            </w:r>
          </w:p>
        </w:tc>
        <w:tc>
          <w:tcPr>
            <w:tcW w:w="1901" w:type="dxa"/>
            <w:tcBorders>
              <w:top w:val="nil"/>
              <w:left w:val="nil"/>
              <w:bottom w:val="single" w:color="auto" w:sz="4" w:space="0"/>
              <w:right w:val="single" w:color="auto" w:sz="4" w:space="0"/>
            </w:tcBorders>
            <w:shd w:val="clear" w:color="auto" w:fill="auto"/>
            <w:vAlign w:val="center"/>
          </w:tcPr>
          <w:p w14:paraId="071E20F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14:paraId="046C96B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19.96</w:t>
            </w:r>
          </w:p>
        </w:tc>
        <w:tc>
          <w:tcPr>
            <w:tcW w:w="1217" w:type="dxa"/>
            <w:tcBorders>
              <w:top w:val="nil"/>
              <w:left w:val="nil"/>
              <w:bottom w:val="single" w:color="auto" w:sz="4" w:space="0"/>
              <w:right w:val="single" w:color="auto" w:sz="4" w:space="0"/>
            </w:tcBorders>
            <w:shd w:val="clear" w:color="auto" w:fill="auto"/>
            <w:vAlign w:val="center"/>
          </w:tcPr>
          <w:p w14:paraId="0869E765">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14:paraId="0C41998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14:paraId="5E3CE70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1587BB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549920A">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14:paraId="7B0A2BF6">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住房公积金</w:t>
            </w:r>
          </w:p>
        </w:tc>
        <w:tc>
          <w:tcPr>
            <w:tcW w:w="1083" w:type="dxa"/>
            <w:tcBorders>
              <w:top w:val="nil"/>
              <w:left w:val="nil"/>
              <w:bottom w:val="single" w:color="auto" w:sz="4" w:space="0"/>
              <w:right w:val="single" w:color="auto" w:sz="4" w:space="0"/>
            </w:tcBorders>
            <w:shd w:val="clear" w:color="auto" w:fill="auto"/>
            <w:vAlign w:val="center"/>
          </w:tcPr>
          <w:p w14:paraId="55D579B5">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110.11</w:t>
            </w:r>
          </w:p>
        </w:tc>
        <w:tc>
          <w:tcPr>
            <w:tcW w:w="1116" w:type="dxa"/>
            <w:tcBorders>
              <w:top w:val="nil"/>
              <w:left w:val="nil"/>
              <w:bottom w:val="single" w:color="auto" w:sz="4" w:space="0"/>
              <w:right w:val="single" w:color="auto" w:sz="4" w:space="0"/>
            </w:tcBorders>
            <w:shd w:val="clear" w:color="auto" w:fill="auto"/>
            <w:vAlign w:val="center"/>
          </w:tcPr>
          <w:p w14:paraId="542D9B29">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30212</w:t>
            </w:r>
          </w:p>
        </w:tc>
        <w:tc>
          <w:tcPr>
            <w:tcW w:w="1901" w:type="dxa"/>
            <w:tcBorders>
              <w:top w:val="nil"/>
              <w:left w:val="nil"/>
              <w:bottom w:val="single" w:color="auto" w:sz="4" w:space="0"/>
              <w:right w:val="single" w:color="auto" w:sz="4" w:space="0"/>
            </w:tcBorders>
            <w:shd w:val="clear" w:color="auto" w:fill="auto"/>
            <w:vAlign w:val="center"/>
          </w:tcPr>
          <w:p w14:paraId="4868FC7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14:paraId="00D7CBB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14:paraId="33C1B717">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14:paraId="5659D44E">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14:paraId="0BA0CC8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5DB37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8C52247">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14:paraId="49CA3D86">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医疗费</w:t>
            </w:r>
          </w:p>
        </w:tc>
        <w:tc>
          <w:tcPr>
            <w:tcW w:w="1083" w:type="dxa"/>
            <w:tcBorders>
              <w:top w:val="nil"/>
              <w:left w:val="nil"/>
              <w:bottom w:val="single" w:color="auto" w:sz="4" w:space="0"/>
              <w:right w:val="single" w:color="auto" w:sz="4" w:space="0"/>
            </w:tcBorders>
            <w:shd w:val="clear" w:color="auto" w:fill="auto"/>
            <w:vAlign w:val="center"/>
          </w:tcPr>
          <w:p w14:paraId="0F4CC04C">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4A4595C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30213</w:t>
            </w:r>
          </w:p>
        </w:tc>
        <w:tc>
          <w:tcPr>
            <w:tcW w:w="1901" w:type="dxa"/>
            <w:tcBorders>
              <w:top w:val="nil"/>
              <w:left w:val="nil"/>
              <w:bottom w:val="single" w:color="auto" w:sz="4" w:space="0"/>
              <w:right w:val="single" w:color="auto" w:sz="4" w:space="0"/>
            </w:tcBorders>
            <w:shd w:val="clear" w:color="auto" w:fill="auto"/>
            <w:vAlign w:val="center"/>
          </w:tcPr>
          <w:p w14:paraId="769555D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14:paraId="12DFA95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5.23</w:t>
            </w:r>
          </w:p>
        </w:tc>
        <w:tc>
          <w:tcPr>
            <w:tcW w:w="1217" w:type="dxa"/>
            <w:tcBorders>
              <w:top w:val="nil"/>
              <w:left w:val="nil"/>
              <w:bottom w:val="single" w:color="auto" w:sz="4" w:space="0"/>
              <w:right w:val="single" w:color="auto" w:sz="4" w:space="0"/>
            </w:tcBorders>
            <w:shd w:val="clear" w:color="auto" w:fill="auto"/>
            <w:vAlign w:val="center"/>
          </w:tcPr>
          <w:p w14:paraId="43BFC427">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14:paraId="65A04724">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14:paraId="34564561">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136B53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8A7BB3F">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14:paraId="26AA19C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其他工资福利支出</w:t>
            </w:r>
          </w:p>
        </w:tc>
        <w:tc>
          <w:tcPr>
            <w:tcW w:w="1083" w:type="dxa"/>
            <w:tcBorders>
              <w:top w:val="nil"/>
              <w:left w:val="nil"/>
              <w:bottom w:val="single" w:color="auto" w:sz="4" w:space="0"/>
              <w:right w:val="single" w:color="auto" w:sz="4" w:space="0"/>
            </w:tcBorders>
            <w:shd w:val="clear" w:color="auto" w:fill="auto"/>
            <w:vAlign w:val="center"/>
          </w:tcPr>
          <w:p w14:paraId="192722F5">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5AAE116E">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30214</w:t>
            </w:r>
          </w:p>
        </w:tc>
        <w:tc>
          <w:tcPr>
            <w:tcW w:w="1901" w:type="dxa"/>
            <w:tcBorders>
              <w:top w:val="nil"/>
              <w:left w:val="nil"/>
              <w:bottom w:val="single" w:color="auto" w:sz="4" w:space="0"/>
              <w:right w:val="single" w:color="auto" w:sz="4" w:space="0"/>
            </w:tcBorders>
            <w:shd w:val="clear" w:color="auto" w:fill="auto"/>
            <w:vAlign w:val="center"/>
          </w:tcPr>
          <w:p w14:paraId="54BAA18B">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14:paraId="6726E46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4.31</w:t>
            </w:r>
          </w:p>
        </w:tc>
        <w:tc>
          <w:tcPr>
            <w:tcW w:w="1217" w:type="dxa"/>
            <w:tcBorders>
              <w:top w:val="nil"/>
              <w:left w:val="nil"/>
              <w:bottom w:val="single" w:color="auto" w:sz="4" w:space="0"/>
              <w:right w:val="single" w:color="auto" w:sz="4" w:space="0"/>
            </w:tcBorders>
            <w:shd w:val="clear" w:color="auto" w:fill="auto"/>
            <w:vAlign w:val="center"/>
          </w:tcPr>
          <w:p w14:paraId="6DA2A6FA">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14:paraId="36533167">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14:paraId="4B7D757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2F64F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5E6F3D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14:paraId="5877A51B">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对个人和家庭的补助</w:t>
            </w:r>
          </w:p>
        </w:tc>
        <w:tc>
          <w:tcPr>
            <w:tcW w:w="1083" w:type="dxa"/>
            <w:tcBorders>
              <w:top w:val="nil"/>
              <w:left w:val="nil"/>
              <w:bottom w:val="single" w:color="auto" w:sz="4" w:space="0"/>
              <w:right w:val="single" w:color="auto" w:sz="4" w:space="0"/>
            </w:tcBorders>
            <w:shd w:val="clear" w:color="auto" w:fill="auto"/>
            <w:vAlign w:val="center"/>
          </w:tcPr>
          <w:p w14:paraId="726A84B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68.43</w:t>
            </w:r>
          </w:p>
        </w:tc>
        <w:tc>
          <w:tcPr>
            <w:tcW w:w="1116" w:type="dxa"/>
            <w:tcBorders>
              <w:top w:val="nil"/>
              <w:left w:val="nil"/>
              <w:bottom w:val="single" w:color="auto" w:sz="4" w:space="0"/>
              <w:right w:val="single" w:color="auto" w:sz="4" w:space="0"/>
            </w:tcBorders>
            <w:shd w:val="clear" w:color="auto" w:fill="auto"/>
            <w:vAlign w:val="center"/>
          </w:tcPr>
          <w:p w14:paraId="40AD3AAC">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30215</w:t>
            </w:r>
          </w:p>
        </w:tc>
        <w:tc>
          <w:tcPr>
            <w:tcW w:w="1901" w:type="dxa"/>
            <w:tcBorders>
              <w:top w:val="nil"/>
              <w:left w:val="nil"/>
              <w:bottom w:val="single" w:color="auto" w:sz="4" w:space="0"/>
              <w:right w:val="single" w:color="auto" w:sz="4" w:space="0"/>
            </w:tcBorders>
            <w:shd w:val="clear" w:color="auto" w:fill="auto"/>
            <w:vAlign w:val="center"/>
          </w:tcPr>
          <w:p w14:paraId="1F17039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14:paraId="74F28C2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1.14</w:t>
            </w:r>
          </w:p>
        </w:tc>
        <w:tc>
          <w:tcPr>
            <w:tcW w:w="1217" w:type="dxa"/>
            <w:tcBorders>
              <w:top w:val="nil"/>
              <w:left w:val="nil"/>
              <w:bottom w:val="single" w:color="auto" w:sz="4" w:space="0"/>
              <w:right w:val="single" w:color="auto" w:sz="4" w:space="0"/>
            </w:tcBorders>
            <w:shd w:val="clear" w:color="auto" w:fill="auto"/>
            <w:vAlign w:val="center"/>
          </w:tcPr>
          <w:p w14:paraId="4ED6D016">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14:paraId="20954FBB">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14:paraId="5849635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3E7046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E5781D9">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14:paraId="3B4EA8A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离休费</w:t>
            </w:r>
          </w:p>
        </w:tc>
        <w:tc>
          <w:tcPr>
            <w:tcW w:w="1083" w:type="dxa"/>
            <w:tcBorders>
              <w:top w:val="nil"/>
              <w:left w:val="nil"/>
              <w:bottom w:val="single" w:color="auto" w:sz="4" w:space="0"/>
              <w:right w:val="single" w:color="auto" w:sz="4" w:space="0"/>
            </w:tcBorders>
            <w:shd w:val="clear" w:color="auto" w:fill="auto"/>
            <w:vAlign w:val="center"/>
          </w:tcPr>
          <w:p w14:paraId="53807A8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533321E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30216</w:t>
            </w:r>
          </w:p>
        </w:tc>
        <w:tc>
          <w:tcPr>
            <w:tcW w:w="1901" w:type="dxa"/>
            <w:tcBorders>
              <w:top w:val="nil"/>
              <w:left w:val="nil"/>
              <w:bottom w:val="single" w:color="auto" w:sz="4" w:space="0"/>
              <w:right w:val="single" w:color="auto" w:sz="4" w:space="0"/>
            </w:tcBorders>
            <w:shd w:val="clear" w:color="auto" w:fill="auto"/>
            <w:vAlign w:val="center"/>
          </w:tcPr>
          <w:p w14:paraId="17CF7E3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14:paraId="2D1EF77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1.87</w:t>
            </w:r>
          </w:p>
        </w:tc>
        <w:tc>
          <w:tcPr>
            <w:tcW w:w="1217" w:type="dxa"/>
            <w:tcBorders>
              <w:top w:val="nil"/>
              <w:left w:val="nil"/>
              <w:bottom w:val="single" w:color="auto" w:sz="4" w:space="0"/>
              <w:right w:val="single" w:color="auto" w:sz="4" w:space="0"/>
            </w:tcBorders>
            <w:shd w:val="clear" w:color="auto" w:fill="auto"/>
            <w:vAlign w:val="center"/>
          </w:tcPr>
          <w:p w14:paraId="377BAA7B">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14:paraId="2963A628">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14:paraId="05B8512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28A11C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A3ED874">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14:paraId="5E6C6545">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退休费</w:t>
            </w:r>
          </w:p>
        </w:tc>
        <w:tc>
          <w:tcPr>
            <w:tcW w:w="1083" w:type="dxa"/>
            <w:tcBorders>
              <w:top w:val="nil"/>
              <w:left w:val="nil"/>
              <w:bottom w:val="single" w:color="auto" w:sz="4" w:space="0"/>
              <w:right w:val="single" w:color="auto" w:sz="4" w:space="0"/>
            </w:tcBorders>
            <w:shd w:val="clear" w:color="auto" w:fill="auto"/>
            <w:vAlign w:val="center"/>
          </w:tcPr>
          <w:p w14:paraId="4152005E">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2DEA941E">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30217</w:t>
            </w:r>
          </w:p>
        </w:tc>
        <w:tc>
          <w:tcPr>
            <w:tcW w:w="1901" w:type="dxa"/>
            <w:tcBorders>
              <w:top w:val="nil"/>
              <w:left w:val="nil"/>
              <w:bottom w:val="single" w:color="auto" w:sz="4" w:space="0"/>
              <w:right w:val="single" w:color="auto" w:sz="4" w:space="0"/>
            </w:tcBorders>
            <w:shd w:val="clear" w:color="auto" w:fill="auto"/>
            <w:vAlign w:val="center"/>
          </w:tcPr>
          <w:p w14:paraId="0E9A698D">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14:paraId="45705CC2">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0.79</w:t>
            </w:r>
          </w:p>
        </w:tc>
        <w:tc>
          <w:tcPr>
            <w:tcW w:w="1217" w:type="dxa"/>
            <w:tcBorders>
              <w:top w:val="nil"/>
              <w:left w:val="nil"/>
              <w:bottom w:val="single" w:color="auto" w:sz="4" w:space="0"/>
              <w:right w:val="single" w:color="auto" w:sz="4" w:space="0"/>
            </w:tcBorders>
            <w:shd w:val="clear" w:color="auto" w:fill="auto"/>
            <w:vAlign w:val="center"/>
          </w:tcPr>
          <w:p w14:paraId="68289B8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14:paraId="2B97BCD7">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14:paraId="4B98F1B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4ED3E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8E4C059">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14:paraId="17FB9C76">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退职（役）费</w:t>
            </w:r>
          </w:p>
        </w:tc>
        <w:tc>
          <w:tcPr>
            <w:tcW w:w="1083" w:type="dxa"/>
            <w:tcBorders>
              <w:top w:val="nil"/>
              <w:left w:val="nil"/>
              <w:bottom w:val="single" w:color="auto" w:sz="4" w:space="0"/>
              <w:right w:val="single" w:color="auto" w:sz="4" w:space="0"/>
            </w:tcBorders>
            <w:shd w:val="clear" w:color="auto" w:fill="auto"/>
            <w:vAlign w:val="center"/>
          </w:tcPr>
          <w:p w14:paraId="6A95435C">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67F0C8B1">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30218</w:t>
            </w:r>
          </w:p>
        </w:tc>
        <w:tc>
          <w:tcPr>
            <w:tcW w:w="1901" w:type="dxa"/>
            <w:tcBorders>
              <w:top w:val="nil"/>
              <w:left w:val="nil"/>
              <w:bottom w:val="single" w:color="auto" w:sz="4" w:space="0"/>
              <w:right w:val="single" w:color="auto" w:sz="4" w:space="0"/>
            </w:tcBorders>
            <w:shd w:val="clear" w:color="auto" w:fill="auto"/>
            <w:vAlign w:val="center"/>
          </w:tcPr>
          <w:p w14:paraId="541689F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14:paraId="45FA1AE1">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14:paraId="2656A78A">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14:paraId="00B3AF3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14:paraId="0B5F14F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3F12A8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E66BB3D">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14:paraId="32251DE7">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抚恤金</w:t>
            </w:r>
          </w:p>
        </w:tc>
        <w:tc>
          <w:tcPr>
            <w:tcW w:w="1083" w:type="dxa"/>
            <w:tcBorders>
              <w:top w:val="nil"/>
              <w:left w:val="nil"/>
              <w:bottom w:val="single" w:color="auto" w:sz="4" w:space="0"/>
              <w:right w:val="single" w:color="auto" w:sz="4" w:space="0"/>
            </w:tcBorders>
            <w:shd w:val="clear" w:color="auto" w:fill="auto"/>
            <w:vAlign w:val="center"/>
          </w:tcPr>
          <w:p w14:paraId="3AEA8E4E">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3.80</w:t>
            </w:r>
          </w:p>
        </w:tc>
        <w:tc>
          <w:tcPr>
            <w:tcW w:w="1116" w:type="dxa"/>
            <w:tcBorders>
              <w:top w:val="nil"/>
              <w:left w:val="nil"/>
              <w:bottom w:val="single" w:color="auto" w:sz="4" w:space="0"/>
              <w:right w:val="single" w:color="auto" w:sz="4" w:space="0"/>
            </w:tcBorders>
            <w:shd w:val="clear" w:color="auto" w:fill="auto"/>
            <w:vAlign w:val="center"/>
          </w:tcPr>
          <w:p w14:paraId="740B78AA">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30224</w:t>
            </w:r>
          </w:p>
        </w:tc>
        <w:tc>
          <w:tcPr>
            <w:tcW w:w="1901" w:type="dxa"/>
            <w:tcBorders>
              <w:top w:val="nil"/>
              <w:left w:val="nil"/>
              <w:bottom w:val="single" w:color="auto" w:sz="4" w:space="0"/>
              <w:right w:val="single" w:color="auto" w:sz="4" w:space="0"/>
            </w:tcBorders>
            <w:shd w:val="clear" w:color="auto" w:fill="auto"/>
            <w:vAlign w:val="center"/>
          </w:tcPr>
          <w:p w14:paraId="748EFCC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14:paraId="3E38F21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14:paraId="1A09BA3D">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14:paraId="6BEFB1AE">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14:paraId="7B9BEE6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3D75055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FD02FCF">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14:paraId="3285AF18">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生活补助</w:t>
            </w:r>
          </w:p>
        </w:tc>
        <w:tc>
          <w:tcPr>
            <w:tcW w:w="1083" w:type="dxa"/>
            <w:tcBorders>
              <w:top w:val="nil"/>
              <w:left w:val="nil"/>
              <w:bottom w:val="single" w:color="auto" w:sz="4" w:space="0"/>
              <w:right w:val="single" w:color="auto" w:sz="4" w:space="0"/>
            </w:tcBorders>
            <w:shd w:val="clear" w:color="auto" w:fill="auto"/>
            <w:vAlign w:val="center"/>
          </w:tcPr>
          <w:p w14:paraId="023EBD4F">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61.75</w:t>
            </w:r>
          </w:p>
        </w:tc>
        <w:tc>
          <w:tcPr>
            <w:tcW w:w="1116" w:type="dxa"/>
            <w:tcBorders>
              <w:top w:val="nil"/>
              <w:left w:val="nil"/>
              <w:bottom w:val="single" w:color="auto" w:sz="4" w:space="0"/>
              <w:right w:val="single" w:color="auto" w:sz="4" w:space="0"/>
            </w:tcBorders>
            <w:shd w:val="clear" w:color="auto" w:fill="auto"/>
            <w:vAlign w:val="center"/>
          </w:tcPr>
          <w:p w14:paraId="4C9BB068">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30225</w:t>
            </w:r>
          </w:p>
        </w:tc>
        <w:tc>
          <w:tcPr>
            <w:tcW w:w="1901" w:type="dxa"/>
            <w:tcBorders>
              <w:top w:val="nil"/>
              <w:left w:val="nil"/>
              <w:bottom w:val="single" w:color="auto" w:sz="4" w:space="0"/>
              <w:right w:val="single" w:color="auto" w:sz="4" w:space="0"/>
            </w:tcBorders>
            <w:shd w:val="clear" w:color="auto" w:fill="auto"/>
            <w:vAlign w:val="center"/>
          </w:tcPr>
          <w:p w14:paraId="320B38CB">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14:paraId="2871975E">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14:paraId="5C2B07DB">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14:paraId="05021BF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14:paraId="2526B89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F39B2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5F8732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14:paraId="6FD2D9DB">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救济费</w:t>
            </w:r>
          </w:p>
        </w:tc>
        <w:tc>
          <w:tcPr>
            <w:tcW w:w="1083" w:type="dxa"/>
            <w:tcBorders>
              <w:top w:val="nil"/>
              <w:left w:val="nil"/>
              <w:bottom w:val="single" w:color="auto" w:sz="4" w:space="0"/>
              <w:right w:val="single" w:color="auto" w:sz="4" w:space="0"/>
            </w:tcBorders>
            <w:shd w:val="clear" w:color="auto" w:fill="auto"/>
            <w:vAlign w:val="center"/>
          </w:tcPr>
          <w:p w14:paraId="69CED20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3DB5942D">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30226</w:t>
            </w:r>
          </w:p>
        </w:tc>
        <w:tc>
          <w:tcPr>
            <w:tcW w:w="1901" w:type="dxa"/>
            <w:tcBorders>
              <w:top w:val="nil"/>
              <w:left w:val="nil"/>
              <w:bottom w:val="single" w:color="auto" w:sz="4" w:space="0"/>
              <w:right w:val="single" w:color="auto" w:sz="4" w:space="0"/>
            </w:tcBorders>
            <w:shd w:val="clear" w:color="auto" w:fill="auto"/>
            <w:vAlign w:val="center"/>
          </w:tcPr>
          <w:p w14:paraId="50DFD6A4">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14:paraId="44033DE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6.97</w:t>
            </w:r>
          </w:p>
        </w:tc>
        <w:tc>
          <w:tcPr>
            <w:tcW w:w="1217" w:type="dxa"/>
            <w:tcBorders>
              <w:top w:val="nil"/>
              <w:left w:val="nil"/>
              <w:bottom w:val="single" w:color="auto" w:sz="4" w:space="0"/>
              <w:right w:val="single" w:color="auto" w:sz="4" w:space="0"/>
            </w:tcBorders>
            <w:shd w:val="clear" w:color="auto" w:fill="auto"/>
            <w:vAlign w:val="center"/>
          </w:tcPr>
          <w:p w14:paraId="1C4CB2FA">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14:paraId="4D7A6315">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14:paraId="1FA07A65">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1A1756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DB3FCF9">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14:paraId="41967775">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医疗费补助</w:t>
            </w:r>
          </w:p>
        </w:tc>
        <w:tc>
          <w:tcPr>
            <w:tcW w:w="1083" w:type="dxa"/>
            <w:tcBorders>
              <w:top w:val="nil"/>
              <w:left w:val="nil"/>
              <w:bottom w:val="single" w:color="auto" w:sz="4" w:space="0"/>
              <w:right w:val="single" w:color="auto" w:sz="4" w:space="0"/>
            </w:tcBorders>
            <w:shd w:val="clear" w:color="auto" w:fill="auto"/>
            <w:vAlign w:val="center"/>
          </w:tcPr>
          <w:p w14:paraId="34C58112">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1C9DA4A2">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30227</w:t>
            </w:r>
          </w:p>
        </w:tc>
        <w:tc>
          <w:tcPr>
            <w:tcW w:w="1901" w:type="dxa"/>
            <w:tcBorders>
              <w:top w:val="nil"/>
              <w:left w:val="nil"/>
              <w:bottom w:val="single" w:color="auto" w:sz="4" w:space="0"/>
              <w:right w:val="single" w:color="auto" w:sz="4" w:space="0"/>
            </w:tcBorders>
            <w:shd w:val="clear" w:color="auto" w:fill="auto"/>
            <w:vAlign w:val="center"/>
          </w:tcPr>
          <w:p w14:paraId="3619D6D4">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14:paraId="768CAC84">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0.30</w:t>
            </w:r>
          </w:p>
        </w:tc>
        <w:tc>
          <w:tcPr>
            <w:tcW w:w="1217" w:type="dxa"/>
            <w:tcBorders>
              <w:top w:val="nil"/>
              <w:left w:val="nil"/>
              <w:bottom w:val="single" w:color="auto" w:sz="4" w:space="0"/>
              <w:right w:val="single" w:color="auto" w:sz="4" w:space="0"/>
            </w:tcBorders>
            <w:shd w:val="clear" w:color="auto" w:fill="auto"/>
            <w:vAlign w:val="center"/>
          </w:tcPr>
          <w:p w14:paraId="1E9DC89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14:paraId="19ED5D7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14:paraId="0706FB53">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096FE2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EDCCC1C">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14:paraId="74163197">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助学金</w:t>
            </w:r>
          </w:p>
        </w:tc>
        <w:tc>
          <w:tcPr>
            <w:tcW w:w="1083" w:type="dxa"/>
            <w:tcBorders>
              <w:top w:val="nil"/>
              <w:left w:val="nil"/>
              <w:bottom w:val="single" w:color="auto" w:sz="4" w:space="0"/>
              <w:right w:val="single" w:color="auto" w:sz="4" w:space="0"/>
            </w:tcBorders>
            <w:shd w:val="clear" w:color="auto" w:fill="auto"/>
            <w:vAlign w:val="center"/>
          </w:tcPr>
          <w:p w14:paraId="74E639B5">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7DF05284">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30228</w:t>
            </w:r>
          </w:p>
        </w:tc>
        <w:tc>
          <w:tcPr>
            <w:tcW w:w="1901" w:type="dxa"/>
            <w:tcBorders>
              <w:top w:val="nil"/>
              <w:left w:val="nil"/>
              <w:bottom w:val="single" w:color="auto" w:sz="4" w:space="0"/>
              <w:right w:val="single" w:color="auto" w:sz="4" w:space="0"/>
            </w:tcBorders>
            <w:shd w:val="clear" w:color="auto" w:fill="auto"/>
            <w:vAlign w:val="center"/>
          </w:tcPr>
          <w:p w14:paraId="1735C5F9">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14:paraId="40BB18D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42.83</w:t>
            </w:r>
          </w:p>
        </w:tc>
        <w:tc>
          <w:tcPr>
            <w:tcW w:w="1217" w:type="dxa"/>
            <w:tcBorders>
              <w:top w:val="nil"/>
              <w:left w:val="nil"/>
              <w:bottom w:val="single" w:color="auto" w:sz="4" w:space="0"/>
              <w:right w:val="single" w:color="auto" w:sz="4" w:space="0"/>
            </w:tcBorders>
            <w:shd w:val="clear" w:color="auto" w:fill="auto"/>
            <w:vAlign w:val="center"/>
          </w:tcPr>
          <w:p w14:paraId="753AB16D">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14:paraId="3E4C5A44">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14:paraId="4B79657E">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554B12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994896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14:paraId="2CC6E213">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奖励金</w:t>
            </w:r>
          </w:p>
        </w:tc>
        <w:tc>
          <w:tcPr>
            <w:tcW w:w="1083" w:type="dxa"/>
            <w:tcBorders>
              <w:top w:val="nil"/>
              <w:left w:val="nil"/>
              <w:bottom w:val="single" w:color="auto" w:sz="4" w:space="0"/>
              <w:right w:val="single" w:color="auto" w:sz="4" w:space="0"/>
            </w:tcBorders>
            <w:shd w:val="clear" w:color="auto" w:fill="auto"/>
            <w:vAlign w:val="center"/>
          </w:tcPr>
          <w:p w14:paraId="7A9C7193">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2.88</w:t>
            </w:r>
          </w:p>
        </w:tc>
        <w:tc>
          <w:tcPr>
            <w:tcW w:w="1116" w:type="dxa"/>
            <w:tcBorders>
              <w:top w:val="nil"/>
              <w:left w:val="nil"/>
              <w:bottom w:val="single" w:color="auto" w:sz="4" w:space="0"/>
              <w:right w:val="single" w:color="auto" w:sz="4" w:space="0"/>
            </w:tcBorders>
            <w:shd w:val="clear" w:color="auto" w:fill="auto"/>
            <w:vAlign w:val="center"/>
          </w:tcPr>
          <w:p w14:paraId="13D27DBA">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30229</w:t>
            </w:r>
          </w:p>
        </w:tc>
        <w:tc>
          <w:tcPr>
            <w:tcW w:w="1901" w:type="dxa"/>
            <w:tcBorders>
              <w:top w:val="nil"/>
              <w:left w:val="nil"/>
              <w:bottom w:val="single" w:color="auto" w:sz="4" w:space="0"/>
              <w:right w:val="single" w:color="auto" w:sz="4" w:space="0"/>
            </w:tcBorders>
            <w:shd w:val="clear" w:color="auto" w:fill="auto"/>
            <w:vAlign w:val="center"/>
          </w:tcPr>
          <w:p w14:paraId="63416F0A">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14:paraId="6D295531">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35.41</w:t>
            </w:r>
          </w:p>
        </w:tc>
        <w:tc>
          <w:tcPr>
            <w:tcW w:w="1217" w:type="dxa"/>
            <w:tcBorders>
              <w:top w:val="nil"/>
              <w:left w:val="nil"/>
              <w:bottom w:val="single" w:color="auto" w:sz="4" w:space="0"/>
              <w:right w:val="single" w:color="auto" w:sz="4" w:space="0"/>
            </w:tcBorders>
            <w:shd w:val="clear" w:color="auto" w:fill="auto"/>
            <w:vAlign w:val="center"/>
          </w:tcPr>
          <w:p w14:paraId="17651F96">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14:paraId="208FBF8C">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经常性赠与</w:t>
            </w:r>
          </w:p>
          <w:p w14:paraId="2F794E6F">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资本性赠与</w:t>
            </w:r>
          </w:p>
          <w:p w14:paraId="6381C3CE">
            <w:pPr>
              <w:widowControl/>
              <w:jc w:val="left"/>
              <w:rPr>
                <w:rFonts w:hint="default"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BEB43A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AE7E">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 xml:space="preserve">  经常性赠与</w:t>
                  </w:r>
                </w:p>
              </w:tc>
            </w:tr>
            <w:tr w14:paraId="4EEFEDD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B971">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 xml:space="preserve">  资本性赠与</w:t>
                  </w:r>
                </w:p>
              </w:tc>
            </w:tr>
          </w:tbl>
          <w:p w14:paraId="552C31ED">
            <w:pPr>
              <w:widowControl/>
              <w:jc w:val="left"/>
              <w:rPr>
                <w:rFonts w:hint="default"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09EED0F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42F5">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 xml:space="preserve">  经常性赠与</w:t>
                  </w:r>
                </w:p>
              </w:tc>
            </w:tr>
            <w:tr w14:paraId="5027D05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5B52">
                  <w:pPr>
                    <w:widowControl/>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 xml:space="preserve">  资本性赠与</w:t>
                  </w:r>
                </w:p>
              </w:tc>
            </w:tr>
          </w:tbl>
          <w:p w14:paraId="5524F63C">
            <w:pPr>
              <w:widowControl/>
              <w:jc w:val="left"/>
              <w:rPr>
                <w:rFonts w:hint="default"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14:paraId="5BEC300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9E371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834884A">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14:paraId="26B64E46">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个人农业生产补贴</w:t>
            </w:r>
          </w:p>
        </w:tc>
        <w:tc>
          <w:tcPr>
            <w:tcW w:w="1083" w:type="dxa"/>
            <w:tcBorders>
              <w:top w:val="nil"/>
              <w:left w:val="nil"/>
              <w:bottom w:val="single" w:color="auto" w:sz="4" w:space="0"/>
              <w:right w:val="single" w:color="auto" w:sz="4" w:space="0"/>
            </w:tcBorders>
            <w:shd w:val="clear" w:color="auto" w:fill="auto"/>
            <w:vAlign w:val="center"/>
          </w:tcPr>
          <w:p w14:paraId="08B15BC8">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5C8F750D">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30231</w:t>
            </w:r>
          </w:p>
        </w:tc>
        <w:tc>
          <w:tcPr>
            <w:tcW w:w="1901" w:type="dxa"/>
            <w:tcBorders>
              <w:top w:val="nil"/>
              <w:left w:val="nil"/>
              <w:bottom w:val="single" w:color="auto" w:sz="4" w:space="0"/>
              <w:right w:val="single" w:color="auto" w:sz="4" w:space="0"/>
            </w:tcBorders>
            <w:shd w:val="clear" w:color="auto" w:fill="auto"/>
            <w:vAlign w:val="center"/>
          </w:tcPr>
          <w:p w14:paraId="47E8562A">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14:paraId="7DB8FF23">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26.82</w:t>
            </w:r>
          </w:p>
        </w:tc>
        <w:tc>
          <w:tcPr>
            <w:tcW w:w="1217" w:type="dxa"/>
            <w:tcBorders>
              <w:top w:val="nil"/>
              <w:left w:val="nil"/>
              <w:bottom w:val="single" w:color="auto" w:sz="4" w:space="0"/>
              <w:right w:val="single" w:color="auto" w:sz="4" w:space="0"/>
            </w:tcBorders>
            <w:shd w:val="clear" w:color="auto" w:fill="auto"/>
            <w:vAlign w:val="center"/>
          </w:tcPr>
          <w:p w14:paraId="2A3B0D50">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14:paraId="2C05EEBF">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14:paraId="4D990E9A">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14550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0FA6D54">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14:paraId="7A3FAFCC">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代缴社会保险费</w:t>
            </w:r>
          </w:p>
        </w:tc>
        <w:tc>
          <w:tcPr>
            <w:tcW w:w="1083" w:type="dxa"/>
            <w:tcBorders>
              <w:top w:val="nil"/>
              <w:left w:val="nil"/>
              <w:bottom w:val="single" w:color="auto" w:sz="4" w:space="0"/>
              <w:right w:val="single" w:color="auto" w:sz="4" w:space="0"/>
            </w:tcBorders>
            <w:shd w:val="clear" w:color="auto" w:fill="auto"/>
            <w:vAlign w:val="center"/>
          </w:tcPr>
          <w:p w14:paraId="0A3A0042">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49E64C29">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30239</w:t>
            </w:r>
          </w:p>
        </w:tc>
        <w:tc>
          <w:tcPr>
            <w:tcW w:w="1901" w:type="dxa"/>
            <w:tcBorders>
              <w:top w:val="nil"/>
              <w:left w:val="nil"/>
              <w:bottom w:val="single" w:color="auto" w:sz="4" w:space="0"/>
              <w:right w:val="single" w:color="auto" w:sz="4" w:space="0"/>
            </w:tcBorders>
            <w:shd w:val="clear" w:color="auto" w:fill="auto"/>
            <w:vAlign w:val="center"/>
          </w:tcPr>
          <w:p w14:paraId="7EDC42C1">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14:paraId="5155221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9.40</w:t>
            </w:r>
          </w:p>
        </w:tc>
        <w:tc>
          <w:tcPr>
            <w:tcW w:w="1217" w:type="dxa"/>
            <w:tcBorders>
              <w:top w:val="nil"/>
              <w:left w:val="nil"/>
              <w:bottom w:val="single" w:color="auto" w:sz="4" w:space="0"/>
              <w:right w:val="single" w:color="auto" w:sz="4" w:space="0"/>
            </w:tcBorders>
            <w:shd w:val="clear" w:color="auto" w:fill="auto"/>
            <w:vAlign w:val="center"/>
          </w:tcPr>
          <w:p w14:paraId="7EE32F8B">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14:paraId="19CDC221">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14:paraId="27309031">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2675CFE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0A48B58">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14:paraId="26FE7EB1">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其他对个人和家庭的补助</w:t>
            </w:r>
          </w:p>
        </w:tc>
        <w:tc>
          <w:tcPr>
            <w:tcW w:w="1083" w:type="dxa"/>
            <w:tcBorders>
              <w:top w:val="nil"/>
              <w:left w:val="nil"/>
              <w:bottom w:val="single" w:color="auto" w:sz="4" w:space="0"/>
              <w:right w:val="single" w:color="auto" w:sz="4" w:space="0"/>
            </w:tcBorders>
            <w:shd w:val="clear" w:color="auto" w:fill="auto"/>
            <w:vAlign w:val="center"/>
          </w:tcPr>
          <w:p w14:paraId="770A75AE">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72E9CB88">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30240</w:t>
            </w:r>
          </w:p>
        </w:tc>
        <w:tc>
          <w:tcPr>
            <w:tcW w:w="1901" w:type="dxa"/>
            <w:tcBorders>
              <w:top w:val="nil"/>
              <w:left w:val="nil"/>
              <w:bottom w:val="single" w:color="auto" w:sz="4" w:space="0"/>
              <w:right w:val="single" w:color="auto" w:sz="4" w:space="0"/>
            </w:tcBorders>
            <w:shd w:val="clear" w:color="auto" w:fill="auto"/>
            <w:vAlign w:val="center"/>
          </w:tcPr>
          <w:p w14:paraId="45347DE8">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14:paraId="56E479B8">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14:paraId="36DF55AD">
            <w:pPr>
              <w:widowControl/>
              <w:jc w:val="left"/>
              <w:rPr>
                <w:rFonts w:hint="default" w:ascii="Times New Roman" w:hAnsi="Times New Roman" w:eastAsia="仿宋_GB2312" w:cs="Times New Roman"/>
                <w:color w:val="000000"/>
                <w:kern w:val="0"/>
                <w:szCs w:val="18"/>
              </w:rPr>
            </w:pPr>
            <w:r>
              <w:rPr>
                <w:rFonts w:hint="default"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72932124">
            <w:pPr>
              <w:widowControl/>
              <w:jc w:val="left"/>
              <w:rPr>
                <w:rFonts w:hint="default" w:ascii="Times New Roman" w:hAnsi="Times New Roman" w:eastAsia="仿宋_GB2312" w:cs="Times New Roman"/>
                <w:color w:val="000000"/>
                <w:kern w:val="0"/>
                <w:szCs w:val="18"/>
              </w:rPr>
            </w:pPr>
            <w:r>
              <w:rPr>
                <w:rFonts w:hint="default"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76314877">
            <w:pPr>
              <w:jc w:val="right"/>
              <w:rPr>
                <w:rFonts w:hint="default" w:ascii="Times New Roman" w:hAnsi="Times New Roman" w:eastAsia="仿宋_GB2312" w:cs="Times New Roman"/>
                <w:color w:val="000000"/>
                <w:kern w:val="0"/>
                <w:szCs w:val="20"/>
              </w:rPr>
            </w:pPr>
          </w:p>
        </w:tc>
      </w:tr>
      <w:tr w14:paraId="79F627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ADDE0CC">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14:paraId="3E4660CD">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w:t>
            </w:r>
          </w:p>
        </w:tc>
        <w:tc>
          <w:tcPr>
            <w:tcW w:w="1083" w:type="dxa"/>
            <w:tcBorders>
              <w:top w:val="nil"/>
              <w:left w:val="nil"/>
              <w:bottom w:val="single" w:color="auto" w:sz="4" w:space="0"/>
              <w:right w:val="single" w:color="auto" w:sz="4" w:space="0"/>
            </w:tcBorders>
            <w:shd w:val="clear" w:color="auto" w:fill="auto"/>
            <w:vAlign w:val="center"/>
          </w:tcPr>
          <w:p w14:paraId="720C1A2D">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 w:val="20"/>
                <w:szCs w:val="20"/>
              </w:rPr>
              <w:t>　</w:t>
            </w:r>
          </w:p>
        </w:tc>
        <w:tc>
          <w:tcPr>
            <w:tcW w:w="1116" w:type="dxa"/>
            <w:tcBorders>
              <w:top w:val="nil"/>
              <w:left w:val="nil"/>
              <w:bottom w:val="single" w:color="auto" w:sz="4" w:space="0"/>
              <w:right w:val="single" w:color="auto" w:sz="4" w:space="0"/>
            </w:tcBorders>
            <w:shd w:val="clear" w:color="auto" w:fill="auto"/>
            <w:vAlign w:val="center"/>
          </w:tcPr>
          <w:p w14:paraId="14C0E681">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30299</w:t>
            </w:r>
          </w:p>
        </w:tc>
        <w:tc>
          <w:tcPr>
            <w:tcW w:w="1901" w:type="dxa"/>
            <w:tcBorders>
              <w:top w:val="nil"/>
              <w:left w:val="nil"/>
              <w:bottom w:val="single" w:color="auto" w:sz="4" w:space="0"/>
              <w:right w:val="single" w:color="auto" w:sz="4" w:space="0"/>
            </w:tcBorders>
            <w:shd w:val="clear" w:color="auto" w:fill="auto"/>
            <w:vAlign w:val="center"/>
          </w:tcPr>
          <w:p w14:paraId="3DEF4798">
            <w:pPr>
              <w:widowControl/>
              <w:jc w:val="lef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14:paraId="0A0CECA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21.66</w:t>
            </w:r>
          </w:p>
        </w:tc>
        <w:tc>
          <w:tcPr>
            <w:tcW w:w="1217" w:type="dxa"/>
            <w:tcBorders>
              <w:top w:val="nil"/>
              <w:left w:val="nil"/>
              <w:bottom w:val="single" w:color="auto" w:sz="4" w:space="0"/>
              <w:right w:val="single" w:color="auto" w:sz="4" w:space="0"/>
            </w:tcBorders>
            <w:shd w:val="clear" w:color="auto" w:fill="auto"/>
            <w:vAlign w:val="center"/>
          </w:tcPr>
          <w:p w14:paraId="22F44F44">
            <w:pPr>
              <w:widowControl/>
              <w:jc w:val="left"/>
              <w:rPr>
                <w:rFonts w:hint="default" w:ascii="Times New Roman" w:hAnsi="Times New Roman" w:eastAsia="仿宋_GB2312" w:cs="Times New Roman"/>
                <w:color w:val="000000"/>
                <w:kern w:val="0"/>
                <w:szCs w:val="18"/>
              </w:rPr>
            </w:pPr>
            <w:r>
              <w:rPr>
                <w:rFonts w:hint="default"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198FA8DF">
            <w:pPr>
              <w:widowControl/>
              <w:jc w:val="left"/>
              <w:rPr>
                <w:rFonts w:hint="default" w:ascii="Times New Roman" w:hAnsi="Times New Roman" w:eastAsia="仿宋_GB2312" w:cs="Times New Roman"/>
                <w:color w:val="000000"/>
                <w:kern w:val="0"/>
                <w:szCs w:val="18"/>
              </w:rPr>
            </w:pPr>
            <w:r>
              <w:rPr>
                <w:rFonts w:hint="default"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635E33FA">
            <w:pPr>
              <w:jc w:val="right"/>
              <w:rPr>
                <w:rFonts w:hint="default" w:ascii="Times New Roman" w:hAnsi="Times New Roman" w:eastAsia="仿宋_GB2312" w:cs="Times New Roman"/>
                <w:color w:val="000000"/>
                <w:kern w:val="0"/>
                <w:szCs w:val="20"/>
              </w:rPr>
            </w:pPr>
          </w:p>
        </w:tc>
      </w:tr>
      <w:tr w14:paraId="7DB91D1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575732">
            <w:pPr>
              <w:widowControl/>
              <w:jc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人员经费合计</w:t>
            </w:r>
          </w:p>
        </w:tc>
        <w:tc>
          <w:tcPr>
            <w:tcW w:w="1083" w:type="dxa"/>
            <w:tcBorders>
              <w:top w:val="nil"/>
              <w:left w:val="nil"/>
              <w:bottom w:val="single" w:color="auto" w:sz="4" w:space="0"/>
              <w:right w:val="single" w:color="auto" w:sz="4" w:space="0"/>
            </w:tcBorders>
            <w:shd w:val="clear" w:color="auto" w:fill="auto"/>
            <w:vAlign w:val="center"/>
          </w:tcPr>
          <w:p w14:paraId="69D5EE90">
            <w:pPr>
              <w:widowControl/>
              <w:jc w:val="right"/>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 w:val="20"/>
                <w:szCs w:val="20"/>
                <w:lang w:val="en-US" w:eastAsia="zh-CN"/>
              </w:rPr>
              <w:t>1473.02</w:t>
            </w:r>
          </w:p>
        </w:tc>
        <w:tc>
          <w:tcPr>
            <w:tcW w:w="8684" w:type="dxa"/>
            <w:gridSpan w:val="5"/>
            <w:tcBorders>
              <w:top w:val="single" w:color="auto" w:sz="4" w:space="0"/>
              <w:left w:val="nil"/>
              <w:bottom w:val="single" w:color="auto" w:sz="4" w:space="0"/>
              <w:right w:val="single" w:color="auto" w:sz="4" w:space="0"/>
            </w:tcBorders>
            <w:shd w:val="clear" w:color="auto" w:fill="auto"/>
            <w:vAlign w:val="center"/>
          </w:tcPr>
          <w:p w14:paraId="0A86ECB6">
            <w:pPr>
              <w:widowControl/>
              <w:jc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14:paraId="0E59858C">
            <w:pPr>
              <w:jc w:val="right"/>
              <w:rPr>
                <w:rFonts w:hint="default" w:ascii="Times New Roman" w:hAnsi="Times New Roman" w:eastAsia="仿宋_GB2312" w:cs="Times New Roman"/>
                <w:color w:val="000000"/>
                <w:kern w:val="0"/>
                <w:szCs w:val="18"/>
                <w:lang w:val="en-US" w:eastAsia="zh-CN"/>
              </w:rPr>
            </w:pPr>
            <w:r>
              <w:rPr>
                <w:rFonts w:hint="default" w:ascii="Times New Roman" w:hAnsi="Times New Roman" w:eastAsia="仿宋_GB2312" w:cs="Times New Roman"/>
                <w:color w:val="000000"/>
                <w:kern w:val="0"/>
                <w:szCs w:val="18"/>
                <w:lang w:val="en-US" w:eastAsia="zh-CN"/>
              </w:rPr>
              <w:t>270.90</w:t>
            </w:r>
          </w:p>
        </w:tc>
      </w:tr>
    </w:tbl>
    <w:p w14:paraId="604B728C">
      <w:pPr>
        <w:widowControl/>
        <w:jc w:val="left"/>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注：本表反映部门本年度一般公共预算财政拨款基本支出明细情况。</w:t>
      </w:r>
    </w:p>
    <w:p w14:paraId="17C7C516">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1D7AB8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0DD1A00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16DA13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B0AAAB2">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BF67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7536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A6F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533C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133F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A0540F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151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C49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C3FD2">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DC7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C3A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D88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FDA3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1F9D">
            <w:pPr>
              <w:widowControl/>
              <w:jc w:val="center"/>
              <w:rPr>
                <w:rFonts w:ascii="Times New Roman" w:hAnsi="Times New Roman" w:eastAsia="仿宋_GB2312" w:cs="Times New Roman"/>
                <w:color w:val="000000"/>
                <w:sz w:val="24"/>
                <w:szCs w:val="24"/>
              </w:rPr>
            </w:pPr>
          </w:p>
        </w:tc>
      </w:tr>
      <w:tr w14:paraId="2A4FD9C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03A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A2A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CC8B7">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2907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82B4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1599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07B3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30D67">
            <w:pPr>
              <w:jc w:val="center"/>
              <w:rPr>
                <w:rFonts w:ascii="Times New Roman" w:hAnsi="Times New Roman" w:eastAsia="仿宋_GB2312" w:cs="Times New Roman"/>
                <w:color w:val="000000"/>
                <w:sz w:val="24"/>
                <w:szCs w:val="24"/>
              </w:rPr>
            </w:pPr>
          </w:p>
        </w:tc>
      </w:tr>
      <w:tr w14:paraId="010F44A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BF4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7FC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911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80D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ADE5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EAF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EB0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48B9">
            <w:pPr>
              <w:jc w:val="center"/>
              <w:rPr>
                <w:rFonts w:ascii="Times New Roman" w:hAnsi="Times New Roman" w:eastAsia="仿宋_GB2312" w:cs="Times New Roman"/>
                <w:color w:val="000000"/>
                <w:sz w:val="24"/>
                <w:szCs w:val="24"/>
              </w:rPr>
            </w:pPr>
          </w:p>
        </w:tc>
      </w:tr>
      <w:tr w14:paraId="1610DE2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535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F1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FC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6E5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3F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741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11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5DF7C4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58C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D9AF">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6802">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D32A">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D4EE">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FE4C">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DEA1">
            <w:pPr>
              <w:jc w:val="center"/>
              <w:rPr>
                <w:rFonts w:ascii="Times New Roman" w:hAnsi="Times New Roman" w:eastAsia="仿宋_GB2312" w:cs="Times New Roman"/>
                <w:color w:val="000000"/>
                <w:sz w:val="24"/>
                <w:szCs w:val="24"/>
              </w:rPr>
            </w:pPr>
          </w:p>
        </w:tc>
      </w:tr>
      <w:tr w14:paraId="30081D7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F72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B8A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253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EB4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D3B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06C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289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E573">
            <w:pPr>
              <w:rPr>
                <w:rFonts w:ascii="Times New Roman" w:hAnsi="Times New Roman" w:eastAsia="仿宋_GB2312" w:cs="Times New Roman"/>
                <w:color w:val="000000"/>
                <w:sz w:val="24"/>
                <w:szCs w:val="24"/>
              </w:rPr>
            </w:pPr>
          </w:p>
        </w:tc>
      </w:tr>
      <w:tr w14:paraId="6A7E9C5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48D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DBE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108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BE5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B31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DB9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FC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9E58">
            <w:pPr>
              <w:rPr>
                <w:rFonts w:ascii="Times New Roman" w:hAnsi="Times New Roman" w:eastAsia="仿宋_GB2312" w:cs="Times New Roman"/>
                <w:color w:val="000000"/>
                <w:sz w:val="24"/>
                <w:szCs w:val="24"/>
              </w:rPr>
            </w:pPr>
          </w:p>
        </w:tc>
      </w:tr>
      <w:tr w14:paraId="7809920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AAA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7A3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F23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F52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944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F12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A41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805D">
            <w:pPr>
              <w:rPr>
                <w:rFonts w:ascii="Times New Roman" w:hAnsi="Times New Roman" w:eastAsia="仿宋_GB2312" w:cs="Times New Roman"/>
                <w:color w:val="000000"/>
                <w:sz w:val="24"/>
                <w:szCs w:val="24"/>
              </w:rPr>
            </w:pPr>
          </w:p>
        </w:tc>
      </w:tr>
      <w:tr w14:paraId="54AD5E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D2B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4A5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C74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6D2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0B8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61E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812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8D7C">
            <w:pPr>
              <w:rPr>
                <w:rFonts w:ascii="Times New Roman" w:hAnsi="Times New Roman" w:eastAsia="仿宋_GB2312" w:cs="Times New Roman"/>
                <w:color w:val="000000"/>
                <w:sz w:val="24"/>
                <w:szCs w:val="24"/>
              </w:rPr>
            </w:pPr>
          </w:p>
        </w:tc>
      </w:tr>
      <w:tr w14:paraId="265A8F6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3CA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D33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4B2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9DC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947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983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EF1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5DDD">
            <w:pPr>
              <w:rPr>
                <w:rFonts w:ascii="Times New Roman" w:hAnsi="Times New Roman" w:eastAsia="仿宋_GB2312" w:cs="Times New Roman"/>
                <w:color w:val="000000"/>
                <w:sz w:val="24"/>
                <w:szCs w:val="24"/>
              </w:rPr>
            </w:pPr>
          </w:p>
        </w:tc>
      </w:tr>
      <w:tr w14:paraId="61B9401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A74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7B1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EEB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61C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F2F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EA5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58F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CDB">
            <w:pPr>
              <w:rPr>
                <w:rFonts w:ascii="Times New Roman" w:hAnsi="Times New Roman" w:eastAsia="仿宋_GB2312" w:cs="Times New Roman"/>
                <w:color w:val="000000"/>
                <w:sz w:val="24"/>
                <w:szCs w:val="24"/>
              </w:rPr>
            </w:pPr>
          </w:p>
        </w:tc>
      </w:tr>
    </w:tbl>
    <w:p w14:paraId="0B278B2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6C2157C">
      <w:pPr>
        <w:widowControl/>
        <w:jc w:val="left"/>
        <w:textAlignment w:val="center"/>
        <w:rPr>
          <w:rFonts w:ascii="Times New Roman" w:hAnsi="Times New Roman" w:eastAsia="仿宋_GB2312" w:cs="Times New Roman"/>
          <w:color w:val="000000"/>
          <w:kern w:val="0"/>
          <w:sz w:val="24"/>
          <w:szCs w:val="24"/>
          <w:lang w:bidi="ar"/>
        </w:rPr>
      </w:pPr>
    </w:p>
    <w:p w14:paraId="58A708E6">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0F463BEA">
      <w:pPr>
        <w:widowControl/>
        <w:jc w:val="center"/>
        <w:rPr>
          <w:rFonts w:ascii="Times New Roman" w:hAnsi="Times New Roman" w:eastAsia="方正小标宋_GBK" w:cs="Times New Roman"/>
          <w:color w:val="000000"/>
          <w:kern w:val="0"/>
          <w:sz w:val="36"/>
          <w:szCs w:val="36"/>
        </w:rPr>
      </w:pPr>
    </w:p>
    <w:p w14:paraId="1282A619">
      <w:pPr>
        <w:widowControl/>
        <w:spacing w:line="400" w:lineRule="exact"/>
        <w:textAlignment w:val="center"/>
        <w:rPr>
          <w:rFonts w:ascii="Times New Roman" w:hAnsi="Times New Roman" w:eastAsia="黑体" w:cs="Times New Roman"/>
          <w:color w:val="000000"/>
          <w:kern w:val="0"/>
          <w:sz w:val="36"/>
          <w:szCs w:val="36"/>
          <w:lang w:bidi="ar"/>
        </w:rPr>
      </w:pPr>
    </w:p>
    <w:p w14:paraId="2361947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8FE229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41136D4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217" w:type="dxa"/>
        <w:jc w:val="center"/>
        <w:tblLayout w:type="fixed"/>
        <w:tblCellMar>
          <w:top w:w="0" w:type="dxa"/>
          <w:left w:w="108" w:type="dxa"/>
          <w:bottom w:w="0" w:type="dxa"/>
          <w:right w:w="108" w:type="dxa"/>
        </w:tblCellMar>
      </w:tblPr>
      <w:tblGrid>
        <w:gridCol w:w="3095"/>
        <w:gridCol w:w="3097"/>
        <w:gridCol w:w="1832"/>
        <w:gridCol w:w="3097"/>
        <w:gridCol w:w="3096"/>
      </w:tblGrid>
      <w:tr w14:paraId="028C8C78">
        <w:tblPrEx>
          <w:tblCellMar>
            <w:top w:w="0" w:type="dxa"/>
            <w:left w:w="108" w:type="dxa"/>
            <w:bottom w:w="0" w:type="dxa"/>
            <w:right w:w="108" w:type="dxa"/>
          </w:tblCellMar>
        </w:tblPrEx>
        <w:trPr>
          <w:trHeight w:val="548" w:hRule="atLeast"/>
          <w:jc w:val="center"/>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FC11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3108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BC81458">
        <w:tblPrEx>
          <w:tblCellMar>
            <w:top w:w="0" w:type="dxa"/>
            <w:left w:w="108" w:type="dxa"/>
            <w:bottom w:w="0" w:type="dxa"/>
            <w:right w:w="108" w:type="dxa"/>
          </w:tblCellMar>
        </w:tblPrEx>
        <w:trPr>
          <w:trHeight w:val="312" w:hRule="exact"/>
          <w:jc w:val="center"/>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CF3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E40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843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7F2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4CB1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1DB0BB1">
        <w:tblPrEx>
          <w:tblCellMar>
            <w:top w:w="0" w:type="dxa"/>
            <w:left w:w="108" w:type="dxa"/>
            <w:bottom w:w="0" w:type="dxa"/>
            <w:right w:w="108" w:type="dxa"/>
          </w:tblCellMar>
        </w:tblPrEx>
        <w:trPr>
          <w:trHeight w:val="312" w:hRule="exact"/>
          <w:jc w:val="center"/>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EC63">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E73EE">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7D910">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3837E">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9F2E">
            <w:pPr>
              <w:jc w:val="center"/>
              <w:rPr>
                <w:rFonts w:ascii="Times New Roman" w:hAnsi="Times New Roman" w:eastAsia="仿宋_GB2312" w:cs="Times New Roman"/>
                <w:color w:val="000000"/>
                <w:sz w:val="24"/>
                <w:szCs w:val="24"/>
              </w:rPr>
            </w:pPr>
          </w:p>
        </w:tc>
      </w:tr>
      <w:tr w14:paraId="62A030B4">
        <w:tblPrEx>
          <w:tblCellMar>
            <w:top w:w="0" w:type="dxa"/>
            <w:left w:w="108" w:type="dxa"/>
            <w:bottom w:w="0" w:type="dxa"/>
            <w:right w:w="108" w:type="dxa"/>
          </w:tblCellMar>
        </w:tblPrEx>
        <w:trPr>
          <w:trHeight w:val="312" w:hRule="atLeast"/>
          <w:jc w:val="center"/>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35C4">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C876F">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7EBDD">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1762">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576F0">
            <w:pPr>
              <w:jc w:val="center"/>
              <w:rPr>
                <w:rFonts w:ascii="Times New Roman" w:hAnsi="Times New Roman" w:eastAsia="仿宋_GB2312" w:cs="Times New Roman"/>
                <w:color w:val="000000"/>
                <w:sz w:val="24"/>
                <w:szCs w:val="24"/>
              </w:rPr>
            </w:pPr>
          </w:p>
        </w:tc>
      </w:tr>
      <w:tr w14:paraId="6AB96746">
        <w:tblPrEx>
          <w:tblCellMar>
            <w:top w:w="0" w:type="dxa"/>
            <w:left w:w="108" w:type="dxa"/>
            <w:bottom w:w="0" w:type="dxa"/>
            <w:right w:w="108" w:type="dxa"/>
          </w:tblCellMar>
        </w:tblPrEx>
        <w:trPr>
          <w:trHeight w:val="548" w:hRule="atLeast"/>
          <w:jc w:val="center"/>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3C3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06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A7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7D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F5A05A3">
        <w:tblPrEx>
          <w:tblCellMar>
            <w:top w:w="0" w:type="dxa"/>
            <w:left w:w="108" w:type="dxa"/>
            <w:bottom w:w="0" w:type="dxa"/>
            <w:right w:w="108" w:type="dxa"/>
          </w:tblCellMar>
        </w:tblPrEx>
        <w:trPr>
          <w:trHeight w:val="548" w:hRule="atLeast"/>
          <w:jc w:val="center"/>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8FBF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B083">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5370">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2392">
            <w:pPr>
              <w:jc w:val="center"/>
              <w:rPr>
                <w:rFonts w:ascii="Times New Roman" w:hAnsi="Times New Roman" w:eastAsia="仿宋_GB2312" w:cs="Times New Roman"/>
                <w:color w:val="000000"/>
                <w:sz w:val="24"/>
                <w:szCs w:val="24"/>
              </w:rPr>
            </w:pPr>
          </w:p>
        </w:tc>
      </w:tr>
      <w:tr w14:paraId="25463F1D">
        <w:tblPrEx>
          <w:tblCellMar>
            <w:top w:w="0" w:type="dxa"/>
            <w:left w:w="108" w:type="dxa"/>
            <w:bottom w:w="0" w:type="dxa"/>
            <w:right w:w="108" w:type="dxa"/>
          </w:tblCellMar>
        </w:tblPrEx>
        <w:trPr>
          <w:trHeight w:val="548" w:hRule="atLeast"/>
          <w:jc w:val="center"/>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634D">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5F80">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69E9">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B0C3">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C9A3">
            <w:pPr>
              <w:rPr>
                <w:rFonts w:ascii="Times New Roman" w:hAnsi="Times New Roman" w:eastAsia="仿宋_GB2312" w:cs="Times New Roman"/>
                <w:color w:val="000000"/>
                <w:sz w:val="24"/>
                <w:szCs w:val="24"/>
              </w:rPr>
            </w:pPr>
          </w:p>
        </w:tc>
      </w:tr>
      <w:tr w14:paraId="0A8778D2">
        <w:tblPrEx>
          <w:tblCellMar>
            <w:top w:w="0" w:type="dxa"/>
            <w:left w:w="108" w:type="dxa"/>
            <w:bottom w:w="0" w:type="dxa"/>
            <w:right w:w="108" w:type="dxa"/>
          </w:tblCellMar>
        </w:tblPrEx>
        <w:trPr>
          <w:trHeight w:val="548" w:hRule="atLeast"/>
          <w:jc w:val="center"/>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D69D">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CC31">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D920">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F210">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DCEC">
            <w:pPr>
              <w:rPr>
                <w:rFonts w:ascii="Times New Roman" w:hAnsi="Times New Roman" w:eastAsia="仿宋_GB2312" w:cs="Times New Roman"/>
                <w:color w:val="000000"/>
                <w:sz w:val="24"/>
                <w:szCs w:val="24"/>
              </w:rPr>
            </w:pPr>
          </w:p>
        </w:tc>
      </w:tr>
      <w:tr w14:paraId="40858252">
        <w:tblPrEx>
          <w:tblCellMar>
            <w:top w:w="0" w:type="dxa"/>
            <w:left w:w="108" w:type="dxa"/>
            <w:bottom w:w="0" w:type="dxa"/>
            <w:right w:w="108" w:type="dxa"/>
          </w:tblCellMar>
        </w:tblPrEx>
        <w:trPr>
          <w:trHeight w:val="548" w:hRule="atLeast"/>
          <w:jc w:val="center"/>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46A5">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8CFC">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F11A">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B601">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FE9D">
            <w:pPr>
              <w:rPr>
                <w:rFonts w:ascii="Times New Roman" w:hAnsi="Times New Roman" w:eastAsia="宋体" w:cs="Times New Roman"/>
                <w:color w:val="000000"/>
                <w:sz w:val="24"/>
                <w:szCs w:val="24"/>
              </w:rPr>
            </w:pPr>
          </w:p>
        </w:tc>
      </w:tr>
      <w:tr w14:paraId="177E739E">
        <w:tblPrEx>
          <w:tblCellMar>
            <w:top w:w="0" w:type="dxa"/>
            <w:left w:w="108" w:type="dxa"/>
            <w:bottom w:w="0" w:type="dxa"/>
            <w:right w:w="108" w:type="dxa"/>
          </w:tblCellMar>
        </w:tblPrEx>
        <w:trPr>
          <w:trHeight w:val="548" w:hRule="atLeast"/>
          <w:jc w:val="center"/>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47BC">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CC99">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D3F6">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0B88">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7731">
            <w:pPr>
              <w:rPr>
                <w:rFonts w:ascii="Times New Roman" w:hAnsi="Times New Roman" w:eastAsia="宋体" w:cs="Times New Roman"/>
                <w:color w:val="000000"/>
                <w:sz w:val="24"/>
                <w:szCs w:val="24"/>
              </w:rPr>
            </w:pPr>
          </w:p>
        </w:tc>
      </w:tr>
      <w:tr w14:paraId="21D7D4E1">
        <w:tblPrEx>
          <w:tblCellMar>
            <w:top w:w="0" w:type="dxa"/>
            <w:left w:w="108" w:type="dxa"/>
            <w:bottom w:w="0" w:type="dxa"/>
            <w:right w:w="108" w:type="dxa"/>
          </w:tblCellMar>
        </w:tblPrEx>
        <w:trPr>
          <w:trHeight w:val="548" w:hRule="atLeast"/>
          <w:jc w:val="center"/>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9F06">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CA28">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EA03">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D4EF">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8238">
            <w:pPr>
              <w:rPr>
                <w:rFonts w:ascii="Times New Roman" w:hAnsi="Times New Roman" w:eastAsia="宋体" w:cs="Times New Roman"/>
                <w:color w:val="000000"/>
                <w:sz w:val="24"/>
                <w:szCs w:val="24"/>
              </w:rPr>
            </w:pPr>
          </w:p>
        </w:tc>
      </w:tr>
      <w:tr w14:paraId="73AFF630">
        <w:tblPrEx>
          <w:tblCellMar>
            <w:top w:w="0" w:type="dxa"/>
            <w:left w:w="108" w:type="dxa"/>
            <w:bottom w:w="0" w:type="dxa"/>
            <w:right w:w="108" w:type="dxa"/>
          </w:tblCellMar>
        </w:tblPrEx>
        <w:trPr>
          <w:trHeight w:val="548" w:hRule="atLeast"/>
          <w:jc w:val="center"/>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05C8">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4FFB">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183D">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60D2">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D1FA">
            <w:pPr>
              <w:rPr>
                <w:rFonts w:ascii="Times New Roman" w:hAnsi="Times New Roman" w:eastAsia="宋体" w:cs="Times New Roman"/>
                <w:color w:val="000000"/>
                <w:sz w:val="24"/>
                <w:szCs w:val="24"/>
              </w:rPr>
            </w:pPr>
          </w:p>
        </w:tc>
      </w:tr>
    </w:tbl>
    <w:p w14:paraId="5A1D371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6DACA39">
      <w:pPr>
        <w:widowControl/>
        <w:jc w:val="left"/>
        <w:textAlignment w:val="center"/>
        <w:rPr>
          <w:rFonts w:ascii="Times New Roman" w:hAnsi="Times New Roman" w:eastAsia="宋体" w:cs="Times New Roman"/>
          <w:color w:val="000000"/>
          <w:kern w:val="0"/>
          <w:sz w:val="24"/>
          <w:szCs w:val="24"/>
          <w:lang w:bidi="ar"/>
        </w:rPr>
      </w:pPr>
    </w:p>
    <w:p w14:paraId="3F81188C">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67F73E92">
      <w:pPr>
        <w:widowControl/>
        <w:jc w:val="center"/>
        <w:rPr>
          <w:rFonts w:ascii="Times New Roman" w:hAnsi="Times New Roman" w:eastAsia="方正小标宋_GBK" w:cs="Times New Roman"/>
          <w:color w:val="000000"/>
          <w:kern w:val="0"/>
          <w:sz w:val="36"/>
          <w:szCs w:val="36"/>
        </w:rPr>
      </w:pPr>
    </w:p>
    <w:p w14:paraId="529A3A09">
      <w:pPr>
        <w:pStyle w:val="2"/>
        <w:spacing w:line="400" w:lineRule="exact"/>
        <w:rPr>
          <w:rFonts w:ascii="Times New Roman" w:hAnsi="Times New Roman" w:eastAsia="华文中宋" w:cs="Times New Roman"/>
          <w:color w:val="000000"/>
          <w:kern w:val="0"/>
          <w:sz w:val="32"/>
          <w:szCs w:val="32"/>
          <w:lang w:bidi="ar"/>
        </w:rPr>
      </w:pPr>
    </w:p>
    <w:p w14:paraId="3FCC61A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F93F9B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kern w:val="0"/>
          <w:sz w:val="20"/>
          <w:szCs w:val="20"/>
          <w:lang w:bidi="ar"/>
        </w:rPr>
        <w:t>公开09表</w:t>
      </w:r>
    </w:p>
    <w:p w14:paraId="357B569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部门：</w:t>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sz w:val="20"/>
          <w:szCs w:val="20"/>
        </w:rPr>
        <w:tab/>
      </w:r>
      <w:r>
        <w:rPr>
          <w:rFonts w:hint="default" w:ascii="Times New Roman" w:hAnsi="Times New Roman" w:eastAsia="仿宋_GB2312" w:cs="Times New Roman"/>
          <w:color w:val="000000"/>
          <w:kern w:val="0"/>
          <w:sz w:val="20"/>
          <w:szCs w:val="20"/>
          <w:lang w:bidi="ar"/>
        </w:rPr>
        <w:t>单位：万元</w:t>
      </w:r>
    </w:p>
    <w:tbl>
      <w:tblPr>
        <w:tblStyle w:val="10"/>
        <w:tblW w:w="14544" w:type="dxa"/>
        <w:jc w:val="center"/>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14:paraId="5B9DC095">
        <w:tblPrEx>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FB3F9E">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1CC79B">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决算数</w:t>
            </w:r>
          </w:p>
        </w:tc>
      </w:tr>
      <w:tr w14:paraId="1CA4A5B2">
        <w:tblPrEx>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1C901">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BCB52">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53870">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C9EE0">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190E7">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3F061">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995DA">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CCC28">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公务接待费</w:t>
            </w:r>
          </w:p>
        </w:tc>
      </w:tr>
      <w:tr w14:paraId="61EA40CC">
        <w:tblPrEx>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29D6">
            <w:pPr>
              <w:jc w:val="center"/>
              <w:rPr>
                <w:rFonts w:hint="default"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CCD1">
            <w:pPr>
              <w:jc w:val="center"/>
              <w:rPr>
                <w:rFonts w:hint="default"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07EF">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小计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C1E4">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公务用车</w:t>
            </w:r>
            <w:r>
              <w:rPr>
                <w:rFonts w:hint="default" w:ascii="Times New Roman" w:hAnsi="Times New Roman" w:eastAsia="仿宋_GB2312" w:cs="Times New Roman"/>
                <w:b/>
                <w:bCs/>
                <w:color w:val="000000"/>
                <w:kern w:val="0"/>
                <w:sz w:val="22"/>
                <w:lang w:bidi="ar"/>
              </w:rPr>
              <w:br w:type="textWrapping"/>
            </w:r>
            <w:r>
              <w:rPr>
                <w:rFonts w:hint="default"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EBBB">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公务用车</w:t>
            </w:r>
            <w:r>
              <w:rPr>
                <w:rFonts w:hint="default" w:ascii="Times New Roman" w:hAnsi="Times New Roman" w:eastAsia="仿宋_GB2312" w:cs="Times New Roman"/>
                <w:b/>
                <w:bCs/>
                <w:color w:val="000000"/>
                <w:kern w:val="0"/>
                <w:sz w:val="22"/>
                <w:lang w:bidi="ar"/>
              </w:rPr>
              <w:br w:type="textWrapping"/>
            </w:r>
            <w:r>
              <w:rPr>
                <w:rFonts w:hint="default" w:ascii="Times New Roman" w:hAnsi="Times New Roman" w:eastAsia="仿宋_GB2312" w:cs="Times New Roman"/>
                <w:b/>
                <w:bCs/>
                <w:color w:val="000000"/>
                <w:kern w:val="0"/>
                <w:sz w:val="22"/>
                <w:lang w:bidi="ar"/>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93CB">
            <w:pPr>
              <w:jc w:val="center"/>
              <w:rPr>
                <w:rFonts w:hint="default"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3994">
            <w:pPr>
              <w:jc w:val="center"/>
              <w:rPr>
                <w:rFonts w:hint="default"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CEEFD">
            <w:pPr>
              <w:jc w:val="center"/>
              <w:rPr>
                <w:rFonts w:hint="default"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9B1E">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EB6E">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公务用车</w:t>
            </w:r>
            <w:r>
              <w:rPr>
                <w:rFonts w:hint="default" w:ascii="Times New Roman" w:hAnsi="Times New Roman" w:eastAsia="仿宋_GB2312" w:cs="Times New Roman"/>
                <w:b/>
                <w:bCs/>
                <w:color w:val="000000"/>
                <w:kern w:val="0"/>
                <w:sz w:val="22"/>
                <w:lang w:bidi="ar"/>
              </w:rPr>
              <w:br w:type="textWrapping"/>
            </w:r>
            <w:r>
              <w:rPr>
                <w:rFonts w:hint="default"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A47B">
            <w:pPr>
              <w:widowControl/>
              <w:jc w:val="center"/>
              <w:textAlignment w:val="center"/>
              <w:rPr>
                <w:rFonts w:hint="default"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公务用车</w:t>
            </w:r>
            <w:r>
              <w:rPr>
                <w:rFonts w:hint="default" w:ascii="Times New Roman" w:hAnsi="Times New Roman" w:eastAsia="仿宋_GB2312" w:cs="Times New Roman"/>
                <w:b/>
                <w:bCs/>
                <w:color w:val="000000"/>
                <w:kern w:val="0"/>
                <w:sz w:val="22"/>
                <w:lang w:bidi="ar"/>
              </w:rPr>
              <w:br w:type="textWrapping"/>
            </w:r>
            <w:r>
              <w:rPr>
                <w:rFonts w:hint="default" w:ascii="Times New Roman" w:hAnsi="Times New Roman" w:eastAsia="仿宋_GB2312" w:cs="Times New Roman"/>
                <w:b/>
                <w:bCs/>
                <w:color w:val="000000"/>
                <w:kern w:val="0"/>
                <w:sz w:val="22"/>
                <w:lang w:bidi="ar"/>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032AF">
            <w:pPr>
              <w:jc w:val="center"/>
              <w:rPr>
                <w:rFonts w:hint="default" w:ascii="Times New Roman" w:hAnsi="Times New Roman" w:eastAsia="仿宋_GB2312" w:cs="Times New Roman"/>
                <w:color w:val="000000"/>
                <w:sz w:val="22"/>
              </w:rPr>
            </w:pPr>
          </w:p>
        </w:tc>
      </w:tr>
      <w:tr w14:paraId="7C731F22">
        <w:tblPrEx>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FA36">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5EFD">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122D">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4E2E">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674A">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FEAC">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F35C">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A50E">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9DF9">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F25C">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C118">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BB9D">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12</w:t>
            </w:r>
          </w:p>
        </w:tc>
      </w:tr>
      <w:tr w14:paraId="3056462F">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F1BE">
            <w:pPr>
              <w:jc w:val="right"/>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sz w:val="22"/>
                <w:lang w:val="en-US" w:eastAsia="zh-CN"/>
              </w:rPr>
              <w:t>27.62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E45A">
            <w:pPr>
              <w:jc w:val="right"/>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sz w:val="22"/>
              </w:rPr>
              <w:t>0.00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C5A1">
            <w:pPr>
              <w:jc w:val="right"/>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sz w:val="22"/>
                <w:lang w:val="en-US" w:eastAsia="zh-CN"/>
              </w:rPr>
              <w:t>26.82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A084">
            <w:pPr>
              <w:jc w:val="right"/>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sz w:val="22"/>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EF49">
            <w:pPr>
              <w:jc w:val="right"/>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sz w:val="22"/>
                <w:lang w:val="en-US" w:eastAsia="zh-CN"/>
              </w:rPr>
              <w:t>26.82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BFCA">
            <w:pPr>
              <w:jc w:val="right"/>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sz w:val="22"/>
                <w:lang w:val="en-US" w:eastAsia="zh-CN"/>
              </w:rPr>
              <w:t>0.80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87C3">
            <w:pPr>
              <w:jc w:val="right"/>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sz w:val="22"/>
                <w:lang w:val="en-US" w:eastAsia="zh-CN"/>
              </w:rPr>
              <w:t>27.61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AAB6">
            <w:pPr>
              <w:jc w:val="right"/>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sz w:val="22"/>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9F1F">
            <w:pPr>
              <w:jc w:val="right"/>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sz w:val="22"/>
                <w:lang w:val="en-US" w:eastAsia="zh-CN"/>
              </w:rPr>
              <w:t>26.82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9134">
            <w:pPr>
              <w:jc w:val="right"/>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sz w:val="22"/>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482A">
            <w:pPr>
              <w:jc w:val="right"/>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sz w:val="22"/>
                <w:lang w:val="en-US" w:eastAsia="zh-CN"/>
              </w:rPr>
              <w:t>26.82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6E93">
            <w:pPr>
              <w:jc w:val="right"/>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sz w:val="22"/>
                <w:lang w:val="en-US" w:eastAsia="zh-CN"/>
              </w:rPr>
              <w:t>0.79</w:t>
            </w:r>
          </w:p>
        </w:tc>
      </w:tr>
    </w:tbl>
    <w:p w14:paraId="034686F6">
      <w:pPr>
        <w:widowControl/>
        <w:spacing w:before="120"/>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9FD58D5">
      <w:pPr>
        <w:autoSpaceDE w:val="0"/>
        <w:autoSpaceDN w:val="0"/>
        <w:adjustRightInd w:val="0"/>
        <w:ind w:left="315" w:leftChars="150"/>
        <w:jc w:val="left"/>
        <w:rPr>
          <w:rFonts w:hint="default" w:ascii="Times New Roman" w:hAnsi="Times New Roman" w:eastAsia="仿宋_GB2312" w:cs="Times New Roman"/>
          <w:kern w:val="0"/>
          <w:sz w:val="24"/>
          <w:szCs w:val="24"/>
        </w:rPr>
      </w:pPr>
    </w:p>
    <w:p w14:paraId="4E4BCA9E">
      <w:pPr>
        <w:autoSpaceDE w:val="0"/>
        <w:autoSpaceDN w:val="0"/>
        <w:adjustRightInd w:val="0"/>
        <w:ind w:left="315" w:leftChars="150"/>
        <w:jc w:val="left"/>
        <w:rPr>
          <w:rFonts w:hint="default" w:ascii="Times New Roman" w:hAnsi="Times New Roman" w:eastAsia="仿宋_GB2312" w:cs="Times New Roman"/>
          <w:kern w:val="0"/>
          <w:sz w:val="24"/>
          <w:szCs w:val="24"/>
        </w:rPr>
      </w:pPr>
    </w:p>
    <w:p w14:paraId="2F0FE1EE">
      <w:pPr>
        <w:autoSpaceDE w:val="0"/>
        <w:autoSpaceDN w:val="0"/>
        <w:adjustRightInd w:val="0"/>
        <w:ind w:left="315" w:leftChars="150"/>
        <w:jc w:val="left"/>
        <w:rPr>
          <w:rFonts w:hint="default" w:ascii="Times New Roman" w:hAnsi="Times New Roman" w:eastAsia="仿宋_GB2312" w:cs="Times New Roman"/>
          <w:kern w:val="0"/>
          <w:sz w:val="24"/>
          <w:szCs w:val="24"/>
        </w:rPr>
      </w:pPr>
    </w:p>
    <w:p w14:paraId="0A8D8C87">
      <w:pPr>
        <w:autoSpaceDE w:val="0"/>
        <w:autoSpaceDN w:val="0"/>
        <w:adjustRightInd w:val="0"/>
        <w:ind w:left="315" w:leftChars="150"/>
        <w:jc w:val="left"/>
        <w:rPr>
          <w:rFonts w:ascii="Times New Roman" w:hAnsi="Times New Roman" w:eastAsia="宋体" w:cs="Times New Roman"/>
          <w:kern w:val="0"/>
          <w:sz w:val="24"/>
          <w:szCs w:val="24"/>
        </w:rPr>
      </w:pPr>
    </w:p>
    <w:p w14:paraId="13EE3F9B">
      <w:pPr>
        <w:autoSpaceDE w:val="0"/>
        <w:autoSpaceDN w:val="0"/>
        <w:adjustRightInd w:val="0"/>
        <w:ind w:left="315" w:leftChars="150"/>
        <w:jc w:val="left"/>
        <w:rPr>
          <w:rFonts w:ascii="Times New Roman" w:hAnsi="Times New Roman" w:eastAsia="宋体" w:cs="Times New Roman"/>
          <w:kern w:val="0"/>
          <w:sz w:val="24"/>
          <w:szCs w:val="24"/>
        </w:rPr>
      </w:pPr>
    </w:p>
    <w:p w14:paraId="06F3D01A">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BCC017A">
      <w:pPr>
        <w:pStyle w:val="14"/>
        <w:rPr>
          <w:rFonts w:ascii="Times New Roman" w:hAnsi="Times New Roman" w:cs="Times New Roman"/>
          <w:sz w:val="72"/>
          <w:szCs w:val="72"/>
        </w:rPr>
      </w:pPr>
    </w:p>
    <w:p w14:paraId="56EE5C58">
      <w:pPr>
        <w:pStyle w:val="14"/>
        <w:rPr>
          <w:rFonts w:ascii="Times New Roman" w:hAnsi="Times New Roman" w:cs="Times New Roman"/>
          <w:sz w:val="72"/>
          <w:szCs w:val="72"/>
        </w:rPr>
      </w:pPr>
    </w:p>
    <w:p w14:paraId="63847863">
      <w:pPr>
        <w:pStyle w:val="14"/>
        <w:rPr>
          <w:rFonts w:ascii="Times New Roman" w:hAnsi="Times New Roman" w:cs="Times New Roman"/>
          <w:sz w:val="72"/>
          <w:szCs w:val="72"/>
        </w:rPr>
      </w:pPr>
    </w:p>
    <w:p w14:paraId="684558F5">
      <w:pPr>
        <w:pStyle w:val="14"/>
        <w:jc w:val="center"/>
        <w:rPr>
          <w:rFonts w:ascii="Times New Roman" w:hAnsi="Times New Roman" w:cs="Times New Roman"/>
          <w:sz w:val="72"/>
          <w:szCs w:val="72"/>
        </w:rPr>
      </w:pPr>
    </w:p>
    <w:p w14:paraId="6C2DD21C">
      <w:pPr>
        <w:pStyle w:val="14"/>
        <w:jc w:val="center"/>
        <w:rPr>
          <w:rFonts w:ascii="Times New Roman" w:hAnsi="Times New Roman" w:eastAsia="方正小标宋_GBK" w:cs="Times New Roman"/>
          <w:sz w:val="72"/>
          <w:szCs w:val="72"/>
        </w:rPr>
      </w:pPr>
    </w:p>
    <w:p w14:paraId="05801BA1">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80A428E">
      <w:pPr>
        <w:pStyle w:val="14"/>
        <w:spacing w:line="360" w:lineRule="auto"/>
        <w:jc w:val="center"/>
        <w:rPr>
          <w:rFonts w:ascii="Times New Roman" w:hAnsi="Times New Roman" w:eastAsia="方正小标宋_GBK" w:cs="Times New Roman"/>
          <w:sz w:val="52"/>
          <w:szCs w:val="52"/>
        </w:rPr>
      </w:pPr>
      <w:r>
        <w:rPr>
          <w:rFonts w:hint="eastAsia" w:ascii="方正小标宋简体" w:hAnsi="方正小标宋简体" w:eastAsia="方正小标宋简体" w:cs="方正小标宋简体"/>
          <w:sz w:val="52"/>
          <w:szCs w:val="52"/>
        </w:rPr>
        <w:t>2024年度部门</w:t>
      </w:r>
      <w:r>
        <w:rPr>
          <w:rFonts w:ascii="Times New Roman" w:hAnsi="Times New Roman" w:eastAsia="方正小标宋_GBK" w:cs="Times New Roman"/>
          <w:sz w:val="52"/>
          <w:szCs w:val="52"/>
        </w:rPr>
        <w:t>决算情况说明</w:t>
      </w:r>
    </w:p>
    <w:p w14:paraId="7443C57A">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B6FA78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308C9D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024年度收、支总计2829.40万元。与上年相比，增加137.93万元，增</w:t>
      </w:r>
      <w:r>
        <w:rPr>
          <w:rFonts w:hint="eastAsia" w:ascii="Times New Roman" w:hAnsi="Times New Roman" w:eastAsia="仿宋_GB2312" w:cs="Times New Roman"/>
          <w:sz w:val="32"/>
          <w:szCs w:val="32"/>
          <w:lang w:eastAsia="zh-CN"/>
        </w:rPr>
        <w:t>长</w:t>
      </w:r>
      <w:r>
        <w:rPr>
          <w:rFonts w:hint="eastAsia" w:ascii="Times New Roman" w:hAnsi="Times New Roman" w:eastAsia="仿宋_GB2312" w:cs="Times New Roman"/>
          <w:sz w:val="32"/>
          <w:szCs w:val="32"/>
          <w:lang w:val="en-US" w:eastAsia="zh-CN"/>
        </w:rPr>
        <w:t>5.12</w:t>
      </w:r>
      <w:r>
        <w:rPr>
          <w:rFonts w:hint="eastAsia" w:ascii="Times New Roman" w:hAnsi="Times New Roman" w:eastAsia="仿宋_GB2312" w:cs="Times New Roman"/>
          <w:sz w:val="32"/>
          <w:szCs w:val="32"/>
        </w:rPr>
        <w:t>%，主要是因为财政拨款收入较上年增加137.93万元。</w:t>
      </w:r>
    </w:p>
    <w:p w14:paraId="154B478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B68A80A">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2829.40</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2829.40</w:t>
      </w:r>
      <w:r>
        <w:rPr>
          <w:rFonts w:hint="eastAsia" w:ascii="Times New Roman" w:hAnsi="Times New Roman" w:eastAsia="仿宋_GB2312"/>
          <w:sz w:val="32"/>
          <w:szCs w:val="32"/>
        </w:rPr>
        <w:t>万元，占100%；上级补助收入0万元，占0.00%；事业收入0万元，占0.00%；经营收入0万元，占0.00%；附属单位上缴收入0万元，占0.00%；其他收入0万元，占0.00%</w:t>
      </w:r>
      <w:r>
        <w:rPr>
          <w:rFonts w:ascii="Times New Roman" w:hAnsi="Times New Roman" w:eastAsia="仿宋_GB2312" w:cs="Times New Roman"/>
          <w:sz w:val="32"/>
          <w:szCs w:val="32"/>
        </w:rPr>
        <w:t>。</w:t>
      </w:r>
    </w:p>
    <w:p w14:paraId="0CF5582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C1E8CF1">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2829.40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1743.92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61.64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1085.48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38.36</w:t>
      </w:r>
      <w:r>
        <w:rPr>
          <w:rFonts w:hint="eastAsia" w:ascii="Times New Roman" w:hAnsi="Times New Roman" w:eastAsia="仿宋_GB2312"/>
          <w:sz w:val="32"/>
          <w:szCs w:val="32"/>
        </w:rPr>
        <w:t>%；上缴上级支出0万元，占0.00%；经营支出0万元，占0.00%；对附属单位补助支出0万元，占0.00%。</w:t>
      </w:r>
    </w:p>
    <w:p w14:paraId="53996F5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98EEE30">
      <w:pPr>
        <w:pStyle w:val="14"/>
        <w:spacing w:line="600" w:lineRule="exact"/>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2829.40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增加137.93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增长5.12</w:t>
      </w:r>
      <w:r>
        <w:rPr>
          <w:rFonts w:hint="eastAsia" w:ascii="Times New Roman" w:hAnsi="Times New Roman" w:eastAsia="仿宋_GB2312"/>
          <w:sz w:val="32"/>
          <w:szCs w:val="32"/>
        </w:rPr>
        <w:t>%，主要是因为财政拨款收入较上年</w:t>
      </w:r>
      <w:r>
        <w:rPr>
          <w:rFonts w:hint="eastAsia" w:ascii="Times New Roman" w:hAnsi="Times New Roman" w:eastAsia="仿宋_GB2312"/>
          <w:sz w:val="32"/>
          <w:szCs w:val="32"/>
          <w:lang w:val="en-US" w:eastAsia="zh-CN"/>
        </w:rPr>
        <w:t>增加137.93</w:t>
      </w:r>
      <w:r>
        <w:rPr>
          <w:rFonts w:hint="eastAsia" w:ascii="Times New Roman" w:hAnsi="Times New Roman" w:eastAsia="仿宋_GB2312"/>
          <w:sz w:val="32"/>
          <w:szCs w:val="32"/>
        </w:rPr>
        <w:t>万元。</w:t>
      </w:r>
    </w:p>
    <w:p w14:paraId="6497476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BB3D16C">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F1F1E41">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2829.40</w:t>
      </w:r>
      <w:r>
        <w:rPr>
          <w:rFonts w:hint="eastAsia" w:ascii="Times New Roman" w:hAnsi="Times New Roman" w:eastAsia="仿宋_GB2312"/>
          <w:sz w:val="32"/>
          <w:szCs w:val="32"/>
        </w:rPr>
        <w:t>万元，占本年支出合计的100%，与上年相比，</w:t>
      </w:r>
      <w:r>
        <w:rPr>
          <w:rFonts w:hint="eastAsia" w:ascii="Times New Roman" w:hAnsi="Times New Roman" w:eastAsia="仿宋_GB2312"/>
          <w:sz w:val="32"/>
          <w:szCs w:val="32"/>
          <w:lang w:val="en-US" w:eastAsia="zh-CN"/>
        </w:rPr>
        <w:t>增加137.93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增长5.12</w:t>
      </w:r>
      <w:r>
        <w:rPr>
          <w:rFonts w:hint="eastAsia" w:ascii="Times New Roman" w:hAnsi="Times New Roman" w:eastAsia="仿宋_GB2312"/>
          <w:sz w:val="32"/>
          <w:szCs w:val="32"/>
        </w:rPr>
        <w:t>%，主要是因为财政拨款收入较上年</w:t>
      </w:r>
      <w:r>
        <w:rPr>
          <w:rFonts w:hint="eastAsia" w:ascii="Times New Roman" w:hAnsi="Times New Roman" w:eastAsia="仿宋_GB2312"/>
          <w:sz w:val="32"/>
          <w:szCs w:val="32"/>
          <w:lang w:val="en-US" w:eastAsia="zh-CN"/>
        </w:rPr>
        <w:t>增加137.93</w:t>
      </w:r>
      <w:r>
        <w:rPr>
          <w:rFonts w:hint="eastAsia" w:ascii="Times New Roman" w:hAnsi="Times New Roman" w:eastAsia="仿宋_GB2312"/>
          <w:sz w:val="32"/>
          <w:szCs w:val="32"/>
        </w:rPr>
        <w:t>万元。</w:t>
      </w:r>
    </w:p>
    <w:p w14:paraId="3B628559">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B3EB12A">
      <w:pPr>
        <w:pStyle w:val="14"/>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2829.40</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2.40</w:t>
      </w:r>
      <w:r>
        <w:rPr>
          <w:rFonts w:hint="eastAsia" w:ascii="Times New Roman" w:hAnsi="Times New Roman" w:eastAsia="仿宋_GB2312"/>
          <w:sz w:val="32"/>
          <w:szCs w:val="32"/>
        </w:rPr>
        <w:t>万元，占0.</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2827.00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99.92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4750D1B">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FB6DB08">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3346.35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2829.40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84.55</w:t>
      </w:r>
      <w:r>
        <w:rPr>
          <w:rFonts w:hint="eastAsia" w:ascii="Times New Roman" w:hAnsi="Times New Roman" w:eastAsia="仿宋_GB2312"/>
          <w:sz w:val="32"/>
          <w:szCs w:val="32"/>
        </w:rPr>
        <w:t>%，其中：</w:t>
      </w:r>
    </w:p>
    <w:p w14:paraId="48DC8AB5">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1、一般公共服务支出（类）组织事务（款）其他组织事务支出（项）。</w:t>
      </w:r>
    </w:p>
    <w:p w14:paraId="01C24017">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万元，决算数大于年初预算数的主要原因是：由财政统一安排资金支出的人才引进人员补助，未列入单位年初预算。</w:t>
      </w:r>
    </w:p>
    <w:p w14:paraId="7D55773E">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2、住房保障支出（类）城乡社区住宅（款）住房公积金管理（项）。</w:t>
      </w:r>
    </w:p>
    <w:p w14:paraId="5B04EC5F">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3346.35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2827.00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84.48</w:t>
      </w:r>
      <w:r>
        <w:rPr>
          <w:rFonts w:hint="eastAsia" w:ascii="Times New Roman" w:hAnsi="Times New Roman" w:eastAsia="仿宋_GB2312"/>
          <w:sz w:val="32"/>
          <w:szCs w:val="32"/>
        </w:rPr>
        <w:t>%，决算数小于年初预算数的主要原因是：本年度部分项目按项目合同约定和开展进度需下年度支付进度款。</w:t>
      </w:r>
    </w:p>
    <w:p w14:paraId="607F3B5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21B4D75">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1743.92</w:t>
      </w:r>
      <w:r>
        <w:rPr>
          <w:rFonts w:hint="eastAsia" w:ascii="Times New Roman" w:hAnsi="Times New Roman" w:eastAsia="仿宋_GB2312"/>
          <w:sz w:val="32"/>
          <w:szCs w:val="32"/>
        </w:rPr>
        <w:t>万元，其中：</w:t>
      </w:r>
    </w:p>
    <w:p w14:paraId="55070EB1">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1473.02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84.47</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404.07</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5.73</w:t>
      </w:r>
      <w:r>
        <w:rPr>
          <w:rFonts w:hint="eastAsia" w:ascii="Times New Roman" w:hAnsi="Times New Roman" w:eastAsia="仿宋_GB2312"/>
          <w:sz w:val="32"/>
          <w:szCs w:val="32"/>
        </w:rPr>
        <w:t>万元、奖金</w:t>
      </w:r>
      <w:r>
        <w:rPr>
          <w:rFonts w:hint="eastAsia" w:ascii="Times New Roman" w:hAnsi="Times New Roman" w:eastAsia="仿宋_GB2312"/>
          <w:sz w:val="32"/>
          <w:szCs w:val="32"/>
          <w:lang w:val="en-US" w:eastAsia="zh-CN"/>
        </w:rPr>
        <w:t>253.18</w:t>
      </w:r>
      <w:r>
        <w:rPr>
          <w:rFonts w:hint="eastAsia" w:ascii="Times New Roman" w:hAnsi="Times New Roman" w:eastAsia="仿宋_GB2312"/>
          <w:sz w:val="32"/>
          <w:szCs w:val="32"/>
        </w:rPr>
        <w:t>万元、绩效工资</w:t>
      </w:r>
      <w:r>
        <w:rPr>
          <w:rFonts w:hint="eastAsia" w:ascii="Times New Roman" w:hAnsi="Times New Roman" w:eastAsia="仿宋_GB2312"/>
          <w:sz w:val="32"/>
          <w:szCs w:val="32"/>
          <w:lang w:val="en-US" w:eastAsia="zh-CN"/>
        </w:rPr>
        <w:t>273.99</w:t>
      </w:r>
      <w:r>
        <w:rPr>
          <w:rFonts w:hint="eastAsia" w:ascii="Times New Roman" w:hAnsi="Times New Roman" w:eastAsia="仿宋_GB2312"/>
          <w:sz w:val="32"/>
          <w:szCs w:val="32"/>
        </w:rPr>
        <w:t>万元、机关事业单位基本养老保险</w:t>
      </w:r>
      <w:r>
        <w:rPr>
          <w:rFonts w:hint="eastAsia" w:ascii="Times New Roman" w:hAnsi="Times New Roman" w:eastAsia="仿宋_GB2312"/>
          <w:sz w:val="32"/>
          <w:szCs w:val="32"/>
          <w:lang w:val="en-US" w:eastAsia="zh-CN"/>
        </w:rPr>
        <w:t>136.05</w:t>
      </w:r>
      <w:r>
        <w:rPr>
          <w:rFonts w:hint="eastAsia" w:ascii="Times New Roman" w:hAnsi="Times New Roman" w:eastAsia="仿宋_GB2312"/>
          <w:sz w:val="32"/>
          <w:szCs w:val="32"/>
        </w:rPr>
        <w:t>万元、职业年金缴费</w:t>
      </w:r>
      <w:r>
        <w:rPr>
          <w:rFonts w:hint="eastAsia" w:ascii="Times New Roman" w:hAnsi="Times New Roman" w:eastAsia="仿宋_GB2312"/>
          <w:sz w:val="32"/>
          <w:szCs w:val="32"/>
          <w:lang w:val="en-US" w:eastAsia="zh-CN"/>
        </w:rPr>
        <w:t>68.02</w:t>
      </w:r>
      <w:r>
        <w:rPr>
          <w:rFonts w:hint="eastAsia" w:ascii="Times New Roman" w:hAnsi="Times New Roman" w:eastAsia="仿宋_GB2312"/>
          <w:sz w:val="32"/>
          <w:szCs w:val="32"/>
        </w:rPr>
        <w:t>万元、职工基本医疗保险缴费</w:t>
      </w:r>
      <w:r>
        <w:rPr>
          <w:rFonts w:hint="eastAsia" w:ascii="Times New Roman" w:hAnsi="Times New Roman" w:eastAsia="仿宋_GB2312"/>
          <w:sz w:val="32"/>
          <w:szCs w:val="32"/>
          <w:lang w:val="en-US" w:eastAsia="zh-CN"/>
        </w:rPr>
        <w:t>131.81</w:t>
      </w:r>
      <w:r>
        <w:rPr>
          <w:rFonts w:hint="eastAsia" w:ascii="Times New Roman" w:hAnsi="Times New Roman" w:eastAsia="仿宋_GB2312"/>
          <w:sz w:val="32"/>
          <w:szCs w:val="32"/>
        </w:rPr>
        <w:t>万元、其他社会保障缴费</w:t>
      </w:r>
      <w:r>
        <w:rPr>
          <w:rFonts w:hint="eastAsia" w:ascii="Times New Roman" w:hAnsi="Times New Roman" w:eastAsia="仿宋_GB2312"/>
          <w:sz w:val="32"/>
          <w:szCs w:val="32"/>
          <w:lang w:val="en-US" w:eastAsia="zh-CN"/>
        </w:rPr>
        <w:t>21.63</w:t>
      </w:r>
      <w:r>
        <w:rPr>
          <w:rFonts w:hint="eastAsia" w:ascii="Times New Roman" w:hAnsi="Times New Roman" w:eastAsia="仿宋_GB2312"/>
          <w:sz w:val="32"/>
          <w:szCs w:val="32"/>
        </w:rPr>
        <w:t>万元、住房公积金</w:t>
      </w:r>
      <w:r>
        <w:rPr>
          <w:rFonts w:hint="eastAsia" w:ascii="Times New Roman" w:hAnsi="Times New Roman" w:eastAsia="仿宋_GB2312"/>
          <w:sz w:val="32"/>
          <w:szCs w:val="32"/>
          <w:lang w:val="en-US" w:eastAsia="zh-CN"/>
        </w:rPr>
        <w:t>110.11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抚恤金3.80万元、</w:t>
      </w:r>
      <w:r>
        <w:rPr>
          <w:rFonts w:hint="eastAsia" w:ascii="Times New Roman" w:hAnsi="Times New Roman" w:eastAsia="仿宋_GB2312"/>
          <w:sz w:val="32"/>
          <w:szCs w:val="32"/>
        </w:rPr>
        <w:t>生活补助</w:t>
      </w:r>
      <w:r>
        <w:rPr>
          <w:rFonts w:hint="eastAsia" w:ascii="Times New Roman" w:hAnsi="Times New Roman" w:eastAsia="仿宋_GB2312"/>
          <w:sz w:val="32"/>
          <w:szCs w:val="32"/>
          <w:lang w:val="en-US" w:eastAsia="zh-CN"/>
        </w:rPr>
        <w:t>61.75</w:t>
      </w:r>
      <w:r>
        <w:rPr>
          <w:rFonts w:hint="eastAsia" w:ascii="Times New Roman" w:hAnsi="Times New Roman" w:eastAsia="仿宋_GB2312"/>
          <w:sz w:val="32"/>
          <w:szCs w:val="32"/>
        </w:rPr>
        <w:t>万元、奖励金2</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8万元。</w:t>
      </w:r>
    </w:p>
    <w:p w14:paraId="645BCC0E">
      <w:pPr>
        <w:pStyle w:val="14"/>
        <w:spacing w:line="60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270.90</w:t>
      </w:r>
      <w:r>
        <w:rPr>
          <w:rFonts w:hint="eastAsia" w:ascii="Times New Roman" w:hAnsi="Times New Roman" w:eastAsia="仿宋_GB2312"/>
          <w:sz w:val="32"/>
          <w:szCs w:val="32"/>
          <w:lang w:eastAsia="zh-CN"/>
        </w:rPr>
        <w:t>万元，占基本支出的</w:t>
      </w:r>
      <w:r>
        <w:rPr>
          <w:rFonts w:hint="eastAsia" w:ascii="Times New Roman" w:hAnsi="Times New Roman" w:eastAsia="仿宋_GB2312"/>
          <w:sz w:val="32"/>
          <w:szCs w:val="32"/>
          <w:lang w:val="en-US" w:eastAsia="zh-CN"/>
        </w:rPr>
        <w:t>15.53</w:t>
      </w:r>
      <w:r>
        <w:rPr>
          <w:rFonts w:hint="eastAsia" w:ascii="Times New Roman" w:hAnsi="Times New Roman" w:eastAsia="仿宋_GB2312"/>
          <w:sz w:val="32"/>
          <w:szCs w:val="32"/>
          <w:lang w:eastAsia="zh-CN"/>
        </w:rPr>
        <w:t>%，主要包括办公费</w:t>
      </w:r>
      <w:r>
        <w:rPr>
          <w:rFonts w:hint="eastAsia" w:ascii="Times New Roman" w:hAnsi="Times New Roman" w:eastAsia="仿宋_GB2312"/>
          <w:sz w:val="32"/>
          <w:szCs w:val="32"/>
          <w:lang w:val="en-US" w:eastAsia="zh-CN"/>
        </w:rPr>
        <w:t>54.06</w:t>
      </w:r>
      <w:r>
        <w:rPr>
          <w:rFonts w:hint="eastAsia" w:ascii="Times New Roman" w:hAnsi="Times New Roman" w:eastAsia="仿宋_GB2312"/>
          <w:sz w:val="32"/>
          <w:szCs w:val="32"/>
          <w:lang w:eastAsia="zh-CN"/>
        </w:rPr>
        <w:t>万元、印刷费</w:t>
      </w:r>
      <w:r>
        <w:rPr>
          <w:rFonts w:hint="eastAsia" w:ascii="Times New Roman" w:hAnsi="Times New Roman" w:eastAsia="仿宋_GB2312"/>
          <w:sz w:val="32"/>
          <w:szCs w:val="32"/>
          <w:lang w:val="en-US" w:eastAsia="zh-CN"/>
        </w:rPr>
        <w:t>1.04</w:t>
      </w:r>
      <w:r>
        <w:rPr>
          <w:rFonts w:hint="eastAsia" w:ascii="Times New Roman" w:hAnsi="Times New Roman" w:eastAsia="仿宋_GB2312"/>
          <w:sz w:val="32"/>
          <w:szCs w:val="32"/>
          <w:lang w:eastAsia="zh-CN"/>
        </w:rPr>
        <w:t>万元、咨询费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.00万元、手续费0.02万元、水费</w:t>
      </w:r>
      <w:r>
        <w:rPr>
          <w:rFonts w:hint="eastAsia" w:ascii="Times New Roman" w:hAnsi="Times New Roman" w:eastAsia="仿宋_GB2312"/>
          <w:sz w:val="32"/>
          <w:szCs w:val="32"/>
          <w:lang w:val="en-US" w:eastAsia="zh-CN"/>
        </w:rPr>
        <w:t>1.71</w:t>
      </w:r>
      <w:r>
        <w:rPr>
          <w:rFonts w:hint="eastAsia" w:ascii="Times New Roman" w:hAnsi="Times New Roman" w:eastAsia="仿宋_GB2312"/>
          <w:sz w:val="32"/>
          <w:szCs w:val="32"/>
          <w:lang w:eastAsia="zh-CN"/>
        </w:rPr>
        <w:t>万元、电费</w:t>
      </w:r>
      <w:r>
        <w:rPr>
          <w:rFonts w:hint="eastAsia" w:ascii="Times New Roman" w:hAnsi="Times New Roman" w:eastAsia="仿宋_GB2312"/>
          <w:sz w:val="32"/>
          <w:szCs w:val="32"/>
          <w:lang w:val="en-US" w:eastAsia="zh-CN"/>
        </w:rPr>
        <w:t>26.12</w:t>
      </w:r>
      <w:r>
        <w:rPr>
          <w:rFonts w:hint="eastAsia" w:ascii="Times New Roman" w:hAnsi="Times New Roman" w:eastAsia="仿宋_GB2312"/>
          <w:sz w:val="32"/>
          <w:szCs w:val="32"/>
          <w:lang w:eastAsia="zh-CN"/>
        </w:rPr>
        <w:t>万元、邮电费</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lang w:eastAsia="zh-CN"/>
        </w:rPr>
        <w:t>万元、物业管理费</w:t>
      </w:r>
      <w:r>
        <w:rPr>
          <w:rFonts w:hint="eastAsia" w:ascii="Times New Roman" w:hAnsi="Times New Roman" w:eastAsia="仿宋_GB2312"/>
          <w:sz w:val="32"/>
          <w:szCs w:val="32"/>
          <w:lang w:val="en-US" w:eastAsia="zh-CN"/>
        </w:rPr>
        <w:t>0.50</w:t>
      </w:r>
      <w:r>
        <w:rPr>
          <w:rFonts w:hint="eastAsia" w:ascii="Times New Roman" w:hAnsi="Times New Roman" w:eastAsia="仿宋_GB2312"/>
          <w:sz w:val="32"/>
          <w:szCs w:val="32"/>
          <w:lang w:eastAsia="zh-CN"/>
        </w:rPr>
        <w:t>万元、差旅费</w:t>
      </w:r>
      <w:r>
        <w:rPr>
          <w:rFonts w:hint="eastAsia" w:ascii="Times New Roman" w:hAnsi="Times New Roman" w:eastAsia="仿宋_GB2312"/>
          <w:sz w:val="32"/>
          <w:szCs w:val="32"/>
          <w:lang w:val="en-US" w:eastAsia="zh-CN"/>
        </w:rPr>
        <w:t>19.96</w:t>
      </w:r>
      <w:r>
        <w:rPr>
          <w:rFonts w:hint="eastAsia" w:ascii="Times New Roman" w:hAnsi="Times New Roman" w:eastAsia="仿宋_GB2312"/>
          <w:sz w:val="32"/>
          <w:szCs w:val="32"/>
          <w:lang w:eastAsia="zh-CN"/>
        </w:rPr>
        <w:t>万元、维修（护）费</w:t>
      </w:r>
      <w:r>
        <w:rPr>
          <w:rFonts w:hint="eastAsia" w:ascii="Times New Roman" w:hAnsi="Times New Roman" w:eastAsia="仿宋_GB2312"/>
          <w:sz w:val="32"/>
          <w:szCs w:val="32"/>
          <w:lang w:val="en-US" w:eastAsia="zh-CN"/>
        </w:rPr>
        <w:t>5.23</w:t>
      </w:r>
      <w:r>
        <w:rPr>
          <w:rFonts w:hint="eastAsia" w:ascii="Times New Roman" w:hAnsi="Times New Roman" w:eastAsia="仿宋_GB2312"/>
          <w:sz w:val="32"/>
          <w:szCs w:val="32"/>
          <w:lang w:eastAsia="zh-CN"/>
        </w:rPr>
        <w:t>万元、租赁费</w:t>
      </w:r>
      <w:r>
        <w:rPr>
          <w:rFonts w:hint="eastAsia" w:ascii="Times New Roman" w:hAnsi="Times New Roman" w:eastAsia="仿宋_GB2312"/>
          <w:sz w:val="32"/>
          <w:szCs w:val="32"/>
          <w:lang w:val="en-US" w:eastAsia="zh-CN"/>
        </w:rPr>
        <w:t>4.31</w:t>
      </w:r>
      <w:r>
        <w:rPr>
          <w:rFonts w:hint="eastAsia" w:ascii="Times New Roman" w:hAnsi="Times New Roman" w:eastAsia="仿宋_GB2312"/>
          <w:sz w:val="32"/>
          <w:szCs w:val="32"/>
          <w:lang w:eastAsia="zh-CN"/>
        </w:rPr>
        <w:t>万元、会议费</w:t>
      </w:r>
      <w:r>
        <w:rPr>
          <w:rFonts w:hint="eastAsia" w:ascii="Times New Roman" w:hAnsi="Times New Roman" w:eastAsia="仿宋_GB2312"/>
          <w:sz w:val="32"/>
          <w:szCs w:val="32"/>
          <w:lang w:val="en-US" w:eastAsia="zh-CN"/>
        </w:rPr>
        <w:t>1.14</w:t>
      </w:r>
      <w:r>
        <w:rPr>
          <w:rFonts w:hint="eastAsia" w:ascii="Times New Roman" w:hAnsi="Times New Roman" w:eastAsia="仿宋_GB2312"/>
          <w:sz w:val="32"/>
          <w:szCs w:val="32"/>
          <w:lang w:eastAsia="zh-CN"/>
        </w:rPr>
        <w:t>万元、培训费</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lang w:eastAsia="zh-CN"/>
        </w:rPr>
        <w:t>万元、公务接待费0.</w:t>
      </w:r>
      <w:r>
        <w:rPr>
          <w:rFonts w:hint="eastAsia" w:ascii="Times New Roman" w:hAnsi="Times New Roman" w:eastAsia="仿宋_GB2312"/>
          <w:sz w:val="32"/>
          <w:szCs w:val="32"/>
          <w:lang w:val="en-US" w:eastAsia="zh-CN"/>
        </w:rPr>
        <w:t>79</w:t>
      </w:r>
      <w:r>
        <w:rPr>
          <w:rFonts w:hint="eastAsia" w:ascii="Times New Roman" w:hAnsi="Times New Roman" w:eastAsia="仿宋_GB2312"/>
          <w:sz w:val="32"/>
          <w:szCs w:val="32"/>
          <w:lang w:eastAsia="zh-CN"/>
        </w:rPr>
        <w:t>万元、劳务费</w:t>
      </w:r>
      <w:r>
        <w:rPr>
          <w:rFonts w:hint="eastAsia" w:ascii="Times New Roman" w:hAnsi="Times New Roman" w:eastAsia="仿宋_GB2312"/>
          <w:sz w:val="32"/>
          <w:szCs w:val="32"/>
          <w:lang w:val="en-US" w:eastAsia="zh-CN"/>
        </w:rPr>
        <w:t>6.97</w:t>
      </w:r>
      <w:r>
        <w:rPr>
          <w:rFonts w:hint="eastAsia" w:ascii="Times New Roman" w:hAnsi="Times New Roman" w:eastAsia="仿宋_GB2312"/>
          <w:sz w:val="32"/>
          <w:szCs w:val="32"/>
          <w:lang w:eastAsia="zh-CN"/>
        </w:rPr>
        <w:t>万元、委托业务费</w:t>
      </w:r>
      <w:r>
        <w:rPr>
          <w:rFonts w:hint="eastAsia" w:ascii="Times New Roman" w:hAnsi="Times New Roman" w:eastAsia="仿宋_GB2312"/>
          <w:sz w:val="32"/>
          <w:szCs w:val="32"/>
          <w:lang w:val="en-US" w:eastAsia="zh-CN"/>
        </w:rPr>
        <w:t>0.30万元、</w:t>
      </w:r>
      <w:r>
        <w:rPr>
          <w:rFonts w:hint="eastAsia" w:ascii="Times New Roman" w:hAnsi="Times New Roman" w:eastAsia="仿宋_GB2312"/>
          <w:sz w:val="32"/>
          <w:szCs w:val="32"/>
          <w:lang w:eastAsia="zh-CN"/>
        </w:rPr>
        <w:t>工会经费</w:t>
      </w:r>
      <w:r>
        <w:rPr>
          <w:rFonts w:hint="eastAsia" w:ascii="Times New Roman" w:hAnsi="Times New Roman" w:eastAsia="仿宋_GB2312"/>
          <w:sz w:val="32"/>
          <w:szCs w:val="32"/>
          <w:lang w:val="en-US" w:eastAsia="zh-CN"/>
        </w:rPr>
        <w:t>42.83</w:t>
      </w:r>
      <w:r>
        <w:rPr>
          <w:rFonts w:hint="eastAsia" w:ascii="Times New Roman" w:hAnsi="Times New Roman" w:eastAsia="仿宋_GB2312"/>
          <w:sz w:val="32"/>
          <w:szCs w:val="32"/>
          <w:lang w:eastAsia="zh-CN"/>
        </w:rPr>
        <w:t>万元、福利费</w:t>
      </w:r>
      <w:r>
        <w:rPr>
          <w:rFonts w:hint="eastAsia" w:ascii="Times New Roman" w:hAnsi="Times New Roman" w:eastAsia="仿宋_GB2312"/>
          <w:sz w:val="32"/>
          <w:szCs w:val="32"/>
          <w:lang w:val="en-US" w:eastAsia="zh-CN"/>
        </w:rPr>
        <w:t>35.41</w:t>
      </w:r>
      <w:r>
        <w:rPr>
          <w:rFonts w:hint="eastAsia" w:ascii="Times New Roman" w:hAnsi="Times New Roman" w:eastAsia="仿宋_GB2312"/>
          <w:sz w:val="32"/>
          <w:szCs w:val="32"/>
          <w:lang w:eastAsia="zh-CN"/>
        </w:rPr>
        <w:t>万元、公务用车运行维护费</w:t>
      </w:r>
      <w:r>
        <w:rPr>
          <w:rFonts w:hint="eastAsia" w:ascii="Times New Roman" w:hAnsi="Times New Roman" w:eastAsia="仿宋_GB2312"/>
          <w:sz w:val="32"/>
          <w:szCs w:val="32"/>
          <w:lang w:val="en-US" w:eastAsia="zh-CN"/>
        </w:rPr>
        <w:t>26.82</w:t>
      </w:r>
      <w:r>
        <w:rPr>
          <w:rFonts w:hint="eastAsia" w:ascii="Times New Roman" w:hAnsi="Times New Roman" w:eastAsia="仿宋_GB2312"/>
          <w:sz w:val="32"/>
          <w:szCs w:val="32"/>
          <w:lang w:eastAsia="zh-CN"/>
        </w:rPr>
        <w:t>万元、其他交通费用</w:t>
      </w:r>
      <w:r>
        <w:rPr>
          <w:rFonts w:hint="eastAsia" w:ascii="Times New Roman" w:hAnsi="Times New Roman" w:eastAsia="仿宋_GB2312"/>
          <w:sz w:val="32"/>
          <w:szCs w:val="32"/>
          <w:lang w:val="en-US" w:eastAsia="zh-CN"/>
        </w:rPr>
        <w:t>9.40</w:t>
      </w:r>
      <w:r>
        <w:rPr>
          <w:rFonts w:hint="eastAsia" w:ascii="Times New Roman" w:hAnsi="Times New Roman" w:eastAsia="仿宋_GB2312"/>
          <w:sz w:val="32"/>
          <w:szCs w:val="32"/>
          <w:lang w:eastAsia="zh-CN"/>
        </w:rPr>
        <w:t>万元、其他商品和服务支出</w:t>
      </w:r>
      <w:r>
        <w:rPr>
          <w:rFonts w:hint="eastAsia" w:ascii="Times New Roman" w:hAnsi="Times New Roman" w:eastAsia="仿宋_GB2312"/>
          <w:sz w:val="32"/>
          <w:szCs w:val="32"/>
          <w:lang w:val="en-US" w:eastAsia="zh-CN"/>
        </w:rPr>
        <w:t>21.66</w:t>
      </w:r>
      <w:r>
        <w:rPr>
          <w:rFonts w:hint="eastAsia" w:ascii="Times New Roman" w:hAnsi="Times New Roman" w:eastAsia="仿宋_GB2312"/>
          <w:sz w:val="32"/>
          <w:szCs w:val="32"/>
          <w:lang w:eastAsia="zh-CN"/>
        </w:rPr>
        <w:t>万元、办公设备购置0.</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lang w:eastAsia="zh-CN"/>
        </w:rPr>
        <w:t>万元。</w:t>
      </w:r>
    </w:p>
    <w:p w14:paraId="03E34AD2">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val="0"/>
          <w:iCs/>
          <w:color w:val="auto"/>
          <w:sz w:val="32"/>
          <w:szCs w:val="32"/>
        </w:rPr>
        <w:t>（注意：“三</w:t>
      </w:r>
      <w:r>
        <w:rPr>
          <w:rFonts w:ascii="Times New Roman" w:hAnsi="Times New Roman" w:eastAsia="楷体_GB2312" w:cs="Times New Roman"/>
          <w:b/>
          <w:bCs/>
          <w:i w:val="0"/>
          <w:iCs/>
          <w:color w:val="auto"/>
          <w:spacing w:val="-6"/>
          <w:sz w:val="32"/>
          <w:szCs w:val="32"/>
        </w:rPr>
        <w:t>公”经费不再是一般公共预算财政拨款口径，而是财政拨款口径）</w:t>
      </w:r>
    </w:p>
    <w:p w14:paraId="32761523">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D8F5135">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三公”经费财政拨款支出预算为</w:t>
      </w:r>
      <w:r>
        <w:rPr>
          <w:rFonts w:hint="eastAsia" w:ascii="Times New Roman" w:hAnsi="Times New Roman" w:eastAsia="仿宋_GB2312"/>
          <w:sz w:val="32"/>
          <w:szCs w:val="32"/>
          <w:lang w:val="en-US" w:eastAsia="zh-CN"/>
        </w:rPr>
        <w:t>27.62</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27.61</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99.96</w:t>
      </w:r>
      <w:r>
        <w:rPr>
          <w:rFonts w:hint="eastAsia" w:ascii="Times New Roman" w:hAnsi="Times New Roman" w:eastAsia="仿宋_GB2312"/>
          <w:sz w:val="32"/>
          <w:szCs w:val="32"/>
          <w:lang w:eastAsia="zh-CN"/>
        </w:rPr>
        <w:t>%，与上年相比增加</w:t>
      </w:r>
      <w:r>
        <w:rPr>
          <w:rFonts w:hint="eastAsia" w:ascii="Times New Roman" w:hAnsi="Times New Roman" w:eastAsia="仿宋_GB2312"/>
          <w:sz w:val="32"/>
          <w:szCs w:val="32"/>
          <w:lang w:val="en-US" w:eastAsia="zh-CN"/>
        </w:rPr>
        <w:t>2.34</w:t>
      </w:r>
      <w:r>
        <w:rPr>
          <w:rFonts w:hint="eastAsia" w:ascii="Times New Roman" w:hAnsi="Times New Roman" w:eastAsia="仿宋_GB2312"/>
          <w:sz w:val="32"/>
          <w:szCs w:val="32"/>
          <w:lang w:eastAsia="zh-CN"/>
        </w:rPr>
        <w:t>万元，增长</w:t>
      </w:r>
      <w:r>
        <w:rPr>
          <w:rFonts w:hint="eastAsia" w:ascii="Times New Roman" w:hAnsi="Times New Roman" w:eastAsia="仿宋_GB2312"/>
          <w:sz w:val="32"/>
          <w:szCs w:val="32"/>
          <w:lang w:val="en-US" w:eastAsia="zh-CN"/>
        </w:rPr>
        <w:t>9.26</w:t>
      </w:r>
      <w:r>
        <w:rPr>
          <w:rFonts w:hint="eastAsia" w:ascii="Times New Roman" w:hAnsi="Times New Roman" w:eastAsia="仿宋_GB2312"/>
          <w:sz w:val="32"/>
          <w:szCs w:val="32"/>
          <w:lang w:eastAsia="zh-CN"/>
        </w:rPr>
        <w:t>%。决算数小于预算数的主要原因是严格预算约束，落实过“紧日子”要求。决算数大于上年数的主要原因是燃油费用增加、接待批次和人数增多。</w:t>
      </w:r>
    </w:p>
    <w:p w14:paraId="71A9335B">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9AFA12A">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1、</w:t>
      </w:r>
      <w:r>
        <w:rPr>
          <w:rFonts w:hint="eastAsia" w:ascii="Times New Roman" w:hAnsi="Times New Roman" w:eastAsia="仿宋_GB2312"/>
          <w:spacing w:val="-6"/>
          <w:sz w:val="32"/>
          <w:szCs w:val="32"/>
          <w:lang w:eastAsia="zh-CN"/>
        </w:rPr>
        <w:t>因公出国（境）费支出预算为</w:t>
      </w:r>
      <w:r>
        <w:rPr>
          <w:rFonts w:hint="eastAsia" w:ascii="Times New Roman" w:hAnsi="Times New Roman" w:eastAsia="仿宋_GB2312"/>
          <w:spacing w:val="-6"/>
          <w:sz w:val="32"/>
          <w:szCs w:val="32"/>
          <w:lang w:val="en-US" w:eastAsia="zh-CN"/>
        </w:rPr>
        <w:t>0万元，支出</w:t>
      </w:r>
      <w:r>
        <w:rPr>
          <w:rFonts w:hint="eastAsia" w:ascii="Times New Roman" w:hAnsi="Times New Roman" w:eastAsia="仿宋_GB2312"/>
          <w:spacing w:val="-6"/>
          <w:sz w:val="32"/>
          <w:szCs w:val="32"/>
          <w:lang w:eastAsia="zh-CN"/>
        </w:rPr>
        <w:t>决算为0万元。</w:t>
      </w:r>
    </w:p>
    <w:p w14:paraId="33406934">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、公务用车购置费及运行维护费支出预算</w:t>
      </w:r>
      <w:r>
        <w:rPr>
          <w:rFonts w:hint="eastAsia" w:ascii="Times New Roman" w:hAnsi="Times New Roman" w:eastAsia="仿宋_GB2312"/>
          <w:sz w:val="32"/>
          <w:szCs w:val="32"/>
          <w:lang w:val="en-US" w:eastAsia="zh-CN"/>
        </w:rPr>
        <w:t>26.82万元，支出</w:t>
      </w:r>
      <w:r>
        <w:rPr>
          <w:rFonts w:hint="eastAsia" w:ascii="Times New Roman" w:hAnsi="Times New Roman" w:eastAsia="仿宋_GB2312"/>
          <w:sz w:val="32"/>
          <w:szCs w:val="32"/>
          <w:lang w:eastAsia="zh-CN"/>
        </w:rPr>
        <w:t>决算为</w:t>
      </w:r>
      <w:r>
        <w:rPr>
          <w:rFonts w:hint="eastAsia" w:ascii="Times New Roman" w:hAnsi="Times New Roman" w:eastAsia="仿宋_GB2312"/>
          <w:sz w:val="32"/>
          <w:szCs w:val="32"/>
          <w:lang w:val="en-US" w:eastAsia="zh-CN"/>
        </w:rPr>
        <w:t>26.82</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与上年相比增加</w:t>
      </w:r>
      <w:r>
        <w:rPr>
          <w:rFonts w:hint="eastAsia" w:ascii="Times New Roman" w:hAnsi="Times New Roman" w:eastAsia="仿宋_GB2312"/>
          <w:sz w:val="32"/>
          <w:szCs w:val="32"/>
          <w:lang w:val="en-US" w:eastAsia="zh-CN"/>
        </w:rPr>
        <w:t>2.15</w:t>
      </w:r>
      <w:r>
        <w:rPr>
          <w:rFonts w:hint="eastAsia" w:ascii="Times New Roman" w:hAnsi="Times New Roman" w:eastAsia="仿宋_GB2312"/>
          <w:sz w:val="32"/>
          <w:szCs w:val="32"/>
          <w:lang w:eastAsia="zh-CN"/>
        </w:rPr>
        <w:t>万元，增长8.</w:t>
      </w:r>
      <w:r>
        <w:rPr>
          <w:rFonts w:hint="eastAsia" w:ascii="Times New Roman" w:hAnsi="Times New Roman" w:eastAsia="仿宋_GB2312"/>
          <w:sz w:val="32"/>
          <w:szCs w:val="32"/>
          <w:lang w:val="en-US" w:eastAsia="zh-CN"/>
        </w:rPr>
        <w:t>72</w:t>
      </w:r>
      <w:r>
        <w:rPr>
          <w:rFonts w:hint="eastAsia" w:ascii="Times New Roman" w:hAnsi="Times New Roman" w:eastAsia="仿宋_GB2312"/>
          <w:sz w:val="32"/>
          <w:szCs w:val="32"/>
          <w:lang w:eastAsia="zh-CN"/>
        </w:rPr>
        <w:t>%，其中：</w:t>
      </w:r>
    </w:p>
    <w:p w14:paraId="148BA047">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公务用车购置费支出预算为0万元，支出决算为</w:t>
      </w:r>
      <w:r>
        <w:rPr>
          <w:rFonts w:hint="eastAsia" w:ascii="Times New Roman" w:hAnsi="Times New Roman" w:eastAsia="仿宋_GB2312"/>
          <w:sz w:val="32"/>
          <w:szCs w:val="32"/>
          <w:lang w:val="en-US" w:eastAsia="zh-CN"/>
        </w:rPr>
        <w:t>0万元，完成预算的0%；</w:t>
      </w:r>
    </w:p>
    <w:p w14:paraId="32832335">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公务用车运行维护费支出预算为</w:t>
      </w:r>
      <w:r>
        <w:rPr>
          <w:rFonts w:hint="eastAsia" w:ascii="Times New Roman" w:hAnsi="Times New Roman" w:eastAsia="仿宋_GB2312"/>
          <w:sz w:val="32"/>
          <w:szCs w:val="32"/>
          <w:lang w:val="en-US" w:eastAsia="zh-CN"/>
        </w:rPr>
        <w:t>26.82万元，支出决算为26.82</w:t>
      </w:r>
      <w:r>
        <w:rPr>
          <w:rFonts w:hint="eastAsia" w:ascii="Times New Roman" w:hAnsi="Times New Roman" w:eastAsia="仿宋_GB2312"/>
          <w:sz w:val="32"/>
          <w:szCs w:val="32"/>
          <w:lang w:eastAsia="zh-CN"/>
        </w:rPr>
        <w:t>万元，主要是车辆油料费和维修费支出，完成预算的</w:t>
      </w:r>
      <w:r>
        <w:rPr>
          <w:rFonts w:hint="eastAsia" w:ascii="Times New Roman" w:hAnsi="Times New Roman" w:eastAsia="仿宋_GB2312"/>
          <w:sz w:val="32"/>
          <w:szCs w:val="32"/>
          <w:lang w:val="en-US" w:eastAsia="zh-CN"/>
        </w:rPr>
        <w:t>100%；与上年相比增加2.15万元，增长8.72%。决算数大于上年数的主要原因是阶段性</w:t>
      </w:r>
      <w:r>
        <w:rPr>
          <w:rFonts w:hint="eastAsia" w:ascii="Times New Roman" w:hAnsi="Times New Roman" w:eastAsia="仿宋_GB2312"/>
          <w:sz w:val="32"/>
          <w:szCs w:val="32"/>
          <w:lang w:eastAsia="zh-CN"/>
        </w:rPr>
        <w:t>燃油价格上涨、上门催缴逾期贷款次数增多。截至2024年12月31日，我单位开支财政拨款的公务用车保有量为11辆。</w:t>
      </w:r>
    </w:p>
    <w:p w14:paraId="4087DEE9">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、公务接待费支出预算为</w:t>
      </w:r>
      <w:r>
        <w:rPr>
          <w:rFonts w:hint="eastAsia" w:ascii="Times New Roman" w:hAnsi="Times New Roman" w:eastAsia="仿宋_GB2312"/>
          <w:sz w:val="32"/>
          <w:szCs w:val="32"/>
          <w:lang w:val="en-US" w:eastAsia="zh-CN"/>
        </w:rPr>
        <w:t>0.80万元，支出</w:t>
      </w:r>
      <w:r>
        <w:rPr>
          <w:rFonts w:hint="eastAsia" w:ascii="Times New Roman" w:hAnsi="Times New Roman" w:eastAsia="仿宋_GB2312"/>
          <w:sz w:val="32"/>
          <w:szCs w:val="32"/>
          <w:lang w:eastAsia="zh-CN"/>
        </w:rPr>
        <w:t>决算为0.</w:t>
      </w:r>
      <w:r>
        <w:rPr>
          <w:rFonts w:hint="eastAsia" w:ascii="Times New Roman" w:hAnsi="Times New Roman" w:eastAsia="仿宋_GB2312"/>
          <w:sz w:val="32"/>
          <w:szCs w:val="32"/>
          <w:lang w:val="en-US" w:eastAsia="zh-CN"/>
        </w:rPr>
        <w:t>79</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98.75%；与上年相比增加0.19万元，增长31.67%。决算数小于预算数的主要原因是</w:t>
      </w:r>
      <w:r>
        <w:rPr>
          <w:rFonts w:hint="eastAsia" w:ascii="Times New Roman" w:hAnsi="Times New Roman" w:eastAsia="仿宋_GB2312"/>
          <w:sz w:val="32"/>
          <w:szCs w:val="32"/>
          <w:lang w:eastAsia="zh-CN"/>
        </w:rPr>
        <w:t>严格预算约束，落实过“紧日子”要求。决算数大于上年数的主要原因是为了加强行业交流与合作，接待了更多上级部门调研以及兄弟单位学习交流。全年共接待来访团组</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个、来宾</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lang w:eastAsia="zh-CN"/>
        </w:rPr>
        <w:t>人次，主要是兄弟单位交流学习发生的接待支出。</w:t>
      </w:r>
    </w:p>
    <w:p w14:paraId="2C59E8D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7A8C279">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2024年度本单位无政府性基金收支。</w:t>
      </w:r>
    </w:p>
    <w:p w14:paraId="17E1E061">
      <w:pPr>
        <w:pStyle w:val="14"/>
        <w:overflowPunct w:val="0"/>
        <w:autoSpaceDE/>
        <w:autoSpaceDN/>
        <w:spacing w:line="600" w:lineRule="exact"/>
        <w:ind w:firstLine="640" w:firstLineChars="200"/>
        <w:jc w:val="both"/>
        <w:rPr>
          <w:rFonts w:hint="eastAsia" w:ascii="Times New Roman" w:hAnsi="Times New Roman" w:cs="Times New Roman"/>
          <w:bCs/>
          <w:sz w:val="32"/>
          <w:szCs w:val="32"/>
        </w:rPr>
      </w:pPr>
      <w:r>
        <w:rPr>
          <w:rFonts w:hint="eastAsia" w:ascii="Times New Roman" w:hAnsi="Times New Roman" w:cs="Times New Roman"/>
          <w:bCs/>
          <w:sz w:val="32"/>
          <w:szCs w:val="32"/>
        </w:rPr>
        <w:t>九、国有资本经营预算收入支出决算情况说明</w:t>
      </w:r>
    </w:p>
    <w:p w14:paraId="61033868">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2024年度本单位无国有资本经营预算收支。</w:t>
      </w:r>
    </w:p>
    <w:p w14:paraId="40CC378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26F955A9">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 xml:space="preserve">机关运行经费是为保障行政单位（包括参照公务员法管理的事业单位）运行，用一般公共预算拨款安排用于购买货物和服务的各项资金。我单位为自收自支事业单位，用于购买货物和服务的各项资金不属于机关运行经费。 </w:t>
      </w:r>
    </w:p>
    <w:p w14:paraId="0462820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650B9B23">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本部门开支会议费1.14万元：1、用于召开学习贯彻习近平新时代中国特色社会主义思想主题教育动员暨工会换届选举会议，人数84人，会议开支0.14万元；2、用于召开中心党委书记宣讲记录暨2023年优化营商环境“清风行动”工作推进会议，人数25人，会议开支0.08万元；3、用于召开关于举行廉政专题党课、警示教育，人数37人，会议开支0.22万元；4、用于召开业务工作调度分析暨创建清廉机关推进会议，人数27人，会议开支0.13万元；5、用于召开2024年度管理工作务虚会等会议，人数32人，会议开支0.25万元；6、用于召开中心党支部书记述职评议，人数34人，会议开支0.11万元；7、用于召开1季度住房公积金业务运行分析暨各部门工作调度会议费用，人数28人，会议开支0.07万元；8、用于召开党委书记讲授廉政党课暨党委理论学习中心组（扩大）学习活动会议，人数32人，会议开支0.03万元；9、用于召开市委六届八次全会精神、中层管理岗位人选民主推荐暨业务调度会议，人数46人，会议开支0.07万元；10、用于召开七八级管理岗位人选民主推荐暨中心第六次党委会会议用餐，人数31人，会议开支0.04万元。</w:t>
      </w:r>
    </w:p>
    <w:p w14:paraId="698A9DAD">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开支培训费4.07万元：1、用于会计继续教育培训，人数8人，培训开支0.06万元；2、用于业务培训，一是参加行政执法培训，人数14人，培训开支0.11万元，二是参加提升业务培训，人数16人次，培训开支1.90万元，三是用于入党积极分子和新进人员培训，人数24人，培训开支0.43万元，四是参加通讯员培训，人数2人，培训开支0.28万元，五是参加长沙内部审计资格证培训，人数3人，培训开支0.97万元；3、用于学习宣传贯彻党的二十大精神全员培训及党建、工青妇活动培训，人数38人，培训开支0.32万元。</w:t>
      </w:r>
    </w:p>
    <w:p w14:paraId="69AF42C9">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本年没有举办节庆、晚会、论坛、赛事活动。</w:t>
      </w:r>
    </w:p>
    <w:p w14:paraId="6D5A92D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1B672F90">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hint="eastAsia" w:ascii="Times New Roman" w:hAnsi="Times New Roman" w:eastAsia="仿宋_GB2312"/>
          <w:sz w:val="32"/>
          <w:szCs w:val="32"/>
          <w:lang w:val="en-US" w:eastAsia="zh-CN"/>
        </w:rPr>
        <w:t>本部门2024年度政府采购支出总额807.95万元，其中：政府采购货物支出58.03万元、政府采购工程支出53.34万元、政府采购服务支出696.58万元。授予中小企业合同金额596.10万元，占政府采购支出总额的73.78%，其中：授予小微企业合同金额353.08万元，占授予中小企业合同金额的59.23%。货物采购授予中小企业合同金额占货物支出金额的100%，工程采购授予中小企业合同金额占工程支出金额的100%，服务采购授予中小企业合同金额占服务支出金额的69.59%。</w:t>
      </w:r>
      <w:r>
        <w:rPr>
          <w:rFonts w:ascii="Times New Roman" w:hAnsi="Times New Roman" w:eastAsia="楷体_GB2312" w:cs="Times New Roman"/>
          <w:b/>
          <w:bCs/>
          <w:i w:val="0"/>
          <w:iCs/>
          <w:color w:val="auto"/>
          <w:sz w:val="32"/>
          <w:szCs w:val="32"/>
        </w:rPr>
        <w:t>（政府采购金额的计算口径为：本部门纳入2024年度部门预算范围的各项政府采购支出金额之和，不包括涉密采购项目的支出金额）</w:t>
      </w:r>
    </w:p>
    <w:p w14:paraId="588DAA2B">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0AA59AC3">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截至2024年12月31日，部门（单位）共有车辆11辆，其中，副部（省）级及以上领导用车0辆、主要负责人用车0辆、机要通信用车0辆、应急保障用车0辆、执法执勤用车0辆、特种专业技术用车0辆、离退休干部服务用车0辆、其他用车11辆，其他用车主要是中心机关及管理部保留的11台公车，用于保障机要通信、应急和业务工作；单位价值100万元以上设备（不含车辆）0台（套）。</w:t>
      </w:r>
    </w:p>
    <w:p w14:paraId="6F914488">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315139F">
      <w:pPr>
        <w:overflowPunct w:val="0"/>
        <w:spacing w:line="600" w:lineRule="exact"/>
        <w:ind w:firstLine="643" w:firstLineChars="200"/>
        <w:rPr>
          <w:rFonts w:hint="default" w:ascii="Times New Roman" w:hAnsi="Times New Roman" w:eastAsia="仿宋_GB2312" w:cs="Times New Roman"/>
          <w:b/>
          <w:bCs/>
          <w:sz w:val="32"/>
          <w:szCs w:val="32"/>
        </w:rPr>
      </w:pPr>
      <w:r>
        <w:rPr>
          <w:rFonts w:ascii="Times New Roman" w:hAnsi="Times New Roman" w:eastAsia="楷体_GB2312" w:cs="Times New Roman"/>
          <w:b/>
          <w:bCs/>
          <w:sz w:val="32"/>
          <w:szCs w:val="32"/>
        </w:rPr>
        <w:t>（一）绩效评价工作开展情况。</w:t>
      </w:r>
      <w:r>
        <w:rPr>
          <w:rFonts w:hint="default" w:ascii="Times New Roman" w:hAnsi="Times New Roman" w:eastAsia="仿宋_GB2312" w:cs="Times New Roman"/>
          <w:b/>
          <w:bCs/>
          <w:kern w:val="0"/>
          <w:sz w:val="32"/>
          <w:szCs w:val="32"/>
        </w:rPr>
        <w:t>一是绩效自评开展情况。</w:t>
      </w:r>
      <w:r>
        <w:rPr>
          <w:rFonts w:hint="default" w:ascii="Times New Roman" w:hAnsi="Times New Roman" w:eastAsia="仿宋_GB2312" w:cs="Times New Roman"/>
          <w:kern w:val="0"/>
          <w:sz w:val="32"/>
          <w:szCs w:val="32"/>
        </w:rPr>
        <w:t>组织对2024年度本部门（单位）整体支出开展绩效自评，涉及项目</w:t>
      </w:r>
      <w:r>
        <w:rPr>
          <w:rFonts w:hint="default" w:ascii="Times New Roman" w:hAnsi="Times New Roman" w:eastAsia="仿宋_GB2312" w:cs="Times New Roman"/>
          <w:kern w:val="0"/>
          <w:sz w:val="32"/>
          <w:szCs w:val="32"/>
          <w:lang w:val="en-US" w:eastAsia="zh-CN"/>
        </w:rPr>
        <w:t>28</w:t>
      </w:r>
      <w:r>
        <w:rPr>
          <w:rFonts w:hint="default" w:ascii="Times New Roman" w:hAnsi="Times New Roman" w:eastAsia="仿宋_GB2312" w:cs="Times New Roman"/>
          <w:kern w:val="0"/>
          <w:sz w:val="32"/>
          <w:szCs w:val="32"/>
        </w:rPr>
        <w:t>个，共涉及资金</w:t>
      </w:r>
      <w:r>
        <w:rPr>
          <w:rFonts w:hint="default" w:ascii="Times New Roman" w:hAnsi="Times New Roman" w:eastAsia="仿宋_GB2312" w:cs="Times New Roman"/>
          <w:kern w:val="0"/>
          <w:sz w:val="32"/>
          <w:szCs w:val="32"/>
          <w:lang w:val="en-US" w:eastAsia="zh-CN"/>
        </w:rPr>
        <w:t>1085.48</w:t>
      </w:r>
      <w:r>
        <w:rPr>
          <w:rFonts w:hint="default" w:ascii="Times New Roman" w:hAnsi="Times New Roman" w:eastAsia="仿宋_GB2312" w:cs="Times New Roman"/>
          <w:kern w:val="0"/>
          <w:sz w:val="32"/>
          <w:szCs w:val="32"/>
        </w:rPr>
        <w:t>万元。其中，一般公共预算项目</w:t>
      </w:r>
      <w:r>
        <w:rPr>
          <w:rFonts w:hint="default" w:ascii="Times New Roman" w:hAnsi="Times New Roman" w:eastAsia="仿宋_GB2312" w:cs="Times New Roman"/>
          <w:kern w:val="0"/>
          <w:sz w:val="32"/>
          <w:szCs w:val="32"/>
          <w:lang w:val="en-US" w:eastAsia="zh-CN"/>
        </w:rPr>
        <w:t>28</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US" w:eastAsia="zh-CN"/>
        </w:rPr>
        <w:t>1085.48</w:t>
      </w:r>
      <w:r>
        <w:rPr>
          <w:rFonts w:hint="default" w:ascii="Times New Roman" w:hAnsi="Times New Roman" w:eastAsia="仿宋_GB2312" w:cs="Times New Roman"/>
          <w:kern w:val="0"/>
          <w:sz w:val="32"/>
          <w:szCs w:val="32"/>
        </w:rPr>
        <w:t>万元，占一般公共预算支出总额的</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%；政府性基金预算项目</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万元，占政府性基金预算支出总额的</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%；国有资本经营预算项目</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万元，占国有资本经营预算支出总额的</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%；社会保险基金预算项目</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万元，占社会保险基金预算支出总额的</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bCs/>
          <w:kern w:val="0"/>
          <w:sz w:val="32"/>
          <w:szCs w:val="32"/>
        </w:rPr>
        <w:t>二是部门评价开展情况（如有，一级预算部门填写）。</w:t>
      </w:r>
      <w:r>
        <w:rPr>
          <w:rFonts w:hint="default" w:ascii="Times New Roman" w:hAnsi="Times New Roman" w:eastAsia="仿宋_GB2312" w:cs="Times New Roman"/>
          <w:kern w:val="0"/>
          <w:sz w:val="32"/>
          <w:szCs w:val="32"/>
        </w:rPr>
        <w:t>组织对所属单位2024年度“</w:t>
      </w:r>
      <w:r>
        <w:rPr>
          <w:rFonts w:hint="default" w:ascii="Times New Roman" w:hAnsi="Times New Roman" w:eastAsia="仿宋_GB2312" w:cs="Times New Roman"/>
          <w:sz w:val="32"/>
          <w:szCs w:val="32"/>
        </w:rPr>
        <w:t>劳务人员工资/奖金/五险一金</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中心及14个管理部物业管理费</w:t>
      </w:r>
      <w:r>
        <w:rPr>
          <w:rFonts w:hint="default" w:ascii="Times New Roman" w:hAnsi="Times New Roman" w:eastAsia="仿宋_GB2312" w:cs="Times New Roman"/>
          <w:kern w:val="0"/>
          <w:sz w:val="32"/>
          <w:szCs w:val="32"/>
        </w:rPr>
        <w:t>”等</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kern w:val="0"/>
          <w:sz w:val="32"/>
          <w:szCs w:val="32"/>
        </w:rPr>
        <w:t>个项目开展了部门评价，涉及一般公共预算支出</w:t>
      </w:r>
      <w:r>
        <w:rPr>
          <w:rFonts w:hint="default" w:ascii="Times New Roman" w:hAnsi="Times New Roman" w:eastAsia="仿宋_GB2312" w:cs="Times New Roman"/>
          <w:sz w:val="32"/>
          <w:szCs w:val="32"/>
          <w:lang w:val="en-US" w:eastAsia="zh-CN"/>
        </w:rPr>
        <w:t>1085.48</w:t>
      </w:r>
      <w:r>
        <w:rPr>
          <w:rFonts w:hint="default" w:ascii="Times New Roman" w:hAnsi="Times New Roman" w:eastAsia="仿宋_GB2312" w:cs="Times New Roman"/>
          <w:kern w:val="0"/>
          <w:sz w:val="32"/>
          <w:szCs w:val="32"/>
        </w:rPr>
        <w:t>万元，政府性基金预算支出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kern w:val="0"/>
          <w:sz w:val="32"/>
          <w:szCs w:val="32"/>
        </w:rPr>
        <w:t>万元，国有资本经营预算支出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kern w:val="0"/>
          <w:sz w:val="32"/>
          <w:szCs w:val="32"/>
        </w:rPr>
        <w:t>万元，社会保险基金预算支出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kern w:val="0"/>
          <w:sz w:val="32"/>
          <w:szCs w:val="32"/>
        </w:rPr>
        <w:t>万元。</w:t>
      </w:r>
    </w:p>
    <w:p w14:paraId="59D9164A">
      <w:pPr>
        <w:pStyle w:val="20"/>
        <w:topLinePunct/>
        <w:autoSpaceDE w:val="0"/>
        <w:spacing w:line="580" w:lineRule="exact"/>
        <w:ind w:firstLine="643" w:firstLineChars="200"/>
        <w:rPr>
          <w:rFonts w:hint="default" w:ascii="Times New Roman" w:hAnsi="Times New Roman" w:eastAsia="仿宋_GB2312" w:cs="Times New Roman"/>
          <w:sz w:val="32"/>
          <w:szCs w:val="32"/>
          <w:lang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hint="default" w:ascii="Times New Roman" w:hAnsi="Times New Roman" w:eastAsia="仿宋_GB2312" w:cs="Times New Roman"/>
          <w:kern w:val="0"/>
          <w:sz w:val="32"/>
          <w:szCs w:val="32"/>
        </w:rPr>
        <w:t>2024年度本单位整体支出</w:t>
      </w:r>
      <w:r>
        <w:rPr>
          <w:rFonts w:hint="default" w:ascii="Times New Roman" w:hAnsi="Times New Roman" w:eastAsia="仿宋_GB2312" w:cs="Times New Roman"/>
          <w:sz w:val="32"/>
          <w:szCs w:val="32"/>
        </w:rPr>
        <w:t>全年预算数</w:t>
      </w:r>
      <w:r>
        <w:rPr>
          <w:rFonts w:hint="default"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lang w:val="en-US" w:eastAsia="zh-CN"/>
        </w:rPr>
        <w:t>3346.35</w:t>
      </w:r>
      <w:r>
        <w:rPr>
          <w:rFonts w:hint="default" w:ascii="Times New Roman" w:hAnsi="Times New Roman" w:eastAsia="仿宋_GB2312" w:cs="Times New Roman"/>
          <w:sz w:val="32"/>
          <w:szCs w:val="32"/>
        </w:rPr>
        <w:t>万元，根据工作实际开展需要，经住房公积金管委会主任办公会议审议后，</w:t>
      </w:r>
      <w:r>
        <w:rPr>
          <w:rFonts w:hint="default" w:ascii="Times New Roman" w:hAnsi="Times New Roman" w:eastAsia="仿宋_GB2312" w:cs="Times New Roman"/>
          <w:sz w:val="32"/>
          <w:szCs w:val="32"/>
          <w:lang w:eastAsia="zh-CN"/>
        </w:rPr>
        <w:t>调整预算安排</w:t>
      </w:r>
      <w:r>
        <w:rPr>
          <w:rFonts w:hint="default" w:ascii="Times New Roman" w:hAnsi="Times New Roman" w:eastAsia="仿宋_GB2312" w:cs="Times New Roman"/>
          <w:sz w:val="32"/>
          <w:szCs w:val="32"/>
          <w:lang w:val="en-US" w:eastAsia="zh-CN"/>
        </w:rPr>
        <w:t>2900.71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执行数</w:t>
      </w:r>
      <w:r>
        <w:rPr>
          <w:rFonts w:hint="default" w:ascii="Times New Roman" w:hAnsi="Times New Roman" w:eastAsia="仿宋_GB2312" w:cs="Times New Roman"/>
          <w:sz w:val="32"/>
          <w:szCs w:val="32"/>
          <w:lang w:val="en-US" w:eastAsia="zh-CN"/>
        </w:rPr>
        <w:t>2829.40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97.54</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，绩效自评得分</w:t>
      </w:r>
      <w:r>
        <w:rPr>
          <w:rFonts w:hint="default" w:ascii="Times New Roman" w:hAnsi="Times New Roman" w:eastAsia="仿宋_GB2312" w:cs="Times New Roman"/>
          <w:sz w:val="32"/>
          <w:szCs w:val="32"/>
          <w:lang w:val="en-US" w:eastAsia="zh-CN"/>
        </w:rPr>
        <w:t>99.7</w:t>
      </w:r>
      <w:r>
        <w:rPr>
          <w:rFonts w:hint="default" w:ascii="Times New Roman" w:hAnsi="Times New Roman" w:eastAsia="仿宋_GB2312" w:cs="Times New Roman"/>
          <w:sz w:val="32"/>
          <w:szCs w:val="32"/>
        </w:rPr>
        <w:t>分</w:t>
      </w:r>
      <w:r>
        <w:rPr>
          <w:rFonts w:hint="default" w:ascii="Times New Roman" w:hAnsi="Times New Roman" w:eastAsia="仿宋_GB2312" w:cs="Times New Roman"/>
          <w:kern w:val="0"/>
          <w:sz w:val="32"/>
          <w:szCs w:val="32"/>
        </w:rPr>
        <w:t>，评价等级为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优秀</w:t>
      </w:r>
      <w:r>
        <w:rPr>
          <w:rFonts w:hint="default" w:ascii="Times New Roman" w:hAnsi="Times New Roman" w:eastAsia="仿宋_GB2312" w:cs="Times New Roman"/>
          <w:sz w:val="32"/>
          <w:szCs w:val="32"/>
        </w:rPr>
        <w:t>”。绩效目标完成情况：</w:t>
      </w: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住房公积金归集43.45亿元，同比增长4.55%，完成全年计划的98.63%，累计缴存总额394.51亿元，缴存余额163.26亿元；</w:t>
      </w: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发放个人住房贷款2619笔共9.92亿元，同比分别下降31.13%、33.95%，完成全年计划的97.30%，个贷率为72.51%，累计为10.55万户干部职工发放贷款243.29亿元，累计贷款余额118.38亿元；</w:t>
      </w:r>
      <w:r>
        <w:rPr>
          <w:rFonts w:hint="default" w:ascii="Times New Roman" w:hAnsi="Times New Roman" w:eastAsia="仿宋_GB2312" w:cs="Times New Roman"/>
          <w:sz w:val="32"/>
          <w:szCs w:val="32"/>
          <w:lang w:eastAsia="zh-CN"/>
        </w:rPr>
        <w:t>三是</w:t>
      </w:r>
      <w:r>
        <w:rPr>
          <w:rFonts w:hint="default" w:ascii="Times New Roman" w:hAnsi="Times New Roman" w:eastAsia="仿宋_GB2312" w:cs="Times New Roman"/>
          <w:sz w:val="32"/>
          <w:szCs w:val="32"/>
        </w:rPr>
        <w:t>完成增值收益2.62亿元，同比增长2.39%。完成年度计划的102.27%，上缴市财政资金营运纯利润2.42亿元，累计上缴市财政资金营运纯利润17.05亿元；</w:t>
      </w:r>
      <w:r>
        <w:rPr>
          <w:rFonts w:hint="default" w:ascii="Times New Roman" w:hAnsi="Times New Roman" w:eastAsia="仿宋_GB2312" w:cs="Times New Roman"/>
          <w:sz w:val="32"/>
          <w:szCs w:val="32"/>
          <w:lang w:eastAsia="zh-CN"/>
        </w:rPr>
        <w:t>四是</w:t>
      </w:r>
      <w:r>
        <w:rPr>
          <w:rFonts w:hint="default" w:ascii="Times New Roman" w:hAnsi="Times New Roman" w:eastAsia="仿宋_GB2312" w:cs="Times New Roman"/>
          <w:sz w:val="32"/>
          <w:szCs w:val="32"/>
        </w:rPr>
        <w:t>全市住房公积金个贷逾期总额为355.34万元，逾期率为0.03%，同比分别增长了38.95%、0.0091个百分点，个贷风险准备金累计余额达2.37亿元，个人住房贷款逾期额与个人贷款风险准备金余额的比率为1.5%，整体资产优良。</w:t>
      </w:r>
      <w:r>
        <w:rPr>
          <w:rFonts w:hint="default" w:ascii="Times New Roman" w:hAnsi="Times New Roman" w:eastAsia="仿宋_GB2312" w:cs="Times New Roman"/>
          <w:sz w:val="32"/>
          <w:szCs w:val="32"/>
          <w:lang w:eastAsia="zh-CN"/>
        </w:rPr>
        <w:t>发现的主要问题及原因：缴存额和发放住房公积金个人贷款额不及预期，主要原因一是受经济下行影响，非公单位缴存额增长放缓；二是房地产市场疲软，住房销售额同比减少，发放住房公积金个人贷款相应减少。下一步改进措施：一是扩大制度覆盖面，大力推进灵活就业人员缴存；二是利用新媒体、官方网站、服务窗口等多种渠道，以通俗易懂的方式宣传公积金贷款的政策优势、申请条件和流程；三是进一步优化政策，降低贷款门槛。</w:t>
      </w:r>
    </w:p>
    <w:p w14:paraId="7A2CB7BC">
      <w:pPr>
        <w:pStyle w:val="20"/>
        <w:topLinePunct/>
        <w:autoSpaceDE w:val="0"/>
        <w:spacing w:line="580" w:lineRule="exact"/>
        <w:ind w:firstLine="643" w:firstLineChars="200"/>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“短信费用”项目。年初预算</w:t>
      </w:r>
      <w:r>
        <w:rPr>
          <w:rFonts w:hint="default" w:ascii="Times New Roman" w:hAnsi="Times New Roman" w:eastAsia="仿宋_GB2312" w:cs="Times New Roman"/>
          <w:kern w:val="0"/>
          <w:sz w:val="32"/>
          <w:szCs w:val="32"/>
          <w:highlight w:val="none"/>
          <w:lang w:eastAsia="zh-CN"/>
        </w:rPr>
        <w:t>数</w:t>
      </w:r>
      <w:r>
        <w:rPr>
          <w:rFonts w:hint="default" w:ascii="Times New Roman" w:hAnsi="Times New Roman" w:eastAsia="仿宋_GB2312" w:cs="Times New Roman"/>
          <w:kern w:val="0"/>
          <w:sz w:val="32"/>
          <w:szCs w:val="32"/>
          <w:highlight w:val="none"/>
        </w:rPr>
        <w:t>80万元，调整</w:t>
      </w:r>
      <w:r>
        <w:rPr>
          <w:rFonts w:hint="eastAsia" w:ascii="Times New Roman" w:hAnsi="Times New Roman" w:eastAsia="仿宋_GB2312" w:cs="Times New Roman"/>
          <w:kern w:val="0"/>
          <w:sz w:val="32"/>
          <w:szCs w:val="32"/>
          <w:highlight w:val="none"/>
          <w:lang w:val="en-US" w:eastAsia="zh-CN"/>
        </w:rPr>
        <w:t>后全年</w:t>
      </w:r>
      <w:r>
        <w:rPr>
          <w:rFonts w:hint="default" w:ascii="Times New Roman" w:hAnsi="Times New Roman" w:eastAsia="仿宋_GB2312" w:cs="Times New Roman"/>
          <w:kern w:val="0"/>
          <w:sz w:val="32"/>
          <w:szCs w:val="32"/>
          <w:highlight w:val="none"/>
          <w:lang w:eastAsia="zh-CN"/>
        </w:rPr>
        <w:t>预算数</w:t>
      </w:r>
      <w:r>
        <w:rPr>
          <w:rFonts w:hint="default" w:ascii="Times New Roman" w:hAnsi="Times New Roman" w:eastAsia="仿宋_GB2312" w:cs="Times New Roman"/>
          <w:kern w:val="0"/>
          <w:sz w:val="32"/>
          <w:szCs w:val="32"/>
          <w:highlight w:val="none"/>
        </w:rPr>
        <w:t>49万元，</w:t>
      </w:r>
      <w:r>
        <w:rPr>
          <w:rFonts w:hint="default" w:ascii="Times New Roman" w:hAnsi="Times New Roman" w:eastAsia="仿宋_GB2312" w:cs="Times New Roman"/>
          <w:kern w:val="0"/>
          <w:sz w:val="32"/>
          <w:szCs w:val="32"/>
          <w:highlight w:val="none"/>
          <w:lang w:eastAsia="zh-CN"/>
        </w:rPr>
        <w:t>执行数</w:t>
      </w:r>
      <w:r>
        <w:rPr>
          <w:rFonts w:hint="default" w:ascii="Times New Roman" w:hAnsi="Times New Roman" w:eastAsia="仿宋_GB2312" w:cs="Times New Roman"/>
          <w:kern w:val="0"/>
          <w:sz w:val="32"/>
          <w:szCs w:val="32"/>
          <w:highlight w:val="none"/>
        </w:rPr>
        <w:t>44.74万元，</w:t>
      </w:r>
      <w:r>
        <w:rPr>
          <w:rFonts w:hint="default" w:ascii="Times New Roman" w:hAnsi="Times New Roman" w:eastAsia="仿宋_GB2312" w:cs="Times New Roman"/>
          <w:kern w:val="0"/>
          <w:sz w:val="32"/>
          <w:szCs w:val="32"/>
          <w:highlight w:val="none"/>
          <w:lang w:eastAsia="zh-CN"/>
        </w:rPr>
        <w:t>完成预算的</w:t>
      </w:r>
      <w:r>
        <w:rPr>
          <w:rFonts w:hint="default" w:ascii="Times New Roman" w:hAnsi="Times New Roman" w:eastAsia="仿宋_GB2312" w:cs="Times New Roman"/>
          <w:kern w:val="0"/>
          <w:sz w:val="32"/>
          <w:szCs w:val="32"/>
          <w:highlight w:val="none"/>
        </w:rPr>
        <w:t>91.31%。</w:t>
      </w:r>
      <w:r>
        <w:rPr>
          <w:rFonts w:hint="default" w:ascii="Times New Roman" w:hAnsi="Times New Roman" w:eastAsia="仿宋_GB2312" w:cs="Times New Roman"/>
          <w:kern w:val="0"/>
          <w:sz w:val="32"/>
          <w:szCs w:val="32"/>
          <w:highlight w:val="none"/>
          <w:lang w:eastAsia="zh-CN"/>
        </w:rPr>
        <w:t>部门评价得分</w:t>
      </w:r>
      <w:r>
        <w:rPr>
          <w:rFonts w:hint="default" w:ascii="Times New Roman" w:hAnsi="Times New Roman" w:eastAsia="仿宋_GB2312" w:cs="Times New Roman"/>
          <w:kern w:val="0"/>
          <w:sz w:val="32"/>
          <w:szCs w:val="32"/>
          <w:highlight w:val="none"/>
          <w:lang w:val="en-US" w:eastAsia="zh-CN"/>
        </w:rPr>
        <w:t>97.3分，评价等级为“优秀”。</w:t>
      </w:r>
    </w:p>
    <w:p w14:paraId="713E46C6">
      <w:pPr>
        <w:pStyle w:val="20"/>
        <w:topLinePunct/>
        <w:autoSpaceDE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“手机公积金APP及微信公众号渠道改造”项目。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49.46万元，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49.25万元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99.59%。</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99.85分，评价等级为“优秀”。</w:t>
      </w:r>
    </w:p>
    <w:p w14:paraId="1C7A183D">
      <w:pPr>
        <w:pStyle w:val="20"/>
        <w:topLinePunct/>
        <w:autoSpaceDE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“政务一件事一次办对接”项目。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11.62万元，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11.62万元，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0FF7B8A5">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“住建部征信共享总对总接入”项目。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1.94万元，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1.94万元，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4995488C">
      <w:pPr>
        <w:pStyle w:val="20"/>
        <w:topLinePunct/>
        <w:autoSpaceDE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“前端适配”项目。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33.71万元，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33.71万元，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99.7分，评价等级为“优秀”。</w:t>
      </w:r>
    </w:p>
    <w:p w14:paraId="1DEE53AE">
      <w:pPr>
        <w:pStyle w:val="20"/>
        <w:topLinePunct/>
        <w:autoSpaceDE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“电子化检测工具维护费”项目。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4.6</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4.6</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642628DD">
      <w:pPr>
        <w:pStyle w:val="20"/>
        <w:topLinePunct/>
        <w:autoSpaceDE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“业务系统升级和运维费”项目。年初预算</w:t>
      </w:r>
      <w:r>
        <w:rPr>
          <w:rFonts w:hint="default" w:ascii="Times New Roman" w:hAnsi="Times New Roman" w:eastAsia="仿宋_GB2312" w:cs="Times New Roman"/>
          <w:kern w:val="0"/>
          <w:sz w:val="32"/>
          <w:szCs w:val="32"/>
          <w:highlight w:val="none"/>
          <w:lang w:eastAsia="zh-CN"/>
        </w:rPr>
        <w:t>数</w:t>
      </w:r>
      <w:r>
        <w:rPr>
          <w:rFonts w:hint="default" w:ascii="Times New Roman" w:hAnsi="Times New Roman" w:eastAsia="仿宋_GB2312" w:cs="Times New Roman"/>
          <w:kern w:val="0"/>
          <w:sz w:val="32"/>
          <w:szCs w:val="32"/>
        </w:rPr>
        <w:t>90万元，</w:t>
      </w:r>
      <w:r>
        <w:rPr>
          <w:rFonts w:hint="default" w:ascii="Times New Roman" w:hAnsi="Times New Roman" w:eastAsia="仿宋_GB2312" w:cs="Times New Roman"/>
          <w:kern w:val="0"/>
          <w:sz w:val="32"/>
          <w:szCs w:val="32"/>
          <w:highlight w:val="none"/>
        </w:rPr>
        <w:t>调整</w:t>
      </w:r>
      <w:r>
        <w:rPr>
          <w:rFonts w:hint="eastAsia" w:ascii="Times New Roman" w:hAnsi="Times New Roman" w:eastAsia="仿宋_GB2312" w:cs="Times New Roman"/>
          <w:kern w:val="0"/>
          <w:sz w:val="32"/>
          <w:szCs w:val="32"/>
          <w:highlight w:val="none"/>
          <w:lang w:val="en-US" w:eastAsia="zh-CN"/>
        </w:rPr>
        <w:t>后全年</w:t>
      </w:r>
      <w:r>
        <w:rPr>
          <w:rFonts w:hint="default" w:ascii="Times New Roman" w:hAnsi="Times New Roman" w:eastAsia="仿宋_GB2312" w:cs="Times New Roman"/>
          <w:kern w:val="0"/>
          <w:sz w:val="32"/>
          <w:szCs w:val="32"/>
          <w:highlight w:val="none"/>
          <w:lang w:eastAsia="zh-CN"/>
        </w:rPr>
        <w:t>预算数</w:t>
      </w:r>
      <w:r>
        <w:rPr>
          <w:rFonts w:hint="default" w:ascii="Times New Roman" w:hAnsi="Times New Roman" w:eastAsia="仿宋_GB2312" w:cs="Times New Roman"/>
          <w:kern w:val="0"/>
          <w:sz w:val="32"/>
          <w:szCs w:val="32"/>
        </w:rPr>
        <w:t>37.21万元，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37.21万元，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发现的主要问题及原因：预算调整金额较高，主要原因是项目计划不完善，缺乏明确的付款进度安排，在预算编制时不够精准。下一步改进措施：充分对项目进行调研，完善项目计划和付款进度安排，精准编制预算。</w:t>
      </w:r>
    </w:p>
    <w:p w14:paraId="4803A085">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“不动产联网系统年度服务费用”项目。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9万元，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9万元，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6E78F5E5">
      <w:pPr>
        <w:pStyle w:val="20"/>
        <w:topLinePunct/>
        <w:autoSpaceDE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“业务线路费”项目。年初预算</w:t>
      </w:r>
      <w:r>
        <w:rPr>
          <w:rFonts w:hint="default" w:ascii="Times New Roman" w:hAnsi="Times New Roman" w:eastAsia="仿宋_GB2312" w:cs="Times New Roman"/>
          <w:kern w:val="0"/>
          <w:sz w:val="32"/>
          <w:szCs w:val="32"/>
          <w:highlight w:val="none"/>
          <w:lang w:eastAsia="zh-CN"/>
        </w:rPr>
        <w:t>数</w:t>
      </w:r>
      <w:r>
        <w:rPr>
          <w:rFonts w:hint="default" w:ascii="Times New Roman" w:hAnsi="Times New Roman" w:eastAsia="仿宋_GB2312" w:cs="Times New Roman"/>
          <w:kern w:val="0"/>
          <w:sz w:val="32"/>
          <w:szCs w:val="32"/>
        </w:rPr>
        <w:t>56.58万元，</w:t>
      </w:r>
      <w:r>
        <w:rPr>
          <w:rFonts w:hint="default" w:ascii="Times New Roman" w:hAnsi="Times New Roman" w:eastAsia="仿宋_GB2312" w:cs="Times New Roman"/>
          <w:kern w:val="0"/>
          <w:sz w:val="32"/>
          <w:szCs w:val="32"/>
          <w:highlight w:val="none"/>
        </w:rPr>
        <w:t>调整</w:t>
      </w:r>
      <w:r>
        <w:rPr>
          <w:rFonts w:hint="eastAsia" w:ascii="Times New Roman" w:hAnsi="Times New Roman" w:eastAsia="仿宋_GB2312" w:cs="Times New Roman"/>
          <w:kern w:val="0"/>
          <w:sz w:val="32"/>
          <w:szCs w:val="32"/>
          <w:highlight w:val="none"/>
          <w:lang w:val="en-US" w:eastAsia="zh-CN"/>
        </w:rPr>
        <w:t>后全年</w:t>
      </w:r>
      <w:r>
        <w:rPr>
          <w:rFonts w:hint="default" w:ascii="Times New Roman" w:hAnsi="Times New Roman" w:eastAsia="仿宋_GB2312" w:cs="Times New Roman"/>
          <w:kern w:val="0"/>
          <w:sz w:val="32"/>
          <w:szCs w:val="32"/>
          <w:highlight w:val="none"/>
          <w:lang w:eastAsia="zh-CN"/>
        </w:rPr>
        <w:t>预算数</w:t>
      </w:r>
      <w:r>
        <w:rPr>
          <w:rFonts w:hint="default" w:ascii="Times New Roman" w:hAnsi="Times New Roman" w:eastAsia="仿宋_GB2312" w:cs="Times New Roman"/>
          <w:kern w:val="0"/>
          <w:sz w:val="32"/>
          <w:szCs w:val="32"/>
        </w:rPr>
        <w:t>40万元，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39.96万元，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99.90%。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99.98分，评价等级为“优秀”。</w:t>
      </w:r>
    </w:p>
    <w:p w14:paraId="64B65353">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rPr>
        <w:t>“机房服务器、网络硬件服务”项目。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17.1</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17.1</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万元，资金到位率100%，</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5C3079D1">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“三级等保测评费”项目。年初预算</w:t>
      </w:r>
      <w:r>
        <w:rPr>
          <w:rFonts w:hint="default" w:ascii="Times New Roman" w:hAnsi="Times New Roman" w:eastAsia="仿宋_GB2312" w:cs="Times New Roman"/>
          <w:kern w:val="0"/>
          <w:sz w:val="32"/>
          <w:szCs w:val="32"/>
          <w:highlight w:val="none"/>
          <w:lang w:eastAsia="zh-CN"/>
        </w:rPr>
        <w:t>数</w:t>
      </w:r>
      <w:r>
        <w:rPr>
          <w:rFonts w:hint="default" w:ascii="Times New Roman" w:hAnsi="Times New Roman" w:eastAsia="仿宋_GB2312" w:cs="Times New Roman"/>
          <w:kern w:val="0"/>
          <w:sz w:val="32"/>
          <w:szCs w:val="32"/>
        </w:rPr>
        <w:t>6万元，</w:t>
      </w:r>
      <w:r>
        <w:rPr>
          <w:rFonts w:hint="default" w:ascii="Times New Roman" w:hAnsi="Times New Roman" w:eastAsia="仿宋_GB2312" w:cs="Times New Roman"/>
          <w:kern w:val="0"/>
          <w:sz w:val="32"/>
          <w:szCs w:val="32"/>
          <w:highlight w:val="none"/>
        </w:rPr>
        <w:t>调整</w:t>
      </w:r>
      <w:r>
        <w:rPr>
          <w:rFonts w:hint="eastAsia" w:ascii="Times New Roman" w:hAnsi="Times New Roman" w:eastAsia="仿宋_GB2312" w:cs="Times New Roman"/>
          <w:kern w:val="0"/>
          <w:sz w:val="32"/>
          <w:szCs w:val="32"/>
          <w:highlight w:val="none"/>
          <w:lang w:val="en-US" w:eastAsia="zh-CN"/>
        </w:rPr>
        <w:t>后全年</w:t>
      </w:r>
      <w:r>
        <w:rPr>
          <w:rFonts w:hint="default" w:ascii="Times New Roman" w:hAnsi="Times New Roman" w:eastAsia="仿宋_GB2312" w:cs="Times New Roman"/>
          <w:kern w:val="0"/>
          <w:sz w:val="32"/>
          <w:szCs w:val="32"/>
          <w:highlight w:val="none"/>
          <w:lang w:eastAsia="zh-CN"/>
        </w:rPr>
        <w:t>预算数</w:t>
      </w:r>
      <w:r>
        <w:rPr>
          <w:rFonts w:hint="default" w:ascii="Times New Roman" w:hAnsi="Times New Roman" w:eastAsia="仿宋_GB2312" w:cs="Times New Roman"/>
          <w:kern w:val="0"/>
          <w:sz w:val="32"/>
          <w:szCs w:val="32"/>
        </w:rPr>
        <w:t>3.85万元，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3.85万元，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347F5BB4">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“CA维护费”（2023和2024年）项目。年初预算</w:t>
      </w:r>
      <w:r>
        <w:rPr>
          <w:rFonts w:hint="default" w:ascii="Times New Roman" w:hAnsi="Times New Roman" w:eastAsia="仿宋_GB2312" w:cs="Times New Roman"/>
          <w:kern w:val="0"/>
          <w:sz w:val="32"/>
          <w:szCs w:val="32"/>
          <w:highlight w:val="none"/>
          <w:lang w:eastAsia="zh-CN"/>
        </w:rPr>
        <w:t>数</w:t>
      </w:r>
      <w:r>
        <w:rPr>
          <w:rFonts w:hint="default" w:ascii="Times New Roman" w:hAnsi="Times New Roman" w:eastAsia="仿宋_GB2312" w:cs="Times New Roman"/>
          <w:kern w:val="0"/>
          <w:sz w:val="32"/>
          <w:szCs w:val="32"/>
        </w:rPr>
        <w:t>52.69万元，</w:t>
      </w:r>
      <w:r>
        <w:rPr>
          <w:rFonts w:hint="default" w:ascii="Times New Roman" w:hAnsi="Times New Roman" w:eastAsia="仿宋_GB2312" w:cs="Times New Roman"/>
          <w:kern w:val="0"/>
          <w:sz w:val="32"/>
          <w:szCs w:val="32"/>
          <w:highlight w:val="none"/>
        </w:rPr>
        <w:t>调整</w:t>
      </w:r>
      <w:r>
        <w:rPr>
          <w:rFonts w:hint="eastAsia" w:ascii="Times New Roman" w:hAnsi="Times New Roman" w:eastAsia="仿宋_GB2312" w:cs="Times New Roman"/>
          <w:kern w:val="0"/>
          <w:sz w:val="32"/>
          <w:szCs w:val="32"/>
          <w:highlight w:val="none"/>
          <w:lang w:val="en-US" w:eastAsia="zh-CN"/>
        </w:rPr>
        <w:t>后全年</w:t>
      </w:r>
      <w:r>
        <w:rPr>
          <w:rFonts w:hint="default" w:ascii="Times New Roman" w:hAnsi="Times New Roman" w:eastAsia="仿宋_GB2312" w:cs="Times New Roman"/>
          <w:kern w:val="0"/>
          <w:sz w:val="32"/>
          <w:szCs w:val="32"/>
          <w:highlight w:val="none"/>
          <w:lang w:eastAsia="zh-CN"/>
        </w:rPr>
        <w:t>预算数</w:t>
      </w:r>
      <w:r>
        <w:rPr>
          <w:rFonts w:hint="default" w:ascii="Times New Roman" w:hAnsi="Times New Roman" w:eastAsia="仿宋_GB2312" w:cs="Times New Roman"/>
          <w:kern w:val="0"/>
          <w:sz w:val="32"/>
          <w:szCs w:val="32"/>
        </w:rPr>
        <w:t>12.21万元，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12.21万元，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发现的主要问题及原因：预算调整金额较高，主要原因是预算编制不够精准，没有充分考虑合同约定的付款时间，导致将下年支付资金纳入了本年预算安排。下一步改进措施：对项目要有充分的规划，精准编制预算。</w:t>
      </w:r>
    </w:p>
    <w:p w14:paraId="04930372">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13.</w:t>
      </w:r>
      <w:r>
        <w:rPr>
          <w:rFonts w:hint="default" w:ascii="Times New Roman" w:hAnsi="Times New Roman" w:eastAsia="仿宋_GB2312" w:cs="Times New Roman"/>
          <w:kern w:val="0"/>
          <w:sz w:val="32"/>
          <w:szCs w:val="32"/>
        </w:rPr>
        <w:t>“安全加固（2023和2024年）”项目。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30.82万元，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30.82万元，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663ACDB3">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14.</w:t>
      </w:r>
      <w:r>
        <w:rPr>
          <w:rFonts w:hint="default" w:ascii="Times New Roman" w:hAnsi="Times New Roman" w:eastAsia="仿宋_GB2312" w:cs="Times New Roman"/>
          <w:kern w:val="0"/>
          <w:sz w:val="32"/>
          <w:szCs w:val="32"/>
        </w:rPr>
        <w:t>“中心及14个管理部物业管理费”项目。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141.19万元，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141.14万元，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99.96%。</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99.96分，评价等级为“优秀”。</w:t>
      </w:r>
    </w:p>
    <w:p w14:paraId="0FF1BEB3">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rPr>
        <w:t>“12329热线”项目。年初预算</w:t>
      </w:r>
      <w:r>
        <w:rPr>
          <w:rFonts w:hint="default" w:ascii="Times New Roman" w:hAnsi="Times New Roman" w:eastAsia="仿宋_GB2312" w:cs="Times New Roman"/>
          <w:kern w:val="0"/>
          <w:sz w:val="32"/>
          <w:szCs w:val="32"/>
          <w:highlight w:val="none"/>
          <w:lang w:eastAsia="zh-CN"/>
        </w:rPr>
        <w:t>数</w:t>
      </w:r>
      <w:r>
        <w:rPr>
          <w:rFonts w:hint="default" w:ascii="Times New Roman" w:hAnsi="Times New Roman" w:eastAsia="仿宋_GB2312" w:cs="Times New Roman"/>
          <w:kern w:val="0"/>
          <w:sz w:val="32"/>
          <w:szCs w:val="32"/>
        </w:rPr>
        <w:t>73.2万元，</w:t>
      </w:r>
      <w:r>
        <w:rPr>
          <w:rFonts w:hint="default" w:ascii="Times New Roman" w:hAnsi="Times New Roman" w:eastAsia="仿宋_GB2312" w:cs="Times New Roman"/>
          <w:kern w:val="0"/>
          <w:sz w:val="32"/>
          <w:szCs w:val="32"/>
          <w:highlight w:val="none"/>
        </w:rPr>
        <w:t>调整</w:t>
      </w:r>
      <w:r>
        <w:rPr>
          <w:rFonts w:hint="eastAsia" w:ascii="Times New Roman" w:hAnsi="Times New Roman" w:eastAsia="仿宋_GB2312" w:cs="Times New Roman"/>
          <w:kern w:val="0"/>
          <w:sz w:val="32"/>
          <w:szCs w:val="32"/>
          <w:highlight w:val="none"/>
          <w:lang w:val="en-US" w:eastAsia="zh-CN"/>
        </w:rPr>
        <w:t>后全年</w:t>
      </w:r>
      <w:r>
        <w:rPr>
          <w:rFonts w:hint="default" w:ascii="Times New Roman" w:hAnsi="Times New Roman" w:eastAsia="仿宋_GB2312" w:cs="Times New Roman"/>
          <w:kern w:val="0"/>
          <w:sz w:val="32"/>
          <w:szCs w:val="32"/>
          <w:highlight w:val="none"/>
          <w:lang w:eastAsia="zh-CN"/>
        </w:rPr>
        <w:t>预算数</w:t>
      </w:r>
      <w:r>
        <w:rPr>
          <w:rFonts w:hint="default" w:ascii="Times New Roman" w:hAnsi="Times New Roman" w:eastAsia="仿宋_GB2312" w:cs="Times New Roman"/>
          <w:kern w:val="0"/>
          <w:sz w:val="32"/>
          <w:szCs w:val="32"/>
        </w:rPr>
        <w:t>65.61万元，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65.61万元，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42CF8CD0">
      <w:pPr>
        <w:pStyle w:val="20"/>
        <w:topLinePunct/>
        <w:autoSpaceDE w:val="0"/>
        <w:spacing w:line="580" w:lineRule="exact"/>
        <w:ind w:firstLine="640" w:firstLineChars="200"/>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lang w:val="en-US" w:eastAsia="zh-CN"/>
        </w:rPr>
        <w:t>16.</w:t>
      </w:r>
      <w:r>
        <w:rPr>
          <w:rFonts w:hint="default" w:ascii="Times New Roman" w:hAnsi="Times New Roman" w:eastAsia="仿宋_GB2312" w:cs="Times New Roman"/>
          <w:kern w:val="0"/>
          <w:sz w:val="32"/>
          <w:szCs w:val="32"/>
        </w:rPr>
        <w:t>“劳务人员工资/奖金/五险一金”项目。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319.17万元，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319.14万元，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99.99%。</w:t>
      </w:r>
      <w:r>
        <w:rPr>
          <w:rFonts w:hint="default" w:ascii="Times New Roman" w:hAnsi="Times New Roman" w:eastAsia="仿宋_GB2312" w:cs="Times New Roman"/>
          <w:kern w:val="0"/>
          <w:sz w:val="32"/>
          <w:szCs w:val="32"/>
          <w:lang w:eastAsia="zh-CN"/>
        </w:rPr>
        <w:t>部门</w:t>
      </w:r>
      <w:r>
        <w:rPr>
          <w:rFonts w:hint="default" w:ascii="Times New Roman" w:hAnsi="Times New Roman" w:eastAsia="仿宋_GB2312" w:cs="Times New Roman"/>
          <w:kern w:val="0"/>
          <w:sz w:val="32"/>
          <w:szCs w:val="32"/>
          <w:highlight w:val="none"/>
          <w:lang w:eastAsia="zh-CN"/>
        </w:rPr>
        <w:t>评价得分</w:t>
      </w:r>
      <w:r>
        <w:rPr>
          <w:rFonts w:hint="default" w:ascii="Times New Roman" w:hAnsi="Times New Roman" w:eastAsia="仿宋_GB2312" w:cs="Times New Roman"/>
          <w:kern w:val="0"/>
          <w:sz w:val="32"/>
          <w:szCs w:val="32"/>
          <w:highlight w:val="none"/>
          <w:lang w:val="en-US" w:eastAsia="zh-CN"/>
        </w:rPr>
        <w:t>100分，评价等级为“优秀”。</w:t>
      </w:r>
    </w:p>
    <w:p w14:paraId="7F19575F">
      <w:pPr>
        <w:pStyle w:val="20"/>
        <w:numPr>
          <w:ilvl w:val="0"/>
          <w:numId w:val="0"/>
        </w:numPr>
        <w:topLinePunct/>
        <w:autoSpaceDE w:val="0"/>
        <w:spacing w:line="58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lang w:val="en-US" w:eastAsia="zh-CN" w:bidi="ar-SA"/>
        </w:rPr>
        <w:t>17.</w:t>
      </w:r>
      <w:r>
        <w:rPr>
          <w:rFonts w:hint="default" w:ascii="Times New Roman" w:hAnsi="Times New Roman" w:eastAsia="仿宋_GB2312" w:cs="Times New Roman"/>
          <w:kern w:val="0"/>
          <w:sz w:val="32"/>
          <w:szCs w:val="32"/>
          <w:highlight w:val="none"/>
        </w:rPr>
        <w:t>“湘易办”超级移动终端项目。年初预算</w:t>
      </w:r>
      <w:r>
        <w:rPr>
          <w:rFonts w:hint="default" w:ascii="Times New Roman" w:hAnsi="Times New Roman" w:eastAsia="仿宋_GB2312" w:cs="Times New Roman"/>
          <w:kern w:val="0"/>
          <w:sz w:val="32"/>
          <w:szCs w:val="32"/>
          <w:highlight w:val="none"/>
          <w:lang w:eastAsia="zh-CN"/>
        </w:rPr>
        <w:t>数</w:t>
      </w:r>
      <w:r>
        <w:rPr>
          <w:rFonts w:hint="default" w:ascii="Times New Roman" w:hAnsi="Times New Roman" w:eastAsia="仿宋_GB2312" w:cs="Times New Roman"/>
          <w:kern w:val="0"/>
          <w:sz w:val="32"/>
          <w:szCs w:val="32"/>
          <w:highlight w:val="none"/>
        </w:rPr>
        <w:t>80万元，调整</w:t>
      </w:r>
      <w:r>
        <w:rPr>
          <w:rFonts w:hint="eastAsia" w:ascii="Times New Roman" w:hAnsi="Times New Roman" w:eastAsia="仿宋_GB2312" w:cs="Times New Roman"/>
          <w:kern w:val="0"/>
          <w:sz w:val="32"/>
          <w:szCs w:val="32"/>
          <w:highlight w:val="none"/>
          <w:lang w:val="en-US" w:eastAsia="zh-CN"/>
        </w:rPr>
        <w:t>后全年</w:t>
      </w:r>
      <w:r>
        <w:rPr>
          <w:rFonts w:hint="default" w:ascii="Times New Roman" w:hAnsi="Times New Roman" w:eastAsia="仿宋_GB2312" w:cs="Times New Roman"/>
          <w:kern w:val="0"/>
          <w:sz w:val="32"/>
          <w:szCs w:val="32"/>
          <w:highlight w:val="none"/>
          <w:lang w:eastAsia="zh-CN"/>
        </w:rPr>
        <w:t>预算数</w:t>
      </w:r>
      <w:r>
        <w:rPr>
          <w:rFonts w:hint="default" w:ascii="Times New Roman" w:hAnsi="Times New Roman" w:eastAsia="仿宋_GB2312" w:cs="Times New Roman"/>
          <w:kern w:val="0"/>
          <w:sz w:val="32"/>
          <w:szCs w:val="32"/>
          <w:highlight w:val="none"/>
        </w:rPr>
        <w:t>20万元，</w:t>
      </w:r>
      <w:r>
        <w:rPr>
          <w:rFonts w:hint="default" w:ascii="Times New Roman" w:hAnsi="Times New Roman" w:eastAsia="仿宋_GB2312" w:cs="Times New Roman"/>
          <w:kern w:val="0"/>
          <w:sz w:val="32"/>
          <w:szCs w:val="32"/>
          <w:highlight w:val="none"/>
          <w:lang w:eastAsia="zh-CN"/>
        </w:rPr>
        <w:t>执行数</w:t>
      </w:r>
      <w:r>
        <w:rPr>
          <w:rFonts w:hint="default" w:ascii="Times New Roman" w:hAnsi="Times New Roman" w:eastAsia="仿宋_GB2312" w:cs="Times New Roman"/>
          <w:kern w:val="0"/>
          <w:sz w:val="32"/>
          <w:szCs w:val="32"/>
          <w:highlight w:val="none"/>
        </w:rPr>
        <w:t>19.9万元，</w:t>
      </w:r>
      <w:r>
        <w:rPr>
          <w:rFonts w:hint="default" w:ascii="Times New Roman" w:hAnsi="Times New Roman" w:eastAsia="仿宋_GB2312" w:cs="Times New Roman"/>
          <w:kern w:val="0"/>
          <w:sz w:val="32"/>
          <w:szCs w:val="32"/>
          <w:highlight w:val="none"/>
          <w:lang w:eastAsia="zh-CN"/>
        </w:rPr>
        <w:t>完成预算的</w:t>
      </w:r>
      <w:r>
        <w:rPr>
          <w:rFonts w:hint="default" w:ascii="Times New Roman" w:hAnsi="Times New Roman" w:eastAsia="仿宋_GB2312" w:cs="Times New Roman"/>
          <w:kern w:val="0"/>
          <w:sz w:val="32"/>
          <w:szCs w:val="32"/>
          <w:highlight w:val="none"/>
        </w:rPr>
        <w:t>99.50%。</w:t>
      </w:r>
      <w:r>
        <w:rPr>
          <w:rFonts w:hint="default" w:ascii="Times New Roman" w:hAnsi="Times New Roman" w:eastAsia="仿宋_GB2312" w:cs="Times New Roman"/>
          <w:kern w:val="0"/>
          <w:sz w:val="32"/>
          <w:szCs w:val="32"/>
          <w:highlight w:val="none"/>
          <w:lang w:eastAsia="zh-CN"/>
        </w:rPr>
        <w:t>部门评价得分</w:t>
      </w:r>
      <w:r>
        <w:rPr>
          <w:rFonts w:hint="default" w:ascii="Times New Roman" w:hAnsi="Times New Roman" w:eastAsia="仿宋_GB2312" w:cs="Times New Roman"/>
          <w:kern w:val="0"/>
          <w:sz w:val="32"/>
          <w:szCs w:val="32"/>
          <w:highlight w:val="none"/>
          <w:lang w:val="en-US" w:eastAsia="zh-CN"/>
        </w:rPr>
        <w:t>99.85分，评价等级为:“优秀”。问题：预算调整金额较高，主要原因是一些子项目因为2024年新政策由数据局统一安排，我单位不需要再支出。</w:t>
      </w:r>
    </w:p>
    <w:p w14:paraId="602F03E2">
      <w:pPr>
        <w:pStyle w:val="20"/>
        <w:numPr>
          <w:ilvl w:val="0"/>
          <w:numId w:val="0"/>
        </w:numPr>
        <w:topLinePunct/>
        <w:autoSpaceDE w:val="0"/>
        <w:spacing w:line="580" w:lineRule="exact"/>
        <w:ind w:firstLine="640" w:firstLineChars="200"/>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18.</w:t>
      </w:r>
      <w:r>
        <w:rPr>
          <w:rFonts w:hint="default" w:ascii="Times New Roman" w:hAnsi="Times New Roman" w:eastAsia="仿宋_GB2312" w:cs="Times New Roman"/>
          <w:kern w:val="0"/>
          <w:sz w:val="32"/>
          <w:szCs w:val="32"/>
          <w:highlight w:val="none"/>
        </w:rPr>
        <w:t>“中心机房设备更换升级”项目。年初预算</w:t>
      </w:r>
      <w:r>
        <w:rPr>
          <w:rFonts w:hint="default" w:ascii="Times New Roman" w:hAnsi="Times New Roman" w:eastAsia="仿宋_GB2312" w:cs="Times New Roman"/>
          <w:kern w:val="0"/>
          <w:sz w:val="32"/>
          <w:szCs w:val="32"/>
          <w:highlight w:val="none"/>
          <w:lang w:eastAsia="zh-CN"/>
        </w:rPr>
        <w:t>数</w:t>
      </w:r>
      <w:r>
        <w:rPr>
          <w:rFonts w:hint="default" w:ascii="Times New Roman" w:hAnsi="Times New Roman" w:eastAsia="仿宋_GB2312" w:cs="Times New Roman"/>
          <w:kern w:val="0"/>
          <w:sz w:val="32"/>
          <w:szCs w:val="32"/>
          <w:highlight w:val="none"/>
        </w:rPr>
        <w:t>75万元，调整</w:t>
      </w:r>
      <w:r>
        <w:rPr>
          <w:rFonts w:hint="eastAsia" w:ascii="Times New Roman" w:hAnsi="Times New Roman" w:eastAsia="仿宋_GB2312" w:cs="Times New Roman"/>
          <w:kern w:val="0"/>
          <w:sz w:val="32"/>
          <w:szCs w:val="32"/>
          <w:highlight w:val="none"/>
          <w:lang w:val="en-US" w:eastAsia="zh-CN"/>
        </w:rPr>
        <w:t>后全年</w:t>
      </w:r>
      <w:r>
        <w:rPr>
          <w:rFonts w:hint="default" w:ascii="Times New Roman" w:hAnsi="Times New Roman" w:eastAsia="仿宋_GB2312" w:cs="Times New Roman"/>
          <w:kern w:val="0"/>
          <w:sz w:val="32"/>
          <w:szCs w:val="32"/>
          <w:highlight w:val="none"/>
          <w:lang w:eastAsia="zh-CN"/>
        </w:rPr>
        <w:t>预算数</w:t>
      </w:r>
      <w:r>
        <w:rPr>
          <w:rFonts w:hint="default" w:ascii="Times New Roman" w:hAnsi="Times New Roman" w:eastAsia="仿宋_GB2312" w:cs="Times New Roman"/>
          <w:kern w:val="0"/>
          <w:sz w:val="32"/>
          <w:szCs w:val="32"/>
          <w:highlight w:val="none"/>
        </w:rPr>
        <w:t>30万元，</w:t>
      </w:r>
      <w:r>
        <w:rPr>
          <w:rFonts w:hint="default" w:ascii="Times New Roman" w:hAnsi="Times New Roman" w:eastAsia="仿宋_GB2312" w:cs="Times New Roman"/>
          <w:kern w:val="0"/>
          <w:sz w:val="32"/>
          <w:szCs w:val="32"/>
          <w:highlight w:val="none"/>
          <w:lang w:eastAsia="zh-CN"/>
        </w:rPr>
        <w:t>执行数</w:t>
      </w:r>
      <w:r>
        <w:rPr>
          <w:rFonts w:hint="default" w:ascii="Times New Roman" w:hAnsi="Times New Roman" w:eastAsia="仿宋_GB2312" w:cs="Times New Roman"/>
          <w:kern w:val="0"/>
          <w:sz w:val="32"/>
          <w:szCs w:val="32"/>
          <w:highlight w:val="none"/>
        </w:rPr>
        <w:t>30万元，</w:t>
      </w:r>
      <w:r>
        <w:rPr>
          <w:rFonts w:hint="default" w:ascii="Times New Roman" w:hAnsi="Times New Roman" w:eastAsia="仿宋_GB2312" w:cs="Times New Roman"/>
          <w:kern w:val="0"/>
          <w:sz w:val="32"/>
          <w:szCs w:val="32"/>
          <w:highlight w:val="none"/>
          <w:lang w:eastAsia="zh-CN"/>
        </w:rPr>
        <w:t>完成预算的</w:t>
      </w:r>
      <w:r>
        <w:rPr>
          <w:rFonts w:hint="default" w:ascii="Times New Roman" w:hAnsi="Times New Roman" w:eastAsia="仿宋_GB2312" w:cs="Times New Roman"/>
          <w:kern w:val="0"/>
          <w:sz w:val="32"/>
          <w:szCs w:val="32"/>
          <w:highlight w:val="none"/>
        </w:rPr>
        <w:t>100%。</w:t>
      </w:r>
      <w:r>
        <w:rPr>
          <w:rFonts w:hint="default" w:ascii="Times New Roman" w:hAnsi="Times New Roman" w:eastAsia="仿宋_GB2312" w:cs="Times New Roman"/>
          <w:kern w:val="0"/>
          <w:sz w:val="32"/>
          <w:szCs w:val="32"/>
          <w:highlight w:val="none"/>
          <w:lang w:eastAsia="zh-CN"/>
        </w:rPr>
        <w:t>部门评价得分</w:t>
      </w:r>
      <w:r>
        <w:rPr>
          <w:rFonts w:hint="default" w:ascii="Times New Roman" w:hAnsi="Times New Roman" w:eastAsia="仿宋_GB2312" w:cs="Times New Roman"/>
          <w:kern w:val="0"/>
          <w:sz w:val="32"/>
          <w:szCs w:val="32"/>
          <w:highlight w:val="none"/>
          <w:lang w:val="en-US" w:eastAsia="zh-CN"/>
        </w:rPr>
        <w:t>100分，评价等级</w:t>
      </w:r>
      <w:bookmarkStart w:id="2" w:name="_GoBack"/>
      <w:bookmarkEnd w:id="2"/>
      <w:r>
        <w:rPr>
          <w:rFonts w:hint="default" w:ascii="Times New Roman" w:hAnsi="Times New Roman" w:eastAsia="仿宋_GB2312" w:cs="Times New Roman"/>
          <w:kern w:val="0"/>
          <w:sz w:val="32"/>
          <w:szCs w:val="32"/>
          <w:highlight w:val="none"/>
          <w:lang w:val="en-US" w:eastAsia="zh-CN"/>
        </w:rPr>
        <w:t>为“优秀”。问题：预算调整金额较高，主要原因是新政策要求机房统一搬迁至云计算中心，有两台设备不再需要进行采购。</w:t>
      </w:r>
    </w:p>
    <w:p w14:paraId="6223C544">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rPr>
        <w:t>“乡村振兴工作经费”项目。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30万元，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30万元，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7EF214A4">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“电子化办公服务设备和办公家具购置及维修”项目。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20万元，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20万元，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2DFF523B">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“人才引进补贴”项目。年初预算</w:t>
      </w:r>
      <w:r>
        <w:rPr>
          <w:rFonts w:hint="default" w:ascii="Times New Roman" w:hAnsi="Times New Roman" w:eastAsia="仿宋_GB2312" w:cs="Times New Roman"/>
          <w:kern w:val="0"/>
          <w:sz w:val="32"/>
          <w:szCs w:val="32"/>
          <w:highlight w:val="none"/>
          <w:lang w:eastAsia="zh-CN"/>
        </w:rPr>
        <w:t>数</w:t>
      </w:r>
      <w:r>
        <w:rPr>
          <w:rFonts w:hint="default" w:ascii="Times New Roman" w:hAnsi="Times New Roman" w:eastAsia="仿宋_GB2312" w:cs="Times New Roman"/>
          <w:kern w:val="0"/>
          <w:sz w:val="32"/>
          <w:szCs w:val="32"/>
        </w:rPr>
        <w:t>0万元，</w:t>
      </w:r>
      <w:r>
        <w:rPr>
          <w:rFonts w:hint="default" w:ascii="Times New Roman" w:hAnsi="Times New Roman" w:eastAsia="仿宋_GB2312" w:cs="Times New Roman"/>
          <w:kern w:val="0"/>
          <w:sz w:val="32"/>
          <w:szCs w:val="32"/>
          <w:highlight w:val="none"/>
        </w:rPr>
        <w:t>调整</w:t>
      </w:r>
      <w:r>
        <w:rPr>
          <w:rFonts w:hint="eastAsia" w:ascii="Times New Roman" w:hAnsi="Times New Roman" w:eastAsia="仿宋_GB2312" w:cs="Times New Roman"/>
          <w:kern w:val="0"/>
          <w:sz w:val="32"/>
          <w:szCs w:val="32"/>
          <w:highlight w:val="none"/>
          <w:lang w:val="en-US" w:eastAsia="zh-CN"/>
        </w:rPr>
        <w:t>后全年</w:t>
      </w:r>
      <w:r>
        <w:rPr>
          <w:rFonts w:hint="default" w:ascii="Times New Roman" w:hAnsi="Times New Roman" w:eastAsia="仿宋_GB2312" w:cs="Times New Roman"/>
          <w:kern w:val="0"/>
          <w:sz w:val="32"/>
          <w:szCs w:val="32"/>
          <w:highlight w:val="none"/>
          <w:lang w:eastAsia="zh-CN"/>
        </w:rPr>
        <w:t>预算数</w:t>
      </w:r>
      <w:r>
        <w:rPr>
          <w:rFonts w:hint="default" w:ascii="Times New Roman" w:hAnsi="Times New Roman" w:eastAsia="仿宋_GB2312" w:cs="Times New Roman"/>
          <w:kern w:val="0"/>
          <w:sz w:val="32"/>
          <w:szCs w:val="32"/>
        </w:rPr>
        <w:t>2.4</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2.4</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65FD6183">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“好差评系统改造”项目，年初预算</w:t>
      </w:r>
      <w:r>
        <w:rPr>
          <w:rFonts w:hint="default" w:ascii="Times New Roman" w:hAnsi="Times New Roman" w:eastAsia="仿宋_GB2312" w:cs="Times New Roman"/>
          <w:kern w:val="0"/>
          <w:sz w:val="32"/>
          <w:szCs w:val="32"/>
          <w:highlight w:val="none"/>
          <w:lang w:eastAsia="zh-CN"/>
        </w:rPr>
        <w:t>数</w:t>
      </w:r>
      <w:r>
        <w:rPr>
          <w:rFonts w:hint="default" w:ascii="Times New Roman" w:hAnsi="Times New Roman" w:eastAsia="仿宋_GB2312" w:cs="Times New Roman"/>
          <w:kern w:val="0"/>
          <w:sz w:val="32"/>
          <w:szCs w:val="32"/>
        </w:rPr>
        <w:t>0万元，</w:t>
      </w:r>
      <w:r>
        <w:rPr>
          <w:rFonts w:hint="default" w:ascii="Times New Roman" w:hAnsi="Times New Roman" w:eastAsia="仿宋_GB2312" w:cs="Times New Roman"/>
          <w:kern w:val="0"/>
          <w:sz w:val="32"/>
          <w:szCs w:val="32"/>
          <w:highlight w:val="none"/>
        </w:rPr>
        <w:t>调整</w:t>
      </w:r>
      <w:r>
        <w:rPr>
          <w:rFonts w:hint="eastAsia" w:ascii="Times New Roman" w:hAnsi="Times New Roman" w:eastAsia="仿宋_GB2312" w:cs="Times New Roman"/>
          <w:kern w:val="0"/>
          <w:sz w:val="32"/>
          <w:szCs w:val="32"/>
          <w:highlight w:val="none"/>
          <w:lang w:val="en-US" w:eastAsia="zh-CN"/>
        </w:rPr>
        <w:t>后全年</w:t>
      </w:r>
      <w:r>
        <w:rPr>
          <w:rFonts w:hint="default" w:ascii="Times New Roman" w:hAnsi="Times New Roman" w:eastAsia="仿宋_GB2312" w:cs="Times New Roman"/>
          <w:kern w:val="0"/>
          <w:sz w:val="32"/>
          <w:szCs w:val="32"/>
          <w:highlight w:val="none"/>
          <w:lang w:eastAsia="zh-CN"/>
        </w:rPr>
        <w:t>预算数</w:t>
      </w:r>
      <w:r>
        <w:rPr>
          <w:rFonts w:hint="default" w:ascii="Times New Roman" w:hAnsi="Times New Roman" w:eastAsia="仿宋_GB2312" w:cs="Times New Roman"/>
          <w:kern w:val="0"/>
          <w:sz w:val="32"/>
          <w:szCs w:val="32"/>
        </w:rPr>
        <w:t>35万元，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33.1</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94.57%。</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98.37分，评价等级为“优秀”。项目年中增加是因为临时性突发工作要求。</w:t>
      </w:r>
    </w:p>
    <w:p w14:paraId="71F37F09">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rPr>
        <w:t>“全国异地公积金贷款还款（报账模式）”项目，年初预算</w:t>
      </w:r>
      <w:r>
        <w:rPr>
          <w:rFonts w:hint="default" w:ascii="Times New Roman" w:hAnsi="Times New Roman" w:eastAsia="仿宋_GB2312" w:cs="Times New Roman"/>
          <w:kern w:val="0"/>
          <w:sz w:val="32"/>
          <w:szCs w:val="32"/>
          <w:highlight w:val="none"/>
          <w:lang w:eastAsia="zh-CN"/>
        </w:rPr>
        <w:t>数</w:t>
      </w:r>
      <w:r>
        <w:rPr>
          <w:rFonts w:hint="default" w:ascii="Times New Roman" w:hAnsi="Times New Roman" w:eastAsia="仿宋_GB2312" w:cs="Times New Roman"/>
          <w:kern w:val="0"/>
          <w:sz w:val="32"/>
          <w:szCs w:val="32"/>
        </w:rPr>
        <w:t>0万元，</w:t>
      </w:r>
      <w:r>
        <w:rPr>
          <w:rFonts w:hint="default" w:ascii="Times New Roman" w:hAnsi="Times New Roman" w:eastAsia="仿宋_GB2312" w:cs="Times New Roman"/>
          <w:kern w:val="0"/>
          <w:sz w:val="32"/>
          <w:szCs w:val="32"/>
          <w:highlight w:val="none"/>
        </w:rPr>
        <w:t>调整</w:t>
      </w:r>
      <w:r>
        <w:rPr>
          <w:rFonts w:hint="eastAsia" w:ascii="Times New Roman" w:hAnsi="Times New Roman" w:eastAsia="仿宋_GB2312" w:cs="Times New Roman"/>
          <w:kern w:val="0"/>
          <w:sz w:val="32"/>
          <w:szCs w:val="32"/>
          <w:highlight w:val="none"/>
          <w:lang w:val="en-US" w:eastAsia="zh-CN"/>
        </w:rPr>
        <w:t>后全年</w:t>
      </w:r>
      <w:r>
        <w:rPr>
          <w:rFonts w:hint="default" w:ascii="Times New Roman" w:hAnsi="Times New Roman" w:eastAsia="仿宋_GB2312" w:cs="Times New Roman"/>
          <w:kern w:val="0"/>
          <w:sz w:val="32"/>
          <w:szCs w:val="32"/>
          <w:highlight w:val="none"/>
          <w:lang w:eastAsia="zh-CN"/>
        </w:rPr>
        <w:t>预算数</w:t>
      </w:r>
      <w:r>
        <w:rPr>
          <w:rFonts w:hint="default" w:ascii="Times New Roman" w:hAnsi="Times New Roman" w:eastAsia="仿宋_GB2312" w:cs="Times New Roman"/>
          <w:kern w:val="0"/>
          <w:sz w:val="32"/>
          <w:szCs w:val="32"/>
        </w:rPr>
        <w:t>25万元，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23.6万元，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94.40%。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98.32分，评价等级为“优秀”。项目年中增加是因为按上级文件要求怀化作为试点地区开展此项业务。</w:t>
      </w:r>
    </w:p>
    <w:p w14:paraId="794AFC36">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rPr>
        <w:t>“文明创建、廉政文化、LED电子屏”项目，年初预算</w:t>
      </w:r>
      <w:r>
        <w:rPr>
          <w:rFonts w:hint="default" w:ascii="Times New Roman" w:hAnsi="Times New Roman" w:eastAsia="仿宋_GB2312" w:cs="Times New Roman"/>
          <w:kern w:val="0"/>
          <w:sz w:val="32"/>
          <w:szCs w:val="32"/>
          <w:highlight w:val="none"/>
          <w:lang w:eastAsia="zh-CN"/>
        </w:rPr>
        <w:t>数</w:t>
      </w:r>
      <w:r>
        <w:rPr>
          <w:rFonts w:hint="default" w:ascii="Times New Roman" w:hAnsi="Times New Roman" w:eastAsia="仿宋_GB2312" w:cs="Times New Roman"/>
          <w:kern w:val="0"/>
          <w:sz w:val="32"/>
          <w:szCs w:val="32"/>
        </w:rPr>
        <w:t>70万元，</w:t>
      </w:r>
      <w:r>
        <w:rPr>
          <w:rFonts w:hint="default" w:ascii="Times New Roman" w:hAnsi="Times New Roman" w:eastAsia="仿宋_GB2312" w:cs="Times New Roman"/>
          <w:kern w:val="0"/>
          <w:sz w:val="32"/>
          <w:szCs w:val="32"/>
          <w:highlight w:val="none"/>
        </w:rPr>
        <w:t>调整</w:t>
      </w:r>
      <w:r>
        <w:rPr>
          <w:rFonts w:hint="eastAsia" w:ascii="Times New Roman" w:hAnsi="Times New Roman" w:eastAsia="仿宋_GB2312" w:cs="Times New Roman"/>
          <w:kern w:val="0"/>
          <w:sz w:val="32"/>
          <w:szCs w:val="32"/>
          <w:highlight w:val="none"/>
          <w:lang w:val="en-US" w:eastAsia="zh-CN"/>
        </w:rPr>
        <w:t>后全年</w:t>
      </w:r>
      <w:r>
        <w:rPr>
          <w:rFonts w:hint="default" w:ascii="Times New Roman" w:hAnsi="Times New Roman" w:eastAsia="仿宋_GB2312" w:cs="Times New Roman"/>
          <w:kern w:val="0"/>
          <w:sz w:val="32"/>
          <w:szCs w:val="32"/>
          <w:highlight w:val="none"/>
          <w:lang w:eastAsia="zh-CN"/>
        </w:rPr>
        <w:t>预算数</w:t>
      </w:r>
      <w:r>
        <w:rPr>
          <w:rFonts w:hint="default" w:ascii="Times New Roman" w:hAnsi="Times New Roman" w:eastAsia="仿宋_GB2312" w:cs="Times New Roman"/>
          <w:kern w:val="0"/>
          <w:sz w:val="32"/>
          <w:szCs w:val="32"/>
        </w:rPr>
        <w:t>67.15万元，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66.69万元，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99.31%。</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99.79分，评价等级为“优秀”。</w:t>
      </w:r>
    </w:p>
    <w:p w14:paraId="5635F3B5">
      <w:pPr>
        <w:pStyle w:val="20"/>
        <w:topLinePunct/>
        <w:autoSpaceDE w:val="0"/>
        <w:spacing w:line="58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25.</w:t>
      </w:r>
      <w:r>
        <w:rPr>
          <w:rFonts w:hint="default" w:ascii="Times New Roman" w:hAnsi="Times New Roman" w:eastAsia="仿宋_GB2312" w:cs="Times New Roman"/>
          <w:kern w:val="0"/>
          <w:sz w:val="32"/>
          <w:szCs w:val="32"/>
        </w:rPr>
        <w:t>“惠民公积金、服务暖人心”服务能力提升专项行动经费项目，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rPr>
        <w:t>20万元，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20万元，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3A4A854E">
      <w:pPr>
        <w:pStyle w:val="20"/>
        <w:topLinePunct/>
        <w:autoSpaceDE w:val="0"/>
        <w:spacing w:line="580" w:lineRule="exact"/>
        <w:ind w:firstLine="640" w:firstLineChars="200"/>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kern w:val="0"/>
          <w:sz w:val="32"/>
          <w:szCs w:val="32"/>
          <w:lang w:val="en-US" w:eastAsia="zh-CN"/>
        </w:rPr>
        <w:t>26.</w:t>
      </w:r>
      <w:r>
        <w:rPr>
          <w:rFonts w:hint="default" w:ascii="Times New Roman" w:hAnsi="Times New Roman" w:eastAsia="仿宋_GB2312" w:cs="Times New Roman"/>
          <w:kern w:val="0"/>
          <w:sz w:val="32"/>
          <w:szCs w:val="32"/>
        </w:rPr>
        <w:t>“各管理部服务大厅门头翻修工程”项目，</w:t>
      </w:r>
      <w:r>
        <w:rPr>
          <w:rFonts w:hint="default" w:ascii="Times New Roman" w:hAnsi="Times New Roman" w:eastAsia="仿宋_GB2312" w:cs="Times New Roman"/>
          <w:kern w:val="0"/>
          <w:sz w:val="32"/>
          <w:szCs w:val="32"/>
          <w:lang w:eastAsia="zh-CN"/>
        </w:rPr>
        <w:t>全年预算数</w:t>
      </w:r>
      <w:r>
        <w:rPr>
          <w:rFonts w:hint="default" w:ascii="Times New Roman" w:hAnsi="Times New Roman" w:eastAsia="仿宋_GB2312" w:cs="Times New Roman"/>
          <w:kern w:val="0"/>
          <w:sz w:val="32"/>
          <w:szCs w:val="32"/>
          <w:lang w:val="en-US" w:eastAsia="zh-CN"/>
        </w:rPr>
        <w:t>17.91万元，</w:t>
      </w:r>
      <w:r>
        <w:rPr>
          <w:rFonts w:hint="default" w:ascii="Times New Roman" w:hAnsi="Times New Roman" w:eastAsia="仿宋_GB2312" w:cs="Times New Roman"/>
          <w:kern w:val="0"/>
          <w:sz w:val="32"/>
          <w:szCs w:val="32"/>
          <w:lang w:eastAsia="zh-CN"/>
        </w:rPr>
        <w:t>执行数</w:t>
      </w:r>
      <w:r>
        <w:rPr>
          <w:rFonts w:hint="default" w:ascii="Times New Roman" w:hAnsi="Times New Roman" w:eastAsia="仿宋_GB2312" w:cs="Times New Roman"/>
          <w:kern w:val="0"/>
          <w:sz w:val="32"/>
          <w:szCs w:val="32"/>
        </w:rPr>
        <w:t>17.91万元，</w:t>
      </w:r>
      <w:r>
        <w:rPr>
          <w:rFonts w:hint="default" w:ascii="Times New Roman" w:hAnsi="Times New Roman" w:eastAsia="仿宋_GB2312" w:cs="Times New Roman"/>
          <w:kern w:val="0"/>
          <w:sz w:val="32"/>
          <w:szCs w:val="32"/>
          <w:lang w:eastAsia="zh-CN"/>
        </w:rPr>
        <w:t>完成预算的</w:t>
      </w:r>
      <w:r>
        <w:rPr>
          <w:rFonts w:hint="default" w:ascii="Times New Roman" w:hAnsi="Times New Roman" w:eastAsia="仿宋_GB2312" w:cs="Times New Roman"/>
          <w:kern w:val="0"/>
          <w:sz w:val="32"/>
          <w:szCs w:val="32"/>
        </w:rPr>
        <w:t>100%。</w:t>
      </w:r>
      <w:r>
        <w:rPr>
          <w:rFonts w:hint="default" w:ascii="Times New Roman" w:hAnsi="Times New Roman" w:eastAsia="仿宋_GB2312" w:cs="Times New Roman"/>
          <w:kern w:val="0"/>
          <w:sz w:val="32"/>
          <w:szCs w:val="32"/>
          <w:lang w:eastAsia="zh-CN"/>
        </w:rPr>
        <w:t>部门评价得分</w:t>
      </w:r>
      <w:r>
        <w:rPr>
          <w:rFonts w:hint="default" w:ascii="Times New Roman" w:hAnsi="Times New Roman" w:eastAsia="仿宋_GB2312" w:cs="Times New Roman"/>
          <w:kern w:val="0"/>
          <w:sz w:val="32"/>
          <w:szCs w:val="32"/>
          <w:lang w:val="en-US" w:eastAsia="zh-CN"/>
        </w:rPr>
        <w:t>100分，评价等级为“优秀”。</w:t>
      </w:r>
    </w:p>
    <w:p w14:paraId="59D4DC23">
      <w:pPr>
        <w:topLinePunct/>
        <w:autoSpaceDE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2"/>
          <w:sz w:val="32"/>
          <w:szCs w:val="32"/>
        </w:rPr>
        <w:t>（三）评价结果应用情况。</w:t>
      </w:r>
      <w:r>
        <w:rPr>
          <w:rFonts w:hint="default" w:ascii="Times New Roman" w:hAnsi="Times New Roman" w:eastAsia="仿宋_GB2312" w:cs="Times New Roman"/>
          <w:sz w:val="32"/>
          <w:szCs w:val="32"/>
        </w:rPr>
        <w:t>我单位制订了《怀化市住房公积金管理中心专项资金管理暂行办法》《怀化市住房公积金管理中心预决算管理办法》等相关文件，单位的项目资金管理均按照上述办法严格执行，项目资金使用实行先收后支、专款专用的原则。在项目实施过程中，严格执行各项资金管理制度，确保资金使用合法、合规、合理。具体包括：严格按照预算安排使用资金，不得擅自调整项目资金用途和支出范围，确需调整的，按照规定程序报批；加强项目资金的财务核算，规范会计科目设置和账务处理，确保资金收支清晰、准确；定期对项目资金的使用情况进行监督检查，及时发现和纠正资金使用过程中存在的问题，严肃查处违规违纪行为。目前未发现挪用、挤占、虚列支出等违规问题。资金拨付审批流程规范，凭证、票据完整，符合财务管理制度要求。</w:t>
      </w:r>
    </w:p>
    <w:p w14:paraId="7EE353C4">
      <w:pPr>
        <w:pStyle w:val="14"/>
        <w:jc w:val="center"/>
        <w:rPr>
          <w:rFonts w:ascii="Times New Roman" w:hAnsi="Times New Roman" w:cs="Times New Roman"/>
          <w:sz w:val="72"/>
          <w:szCs w:val="72"/>
        </w:rPr>
      </w:pPr>
    </w:p>
    <w:p w14:paraId="7E03B80A">
      <w:pPr>
        <w:rPr>
          <w:rFonts w:ascii="Times New Roman" w:hAnsi="Times New Roman" w:cs="Times New Roman"/>
          <w:sz w:val="72"/>
          <w:szCs w:val="72"/>
        </w:rPr>
      </w:pPr>
      <w:r>
        <w:rPr>
          <w:rFonts w:ascii="Times New Roman" w:hAnsi="Times New Roman" w:cs="Times New Roman"/>
          <w:sz w:val="72"/>
          <w:szCs w:val="72"/>
        </w:rPr>
        <w:br w:type="page"/>
      </w:r>
    </w:p>
    <w:p w14:paraId="21E232C0">
      <w:pPr>
        <w:pStyle w:val="14"/>
        <w:jc w:val="both"/>
        <w:rPr>
          <w:rFonts w:ascii="Times New Roman" w:hAnsi="Times New Roman" w:cs="Times New Roman"/>
          <w:sz w:val="72"/>
          <w:szCs w:val="72"/>
        </w:rPr>
      </w:pPr>
    </w:p>
    <w:p w14:paraId="35F81BB1">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764EE1C">
      <w:pPr>
        <w:widowControl/>
        <w:jc w:val="left"/>
        <w:rPr>
          <w:rFonts w:ascii="Times New Roman" w:hAnsi="Times New Roman" w:cs="Times New Roman"/>
          <w:color w:val="000000"/>
          <w:kern w:val="0"/>
          <w:sz w:val="32"/>
          <w:szCs w:val="32"/>
        </w:rPr>
      </w:pPr>
    </w:p>
    <w:p w14:paraId="1344EAC4">
      <w:pPr>
        <w:topLinePunct/>
        <w:autoSpaceDE w:val="0"/>
        <w:spacing w:line="58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w:t>
      </w:r>
      <w:r>
        <w:rPr>
          <w:rFonts w:hint="eastAsia" w:ascii="Times New Roman" w:hAnsi="Times New Roman" w:eastAsia="仿宋_GB2312" w:cs="Times New Roman"/>
          <w:spacing w:val="-6"/>
          <w:sz w:val="32"/>
          <w:szCs w:val="32"/>
        </w:rPr>
        <w:t>暖费、办公用房物业管理费、公务用车运行维护费以及其他费用。</w:t>
      </w:r>
    </w:p>
    <w:p w14:paraId="1FB4677F">
      <w:pPr>
        <w:topLinePunct/>
        <w:autoSpaceDE w:val="0"/>
        <w:spacing w:line="58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37DA13FC">
      <w:pPr>
        <w:topLinePunct/>
        <w:autoSpaceDE w:val="0"/>
        <w:spacing w:line="580" w:lineRule="exact"/>
        <w:ind w:firstLine="640" w:firstLineChars="200"/>
        <w:rPr>
          <w:rFonts w:hint="default" w:ascii="Times New Roman" w:hAnsi="Times New Roman" w:eastAsia="仿宋_GB2312" w:cs="Times New Roman"/>
          <w:sz w:val="32"/>
          <w:szCs w:val="32"/>
        </w:rPr>
      </w:pPr>
    </w:p>
    <w:p w14:paraId="39B5DA89">
      <w:pPr>
        <w:pStyle w:val="14"/>
        <w:jc w:val="center"/>
        <w:rPr>
          <w:rFonts w:ascii="Times New Roman" w:hAnsi="Times New Roman" w:cs="Times New Roman"/>
          <w:sz w:val="72"/>
          <w:szCs w:val="72"/>
        </w:rPr>
      </w:pPr>
    </w:p>
    <w:p w14:paraId="0750E290">
      <w:pPr>
        <w:pStyle w:val="14"/>
        <w:jc w:val="center"/>
        <w:rPr>
          <w:rFonts w:ascii="Times New Roman" w:hAnsi="Times New Roman" w:cs="Times New Roman"/>
          <w:sz w:val="72"/>
          <w:szCs w:val="72"/>
        </w:rPr>
      </w:pPr>
    </w:p>
    <w:p w14:paraId="249FAF45">
      <w:pPr>
        <w:pStyle w:val="14"/>
        <w:jc w:val="both"/>
        <w:rPr>
          <w:rFonts w:ascii="Times New Roman" w:hAnsi="Times New Roman" w:cs="Times New Roman"/>
          <w:sz w:val="72"/>
          <w:szCs w:val="72"/>
        </w:rPr>
      </w:pPr>
    </w:p>
    <w:p w14:paraId="26E21CC0">
      <w:pPr>
        <w:pStyle w:val="14"/>
        <w:jc w:val="both"/>
        <w:rPr>
          <w:rFonts w:ascii="Times New Roman" w:hAnsi="Times New Roman" w:cs="Times New Roman"/>
          <w:sz w:val="52"/>
          <w:szCs w:val="52"/>
        </w:rPr>
      </w:pPr>
    </w:p>
    <w:p w14:paraId="1FC9D0B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801EA34">
      <w:pPr>
        <w:rPr>
          <w:rFonts w:ascii="Times New Roman" w:hAnsi="Times New Roman" w:cs="Times New Roman"/>
          <w:sz w:val="72"/>
          <w:szCs w:val="72"/>
        </w:rPr>
      </w:pPr>
    </w:p>
    <w:p w14:paraId="1FCEF3CB">
      <w:pPr>
        <w:pStyle w:val="14"/>
        <w:spacing w:line="600" w:lineRule="exac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2024年度部门</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单位</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整体支出绩效</w:t>
      </w:r>
    </w:p>
    <w:p w14:paraId="6D8F4151">
      <w:pPr>
        <w:pStyle w:val="14"/>
        <w:spacing w:line="600" w:lineRule="exac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自评报告</w:t>
      </w:r>
    </w:p>
    <w:p w14:paraId="453C4B0D">
      <w:pPr>
        <w:pStyle w:val="14"/>
        <w:spacing w:line="600" w:lineRule="exact"/>
        <w:ind w:firstLine="723" w:firstLineChars="200"/>
        <w:jc w:val="center"/>
        <w:rPr>
          <w:rFonts w:ascii="Times New Roman" w:hAnsi="Times New Roman" w:eastAsia="仿宋_GB2312" w:cs="Times New Roman"/>
          <w:b/>
          <w:bCs/>
          <w:sz w:val="36"/>
          <w:szCs w:val="36"/>
        </w:rPr>
      </w:pPr>
    </w:p>
    <w:p w14:paraId="756C4D32">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2" w:firstLineChars="200"/>
        <w:jc w:val="both"/>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为进一步规范财政资金管理，强化绩效和责任意识，提高财政资金使用效益，根据《怀化市财政局关于开展2024年度市级预算部门绩效自评和部门评价的通知》（怀财绩</w:t>
      </w:r>
      <w:r>
        <w:rPr>
          <w:rFonts w:hint="default" w:ascii="Times New Roman" w:hAnsi="Times New Roman" w:eastAsia="仿宋_GB2312" w:cs="Times New Roman"/>
          <w:spacing w:val="-2"/>
          <w:sz w:val="32"/>
          <w:szCs w:val="32"/>
          <w:lang w:eastAsia="zh-CN"/>
        </w:rPr>
        <w:t>〔2025〕32号</w:t>
      </w:r>
      <w:r>
        <w:rPr>
          <w:rFonts w:hint="default" w:ascii="Times New Roman" w:hAnsi="Times New Roman" w:eastAsia="仿宋_GB2312" w:cs="Times New Roman"/>
          <w:spacing w:val="-2"/>
          <w:sz w:val="32"/>
          <w:szCs w:val="32"/>
        </w:rPr>
        <w:t>）要求，我单位积极组织开展2024年度整体支出绩效自评工作，现将自评情况报告如下：</w:t>
      </w:r>
    </w:p>
    <w:p w14:paraId="32A6FD75">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2" w:firstLineChars="200"/>
        <w:jc w:val="both"/>
        <w:textAlignment w:val="auto"/>
        <w:rPr>
          <w:rFonts w:hint="default" w:ascii="Times New Roman" w:hAnsi="Times New Roman" w:eastAsia="黑体" w:cs="Times New Roman"/>
          <w:b w:val="0"/>
          <w:bCs/>
          <w:spacing w:val="-2"/>
          <w:sz w:val="32"/>
          <w:szCs w:val="32"/>
        </w:rPr>
      </w:pPr>
      <w:r>
        <w:rPr>
          <w:rFonts w:hint="default" w:ascii="Times New Roman" w:hAnsi="Times New Roman" w:eastAsia="黑体" w:cs="Times New Roman"/>
          <w:b w:val="0"/>
          <w:bCs/>
          <w:spacing w:val="-2"/>
          <w:sz w:val="32"/>
          <w:szCs w:val="32"/>
        </w:rPr>
        <w:t>一、部门概况</w:t>
      </w:r>
    </w:p>
    <w:p w14:paraId="46B0CF70">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5" w:firstLineChars="200"/>
        <w:jc w:val="both"/>
        <w:textAlignment w:val="auto"/>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spacing w:val="-2"/>
          <w:sz w:val="32"/>
          <w:szCs w:val="32"/>
        </w:rPr>
        <w:t>（一）部门（单位）基本情况</w:t>
      </w:r>
    </w:p>
    <w:p w14:paraId="7FE4B360">
      <w:pPr>
        <w:pStyle w:val="9"/>
        <w:keepNext w:val="0"/>
        <w:keepLines w:val="0"/>
        <w:pageBreakBefore w:val="0"/>
        <w:widowControl w:val="0"/>
        <w:shd w:val="clear" w:color="auto" w:fill="FFFFFF"/>
        <w:kinsoku/>
        <w:wordWrap/>
        <w:overflowPunct/>
        <w:topLinePunct/>
        <w:autoSpaceDE w:val="0"/>
        <w:autoSpaceDN/>
        <w:bidi w:val="0"/>
        <w:adjustRightInd/>
        <w:snapToGrid w:val="0"/>
        <w:spacing w:before="0" w:beforeAutospacing="0" w:after="0" w:afterAutospacing="0" w:line="600" w:lineRule="exact"/>
        <w:ind w:left="0" w:firstLine="643" w:firstLineChars="200"/>
        <w:jc w:val="both"/>
        <w:textAlignment w:val="auto"/>
        <w:rPr>
          <w:rFonts w:hint="default" w:ascii="Times New Roman" w:hAnsi="Times New Roman" w:eastAsia="仿宋_GB2312" w:cs="Times New Roman"/>
          <w:b/>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lang w:val="en-US" w:eastAsia="zh-CN"/>
        </w:rPr>
        <w:t>1.</w:t>
      </w:r>
      <w:r>
        <w:rPr>
          <w:rFonts w:hint="default" w:ascii="Times New Roman" w:hAnsi="Times New Roman" w:eastAsia="仿宋_GB2312" w:cs="Times New Roman"/>
          <w:b/>
          <w:color w:val="000000"/>
          <w:sz w:val="32"/>
          <w:szCs w:val="32"/>
          <w:shd w:val="clear" w:color="auto" w:fill="FFFFFF"/>
        </w:rPr>
        <w:t>机构设置情况</w:t>
      </w:r>
    </w:p>
    <w:p w14:paraId="150A0030">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怀化市住房公积金管理中心作为一级部门预算单位，内设科室8个：综合部、人事部、财务部、稽核部、资金核算部、科技信息部、政策法规部、网办政务服务部；下设不具备独立法人资格的正科级分支机构15个：市直管理一部、市直管理二部、沅陵县管理部、辰溪县管理部、溆浦县管理部、麻阳苗族自治县管理部、新晃侗族自治县管理部、芷江侗族自治县管理部、鹤城区管理部、中方县管理部、洪江市管理部、洪江区管理部、会同县管理部、靖州苗族侗族自治县管理部、通道侗族自治县管理部。</w:t>
      </w:r>
    </w:p>
    <w:p w14:paraId="1344CCC0">
      <w:pPr>
        <w:pStyle w:val="9"/>
        <w:keepNext w:val="0"/>
        <w:keepLines w:val="0"/>
        <w:pageBreakBefore w:val="0"/>
        <w:widowControl w:val="0"/>
        <w:shd w:val="clear" w:color="auto" w:fill="FFFFFF"/>
        <w:kinsoku/>
        <w:wordWrap/>
        <w:overflowPunct/>
        <w:topLinePunct/>
        <w:autoSpaceDE w:val="0"/>
        <w:autoSpaceDN/>
        <w:bidi w:val="0"/>
        <w:adjustRightInd/>
        <w:snapToGrid w:val="0"/>
        <w:spacing w:before="0" w:beforeAutospacing="0" w:after="0" w:afterAutospacing="0" w:line="600" w:lineRule="exact"/>
        <w:ind w:left="0" w:firstLine="643" w:firstLineChars="200"/>
        <w:jc w:val="both"/>
        <w:textAlignment w:val="auto"/>
        <w:rPr>
          <w:rFonts w:hint="default" w:ascii="Times New Roman" w:hAnsi="Times New Roman" w:eastAsia="仿宋_GB2312" w:cs="Times New Roman"/>
          <w:b/>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lang w:val="en-US" w:eastAsia="zh-CN"/>
        </w:rPr>
        <w:t>2.</w:t>
      </w:r>
      <w:r>
        <w:rPr>
          <w:rFonts w:hint="default" w:ascii="Times New Roman" w:hAnsi="Times New Roman" w:eastAsia="仿宋_GB2312" w:cs="Times New Roman"/>
          <w:b/>
          <w:color w:val="000000"/>
          <w:sz w:val="32"/>
          <w:szCs w:val="32"/>
          <w:shd w:val="clear" w:color="auto" w:fill="FFFFFF"/>
        </w:rPr>
        <w:t>主要职能职责</w:t>
      </w:r>
    </w:p>
    <w:p w14:paraId="6893C730">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Cs/>
          <w:sz w:val="32"/>
          <w:szCs w:val="32"/>
        </w:rPr>
        <w:t>怀化市住房公积金管理中心（以下简称市住房公积金管理中心）为市人民政府直属公益一类事业单位，机构规格相当于正处级。市住房公积金管理中心贯彻落实党中央和省委关于住房公积金管理工作的方针政策和决策部署，全面落实市委市政府关于住房公积金管理工作的部署要求，在履行职责过程中坚</w:t>
      </w:r>
      <w:r>
        <w:rPr>
          <w:rFonts w:hint="default" w:ascii="Times New Roman" w:hAnsi="Times New Roman" w:eastAsia="仿宋_GB2312" w:cs="Times New Roman"/>
          <w:bCs/>
          <w:spacing w:val="-11"/>
          <w:sz w:val="32"/>
          <w:szCs w:val="32"/>
        </w:rPr>
        <w:t>持和加强党对住房公积金管理工作的集中统一领导。主要职责是：</w:t>
      </w:r>
    </w:p>
    <w:p w14:paraId="631A1EF9">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sz w:val="32"/>
          <w:szCs w:val="32"/>
        </w:rPr>
        <w:t>贯彻执行国家、省、市关于住房公积金管理的法律法规、政策规定；拟订全市住房公积金事业发展规划；负责住房公积金制度的宣传、建立和推广；负责全市住房公积金的管理运作。</w:t>
      </w:r>
    </w:p>
    <w:p w14:paraId="248625BF">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拟订全市住房公积金业务操作规程、实施细则并组织实施；对住房公积金管理的法规政策、规章制度执行情况进行监督，对违规行为进行处理。</w:t>
      </w:r>
    </w:p>
    <w:p w14:paraId="0310181E">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sz w:val="32"/>
          <w:szCs w:val="32"/>
        </w:rPr>
        <w:t xml:space="preserve">编制、执行全市住房公积金年度归集、使用计划；编制全市住房公积金年度归集、使用计划执行情况报告和增值收益分配方案，经市财政部门审核，报管委会审议后执行。  </w:t>
      </w:r>
    </w:p>
    <w:p w14:paraId="52B27D4E">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编制全市住房公积金年度预决算，经市财政部门审核，报管委会审议后执行。</w:t>
      </w:r>
    </w:p>
    <w:p w14:paraId="6A64A997">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编制住房公积金年度报告，经管委会审议后定期向社会公布。</w:t>
      </w:r>
    </w:p>
    <w:p w14:paraId="3C018050">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定期核定、调整全市住房公积金的缴存基数、缴存比例，督促缴存单位和个人按时足额缴纳住房公积金；负责记载职工个人住房公积金的缴存、使用、转移、封存、冻结、账户注销等情况以及与缴存单位、个人定期对账。</w:t>
      </w:r>
    </w:p>
    <w:p w14:paraId="5510AD16">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审核单位降低住房公积金缴存比例或者缓缴的申请，报管委会批准后执行。</w:t>
      </w:r>
    </w:p>
    <w:p w14:paraId="48DE2F7F">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审批个人住房公积金的提取、贷款。</w:t>
      </w:r>
    </w:p>
    <w:p w14:paraId="215E2EF3">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9</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负责住房公积金的保值增值和归还。</w:t>
      </w:r>
    </w:p>
    <w:p w14:paraId="52A1C606">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10</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依规办理全市住房公积金呆账核销工作。</w:t>
      </w:r>
    </w:p>
    <w:p w14:paraId="40245553">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11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pacing w:val="-11"/>
          <w:sz w:val="32"/>
          <w:szCs w:val="32"/>
        </w:rPr>
        <w:t>负责市本级原房改房住房基金及维修基金的管理工作。</w:t>
      </w:r>
    </w:p>
    <w:p w14:paraId="282F30C3">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12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负责建设、维护、管理全市住房公积金业务管理信息系统，建立健全住房公积金业务信息系统互联互通和信息资源共享机制。</w:t>
      </w:r>
    </w:p>
    <w:p w14:paraId="46186212">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13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负责全市住房公积金管理系统思想政治建设、组织文化建设和队伍建设，提高全市住房公积金管理人员的业务能力和综合素质。</w:t>
      </w:r>
    </w:p>
    <w:p w14:paraId="1CA4F0A1">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14</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负责对各县市区管理部人、财、物的全面管理，直接负责全市住房公积金管理系统人员招录、中层及以下工作人员的考察任免事项。</w:t>
      </w:r>
    </w:p>
    <w:p w14:paraId="05C481B5">
      <w:pPr>
        <w:keepNext w:val="0"/>
        <w:keepLines w:val="0"/>
        <w:pageBreakBefore w:val="0"/>
        <w:widowControl w:val="0"/>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15</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承办市委、市政府交办的其他工作。</w:t>
      </w:r>
    </w:p>
    <w:p w14:paraId="11E06934">
      <w:pPr>
        <w:pStyle w:val="9"/>
        <w:keepNext w:val="0"/>
        <w:keepLines w:val="0"/>
        <w:pageBreakBefore w:val="0"/>
        <w:widowControl w:val="0"/>
        <w:shd w:val="clear" w:color="auto" w:fill="FFFFFF"/>
        <w:kinsoku/>
        <w:wordWrap/>
        <w:overflowPunct/>
        <w:topLinePunct/>
        <w:autoSpaceDE w:val="0"/>
        <w:autoSpaceDN/>
        <w:bidi w:val="0"/>
        <w:adjustRightInd/>
        <w:snapToGrid w:val="0"/>
        <w:spacing w:before="0" w:beforeAutospacing="0" w:after="0" w:afterAutospacing="0" w:line="600" w:lineRule="exact"/>
        <w:ind w:left="0" w:firstLine="643" w:firstLineChars="200"/>
        <w:jc w:val="both"/>
        <w:textAlignment w:val="auto"/>
        <w:rPr>
          <w:rFonts w:hint="default" w:ascii="Times New Roman" w:hAnsi="Times New Roman" w:eastAsia="仿宋_GB2312" w:cs="Times New Roman"/>
          <w:b/>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lang w:val="en-US" w:eastAsia="zh-CN"/>
        </w:rPr>
        <w:t>3.</w:t>
      </w:r>
      <w:r>
        <w:rPr>
          <w:rFonts w:hint="default" w:ascii="Times New Roman" w:hAnsi="Times New Roman" w:eastAsia="仿宋_GB2312" w:cs="Times New Roman"/>
          <w:b/>
          <w:color w:val="000000"/>
          <w:sz w:val="32"/>
          <w:szCs w:val="32"/>
          <w:shd w:val="clear" w:color="auto" w:fill="FFFFFF"/>
        </w:rPr>
        <w:t>绩效目标设定情况</w:t>
      </w:r>
    </w:p>
    <w:p w14:paraId="5FC4D5EA">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全市计划归集住房公积金44.05亿元，增长6%。全市计划发放职工个人住房公积金贷款10.2亿元，个贷率维持在70%左右，逾期率控制在0.03%以内，全市计划完成住房公积金增值收益25650万元,提取机构管理经费3346.35万元，增值收益除提取风险准备金和住房公积金管理中心管理费用后全部上缴国库，按规定用途使用。</w:t>
      </w:r>
    </w:p>
    <w:p w14:paraId="75E8AE2C">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5" w:firstLineChars="200"/>
        <w:jc w:val="both"/>
        <w:textAlignment w:val="auto"/>
        <w:rPr>
          <w:rFonts w:hint="default" w:ascii="Times New Roman" w:hAnsi="Times New Roman" w:eastAsia="楷体_GB2312" w:cs="Times New Roman"/>
          <w:b/>
          <w:bCs w:val="0"/>
          <w:spacing w:val="-2"/>
          <w:sz w:val="32"/>
          <w:szCs w:val="32"/>
        </w:rPr>
      </w:pPr>
      <w:r>
        <w:rPr>
          <w:rFonts w:hint="default" w:ascii="Times New Roman" w:hAnsi="Times New Roman" w:eastAsia="楷体_GB2312" w:cs="Times New Roman"/>
          <w:b/>
          <w:bCs w:val="0"/>
          <w:spacing w:val="-2"/>
          <w:sz w:val="32"/>
          <w:szCs w:val="32"/>
        </w:rPr>
        <w:t>（二）部门（单位）整体支出规模、使用方向和主要内容、涉及范围</w:t>
      </w:r>
    </w:p>
    <w:p w14:paraId="2A4513F2">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根据《怀化市财政局关于批复下达2024年市直部门预算的通知》（怀财预</w:t>
      </w:r>
      <w:r>
        <w:rPr>
          <w:rFonts w:hint="default" w:ascii="Times New Roman" w:hAnsi="Times New Roman" w:eastAsia="仿宋_GB2312" w:cs="Times New Roman"/>
          <w:sz w:val="32"/>
          <w:szCs w:val="32"/>
          <w:lang w:eastAsia="zh-CN"/>
        </w:rPr>
        <w:t>〔2024〕5号</w:t>
      </w:r>
      <w:r>
        <w:rPr>
          <w:rFonts w:hint="default" w:ascii="Times New Roman" w:hAnsi="Times New Roman" w:eastAsia="仿宋_GB2312" w:cs="Times New Roman"/>
          <w:sz w:val="32"/>
          <w:szCs w:val="32"/>
        </w:rPr>
        <w:t>），本部门年初预算总计3346.35万元。其中：基本支出预算1756.78万元，项目支出预算1589.57万元。</w:t>
      </w:r>
    </w:p>
    <w:p w14:paraId="1E5037D1">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2024年管委会主任办公会议审议，在2024年年初预算的基础上，调减项目支出513.90万元，调整后预算为2832.45万元，其中：基本支出1756.78万元，项目支出1075.67万元，加上年初结转项目15.87万元和行政政法科下达的项目资金机房入云50万元和人才引进补贴2.40万元，全年调整预算数为2900.71万元。</w:t>
      </w:r>
    </w:p>
    <w:p w14:paraId="2808F96C">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2" w:firstLineChars="200"/>
        <w:jc w:val="both"/>
        <w:textAlignment w:val="auto"/>
        <w:rPr>
          <w:rFonts w:hint="default" w:ascii="Times New Roman" w:hAnsi="Times New Roman" w:eastAsia="黑体" w:cs="Times New Roman"/>
          <w:b w:val="0"/>
          <w:bCs/>
          <w:spacing w:val="-2"/>
          <w:sz w:val="32"/>
          <w:szCs w:val="32"/>
        </w:rPr>
      </w:pPr>
      <w:r>
        <w:rPr>
          <w:rFonts w:hint="default" w:ascii="Times New Roman" w:hAnsi="Times New Roman" w:eastAsia="黑体" w:cs="Times New Roman"/>
          <w:b w:val="0"/>
          <w:bCs/>
          <w:spacing w:val="-2"/>
          <w:sz w:val="32"/>
          <w:szCs w:val="32"/>
        </w:rPr>
        <w:t>二、一般公共预算支出情况</w:t>
      </w:r>
    </w:p>
    <w:p w14:paraId="04701A6C">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5" w:firstLineChars="200"/>
        <w:jc w:val="both"/>
        <w:textAlignment w:val="auto"/>
        <w:rPr>
          <w:rFonts w:hint="default" w:ascii="Times New Roman" w:hAnsi="Times New Roman" w:eastAsia="楷体_GB2312" w:cs="Times New Roman"/>
          <w:b/>
          <w:bCs w:val="0"/>
          <w:spacing w:val="-2"/>
          <w:sz w:val="32"/>
          <w:szCs w:val="32"/>
        </w:rPr>
      </w:pPr>
      <w:r>
        <w:rPr>
          <w:rFonts w:hint="default" w:ascii="Times New Roman" w:hAnsi="Times New Roman" w:eastAsia="楷体_GB2312" w:cs="Times New Roman"/>
          <w:b/>
          <w:bCs w:val="0"/>
          <w:spacing w:val="-2"/>
          <w:sz w:val="32"/>
          <w:szCs w:val="32"/>
        </w:rPr>
        <w:t>（一）基本支出</w:t>
      </w:r>
    </w:p>
    <w:p w14:paraId="19FD87EC">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2024年下达我单位基本支出预算收入1756.78万元， 2024年我单位发生基本支出1743.92万元,其中：人员经费支出1473.02万元，包含工资福利支出1404.59万元，对个人和家庭的补助68.43万元，用于保障单位在职人员工资福利及退休人员生活补助等；公用经费支出270.90万元，包含商品和服务支出270.13万元，资本性支出0.77万元，用于保障单位日常运转。</w:t>
      </w:r>
    </w:p>
    <w:p w14:paraId="5D23B9F3">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color w:val="666666"/>
          <w:sz w:val="32"/>
          <w:szCs w:val="32"/>
        </w:rPr>
      </w:pPr>
      <w:r>
        <w:rPr>
          <w:rFonts w:hint="default" w:ascii="Times New Roman" w:hAnsi="Times New Roman" w:eastAsia="仿宋_GB2312" w:cs="Times New Roman"/>
          <w:sz w:val="32"/>
          <w:szCs w:val="32"/>
        </w:rPr>
        <w:t>基本支出主要用于中心正常运转、完成工作发生的各项支出，包括基本工资、津贴补贴、绩效工资等人员经费和办公费、差旅费、印刷费、水电费、会议费、培训费、公务用车运行维护等日常公用经费以及对个人和家庭的补助支出。</w:t>
      </w:r>
    </w:p>
    <w:p w14:paraId="32B6E6BC">
      <w:pPr>
        <w:pStyle w:val="9"/>
        <w:keepNext w:val="0"/>
        <w:keepLines w:val="0"/>
        <w:pageBreakBefore w:val="0"/>
        <w:widowControl w:val="0"/>
        <w:shd w:val="clear" w:color="auto" w:fill="FFFFFF"/>
        <w:kinsoku/>
        <w:wordWrap/>
        <w:overflowPunct/>
        <w:topLinePunct/>
        <w:autoSpaceDE w:val="0"/>
        <w:autoSpaceDN/>
        <w:bidi w:val="0"/>
        <w:adjustRightInd/>
        <w:snapToGrid w:val="0"/>
        <w:spacing w:before="0" w:beforeAutospacing="0" w:after="0" w:afterAutospacing="0" w:line="600" w:lineRule="exact"/>
        <w:ind w:left="0" w:firstLine="640" w:firstLineChars="200"/>
        <w:jc w:val="both"/>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sz w:val="32"/>
          <w:szCs w:val="32"/>
        </w:rPr>
        <w:t>我单位中心机关、管理部财务支出实行“统一管理、统一制度、统一核算”的原则。中心机关、管理部的人员经费由中心统一管理。人员经费严格按照相关文件标准、范围控制，不超标准、超范围发放工资、奖金，按时、足额、准确发放每月工资。</w:t>
      </w:r>
    </w:p>
    <w:p w14:paraId="4F8F4227">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管理方面，严格执行中央“八项规定”、纠“四风”要求和省委“九项规定”及市委市政府的有关规定，全面贯彻落实《党政机关厉行节约反对浪费条例》，树立过“紧日子”思想，厉行节约，严格控制各项公用经费开支。中心每年年初按财政批复的预算确定各管理部公用费用指标，管理部按照中心下达的公用经费预算执行，费用支出控制在每一项指标内，严禁先斩后奏和超预算支出。</w:t>
      </w:r>
    </w:p>
    <w:p w14:paraId="21BAEE58">
      <w:pPr>
        <w:pStyle w:val="9"/>
        <w:keepNext w:val="0"/>
        <w:keepLines w:val="0"/>
        <w:pageBreakBefore w:val="0"/>
        <w:widowControl w:val="0"/>
        <w:shd w:val="clear" w:color="auto" w:fill="FFFFFF"/>
        <w:kinsoku/>
        <w:wordWrap/>
        <w:overflowPunct/>
        <w:topLinePunct/>
        <w:autoSpaceDE w:val="0"/>
        <w:autoSpaceDN/>
        <w:bidi w:val="0"/>
        <w:adjustRightInd/>
        <w:snapToGrid w:val="0"/>
        <w:spacing w:before="0" w:beforeAutospacing="0" w:after="0" w:afterAutospacing="0" w:line="600" w:lineRule="exact"/>
        <w:ind w:left="0" w:firstLine="643" w:firstLineChars="200"/>
        <w:jc w:val="both"/>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shd w:val="clear" w:color="auto" w:fill="FFFFFF"/>
          <w:lang w:eastAsia="zh-CN"/>
        </w:rPr>
        <w:t>“</w:t>
      </w:r>
      <w:r>
        <w:rPr>
          <w:rFonts w:hint="default" w:ascii="Times New Roman" w:hAnsi="Times New Roman" w:eastAsia="仿宋_GB2312" w:cs="Times New Roman"/>
          <w:b/>
          <w:color w:val="000000"/>
          <w:sz w:val="32"/>
          <w:szCs w:val="32"/>
          <w:shd w:val="clear" w:color="auto" w:fill="FFFFFF"/>
        </w:rPr>
        <w:t>三公</w:t>
      </w:r>
      <w:r>
        <w:rPr>
          <w:rFonts w:hint="default" w:ascii="Times New Roman" w:hAnsi="Times New Roman" w:eastAsia="仿宋_GB2312" w:cs="Times New Roman"/>
          <w:b/>
          <w:color w:val="000000"/>
          <w:sz w:val="32"/>
          <w:szCs w:val="32"/>
          <w:shd w:val="clear" w:color="auto" w:fill="FFFFFF"/>
          <w:lang w:eastAsia="zh-CN"/>
        </w:rPr>
        <w:t>”</w:t>
      </w:r>
      <w:r>
        <w:rPr>
          <w:rFonts w:hint="default" w:ascii="Times New Roman" w:hAnsi="Times New Roman" w:eastAsia="仿宋_GB2312" w:cs="Times New Roman"/>
          <w:b/>
          <w:color w:val="000000"/>
          <w:sz w:val="32"/>
          <w:szCs w:val="32"/>
          <w:shd w:val="clear" w:color="auto" w:fill="FFFFFF"/>
        </w:rPr>
        <w:t>经费使用和管理情况</w:t>
      </w:r>
    </w:p>
    <w:p w14:paraId="17B422FE">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推进“三公”经费管理制度化、规范化、程序化，严格落实“三公”经费管理各项要求。2024年我单位</w:t>
      </w:r>
      <w:r>
        <w:rPr>
          <w:rFonts w:hint="default" w:ascii="Times New Roman" w:hAnsi="Times New Roman" w:eastAsia="仿宋_GB2312" w:cs="Times New Roman"/>
          <w:sz w:val="32"/>
          <w:szCs w:val="32"/>
          <w:lang w:eastAsia="zh-CN"/>
        </w:rPr>
        <w:t>“三公”经费</w:t>
      </w:r>
      <w:r>
        <w:rPr>
          <w:rFonts w:hint="default" w:ascii="Times New Roman" w:hAnsi="Times New Roman" w:eastAsia="仿宋_GB2312" w:cs="Times New Roman"/>
          <w:sz w:val="32"/>
          <w:szCs w:val="32"/>
        </w:rPr>
        <w:t>支出27.61万元，比上年增加2.35万元，增幅为9.30%，其中：因公出国（境）费0万元，与上年一致；公务用车购置及运行费26.82万元，比上年增加2.15万元，增幅为8.72%</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公务接待费0.79万元，比上年增加0.19万元，增幅为31.67%。</w:t>
      </w:r>
      <w:r>
        <w:rPr>
          <w:rFonts w:hint="default" w:ascii="Times New Roman" w:hAnsi="Times New Roman" w:eastAsia="仿宋_GB2312" w:cs="Times New Roman"/>
          <w:color w:val="000000"/>
          <w:sz w:val="32"/>
          <w:szCs w:val="32"/>
        </w:rPr>
        <w:t>增加原因主要在于：本年内市州中心间工作交流频次增多，公务用车频率增多导致</w:t>
      </w:r>
      <w:r>
        <w:rPr>
          <w:rFonts w:hint="default" w:ascii="Times New Roman" w:hAnsi="Times New Roman" w:eastAsia="仿宋_GB2312" w:cs="Times New Roman"/>
          <w:color w:val="000000"/>
          <w:sz w:val="32"/>
          <w:szCs w:val="32"/>
          <w:lang w:eastAsia="zh-CN"/>
        </w:rPr>
        <w:t>“三公”经费</w:t>
      </w:r>
      <w:r>
        <w:rPr>
          <w:rFonts w:hint="default" w:ascii="Times New Roman" w:hAnsi="Times New Roman" w:eastAsia="仿宋_GB2312" w:cs="Times New Roman"/>
          <w:color w:val="000000"/>
          <w:sz w:val="32"/>
          <w:szCs w:val="32"/>
        </w:rPr>
        <w:t>较上年度有所增加。</w:t>
      </w:r>
    </w:p>
    <w:p w14:paraId="4209854C">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5" w:firstLineChars="200"/>
        <w:jc w:val="both"/>
        <w:textAlignment w:val="auto"/>
        <w:rPr>
          <w:rFonts w:hint="default" w:ascii="Times New Roman" w:hAnsi="Times New Roman" w:eastAsia="楷体_GB2312" w:cs="Times New Roman"/>
          <w:b/>
          <w:bCs w:val="0"/>
          <w:spacing w:val="-2"/>
          <w:sz w:val="32"/>
          <w:szCs w:val="32"/>
        </w:rPr>
      </w:pPr>
      <w:r>
        <w:rPr>
          <w:rFonts w:hint="default" w:ascii="Times New Roman" w:hAnsi="Times New Roman" w:eastAsia="楷体_GB2312" w:cs="Times New Roman"/>
          <w:b/>
          <w:bCs w:val="0"/>
          <w:spacing w:val="-2"/>
          <w:sz w:val="32"/>
          <w:szCs w:val="32"/>
        </w:rPr>
        <w:t>（二）项目支出</w:t>
      </w:r>
    </w:p>
    <w:p w14:paraId="0D4272BD">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我中心是纳入部门预算的自收自支公益一类事业单位，专项资金性质是财政资金，来源为自筹资金。</w:t>
      </w:r>
    </w:p>
    <w:p w14:paraId="0A13FE46">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2024年年初预算安排专项资金1589.57万元，</w:t>
      </w:r>
      <w:r>
        <w:rPr>
          <w:rFonts w:hint="default" w:ascii="Times New Roman" w:hAnsi="Times New Roman" w:eastAsia="仿宋_GB2312" w:cs="Times New Roman"/>
          <w:color w:val="FF0000"/>
          <w:sz w:val="32"/>
          <w:szCs w:val="32"/>
        </w:rPr>
        <w:t xml:space="preserve"> </w:t>
      </w:r>
      <w:r>
        <w:rPr>
          <w:rFonts w:hint="default" w:ascii="Times New Roman" w:hAnsi="Times New Roman" w:eastAsia="仿宋_GB2312" w:cs="Times New Roman"/>
          <w:sz w:val="32"/>
          <w:szCs w:val="32"/>
        </w:rPr>
        <w:t>2024年调整预算后安排下达专项资金1143.94万元，实际支出1085.48万元，一共涉及28个项目。其中：本年安排项目支出1069.61万元，以前年度项目支出15.87万元。</w:t>
      </w:r>
    </w:p>
    <w:p w14:paraId="1B61D9ED">
      <w:pPr>
        <w:pStyle w:val="20"/>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制订了《怀化市住房公积金管理中心专项资金管理暂行办法》《怀化市住房公积金管理中心预决算管理办法》等，单位的项目资金管理均按照上述办法严格执行，项目资金使用实行先收后支、专款专用的原则。</w:t>
      </w:r>
    </w:p>
    <w:p w14:paraId="34C575B5">
      <w:pPr>
        <w:pStyle w:val="20"/>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黑体" w:cs="Times New Roman"/>
          <w:b w:val="0"/>
          <w:bCs/>
          <w:spacing w:val="-2"/>
          <w:sz w:val="32"/>
          <w:szCs w:val="32"/>
        </w:rPr>
      </w:pPr>
      <w:r>
        <w:rPr>
          <w:rFonts w:hint="default" w:ascii="Times New Roman" w:hAnsi="Times New Roman" w:eastAsia="仿宋_GB2312" w:cs="Times New Roman"/>
          <w:sz w:val="32"/>
          <w:szCs w:val="32"/>
        </w:rPr>
        <w:t>专项资金使用实行申报制度。根据预算批复文件，专项资金在预算金额内专款专用。需要使用专项资金时，由项目管理部门向财务部提交有关专项资金用款计划，项目实施有关文件及领导批示等文本资料。财务部门根据上述文本资料进行初审，报财务主管领导审批后提交到财政归口科室审核，经财政下指标后,按照项目进度及合同约定支付。</w:t>
      </w:r>
    </w:p>
    <w:p w14:paraId="7BF227F9">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2" w:firstLineChars="200"/>
        <w:jc w:val="both"/>
        <w:textAlignment w:val="auto"/>
        <w:rPr>
          <w:rFonts w:hint="default" w:ascii="Times New Roman" w:hAnsi="Times New Roman" w:eastAsia="黑体" w:cs="Times New Roman"/>
          <w:b w:val="0"/>
          <w:bCs/>
          <w:spacing w:val="-2"/>
          <w:sz w:val="32"/>
          <w:szCs w:val="32"/>
        </w:rPr>
      </w:pPr>
      <w:r>
        <w:rPr>
          <w:rFonts w:hint="default" w:ascii="Times New Roman" w:hAnsi="Times New Roman" w:eastAsia="黑体" w:cs="Times New Roman"/>
          <w:b w:val="0"/>
          <w:bCs/>
          <w:spacing w:val="-2"/>
          <w:sz w:val="32"/>
          <w:szCs w:val="32"/>
        </w:rPr>
        <w:t>三、项目组织实施情况</w:t>
      </w:r>
    </w:p>
    <w:p w14:paraId="6364712C">
      <w:pPr>
        <w:pStyle w:val="20"/>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按照“申报-审批-实施-验收”流程推进。由项目部门按照年初财政下达的项目资金预算来进行采购，经党委会会议通过后实行，并按照政府采购程序签订合同。项目实施验收完成后，由项目部门向财务部提交有关项目报销附件。财务部门根据上述报销资料进行初审，报财务分管领导审批后提交到财政归口科室审核，经财政下指标后,按照项目进度及合同约定支付。资金支出严格执行“三重一大”决策制度，严格按照专款专用原则支付项目资金。</w:t>
      </w:r>
    </w:p>
    <w:p w14:paraId="61CF45B5">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2" w:firstLineChars="200"/>
        <w:jc w:val="both"/>
        <w:textAlignment w:val="auto"/>
        <w:rPr>
          <w:rFonts w:hint="default" w:ascii="Times New Roman" w:hAnsi="Times New Roman" w:eastAsia="黑体" w:cs="Times New Roman"/>
          <w:b w:val="0"/>
          <w:bCs/>
          <w:spacing w:val="-2"/>
          <w:sz w:val="32"/>
          <w:szCs w:val="32"/>
        </w:rPr>
      </w:pPr>
      <w:r>
        <w:rPr>
          <w:rFonts w:hint="default" w:ascii="Times New Roman" w:hAnsi="Times New Roman" w:eastAsia="黑体" w:cs="Times New Roman"/>
          <w:b w:val="0"/>
          <w:bCs/>
          <w:spacing w:val="-2"/>
          <w:sz w:val="32"/>
          <w:szCs w:val="32"/>
        </w:rPr>
        <w:t>四、资产管理情况</w:t>
      </w:r>
    </w:p>
    <w:p w14:paraId="5664EA04">
      <w:pPr>
        <w:keepNext w:val="0"/>
        <w:keepLines w:val="0"/>
        <w:pageBreakBefore w:val="0"/>
        <w:widowControl w:val="0"/>
        <w:kinsoku/>
        <w:wordWrap/>
        <w:overflowPunct/>
        <w:topLinePunct/>
        <w:autoSpaceDE w:val="0"/>
        <w:autoSpaceDN/>
        <w:bidi w:val="0"/>
        <w:adjustRightIn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资产配置、管理、处置程序严格遵循各项要求。 资产配置有预算，各部门购置固定资产时，需事先向综合部申报。综合部根据存量资产的使用情况、预算上限及配置标准，按照能内部调剂优先调剂使用，确需采购从严从紧购置的原则来进行资产配置。经机关事务局或财政部门资产科审批后进行采购。在资产购置验收环节，由综合部会同财务部、机关纪委专人联合验收，涉及信息类的软硬件购置要求科技信息部一同参与验收。资产处置严格按财政部令第36号、第71号、第68号的规定执行。未达到最低使用年限的资产，不得处置更新，因规定技术指标无法使用、损坏无法修复等需要提前报废的资产，国家有规定的，由职能部门出具鉴定意见；暂未规定的，应经综合部和科技信息部鉴定，并严格按照资产处置有关规定办理审批手续。已达到规定使用年限，但尚可继续使用的资产，应继续使用，充分发挥国有资产的使用效益。</w:t>
      </w:r>
    </w:p>
    <w:p w14:paraId="5D3A88DD">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2" w:firstLineChars="200"/>
        <w:jc w:val="both"/>
        <w:textAlignment w:val="auto"/>
        <w:rPr>
          <w:rFonts w:hint="default" w:ascii="Times New Roman" w:hAnsi="Times New Roman" w:eastAsia="黑体" w:cs="Times New Roman"/>
          <w:b w:val="0"/>
          <w:bCs/>
          <w:spacing w:val="-2"/>
          <w:sz w:val="32"/>
          <w:szCs w:val="32"/>
        </w:rPr>
      </w:pPr>
      <w:r>
        <w:rPr>
          <w:rFonts w:hint="default" w:ascii="Times New Roman" w:hAnsi="Times New Roman" w:eastAsia="黑体" w:cs="Times New Roman"/>
          <w:b w:val="0"/>
          <w:bCs/>
          <w:spacing w:val="-2"/>
          <w:sz w:val="32"/>
          <w:szCs w:val="32"/>
        </w:rPr>
        <w:t>五、政府性基金预算支出情况</w:t>
      </w:r>
    </w:p>
    <w:p w14:paraId="139BBCB1">
      <w:pPr>
        <w:pStyle w:val="9"/>
        <w:keepNext w:val="0"/>
        <w:keepLines w:val="0"/>
        <w:pageBreakBefore w:val="0"/>
        <w:widowControl w:val="0"/>
        <w:shd w:val="clear" w:color="auto" w:fill="FFFFFF"/>
        <w:kinsoku/>
        <w:wordWrap/>
        <w:overflowPunct/>
        <w:topLinePunct/>
        <w:autoSpaceDE w:val="0"/>
        <w:autoSpaceDN/>
        <w:bidi w:val="0"/>
        <w:adjustRightInd/>
        <w:snapToGrid w:val="0"/>
        <w:spacing w:before="0" w:beforeAutospacing="0" w:after="0" w:afterAutospacing="0" w:line="600" w:lineRule="exact"/>
        <w:ind w:lef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无。</w:t>
      </w:r>
    </w:p>
    <w:p w14:paraId="21E7F256">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2" w:firstLineChars="200"/>
        <w:jc w:val="both"/>
        <w:textAlignment w:val="auto"/>
        <w:rPr>
          <w:rFonts w:hint="default" w:ascii="Times New Roman" w:hAnsi="Times New Roman" w:eastAsia="黑体" w:cs="Times New Roman"/>
          <w:b w:val="0"/>
          <w:bCs/>
          <w:spacing w:val="-2"/>
          <w:sz w:val="32"/>
          <w:szCs w:val="32"/>
        </w:rPr>
      </w:pPr>
      <w:r>
        <w:rPr>
          <w:rFonts w:hint="default" w:ascii="Times New Roman" w:hAnsi="Times New Roman" w:eastAsia="黑体" w:cs="Times New Roman"/>
          <w:b w:val="0"/>
          <w:bCs/>
          <w:spacing w:val="-2"/>
          <w:sz w:val="32"/>
          <w:szCs w:val="32"/>
        </w:rPr>
        <w:t>六、国有资本经营预算支出情况</w:t>
      </w:r>
    </w:p>
    <w:p w14:paraId="2A881FA7">
      <w:pPr>
        <w:pStyle w:val="9"/>
        <w:keepNext w:val="0"/>
        <w:keepLines w:val="0"/>
        <w:pageBreakBefore w:val="0"/>
        <w:widowControl w:val="0"/>
        <w:shd w:val="clear" w:color="auto" w:fill="FFFFFF"/>
        <w:kinsoku/>
        <w:wordWrap/>
        <w:overflowPunct/>
        <w:topLinePunct/>
        <w:autoSpaceDE w:val="0"/>
        <w:autoSpaceDN/>
        <w:bidi w:val="0"/>
        <w:adjustRightInd/>
        <w:snapToGrid w:val="0"/>
        <w:spacing w:before="0" w:beforeAutospacing="0" w:after="0" w:afterAutospacing="0" w:line="600" w:lineRule="exact"/>
        <w:ind w:lef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无。</w:t>
      </w:r>
    </w:p>
    <w:p w14:paraId="49EA90AC">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2" w:firstLineChars="200"/>
        <w:jc w:val="both"/>
        <w:textAlignment w:val="auto"/>
        <w:rPr>
          <w:rFonts w:hint="default" w:ascii="Times New Roman" w:hAnsi="Times New Roman" w:eastAsia="黑体" w:cs="Times New Roman"/>
          <w:b w:val="0"/>
          <w:bCs/>
          <w:spacing w:val="-2"/>
          <w:sz w:val="32"/>
          <w:szCs w:val="32"/>
        </w:rPr>
      </w:pPr>
      <w:r>
        <w:rPr>
          <w:rFonts w:hint="default" w:ascii="Times New Roman" w:hAnsi="Times New Roman" w:eastAsia="黑体" w:cs="Times New Roman"/>
          <w:b w:val="0"/>
          <w:bCs/>
          <w:spacing w:val="-2"/>
          <w:sz w:val="32"/>
          <w:szCs w:val="32"/>
        </w:rPr>
        <w:t>七、社会保险基金预算支出情况</w:t>
      </w:r>
    </w:p>
    <w:p w14:paraId="738871C1">
      <w:pPr>
        <w:pStyle w:val="9"/>
        <w:keepNext w:val="0"/>
        <w:keepLines w:val="0"/>
        <w:pageBreakBefore w:val="0"/>
        <w:widowControl w:val="0"/>
        <w:shd w:val="clear" w:color="auto" w:fill="FFFFFF"/>
        <w:kinsoku/>
        <w:wordWrap/>
        <w:overflowPunct/>
        <w:topLinePunct/>
        <w:autoSpaceDE w:val="0"/>
        <w:autoSpaceDN/>
        <w:bidi w:val="0"/>
        <w:adjustRightInd/>
        <w:snapToGrid w:val="0"/>
        <w:spacing w:before="0" w:beforeAutospacing="0" w:after="0" w:afterAutospacing="0" w:line="600" w:lineRule="exact"/>
        <w:ind w:lef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无。</w:t>
      </w:r>
    </w:p>
    <w:p w14:paraId="5DDD1287">
      <w:pPr>
        <w:keepNext w:val="0"/>
        <w:keepLines w:val="0"/>
        <w:pageBreakBefore w:val="0"/>
        <w:widowControl w:val="0"/>
        <w:shd w:val="clear" w:color="auto" w:fill="FFFFFF"/>
        <w:kinsoku/>
        <w:wordWrap/>
        <w:overflowPunct/>
        <w:topLinePunct/>
        <w:autoSpaceDE w:val="0"/>
        <w:autoSpaceDN/>
        <w:bidi w:val="0"/>
        <w:adjustRightInd/>
        <w:spacing w:line="600" w:lineRule="exact"/>
        <w:ind w:left="0" w:firstLine="632" w:firstLineChars="200"/>
        <w:jc w:val="both"/>
        <w:textAlignment w:val="auto"/>
        <w:rPr>
          <w:rFonts w:hint="default" w:ascii="Times New Roman" w:hAnsi="Times New Roman" w:eastAsia="黑体" w:cs="Times New Roman"/>
          <w:b w:val="0"/>
          <w:bCs/>
          <w:spacing w:val="-2"/>
          <w:sz w:val="32"/>
          <w:szCs w:val="32"/>
        </w:rPr>
      </w:pPr>
      <w:r>
        <w:rPr>
          <w:rFonts w:hint="default" w:ascii="Times New Roman" w:hAnsi="Times New Roman" w:eastAsia="黑体" w:cs="Times New Roman"/>
          <w:b w:val="0"/>
          <w:bCs/>
          <w:spacing w:val="-2"/>
          <w:sz w:val="32"/>
          <w:szCs w:val="32"/>
        </w:rPr>
        <w:t>八、部门整体支出绩效情况</w:t>
      </w:r>
    </w:p>
    <w:p w14:paraId="514F31B4">
      <w:pPr>
        <w:pStyle w:val="9"/>
        <w:keepNext w:val="0"/>
        <w:keepLines w:val="0"/>
        <w:pageBreakBefore w:val="0"/>
        <w:widowControl w:val="0"/>
        <w:shd w:val="clear" w:color="auto" w:fill="FFFFFF"/>
        <w:kinsoku/>
        <w:wordWrap/>
        <w:overflowPunct/>
        <w:topLinePunct/>
        <w:autoSpaceDE w:val="0"/>
        <w:autoSpaceDN/>
        <w:bidi w:val="0"/>
        <w:adjustRightInd/>
        <w:snapToGrid w:val="0"/>
        <w:spacing w:before="0" w:beforeAutospacing="0" w:after="0" w:afterAutospacing="0" w:line="600" w:lineRule="exact"/>
        <w:ind w:left="0" w:firstLine="643"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bCs w:val="0"/>
          <w:sz w:val="32"/>
          <w:szCs w:val="32"/>
          <w:shd w:val="clear" w:color="auto" w:fill="FFFFFF"/>
        </w:rPr>
        <w:t>（一）综合评价结论。</w:t>
      </w:r>
      <w:r>
        <w:rPr>
          <w:rFonts w:hint="default" w:ascii="Times New Roman" w:hAnsi="Times New Roman" w:eastAsia="仿宋_GB2312" w:cs="Times New Roman"/>
          <w:sz w:val="32"/>
          <w:szCs w:val="32"/>
          <w:shd w:val="clear" w:color="auto" w:fill="FFFFFF"/>
        </w:rPr>
        <w:t>反映自评得分及评价等级。</w:t>
      </w:r>
    </w:p>
    <w:p w14:paraId="4986BE41">
      <w:pPr>
        <w:pStyle w:val="9"/>
        <w:keepNext w:val="0"/>
        <w:keepLines w:val="0"/>
        <w:pageBreakBefore w:val="0"/>
        <w:widowControl w:val="0"/>
        <w:shd w:val="clear" w:color="auto" w:fill="FFFFFF"/>
        <w:kinsoku/>
        <w:wordWrap/>
        <w:overflowPunct/>
        <w:topLinePunct/>
        <w:autoSpaceDE w:val="0"/>
        <w:autoSpaceDN/>
        <w:bidi w:val="0"/>
        <w:adjustRightInd/>
        <w:snapToGrid w:val="0"/>
        <w:spacing w:before="0" w:beforeAutospacing="0" w:after="0" w:afterAutospacing="0"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经综合评价自评得分为99.7分，评价等级为优秀。</w:t>
      </w:r>
    </w:p>
    <w:p w14:paraId="1F9F88A4">
      <w:pPr>
        <w:pStyle w:val="9"/>
        <w:keepNext w:val="0"/>
        <w:keepLines w:val="0"/>
        <w:pageBreakBefore w:val="0"/>
        <w:widowControl w:val="0"/>
        <w:shd w:val="clear" w:color="auto" w:fill="FFFFFF"/>
        <w:kinsoku/>
        <w:wordWrap/>
        <w:overflowPunct/>
        <w:topLinePunct/>
        <w:autoSpaceDE w:val="0"/>
        <w:autoSpaceDN/>
        <w:bidi w:val="0"/>
        <w:adjustRightInd/>
        <w:snapToGrid w:val="0"/>
        <w:spacing w:before="0" w:beforeAutospacing="0" w:after="0" w:afterAutospacing="0" w:line="600" w:lineRule="exact"/>
        <w:ind w:left="0" w:firstLine="643" w:firstLineChars="200"/>
        <w:jc w:val="both"/>
        <w:textAlignment w:val="auto"/>
        <w:rPr>
          <w:rFonts w:hint="default" w:ascii="Times New Roman" w:hAnsi="Times New Roman" w:eastAsia="楷体_GB2312" w:cs="Times New Roman"/>
          <w:b/>
          <w:bCs w:val="0"/>
          <w:sz w:val="32"/>
          <w:szCs w:val="32"/>
          <w:shd w:val="clear" w:color="auto" w:fill="FFFFFF"/>
        </w:rPr>
      </w:pPr>
      <w:r>
        <w:rPr>
          <w:rFonts w:hint="default" w:ascii="Times New Roman" w:hAnsi="Times New Roman" w:eastAsia="楷体_GB2312" w:cs="Times New Roman"/>
          <w:b/>
          <w:bCs w:val="0"/>
          <w:sz w:val="32"/>
          <w:szCs w:val="32"/>
          <w:shd w:val="clear" w:color="auto" w:fill="FFFFFF"/>
        </w:rPr>
        <w:t>（二）评价指标分析</w:t>
      </w:r>
    </w:p>
    <w:p w14:paraId="44F264F5">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snapToGrid w:val="0"/>
          <w:color w:val="000000"/>
          <w:sz w:val="32"/>
          <w:szCs w:val="32"/>
        </w:rPr>
        <w:t>从整体绩效目标设定情况分析</w:t>
      </w:r>
      <w:r>
        <w:rPr>
          <w:rFonts w:hint="default" w:ascii="Times New Roman" w:hAnsi="Times New Roman" w:eastAsia="仿宋_GB2312" w:cs="Times New Roman"/>
          <w:b/>
          <w:bCs/>
          <w:snapToGrid w:val="0"/>
          <w:color w:val="000000"/>
          <w:sz w:val="32"/>
          <w:szCs w:val="32"/>
          <w:lang w:eastAsia="zh-CN"/>
        </w:rPr>
        <w:t>：</w:t>
      </w:r>
      <w:r>
        <w:rPr>
          <w:rFonts w:hint="default" w:ascii="Times New Roman" w:hAnsi="Times New Roman" w:eastAsia="仿宋_GB2312" w:cs="Times New Roman"/>
          <w:b/>
          <w:bCs/>
          <w:color w:val="000000"/>
          <w:sz w:val="32"/>
          <w:szCs w:val="32"/>
        </w:rPr>
        <w:t xml:space="preserve">      </w:t>
      </w:r>
    </w:p>
    <w:p w14:paraId="35E21C04">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住房公积金归集43.45亿元，同比增长4.55%，完成全年计划的98.63%，累计缴存总额394.51亿元，缴存余额163.26亿元；②发放个人住房贷款2619笔共9.92亿元，同比分别下降31.13%、33.95%，完成全年计划的97.30%，个贷率为72.51%，累计为10.55万户干部职工发放贷款243.29亿元，累计贷款余额118.38亿元；③完成增值收益2.62亿元，同比增长2.39%。完成年度计划的102.27%，上缴市财政资金营运纯利润2.42亿元，累计上缴市财政资金营运纯利润17.05亿元；④全市住房公积金个贷逾期总额为355.34万元，逾期率为0.03%，同比分别增长了38.95%、0.0091个百分点，个贷风险准备金累计余额达2.37亿元，个人住房贷款逾期额与个人贷款风险准备金余额的比率为1.5%，整体资产优良。</w:t>
      </w:r>
    </w:p>
    <w:p w14:paraId="504D6748">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运行成本</w:t>
      </w:r>
    </w:p>
    <w:p w14:paraId="4D0174B9">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全年一般公共预算财政拨款安排的基本支出1743.92万元，其中，人员经费1473.02万元，日常公用经费270.90万元。根据相关工资标准支出人员经费，未超范围未超标准；严格落实中央、省、市关于压减一般性支出相关规定，坚持厉行节约，遵守国家财务管理规定，重大重点支出坚持事前审批，严格执行一般性公务支出标准，加快预算执行进度。</w:t>
      </w:r>
    </w:p>
    <w:p w14:paraId="472FAA60">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2.管理效率</w:t>
      </w:r>
    </w:p>
    <w:p w14:paraId="3776839D">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业务收入：2024年，业务收入50,318.60万元，同比增长4.68%。其中，存款利息12,256.91万元，委托贷款利息38,055.78万元，其他5.91万元。</w:t>
      </w:r>
    </w:p>
    <w:p w14:paraId="317DAB91">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业务支出：2024年，业务支出24,086.10万元，同比增长7.29%。其中，支付职工住房公积金利息24,046.67万元，其他39.43万元。</w:t>
      </w:r>
    </w:p>
    <w:p w14:paraId="79211461">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增值收益：2024年，增值收益26,232.50万元，同比增长2.39%。增值收益率1.65%，比上年减少0.08个百分点。</w:t>
      </w:r>
    </w:p>
    <w:p w14:paraId="63EE8B2A">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增值收益分配：2024年，提取贷款风险准备金-846.00万元，提取管理费用2,832.45万元，提取城市廉租住房（公共租赁住房）建设补充资金24,246.05万元。</w:t>
      </w:r>
    </w:p>
    <w:p w14:paraId="207B935A">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2024年，上交财政管理费用2,832.45万元。上缴财政城市廉租住房（公共租赁住房）建设补充资金23,989.16万元。</w:t>
      </w:r>
    </w:p>
    <w:p w14:paraId="276AAF0E">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2024年末，贷款风险准备金余额23,675.08万元。累计提</w:t>
      </w:r>
      <w:r>
        <w:rPr>
          <w:rFonts w:hint="default" w:ascii="Times New Roman" w:hAnsi="Times New Roman" w:eastAsia="仿宋_GB2312" w:cs="Times New Roman"/>
          <w:spacing w:val="-6"/>
          <w:sz w:val="32"/>
          <w:szCs w:val="32"/>
        </w:rPr>
        <w:t>取城市廉租住房（公共租赁住房）建设补充资金170,538.45万元。</w:t>
      </w:r>
    </w:p>
    <w:p w14:paraId="11E5C602">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管理费用支出：2024年，管理费用支出2,829.40万元，同比增长5.12%。其中，人员经费1,473.02万元，公用经费270.90万元，专项经费1,085.48万元。</w:t>
      </w:r>
    </w:p>
    <w:p w14:paraId="32ED28AC">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3.履职效能</w:t>
      </w:r>
    </w:p>
    <w:p w14:paraId="40C549D7">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助力房地产市场平稳健康发展。</w:t>
      </w:r>
    </w:p>
    <w:p w14:paraId="1B9FA4C0">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心积极贯彻市委市政府关于促进房地产市场平稳健康发展的相关工作要求，积极助推“保交楼、稳民生”。2024年，全市住房公积金个人住房贷款发放和住房消费类提取达29.95亿元，直接带动房产销售面积157.5万平方米，拉动住房消费62.79亿元，其中在老旧小区改造、重大疾病、租房等方面的资金支持达5587.31万元；为36个“保交楼”专项项目发放公积金个人住房贷款共计368笔，放款金额12,912.70万元。</w:t>
      </w:r>
    </w:p>
    <w:p w14:paraId="70B559FB">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4.社会效应</w:t>
      </w:r>
    </w:p>
    <w:p w14:paraId="538A9457">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color w:val="000000"/>
          <w:sz w:val="32"/>
          <w:szCs w:val="32"/>
          <w:shd w:val="clear" w:color="auto" w:fill="FFFFFF"/>
        </w:rPr>
        <w:t>建立多渠道收集办事群众需求机制。通</w:t>
      </w:r>
      <w:r>
        <w:rPr>
          <w:rFonts w:hint="default" w:ascii="Times New Roman" w:hAnsi="Times New Roman" w:eastAsia="仿宋_GB2312" w:cs="Times New Roman"/>
          <w:color w:val="000000"/>
          <w:sz w:val="32"/>
          <w:szCs w:val="32"/>
          <w:shd w:val="clear" w:color="auto" w:fill="FFFFFF"/>
        </w:rPr>
        <w:t>过开展“12345”政务服务便民热线“领导接听日”、政务公开主题日活动、“湘伴走流程”、领导到窗口坐班等活动，及时收集群众对住房公积金服务的意见建议，建立为解决群众反映问题的即时响应机</w:t>
      </w:r>
      <w:r>
        <w:rPr>
          <w:rFonts w:hint="default" w:ascii="Times New Roman" w:hAnsi="Times New Roman" w:eastAsia="仿宋_GB2312" w:cs="Times New Roman"/>
          <w:color w:val="000000"/>
          <w:spacing w:val="-11"/>
          <w:sz w:val="32"/>
          <w:szCs w:val="32"/>
          <w:shd w:val="clear" w:color="auto" w:fill="FFFFFF"/>
        </w:rPr>
        <w:t>制，切实解决老百姓在住房公积金业务服务方面的急难愁盼问题。</w:t>
      </w:r>
    </w:p>
    <w:p w14:paraId="2EFB4375">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val="0"/>
          <w:bCs w:val="0"/>
          <w:color w:val="000000"/>
          <w:sz w:val="32"/>
          <w:szCs w:val="32"/>
          <w:shd w:val="clear" w:color="auto" w:fill="FFFFFF"/>
          <w:lang w:eastAsia="zh-CN"/>
        </w:rPr>
        <w:t>（</w:t>
      </w:r>
      <w:r>
        <w:rPr>
          <w:rFonts w:hint="default" w:ascii="Times New Roman" w:hAnsi="Times New Roman" w:eastAsia="仿宋_GB2312" w:cs="Times New Roman"/>
          <w:b w:val="0"/>
          <w:bCs w:val="0"/>
          <w:color w:val="000000"/>
          <w:sz w:val="32"/>
          <w:szCs w:val="32"/>
          <w:shd w:val="clear" w:color="auto" w:fill="FFFFFF"/>
          <w:lang w:val="en-US" w:eastAsia="zh-CN"/>
        </w:rPr>
        <w:t>2</w:t>
      </w:r>
      <w:r>
        <w:rPr>
          <w:rFonts w:hint="default" w:ascii="Times New Roman" w:hAnsi="Times New Roman" w:eastAsia="仿宋_GB2312" w:cs="Times New Roman"/>
          <w:b w:val="0"/>
          <w:bCs w:val="0"/>
          <w:color w:val="000000"/>
          <w:sz w:val="32"/>
          <w:szCs w:val="32"/>
          <w:shd w:val="clear" w:color="auto" w:fill="FFFFFF"/>
          <w:lang w:eastAsia="zh-CN"/>
        </w:rPr>
        <w:t>）</w:t>
      </w:r>
      <w:r>
        <w:rPr>
          <w:rFonts w:hint="default" w:ascii="Times New Roman" w:hAnsi="Times New Roman" w:eastAsia="仿宋_GB2312" w:cs="Times New Roman"/>
          <w:b w:val="0"/>
          <w:bCs w:val="0"/>
          <w:color w:val="000000"/>
          <w:sz w:val="32"/>
          <w:szCs w:val="32"/>
          <w:shd w:val="clear" w:color="auto" w:fill="FFFFFF"/>
        </w:rPr>
        <w:t>压减贷款业务审批环节。主动减业务资</w:t>
      </w:r>
      <w:r>
        <w:rPr>
          <w:rFonts w:hint="default" w:ascii="Times New Roman" w:hAnsi="Times New Roman" w:eastAsia="仿宋_GB2312" w:cs="Times New Roman"/>
          <w:color w:val="000000"/>
          <w:sz w:val="32"/>
          <w:szCs w:val="32"/>
          <w:shd w:val="clear" w:color="auto" w:fill="FFFFFF"/>
        </w:rPr>
        <w:t>料11项、减环节4个、优减要件6件，并不断压缩业务办结时限，部分窗口贷款业务效率从原来22个工作日降至6个工作日办结，办理时限压缩73%，实现了办结时限的飞跃性提升。</w:t>
      </w:r>
    </w:p>
    <w:p w14:paraId="7C178C0A">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拓宽服务渠道。设置“跨省通办”</w:t>
      </w:r>
      <w:r>
        <w:rPr>
          <w:rFonts w:hint="default" w:ascii="Times New Roman" w:hAnsi="Times New Roman" w:eastAsia="仿宋_GB2312" w:cs="Times New Roman"/>
          <w:b w:val="0"/>
          <w:bCs w:val="0"/>
          <w:color w:val="000000"/>
          <w:sz w:val="32"/>
          <w:szCs w:val="32"/>
          <w:shd w:val="clear" w:color="auto" w:fill="FFFFFF"/>
        </w:rPr>
        <w:t>“一件事一次办”专窗，优化完善适老化、特殊人群“绿色通道”；持续全面推行市直、鹤城、中方、经开区“鹤中一体化”住房公积金业</w:t>
      </w:r>
      <w:r>
        <w:rPr>
          <w:rFonts w:hint="default" w:ascii="Times New Roman" w:hAnsi="Times New Roman" w:eastAsia="仿宋_GB2312" w:cs="Times New Roman"/>
          <w:color w:val="000000"/>
          <w:sz w:val="32"/>
          <w:szCs w:val="32"/>
          <w:shd w:val="clear" w:color="auto" w:fill="FFFFFF"/>
        </w:rPr>
        <w:t>务运行模式，为鹤中一体化、怀化国际陆港吸引人流、物流、信息流创造良好的政策环境；完善拓展网上业务服务功能，大力宣传推广网厅、微信公众号、手机公积金APP、延时服务等多种便捷途径服务渠道，推动线上服务从“可办”到“好办”“秒办”转变，努力提高网上办结率；利用“好差评”、服务回访、建立办不成事处理机制等途径倒逼服务提质增效，实现从“人找服务”到“服务找人”转变。目前，15项业务实现</w:t>
      </w:r>
      <w:r>
        <w:rPr>
          <w:rFonts w:hint="default" w:ascii="Times New Roman" w:hAnsi="Times New Roman" w:eastAsia="仿宋_GB2312" w:cs="Times New Roman"/>
          <w:color w:val="000000"/>
          <w:sz w:val="32"/>
          <w:szCs w:val="32"/>
          <w:shd w:val="clear" w:color="auto" w:fill="FFFFFF"/>
          <w:lang w:eastAsia="zh-CN"/>
        </w:rPr>
        <w:t>“跨省通办”</w:t>
      </w:r>
      <w:r>
        <w:rPr>
          <w:rFonts w:hint="default" w:ascii="Times New Roman" w:hAnsi="Times New Roman" w:eastAsia="仿宋_GB2312" w:cs="Times New Roman"/>
          <w:color w:val="000000"/>
          <w:sz w:val="32"/>
          <w:szCs w:val="32"/>
          <w:shd w:val="clear" w:color="auto" w:fill="FFFFFF"/>
        </w:rPr>
        <w:t>，个人网厅、微信公众号可办理提取业务增加到了15项，手机公积金APP增加了离退休提取、离职提取等提取业务，网厅实行24小时全天候业务受理。2024年，中心业务“好差评”好评率达100%，12329服务热线实行当日办结业务次日电话回访，每日办结业务回访率达100%，群众回访满意率100%。同时，积极对接全国住房公积金公共服务小程序，推行实行异地转移接续、异地贷款亮码可办等业务，并作为试点中心率先探索全国异地贷款对冲还贷业务，打破地域阻隔，解决职工异地贷款还款“多地跑”“折返跑”等难点和堵点问题，极大的节约了办事群众的时间成本和往返费用，极大提高办事效率有效提升了跨地域协调服务效能。</w:t>
      </w:r>
    </w:p>
    <w:p w14:paraId="3DF84CB3">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5.可持续发展能力</w:t>
      </w:r>
    </w:p>
    <w:p w14:paraId="2BE90E34">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z w:val="32"/>
          <w:szCs w:val="32"/>
          <w:shd w:val="clear" w:color="auto" w:fill="FFFFFF"/>
        </w:rPr>
        <w:t>2024年，在市委、市政府的坚强</w:t>
      </w:r>
      <w:r>
        <w:rPr>
          <w:rFonts w:hint="default" w:ascii="Times New Roman" w:hAnsi="Times New Roman" w:eastAsia="仿宋_GB2312" w:cs="Times New Roman"/>
          <w:color w:val="000000"/>
          <w:sz w:val="32"/>
          <w:szCs w:val="32"/>
        </w:rPr>
        <w:t>领导下，我们坚持以习近平新时代中国特色社会主义思想为指导，全面学习贯彻党的</w:t>
      </w:r>
      <w:r>
        <w:rPr>
          <w:rFonts w:hint="default" w:ascii="Times New Roman" w:hAnsi="Times New Roman" w:eastAsia="仿宋_GB2312" w:cs="Times New Roman"/>
          <w:kern w:val="0"/>
          <w:sz w:val="32"/>
          <w:szCs w:val="32"/>
        </w:rPr>
        <w:t>二十大和二十届二中、三中全会精神，认真落实习近平总书记考察湖南重要讲话和指示精神，锚定“三高四新”美好蓝图，深入贯彻落实“五新四城”战略，履职尽责、积极作为，充分发挥住房公积金制度住房保障作用，不断推动我市住房公积金事业持续高质量发展。</w:t>
      </w:r>
    </w:p>
    <w:p w14:paraId="26D2C887">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6.服务对象满意度</w:t>
      </w:r>
    </w:p>
    <w:p w14:paraId="54C7C465">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缴存职工满意度达95%以上，群众对驻村干部职工认可度较高。</w:t>
      </w:r>
    </w:p>
    <w:p w14:paraId="67A7B3A5">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九、存在的问题及原因分析</w:t>
      </w:r>
    </w:p>
    <w:p w14:paraId="545DDFF6">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 xml:space="preserve">项目支出预算执行进度不均衡，预算执行过程中，部分项目资金支出进度缓慢，而有些项目则出现资金集中支付的情况，导致整体预算执行进度不均衡。    </w:t>
      </w:r>
    </w:p>
    <w:p w14:paraId="014AA700">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管理制度有待完善和</w:t>
      </w:r>
      <w:r>
        <w:rPr>
          <w:rFonts w:hint="default" w:ascii="Times New Roman" w:hAnsi="Times New Roman" w:eastAsia="仿宋_GB2312" w:cs="Times New Roman"/>
          <w:sz w:val="32"/>
          <w:szCs w:val="32"/>
        </w:rPr>
        <w:t>健全，部分预算绩效管理工作开展不到位，预算绩效管理意识有待提高，整体绩效指标中的个性化指标有待进一步完善。</w:t>
      </w:r>
    </w:p>
    <w:p w14:paraId="1B24B11A">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shd w:val="clear" w:color="auto" w:fill="FFFFFF"/>
        </w:rPr>
        <w:t>十、下一步改进措施</w:t>
      </w:r>
    </w:p>
    <w:p w14:paraId="21BDF727">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着“谁支出，谁负责”的原则，我单位所有预算项目开展预算绩效日常监控，根据财政支出序时进度要求及时实现支出；定期对绩效监控信息进行收集、审核、分析、汇总；定期分析未达到绩效目标的原因，适时调整、不断改进、及时采取纠偏措施。今后将不断完善管理机制，优化管理流程，做到预算编制有目标、预算执行有监控、预算完成有评价，实现财政预算绩效管理工作常态化、规范化。严格预算约束，加快支出进度，增强预算执行的严肃性和实效性，为更好实现预算绩效目标提供有力保障。</w:t>
      </w:r>
    </w:p>
    <w:p w14:paraId="5C0BC72C">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十一、绩效自评结果拟应用和公开情况</w:t>
      </w:r>
    </w:p>
    <w:p w14:paraId="7719666B">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sz w:val="32"/>
          <w:szCs w:val="32"/>
        </w:rPr>
        <w:t>中心将针对绩效自评中发现的问题，加强与相关业务部门的沟通协调，采取切实可行的整改举措并落实到位，进一步重视绩效考核激励作用，扎实做好绩效评价工作，提高财政资金使用效益。同时，按照统一部署，在中心门户网站公开2024年部门整体支出绩效自评报告，接受社会监督。</w:t>
      </w:r>
    </w:p>
    <w:p w14:paraId="68D05210">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十二、其他需要说明的情况</w:t>
      </w:r>
    </w:p>
    <w:p w14:paraId="6A5C442B">
      <w:pPr>
        <w:keepNext w:val="0"/>
        <w:keepLines w:val="0"/>
        <w:pageBreakBefore w:val="0"/>
        <w:widowControl w:val="0"/>
        <w:pBdr>
          <w:bottom w:val="single" w:color="FFFFFF" w:sz="4" w:space="31"/>
        </w:pBdr>
        <w:kinsoku/>
        <w:wordWrap/>
        <w:overflowPunct/>
        <w:topLinePunct/>
        <w:autoSpaceDE w:val="0"/>
        <w:autoSpaceDN/>
        <w:bidi w:val="0"/>
        <w:adjustRightInd/>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38BB5ABF">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928CDE5">
      <w:pPr>
        <w:pStyle w:val="9"/>
        <w:shd w:val="clear" w:color="auto" w:fill="FFFFFF"/>
        <w:spacing w:beforeAutospacing="0" w:afterAutospacing="0" w:line="480" w:lineRule="exact"/>
        <w:jc w:val="both"/>
        <w:rPr>
          <w:rFonts w:hint="default" w:ascii="Times New Roman" w:hAnsi="Times New Roman" w:eastAsia="黑体" w:cs="Times New Roman"/>
          <w:color w:val="000000"/>
          <w:sz w:val="30"/>
          <w:szCs w:val="30"/>
          <w:shd w:val="clear" w:color="auto" w:fill="FFFFFF"/>
        </w:rPr>
      </w:pPr>
      <w:r>
        <w:rPr>
          <w:rFonts w:hint="default" w:ascii="Times New Roman" w:hAnsi="Times New Roman" w:eastAsia="黑体" w:cs="Times New Roman"/>
          <w:color w:val="000000"/>
          <w:sz w:val="30"/>
          <w:szCs w:val="30"/>
          <w:shd w:val="clear" w:color="auto" w:fill="FFFFFF"/>
        </w:rPr>
        <w:t xml:space="preserve">附件1 </w:t>
      </w:r>
    </w:p>
    <w:p w14:paraId="1D49464A">
      <w:pPr>
        <w:widowControl/>
        <w:tabs>
          <w:tab w:val="left" w:pos="3611"/>
          <w:tab w:val="left" w:pos="4791"/>
          <w:tab w:val="left" w:pos="5951"/>
          <w:tab w:val="left" w:pos="7071"/>
          <w:tab w:val="left" w:pos="8191"/>
          <w:tab w:val="left" w:pos="9311"/>
        </w:tabs>
        <w:spacing w:line="480" w:lineRule="exact"/>
        <w:ind w:left="91"/>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部门整体支出绩效评价基础数据表</w:t>
      </w:r>
    </w:p>
    <w:p w14:paraId="5ACECCFF">
      <w:pPr>
        <w:widowControl/>
        <w:tabs>
          <w:tab w:val="left" w:pos="3611"/>
          <w:tab w:val="left" w:pos="4791"/>
          <w:tab w:val="left" w:pos="5951"/>
          <w:tab w:val="left" w:pos="7071"/>
          <w:tab w:val="left" w:pos="8191"/>
          <w:tab w:val="left" w:pos="9311"/>
        </w:tabs>
        <w:ind w:left="91"/>
        <w:jc w:val="left"/>
        <w:rPr>
          <w:rFonts w:eastAsia="仿宋_GB2312"/>
          <w:kern w:val="0"/>
          <w:sz w:val="24"/>
        </w:rPr>
      </w:pPr>
      <w:r>
        <w:rPr>
          <w:rFonts w:hint="eastAsia" w:eastAsia="仿宋_GB2312"/>
          <w:kern w:val="0"/>
          <w:sz w:val="24"/>
        </w:rPr>
        <w:t xml:space="preserve">                                        </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2B4A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14:paraId="070C9B46">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财政供养人员情况</w:t>
            </w:r>
          </w:p>
        </w:tc>
        <w:tc>
          <w:tcPr>
            <w:tcW w:w="2038" w:type="dxa"/>
            <w:gridSpan w:val="2"/>
            <w:vAlign w:val="center"/>
          </w:tcPr>
          <w:p w14:paraId="3F46E923">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编制数</w:t>
            </w:r>
          </w:p>
        </w:tc>
        <w:tc>
          <w:tcPr>
            <w:tcW w:w="2240" w:type="dxa"/>
            <w:gridSpan w:val="2"/>
            <w:vAlign w:val="center"/>
          </w:tcPr>
          <w:p w14:paraId="28673E3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2024年实际在职人数</w:t>
            </w:r>
          </w:p>
        </w:tc>
        <w:tc>
          <w:tcPr>
            <w:tcW w:w="1832" w:type="dxa"/>
            <w:gridSpan w:val="2"/>
            <w:vAlign w:val="center"/>
          </w:tcPr>
          <w:p w14:paraId="1D3E12A1">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控制率</w:t>
            </w:r>
          </w:p>
        </w:tc>
      </w:tr>
      <w:tr w14:paraId="0905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vAlign w:val="center"/>
          </w:tcPr>
          <w:p w14:paraId="7EA897EE">
            <w:pPr>
              <w:widowControl/>
              <w:jc w:val="left"/>
              <w:rPr>
                <w:rFonts w:hint="default" w:ascii="Times New Roman" w:hAnsi="Times New Roman" w:eastAsia="仿宋_GB2312" w:cs="Times New Roman"/>
                <w:kern w:val="0"/>
                <w:sz w:val="20"/>
                <w:szCs w:val="20"/>
              </w:rPr>
            </w:pPr>
          </w:p>
        </w:tc>
        <w:tc>
          <w:tcPr>
            <w:tcW w:w="2038" w:type="dxa"/>
            <w:gridSpan w:val="2"/>
            <w:vAlign w:val="center"/>
          </w:tcPr>
          <w:p w14:paraId="6A7BF017">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98　</w:t>
            </w:r>
          </w:p>
        </w:tc>
        <w:tc>
          <w:tcPr>
            <w:tcW w:w="2240" w:type="dxa"/>
            <w:gridSpan w:val="2"/>
            <w:vAlign w:val="center"/>
          </w:tcPr>
          <w:p w14:paraId="3D6B2AA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95　</w:t>
            </w:r>
          </w:p>
        </w:tc>
        <w:tc>
          <w:tcPr>
            <w:tcW w:w="1832" w:type="dxa"/>
            <w:gridSpan w:val="2"/>
            <w:vAlign w:val="center"/>
          </w:tcPr>
          <w:p w14:paraId="496CB2DD">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96.94%　</w:t>
            </w:r>
          </w:p>
        </w:tc>
      </w:tr>
      <w:tr w14:paraId="1092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A60E632">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经费控制情况</w:t>
            </w:r>
          </w:p>
        </w:tc>
        <w:tc>
          <w:tcPr>
            <w:tcW w:w="2038" w:type="dxa"/>
            <w:gridSpan w:val="2"/>
            <w:vAlign w:val="center"/>
          </w:tcPr>
          <w:p w14:paraId="4421204F">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2023年决算数</w:t>
            </w:r>
          </w:p>
        </w:tc>
        <w:tc>
          <w:tcPr>
            <w:tcW w:w="2240" w:type="dxa"/>
            <w:gridSpan w:val="2"/>
            <w:vAlign w:val="center"/>
          </w:tcPr>
          <w:p w14:paraId="24E019DD">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2024年预算数</w:t>
            </w:r>
          </w:p>
        </w:tc>
        <w:tc>
          <w:tcPr>
            <w:tcW w:w="1832" w:type="dxa"/>
            <w:gridSpan w:val="2"/>
            <w:vAlign w:val="center"/>
          </w:tcPr>
          <w:p w14:paraId="4FC7731B">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2024年决算数</w:t>
            </w:r>
          </w:p>
        </w:tc>
      </w:tr>
      <w:tr w14:paraId="2210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3F983F7">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lang w:eastAsia="zh-CN"/>
              </w:rPr>
              <w:t>“三公”经费</w:t>
            </w:r>
          </w:p>
        </w:tc>
        <w:tc>
          <w:tcPr>
            <w:tcW w:w="2038" w:type="dxa"/>
            <w:gridSpan w:val="2"/>
            <w:vAlign w:val="center"/>
          </w:tcPr>
          <w:p w14:paraId="3A723D2C">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25.26　</w:t>
            </w:r>
          </w:p>
        </w:tc>
        <w:tc>
          <w:tcPr>
            <w:tcW w:w="2240" w:type="dxa"/>
            <w:gridSpan w:val="2"/>
            <w:vAlign w:val="center"/>
          </w:tcPr>
          <w:p w14:paraId="6E9EF93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27.62</w:t>
            </w:r>
          </w:p>
        </w:tc>
        <w:tc>
          <w:tcPr>
            <w:tcW w:w="1832" w:type="dxa"/>
            <w:gridSpan w:val="2"/>
            <w:vAlign w:val="center"/>
          </w:tcPr>
          <w:p w14:paraId="7D6DD16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27.61　</w:t>
            </w:r>
          </w:p>
        </w:tc>
      </w:tr>
      <w:tr w14:paraId="1822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635EE4B">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   1、公务用车购置和维护经费</w:t>
            </w:r>
          </w:p>
        </w:tc>
        <w:tc>
          <w:tcPr>
            <w:tcW w:w="2038" w:type="dxa"/>
            <w:gridSpan w:val="2"/>
            <w:vAlign w:val="center"/>
          </w:tcPr>
          <w:p w14:paraId="7B1B9FA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24.67</w:t>
            </w:r>
          </w:p>
        </w:tc>
        <w:tc>
          <w:tcPr>
            <w:tcW w:w="2240" w:type="dxa"/>
            <w:gridSpan w:val="2"/>
            <w:vAlign w:val="center"/>
          </w:tcPr>
          <w:p w14:paraId="75FDD0D1">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26.82　</w:t>
            </w:r>
          </w:p>
        </w:tc>
        <w:tc>
          <w:tcPr>
            <w:tcW w:w="1832" w:type="dxa"/>
            <w:gridSpan w:val="2"/>
            <w:vAlign w:val="center"/>
          </w:tcPr>
          <w:p w14:paraId="300E37D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26.82　</w:t>
            </w:r>
          </w:p>
        </w:tc>
      </w:tr>
      <w:tr w14:paraId="4A1C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639EC38">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       其中：公车购置</w:t>
            </w:r>
          </w:p>
        </w:tc>
        <w:tc>
          <w:tcPr>
            <w:tcW w:w="2038" w:type="dxa"/>
            <w:gridSpan w:val="2"/>
            <w:vAlign w:val="center"/>
          </w:tcPr>
          <w:p w14:paraId="34B2B05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　</w:t>
            </w:r>
          </w:p>
        </w:tc>
        <w:tc>
          <w:tcPr>
            <w:tcW w:w="2240" w:type="dxa"/>
            <w:gridSpan w:val="2"/>
            <w:vAlign w:val="center"/>
          </w:tcPr>
          <w:p w14:paraId="012FC2B2">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　</w:t>
            </w:r>
          </w:p>
        </w:tc>
        <w:tc>
          <w:tcPr>
            <w:tcW w:w="1832" w:type="dxa"/>
            <w:gridSpan w:val="2"/>
            <w:vAlign w:val="center"/>
          </w:tcPr>
          <w:p w14:paraId="7CE25C3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　</w:t>
            </w:r>
          </w:p>
        </w:tc>
      </w:tr>
      <w:tr w14:paraId="4ECF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274EA03">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             公车运行维护</w:t>
            </w:r>
          </w:p>
        </w:tc>
        <w:tc>
          <w:tcPr>
            <w:tcW w:w="2038" w:type="dxa"/>
            <w:gridSpan w:val="2"/>
            <w:vAlign w:val="center"/>
          </w:tcPr>
          <w:p w14:paraId="7A58B610">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24.67　</w:t>
            </w:r>
          </w:p>
        </w:tc>
        <w:tc>
          <w:tcPr>
            <w:tcW w:w="2240" w:type="dxa"/>
            <w:gridSpan w:val="2"/>
            <w:vAlign w:val="center"/>
          </w:tcPr>
          <w:p w14:paraId="24F1B349">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26.82　</w:t>
            </w:r>
          </w:p>
        </w:tc>
        <w:tc>
          <w:tcPr>
            <w:tcW w:w="1832" w:type="dxa"/>
            <w:gridSpan w:val="2"/>
            <w:vAlign w:val="center"/>
          </w:tcPr>
          <w:p w14:paraId="44482247">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26.82　</w:t>
            </w:r>
          </w:p>
        </w:tc>
      </w:tr>
      <w:tr w14:paraId="6B80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6C339C7">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   2、出国经费</w:t>
            </w:r>
          </w:p>
        </w:tc>
        <w:tc>
          <w:tcPr>
            <w:tcW w:w="2038" w:type="dxa"/>
            <w:gridSpan w:val="2"/>
            <w:vAlign w:val="center"/>
          </w:tcPr>
          <w:p w14:paraId="188381AF">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　</w:t>
            </w:r>
          </w:p>
        </w:tc>
        <w:tc>
          <w:tcPr>
            <w:tcW w:w="2240" w:type="dxa"/>
            <w:gridSpan w:val="2"/>
            <w:vAlign w:val="center"/>
          </w:tcPr>
          <w:p w14:paraId="49634C2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　</w:t>
            </w:r>
          </w:p>
        </w:tc>
        <w:tc>
          <w:tcPr>
            <w:tcW w:w="1832" w:type="dxa"/>
            <w:gridSpan w:val="2"/>
            <w:vAlign w:val="center"/>
          </w:tcPr>
          <w:p w14:paraId="24BE6E71">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　</w:t>
            </w:r>
          </w:p>
        </w:tc>
      </w:tr>
      <w:tr w14:paraId="2E28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41DDE86">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   3、公务接待</w:t>
            </w:r>
          </w:p>
        </w:tc>
        <w:tc>
          <w:tcPr>
            <w:tcW w:w="2038" w:type="dxa"/>
            <w:gridSpan w:val="2"/>
            <w:vAlign w:val="center"/>
          </w:tcPr>
          <w:p w14:paraId="2FFAB1FF">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0.60　</w:t>
            </w:r>
          </w:p>
        </w:tc>
        <w:tc>
          <w:tcPr>
            <w:tcW w:w="2240" w:type="dxa"/>
            <w:gridSpan w:val="2"/>
            <w:vAlign w:val="center"/>
          </w:tcPr>
          <w:p w14:paraId="2366906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0.80　</w:t>
            </w:r>
          </w:p>
        </w:tc>
        <w:tc>
          <w:tcPr>
            <w:tcW w:w="1832" w:type="dxa"/>
            <w:gridSpan w:val="2"/>
            <w:vAlign w:val="center"/>
          </w:tcPr>
          <w:p w14:paraId="3955B392">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0.79　</w:t>
            </w:r>
          </w:p>
        </w:tc>
      </w:tr>
      <w:tr w14:paraId="734A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1036EE2">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项目支出：</w:t>
            </w:r>
          </w:p>
        </w:tc>
        <w:tc>
          <w:tcPr>
            <w:tcW w:w="2038" w:type="dxa"/>
            <w:gridSpan w:val="2"/>
            <w:vAlign w:val="center"/>
          </w:tcPr>
          <w:p w14:paraId="03F3EA89">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1057.66　</w:t>
            </w:r>
          </w:p>
        </w:tc>
        <w:tc>
          <w:tcPr>
            <w:tcW w:w="2240" w:type="dxa"/>
            <w:gridSpan w:val="2"/>
            <w:vAlign w:val="center"/>
          </w:tcPr>
          <w:p w14:paraId="74117343">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1143.94</w:t>
            </w:r>
          </w:p>
        </w:tc>
        <w:tc>
          <w:tcPr>
            <w:tcW w:w="1832" w:type="dxa"/>
            <w:gridSpan w:val="2"/>
            <w:vAlign w:val="center"/>
          </w:tcPr>
          <w:p w14:paraId="3551A23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1085.48</w:t>
            </w:r>
          </w:p>
        </w:tc>
      </w:tr>
      <w:tr w14:paraId="1866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C0B9596">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    1、业务工作经费</w:t>
            </w:r>
          </w:p>
        </w:tc>
        <w:tc>
          <w:tcPr>
            <w:tcW w:w="2038" w:type="dxa"/>
            <w:gridSpan w:val="2"/>
            <w:vAlign w:val="center"/>
          </w:tcPr>
          <w:p w14:paraId="21702A09">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　</w:t>
            </w:r>
          </w:p>
        </w:tc>
        <w:tc>
          <w:tcPr>
            <w:tcW w:w="2240" w:type="dxa"/>
            <w:gridSpan w:val="2"/>
            <w:vAlign w:val="center"/>
          </w:tcPr>
          <w:p w14:paraId="30BB2691">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　</w:t>
            </w:r>
          </w:p>
        </w:tc>
        <w:tc>
          <w:tcPr>
            <w:tcW w:w="1832" w:type="dxa"/>
            <w:gridSpan w:val="2"/>
            <w:vAlign w:val="center"/>
          </w:tcPr>
          <w:p w14:paraId="476C2B2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　</w:t>
            </w:r>
          </w:p>
        </w:tc>
      </w:tr>
      <w:tr w14:paraId="59CF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A104E48">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    2、运行维护经费</w:t>
            </w:r>
          </w:p>
        </w:tc>
        <w:tc>
          <w:tcPr>
            <w:tcW w:w="2038" w:type="dxa"/>
            <w:gridSpan w:val="2"/>
            <w:vAlign w:val="center"/>
          </w:tcPr>
          <w:p w14:paraId="23F2D60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　</w:t>
            </w:r>
          </w:p>
        </w:tc>
        <w:tc>
          <w:tcPr>
            <w:tcW w:w="2240" w:type="dxa"/>
            <w:gridSpan w:val="2"/>
            <w:vAlign w:val="center"/>
          </w:tcPr>
          <w:p w14:paraId="69CE97CD">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　</w:t>
            </w:r>
          </w:p>
        </w:tc>
        <w:tc>
          <w:tcPr>
            <w:tcW w:w="1832" w:type="dxa"/>
            <w:gridSpan w:val="2"/>
            <w:vAlign w:val="center"/>
          </w:tcPr>
          <w:p w14:paraId="70CE898F">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　</w:t>
            </w:r>
          </w:p>
        </w:tc>
      </w:tr>
      <w:tr w14:paraId="345D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704CEEEA">
            <w:pPr>
              <w:widowControl/>
              <w:ind w:firstLine="400" w:firstLineChars="200"/>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3、市级专项资金</w:t>
            </w:r>
          </w:p>
          <w:p w14:paraId="258CDD71">
            <w:pPr>
              <w:widowControl/>
              <w:ind w:firstLine="600" w:firstLineChars="300"/>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（一个专项一行）</w:t>
            </w:r>
          </w:p>
        </w:tc>
        <w:tc>
          <w:tcPr>
            <w:tcW w:w="2038" w:type="dxa"/>
            <w:gridSpan w:val="2"/>
            <w:vAlign w:val="center"/>
          </w:tcPr>
          <w:p w14:paraId="19A8A2E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1057.66</w:t>
            </w:r>
          </w:p>
        </w:tc>
        <w:tc>
          <w:tcPr>
            <w:tcW w:w="2240" w:type="dxa"/>
            <w:gridSpan w:val="2"/>
            <w:vAlign w:val="center"/>
          </w:tcPr>
          <w:p w14:paraId="6222B0F0">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1143.94</w:t>
            </w:r>
          </w:p>
        </w:tc>
        <w:tc>
          <w:tcPr>
            <w:tcW w:w="1832" w:type="dxa"/>
            <w:gridSpan w:val="2"/>
            <w:vAlign w:val="center"/>
          </w:tcPr>
          <w:p w14:paraId="43B8D2BB">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1085.48</w:t>
            </w:r>
          </w:p>
        </w:tc>
      </w:tr>
      <w:tr w14:paraId="270D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354" w:type="dxa"/>
            <w:vAlign w:val="center"/>
          </w:tcPr>
          <w:p w14:paraId="77612643">
            <w:pPr>
              <w:widowControl/>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 (1)短信费用</w:t>
            </w:r>
          </w:p>
        </w:tc>
        <w:tc>
          <w:tcPr>
            <w:tcW w:w="2038" w:type="dxa"/>
            <w:gridSpan w:val="2"/>
            <w:vAlign w:val="center"/>
          </w:tcPr>
          <w:p w14:paraId="744CACD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72.86</w:t>
            </w:r>
          </w:p>
        </w:tc>
        <w:tc>
          <w:tcPr>
            <w:tcW w:w="2240" w:type="dxa"/>
            <w:gridSpan w:val="2"/>
            <w:vAlign w:val="center"/>
          </w:tcPr>
          <w:p w14:paraId="1F91A362">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49</w:t>
            </w:r>
          </w:p>
        </w:tc>
        <w:tc>
          <w:tcPr>
            <w:tcW w:w="1832" w:type="dxa"/>
            <w:gridSpan w:val="2"/>
            <w:vAlign w:val="center"/>
          </w:tcPr>
          <w:p w14:paraId="63413973">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44.74</w:t>
            </w:r>
          </w:p>
        </w:tc>
      </w:tr>
      <w:tr w14:paraId="105E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354" w:type="dxa"/>
            <w:vAlign w:val="center"/>
          </w:tcPr>
          <w:p w14:paraId="0E03A0C1">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（2）业务线路费</w:t>
            </w:r>
          </w:p>
        </w:tc>
        <w:tc>
          <w:tcPr>
            <w:tcW w:w="2038" w:type="dxa"/>
            <w:gridSpan w:val="2"/>
            <w:vAlign w:val="center"/>
          </w:tcPr>
          <w:p w14:paraId="3E98438D">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56.58</w:t>
            </w:r>
          </w:p>
        </w:tc>
        <w:tc>
          <w:tcPr>
            <w:tcW w:w="2240" w:type="dxa"/>
            <w:gridSpan w:val="2"/>
            <w:vAlign w:val="center"/>
          </w:tcPr>
          <w:p w14:paraId="146F345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40</w:t>
            </w:r>
          </w:p>
        </w:tc>
        <w:tc>
          <w:tcPr>
            <w:tcW w:w="1832" w:type="dxa"/>
            <w:gridSpan w:val="2"/>
            <w:vAlign w:val="center"/>
          </w:tcPr>
          <w:p w14:paraId="423A8F81">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39.96</w:t>
            </w:r>
          </w:p>
        </w:tc>
      </w:tr>
      <w:tr w14:paraId="53C3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354" w:type="dxa"/>
            <w:vAlign w:val="center"/>
          </w:tcPr>
          <w:p w14:paraId="15D9B2E5">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（3）机房服务器、网络硬件服务</w:t>
            </w:r>
          </w:p>
        </w:tc>
        <w:tc>
          <w:tcPr>
            <w:tcW w:w="2038" w:type="dxa"/>
            <w:gridSpan w:val="2"/>
            <w:vAlign w:val="center"/>
          </w:tcPr>
          <w:p w14:paraId="44E1E4F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0.3</w:t>
            </w:r>
          </w:p>
        </w:tc>
        <w:tc>
          <w:tcPr>
            <w:tcW w:w="2240" w:type="dxa"/>
            <w:gridSpan w:val="2"/>
            <w:vAlign w:val="center"/>
          </w:tcPr>
          <w:p w14:paraId="29BB480F">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17.1</w:t>
            </w:r>
          </w:p>
        </w:tc>
        <w:tc>
          <w:tcPr>
            <w:tcW w:w="1832" w:type="dxa"/>
            <w:gridSpan w:val="2"/>
            <w:vAlign w:val="center"/>
          </w:tcPr>
          <w:p w14:paraId="48D0547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17.1</w:t>
            </w:r>
          </w:p>
        </w:tc>
      </w:tr>
      <w:tr w14:paraId="4A4E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54" w:type="dxa"/>
            <w:vAlign w:val="center"/>
          </w:tcPr>
          <w:p w14:paraId="3D4BD103">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（4）三级等保测评费</w:t>
            </w:r>
          </w:p>
        </w:tc>
        <w:tc>
          <w:tcPr>
            <w:tcW w:w="2038" w:type="dxa"/>
            <w:gridSpan w:val="2"/>
            <w:vAlign w:val="center"/>
          </w:tcPr>
          <w:p w14:paraId="62950330">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6</w:t>
            </w:r>
          </w:p>
        </w:tc>
        <w:tc>
          <w:tcPr>
            <w:tcW w:w="2240" w:type="dxa"/>
            <w:gridSpan w:val="2"/>
            <w:vAlign w:val="center"/>
          </w:tcPr>
          <w:p w14:paraId="0AF587C2">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3.85</w:t>
            </w:r>
          </w:p>
        </w:tc>
        <w:tc>
          <w:tcPr>
            <w:tcW w:w="1832" w:type="dxa"/>
            <w:gridSpan w:val="2"/>
            <w:vAlign w:val="center"/>
          </w:tcPr>
          <w:p w14:paraId="3FD02521">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3.85</w:t>
            </w:r>
          </w:p>
        </w:tc>
      </w:tr>
      <w:tr w14:paraId="1B18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54" w:type="dxa"/>
            <w:vAlign w:val="center"/>
          </w:tcPr>
          <w:p w14:paraId="2373CB72">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（5）CA维护费（2023和2024年）</w:t>
            </w:r>
          </w:p>
        </w:tc>
        <w:tc>
          <w:tcPr>
            <w:tcW w:w="2038" w:type="dxa"/>
            <w:gridSpan w:val="2"/>
            <w:vAlign w:val="center"/>
          </w:tcPr>
          <w:p w14:paraId="18D15CED">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28.51</w:t>
            </w:r>
          </w:p>
        </w:tc>
        <w:tc>
          <w:tcPr>
            <w:tcW w:w="2240" w:type="dxa"/>
            <w:gridSpan w:val="2"/>
            <w:vAlign w:val="center"/>
          </w:tcPr>
          <w:p w14:paraId="222C6D0C">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12.21</w:t>
            </w:r>
          </w:p>
        </w:tc>
        <w:tc>
          <w:tcPr>
            <w:tcW w:w="1832" w:type="dxa"/>
            <w:gridSpan w:val="2"/>
            <w:vAlign w:val="center"/>
          </w:tcPr>
          <w:p w14:paraId="1FEFB8D0">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12.21</w:t>
            </w:r>
          </w:p>
        </w:tc>
      </w:tr>
      <w:tr w14:paraId="4AA4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354" w:type="dxa"/>
            <w:vAlign w:val="center"/>
          </w:tcPr>
          <w:p w14:paraId="207A5A51">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（6）12329热线</w:t>
            </w:r>
          </w:p>
        </w:tc>
        <w:tc>
          <w:tcPr>
            <w:tcW w:w="2038" w:type="dxa"/>
            <w:gridSpan w:val="2"/>
            <w:vAlign w:val="center"/>
          </w:tcPr>
          <w:p w14:paraId="291C18B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73.2</w:t>
            </w:r>
          </w:p>
        </w:tc>
        <w:tc>
          <w:tcPr>
            <w:tcW w:w="2240" w:type="dxa"/>
            <w:gridSpan w:val="2"/>
            <w:vAlign w:val="center"/>
          </w:tcPr>
          <w:p w14:paraId="10EC6DB9">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65.61</w:t>
            </w:r>
          </w:p>
        </w:tc>
        <w:tc>
          <w:tcPr>
            <w:tcW w:w="1832" w:type="dxa"/>
            <w:gridSpan w:val="2"/>
            <w:vAlign w:val="center"/>
          </w:tcPr>
          <w:p w14:paraId="2AF0419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65.61</w:t>
            </w:r>
          </w:p>
        </w:tc>
      </w:tr>
      <w:tr w14:paraId="0DE7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5DA6A1E3">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（7）中心及14个管理部物业管理费</w:t>
            </w:r>
          </w:p>
        </w:tc>
        <w:tc>
          <w:tcPr>
            <w:tcW w:w="2038" w:type="dxa"/>
            <w:gridSpan w:val="2"/>
            <w:vAlign w:val="center"/>
          </w:tcPr>
          <w:p w14:paraId="7AF9BEE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133.72</w:t>
            </w:r>
          </w:p>
        </w:tc>
        <w:tc>
          <w:tcPr>
            <w:tcW w:w="2240" w:type="dxa"/>
            <w:gridSpan w:val="2"/>
            <w:vAlign w:val="center"/>
          </w:tcPr>
          <w:p w14:paraId="5F528CC4">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141.19</w:t>
            </w:r>
          </w:p>
        </w:tc>
        <w:tc>
          <w:tcPr>
            <w:tcW w:w="1832" w:type="dxa"/>
            <w:gridSpan w:val="2"/>
            <w:vAlign w:val="center"/>
          </w:tcPr>
          <w:p w14:paraId="20C393AF">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141.14</w:t>
            </w:r>
          </w:p>
        </w:tc>
      </w:tr>
      <w:tr w14:paraId="3FCE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54" w:type="dxa"/>
            <w:vAlign w:val="center"/>
          </w:tcPr>
          <w:p w14:paraId="5941D5E2">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（8）劳务人员工资/奖金/五险一金</w:t>
            </w:r>
          </w:p>
        </w:tc>
        <w:tc>
          <w:tcPr>
            <w:tcW w:w="2038" w:type="dxa"/>
            <w:gridSpan w:val="2"/>
            <w:vAlign w:val="center"/>
          </w:tcPr>
          <w:p w14:paraId="1CB820A1">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315.59</w:t>
            </w:r>
          </w:p>
        </w:tc>
        <w:tc>
          <w:tcPr>
            <w:tcW w:w="2240" w:type="dxa"/>
            <w:gridSpan w:val="2"/>
            <w:vAlign w:val="center"/>
          </w:tcPr>
          <w:p w14:paraId="20EB77EC">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319.17</w:t>
            </w:r>
          </w:p>
        </w:tc>
        <w:tc>
          <w:tcPr>
            <w:tcW w:w="1832" w:type="dxa"/>
            <w:gridSpan w:val="2"/>
            <w:vAlign w:val="center"/>
          </w:tcPr>
          <w:p w14:paraId="6FB9DAEC">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319.14</w:t>
            </w:r>
          </w:p>
        </w:tc>
      </w:tr>
      <w:tr w14:paraId="2E16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214453A9">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（9）电子化办公服务设备和办公家具购置及维修</w:t>
            </w:r>
          </w:p>
        </w:tc>
        <w:tc>
          <w:tcPr>
            <w:tcW w:w="2038" w:type="dxa"/>
            <w:gridSpan w:val="2"/>
            <w:vAlign w:val="center"/>
          </w:tcPr>
          <w:p w14:paraId="61984EE3">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20</w:t>
            </w:r>
          </w:p>
        </w:tc>
        <w:tc>
          <w:tcPr>
            <w:tcW w:w="2240" w:type="dxa"/>
            <w:gridSpan w:val="2"/>
            <w:vAlign w:val="center"/>
          </w:tcPr>
          <w:p w14:paraId="5A4CD73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20</w:t>
            </w:r>
          </w:p>
        </w:tc>
        <w:tc>
          <w:tcPr>
            <w:tcW w:w="1832" w:type="dxa"/>
            <w:gridSpan w:val="2"/>
            <w:vAlign w:val="center"/>
          </w:tcPr>
          <w:p w14:paraId="7547EC1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20</w:t>
            </w:r>
          </w:p>
        </w:tc>
      </w:tr>
      <w:tr w14:paraId="27FC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04A66878">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（10）安全加固（2023和2024年）</w:t>
            </w:r>
          </w:p>
        </w:tc>
        <w:tc>
          <w:tcPr>
            <w:tcW w:w="2038" w:type="dxa"/>
            <w:gridSpan w:val="2"/>
            <w:vAlign w:val="center"/>
          </w:tcPr>
          <w:p w14:paraId="10774A9B">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47.56</w:t>
            </w:r>
          </w:p>
        </w:tc>
        <w:tc>
          <w:tcPr>
            <w:tcW w:w="2240" w:type="dxa"/>
            <w:gridSpan w:val="2"/>
            <w:vAlign w:val="center"/>
          </w:tcPr>
          <w:p w14:paraId="065085F3">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30.82</w:t>
            </w:r>
          </w:p>
        </w:tc>
        <w:tc>
          <w:tcPr>
            <w:tcW w:w="1832" w:type="dxa"/>
            <w:gridSpan w:val="2"/>
            <w:vAlign w:val="center"/>
          </w:tcPr>
          <w:p w14:paraId="4D0D3AD2">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30.82</w:t>
            </w:r>
          </w:p>
        </w:tc>
      </w:tr>
      <w:tr w14:paraId="2C5E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6D5D8761">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（11）乡村振兴工作经费</w:t>
            </w:r>
          </w:p>
        </w:tc>
        <w:tc>
          <w:tcPr>
            <w:tcW w:w="2038" w:type="dxa"/>
            <w:gridSpan w:val="2"/>
            <w:vAlign w:val="center"/>
          </w:tcPr>
          <w:p w14:paraId="30E0CBF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29.90</w:t>
            </w:r>
          </w:p>
        </w:tc>
        <w:tc>
          <w:tcPr>
            <w:tcW w:w="2240" w:type="dxa"/>
            <w:gridSpan w:val="2"/>
            <w:vAlign w:val="center"/>
          </w:tcPr>
          <w:p w14:paraId="1259AB93">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30</w:t>
            </w:r>
          </w:p>
        </w:tc>
        <w:tc>
          <w:tcPr>
            <w:tcW w:w="1832" w:type="dxa"/>
            <w:gridSpan w:val="2"/>
            <w:vAlign w:val="center"/>
          </w:tcPr>
          <w:p w14:paraId="67DCC2A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30</w:t>
            </w:r>
          </w:p>
        </w:tc>
      </w:tr>
      <w:tr w14:paraId="2F1D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30720F64">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（12）各管理部服务大厅门头翻修工程</w:t>
            </w:r>
          </w:p>
        </w:tc>
        <w:tc>
          <w:tcPr>
            <w:tcW w:w="2038" w:type="dxa"/>
            <w:gridSpan w:val="2"/>
            <w:vAlign w:val="center"/>
          </w:tcPr>
          <w:p w14:paraId="2B8F4926">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11.52</w:t>
            </w:r>
          </w:p>
        </w:tc>
        <w:tc>
          <w:tcPr>
            <w:tcW w:w="2240" w:type="dxa"/>
            <w:gridSpan w:val="2"/>
            <w:vAlign w:val="center"/>
          </w:tcPr>
          <w:p w14:paraId="3EB94AF0">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17.91</w:t>
            </w:r>
          </w:p>
        </w:tc>
        <w:tc>
          <w:tcPr>
            <w:tcW w:w="1832" w:type="dxa"/>
            <w:gridSpan w:val="2"/>
            <w:vAlign w:val="center"/>
          </w:tcPr>
          <w:p w14:paraId="594A164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17.91</w:t>
            </w:r>
          </w:p>
        </w:tc>
      </w:tr>
      <w:tr w14:paraId="50BC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54" w:type="dxa"/>
            <w:vAlign w:val="center"/>
          </w:tcPr>
          <w:p w14:paraId="03AF1170">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（13）人才引进补贴</w:t>
            </w:r>
          </w:p>
        </w:tc>
        <w:tc>
          <w:tcPr>
            <w:tcW w:w="2038" w:type="dxa"/>
            <w:gridSpan w:val="2"/>
            <w:vAlign w:val="center"/>
          </w:tcPr>
          <w:p w14:paraId="3B8FF51D">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9.6</w:t>
            </w:r>
          </w:p>
        </w:tc>
        <w:tc>
          <w:tcPr>
            <w:tcW w:w="2240" w:type="dxa"/>
            <w:gridSpan w:val="2"/>
            <w:vAlign w:val="center"/>
          </w:tcPr>
          <w:p w14:paraId="25A55A80">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2.4</w:t>
            </w:r>
          </w:p>
        </w:tc>
        <w:tc>
          <w:tcPr>
            <w:tcW w:w="1832" w:type="dxa"/>
            <w:gridSpan w:val="2"/>
            <w:vAlign w:val="center"/>
          </w:tcPr>
          <w:p w14:paraId="578AE93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2.4</w:t>
            </w:r>
          </w:p>
        </w:tc>
      </w:tr>
      <w:tr w14:paraId="3F0B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48396ED0">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（14）手机公积金APP及微信公众号渠道改造</w:t>
            </w:r>
          </w:p>
        </w:tc>
        <w:tc>
          <w:tcPr>
            <w:tcW w:w="2038" w:type="dxa"/>
            <w:gridSpan w:val="2"/>
            <w:vAlign w:val="center"/>
          </w:tcPr>
          <w:p w14:paraId="7120B4BC">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0.91</w:t>
            </w:r>
          </w:p>
        </w:tc>
        <w:tc>
          <w:tcPr>
            <w:tcW w:w="2240" w:type="dxa"/>
            <w:gridSpan w:val="2"/>
            <w:vAlign w:val="center"/>
          </w:tcPr>
          <w:p w14:paraId="1030321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49.46</w:t>
            </w:r>
          </w:p>
        </w:tc>
        <w:tc>
          <w:tcPr>
            <w:tcW w:w="1832" w:type="dxa"/>
            <w:gridSpan w:val="2"/>
            <w:vAlign w:val="center"/>
          </w:tcPr>
          <w:p w14:paraId="6851F739">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49.25</w:t>
            </w:r>
          </w:p>
        </w:tc>
      </w:tr>
      <w:tr w14:paraId="43F7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5F0A4813">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（15）政务一件事一次办对接</w:t>
            </w:r>
          </w:p>
        </w:tc>
        <w:tc>
          <w:tcPr>
            <w:tcW w:w="2038" w:type="dxa"/>
            <w:gridSpan w:val="2"/>
            <w:vAlign w:val="center"/>
          </w:tcPr>
          <w:p w14:paraId="2DA13ED6">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10.72</w:t>
            </w:r>
          </w:p>
        </w:tc>
        <w:tc>
          <w:tcPr>
            <w:tcW w:w="2240" w:type="dxa"/>
            <w:gridSpan w:val="2"/>
            <w:vAlign w:val="center"/>
          </w:tcPr>
          <w:p w14:paraId="21E0F68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11.62</w:t>
            </w:r>
          </w:p>
        </w:tc>
        <w:tc>
          <w:tcPr>
            <w:tcW w:w="1832" w:type="dxa"/>
            <w:gridSpan w:val="2"/>
            <w:vAlign w:val="center"/>
          </w:tcPr>
          <w:p w14:paraId="54CB0F1C">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11.62</w:t>
            </w:r>
          </w:p>
        </w:tc>
      </w:tr>
      <w:tr w14:paraId="0B51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09856B32">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（16）住建部征信共享总对总接入</w:t>
            </w:r>
          </w:p>
        </w:tc>
        <w:tc>
          <w:tcPr>
            <w:tcW w:w="2038" w:type="dxa"/>
            <w:gridSpan w:val="2"/>
            <w:vAlign w:val="center"/>
          </w:tcPr>
          <w:p w14:paraId="7772F32C">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36.98</w:t>
            </w:r>
          </w:p>
        </w:tc>
        <w:tc>
          <w:tcPr>
            <w:tcW w:w="2240" w:type="dxa"/>
            <w:gridSpan w:val="2"/>
            <w:vAlign w:val="center"/>
          </w:tcPr>
          <w:p w14:paraId="1BA44E2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1.94</w:t>
            </w:r>
          </w:p>
        </w:tc>
        <w:tc>
          <w:tcPr>
            <w:tcW w:w="1832" w:type="dxa"/>
            <w:gridSpan w:val="2"/>
            <w:vAlign w:val="center"/>
          </w:tcPr>
          <w:p w14:paraId="7100E61B">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1.94</w:t>
            </w:r>
          </w:p>
        </w:tc>
      </w:tr>
      <w:tr w14:paraId="464B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4E84607C">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（17）前端适配</w:t>
            </w:r>
          </w:p>
        </w:tc>
        <w:tc>
          <w:tcPr>
            <w:tcW w:w="2038" w:type="dxa"/>
            <w:gridSpan w:val="2"/>
            <w:vAlign w:val="center"/>
          </w:tcPr>
          <w:p w14:paraId="101CFAE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16.50</w:t>
            </w:r>
          </w:p>
        </w:tc>
        <w:tc>
          <w:tcPr>
            <w:tcW w:w="2240" w:type="dxa"/>
            <w:gridSpan w:val="2"/>
            <w:vAlign w:val="center"/>
          </w:tcPr>
          <w:p w14:paraId="2186373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33.71</w:t>
            </w:r>
          </w:p>
        </w:tc>
        <w:tc>
          <w:tcPr>
            <w:tcW w:w="1832" w:type="dxa"/>
            <w:gridSpan w:val="2"/>
            <w:vAlign w:val="center"/>
          </w:tcPr>
          <w:p w14:paraId="0C156B0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33.71</w:t>
            </w:r>
          </w:p>
        </w:tc>
      </w:tr>
      <w:tr w14:paraId="472E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7B3E335F">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（18）电子化检测工具维护费</w:t>
            </w:r>
          </w:p>
        </w:tc>
        <w:tc>
          <w:tcPr>
            <w:tcW w:w="2038" w:type="dxa"/>
            <w:gridSpan w:val="2"/>
            <w:vAlign w:val="center"/>
          </w:tcPr>
          <w:p w14:paraId="77DA421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9.20</w:t>
            </w:r>
          </w:p>
        </w:tc>
        <w:tc>
          <w:tcPr>
            <w:tcW w:w="2240" w:type="dxa"/>
            <w:gridSpan w:val="2"/>
            <w:vAlign w:val="center"/>
          </w:tcPr>
          <w:p w14:paraId="1F5F1341">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4.60</w:t>
            </w:r>
          </w:p>
        </w:tc>
        <w:tc>
          <w:tcPr>
            <w:tcW w:w="1832" w:type="dxa"/>
            <w:gridSpan w:val="2"/>
            <w:vAlign w:val="center"/>
          </w:tcPr>
          <w:p w14:paraId="0136411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4.60</w:t>
            </w:r>
          </w:p>
        </w:tc>
      </w:tr>
      <w:tr w14:paraId="6155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2AF92EEC">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（19）不动产联网系统年度服务费用</w:t>
            </w:r>
          </w:p>
        </w:tc>
        <w:tc>
          <w:tcPr>
            <w:tcW w:w="2038" w:type="dxa"/>
            <w:gridSpan w:val="2"/>
            <w:vAlign w:val="center"/>
          </w:tcPr>
          <w:p w14:paraId="50593AC6">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2240" w:type="dxa"/>
            <w:gridSpan w:val="2"/>
            <w:vAlign w:val="center"/>
          </w:tcPr>
          <w:p w14:paraId="6D9B5E3B">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9</w:t>
            </w:r>
          </w:p>
        </w:tc>
        <w:tc>
          <w:tcPr>
            <w:tcW w:w="1832" w:type="dxa"/>
            <w:gridSpan w:val="2"/>
            <w:vAlign w:val="center"/>
          </w:tcPr>
          <w:p w14:paraId="23B7919D">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9</w:t>
            </w:r>
          </w:p>
        </w:tc>
      </w:tr>
      <w:tr w14:paraId="2FAA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5DD9E5D5">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（20）“湘易办”超级移动终端</w:t>
            </w:r>
          </w:p>
        </w:tc>
        <w:tc>
          <w:tcPr>
            <w:tcW w:w="2038" w:type="dxa"/>
            <w:gridSpan w:val="2"/>
            <w:vAlign w:val="center"/>
          </w:tcPr>
          <w:p w14:paraId="3C35BA43">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2240" w:type="dxa"/>
            <w:gridSpan w:val="2"/>
            <w:vAlign w:val="center"/>
          </w:tcPr>
          <w:p w14:paraId="78C5CDBC">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20</w:t>
            </w:r>
          </w:p>
        </w:tc>
        <w:tc>
          <w:tcPr>
            <w:tcW w:w="1832" w:type="dxa"/>
            <w:gridSpan w:val="2"/>
            <w:vAlign w:val="center"/>
          </w:tcPr>
          <w:p w14:paraId="15253F3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19.90</w:t>
            </w:r>
          </w:p>
        </w:tc>
      </w:tr>
      <w:tr w14:paraId="2186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33945A6D">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（21）中心机房设备更换升级</w:t>
            </w:r>
          </w:p>
        </w:tc>
        <w:tc>
          <w:tcPr>
            <w:tcW w:w="2038" w:type="dxa"/>
            <w:gridSpan w:val="2"/>
            <w:vAlign w:val="center"/>
          </w:tcPr>
          <w:p w14:paraId="3ECAFA4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2240" w:type="dxa"/>
            <w:gridSpan w:val="2"/>
            <w:vAlign w:val="center"/>
          </w:tcPr>
          <w:p w14:paraId="6DEDEC52">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30</w:t>
            </w:r>
          </w:p>
        </w:tc>
        <w:tc>
          <w:tcPr>
            <w:tcW w:w="1832" w:type="dxa"/>
            <w:gridSpan w:val="2"/>
            <w:vAlign w:val="center"/>
          </w:tcPr>
          <w:p w14:paraId="2FA2EFB7">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30</w:t>
            </w:r>
          </w:p>
        </w:tc>
      </w:tr>
      <w:tr w14:paraId="3631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17D33956">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（22）好差评系统改造</w:t>
            </w:r>
          </w:p>
        </w:tc>
        <w:tc>
          <w:tcPr>
            <w:tcW w:w="2038" w:type="dxa"/>
            <w:gridSpan w:val="2"/>
            <w:vAlign w:val="center"/>
          </w:tcPr>
          <w:p w14:paraId="3A3B39C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2240" w:type="dxa"/>
            <w:gridSpan w:val="2"/>
            <w:vAlign w:val="center"/>
          </w:tcPr>
          <w:p w14:paraId="6B8574A9">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35</w:t>
            </w:r>
          </w:p>
        </w:tc>
        <w:tc>
          <w:tcPr>
            <w:tcW w:w="1832" w:type="dxa"/>
            <w:gridSpan w:val="2"/>
            <w:vAlign w:val="center"/>
          </w:tcPr>
          <w:p w14:paraId="1BF58DB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33.1</w:t>
            </w:r>
          </w:p>
        </w:tc>
      </w:tr>
      <w:tr w14:paraId="3F4E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6D191CE8">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（23）全国异地公积金贷款还款（报账模式）业务对接</w:t>
            </w:r>
          </w:p>
        </w:tc>
        <w:tc>
          <w:tcPr>
            <w:tcW w:w="2038" w:type="dxa"/>
            <w:gridSpan w:val="2"/>
            <w:vAlign w:val="center"/>
          </w:tcPr>
          <w:p w14:paraId="5390239F">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2240" w:type="dxa"/>
            <w:gridSpan w:val="2"/>
            <w:vAlign w:val="center"/>
          </w:tcPr>
          <w:p w14:paraId="02AAFD0B">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25</w:t>
            </w:r>
          </w:p>
        </w:tc>
        <w:tc>
          <w:tcPr>
            <w:tcW w:w="1832" w:type="dxa"/>
            <w:gridSpan w:val="2"/>
            <w:vAlign w:val="center"/>
          </w:tcPr>
          <w:p w14:paraId="0F5E02BC">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23.6</w:t>
            </w:r>
          </w:p>
        </w:tc>
      </w:tr>
      <w:tr w14:paraId="5566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3768ED5C">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（24）机房搬迁</w:t>
            </w:r>
          </w:p>
        </w:tc>
        <w:tc>
          <w:tcPr>
            <w:tcW w:w="2038" w:type="dxa"/>
            <w:gridSpan w:val="2"/>
            <w:vAlign w:val="center"/>
          </w:tcPr>
          <w:p w14:paraId="563D72D4">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2240" w:type="dxa"/>
            <w:gridSpan w:val="2"/>
            <w:vAlign w:val="center"/>
          </w:tcPr>
          <w:p w14:paraId="63AA7D4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50</w:t>
            </w:r>
          </w:p>
        </w:tc>
        <w:tc>
          <w:tcPr>
            <w:tcW w:w="1832" w:type="dxa"/>
            <w:gridSpan w:val="2"/>
            <w:vAlign w:val="center"/>
          </w:tcPr>
          <w:p w14:paraId="002CE58B">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r>
      <w:tr w14:paraId="1F0C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4462BC33">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（25）“惠民公积金、服务暖人心”服务能力提升专项行动经费</w:t>
            </w:r>
          </w:p>
        </w:tc>
        <w:tc>
          <w:tcPr>
            <w:tcW w:w="2038" w:type="dxa"/>
            <w:gridSpan w:val="2"/>
            <w:vAlign w:val="center"/>
          </w:tcPr>
          <w:p w14:paraId="6A3C5D17">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2240" w:type="dxa"/>
            <w:gridSpan w:val="2"/>
            <w:vAlign w:val="center"/>
          </w:tcPr>
          <w:p w14:paraId="5DB57AD9">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20</w:t>
            </w:r>
          </w:p>
        </w:tc>
        <w:tc>
          <w:tcPr>
            <w:tcW w:w="1832" w:type="dxa"/>
            <w:gridSpan w:val="2"/>
            <w:vAlign w:val="center"/>
          </w:tcPr>
          <w:p w14:paraId="606FD99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20</w:t>
            </w:r>
          </w:p>
        </w:tc>
      </w:tr>
      <w:tr w14:paraId="4AC6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7F467D0C">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（26）文明创建、廉政文化、LED电子屏</w:t>
            </w:r>
          </w:p>
        </w:tc>
        <w:tc>
          <w:tcPr>
            <w:tcW w:w="2038" w:type="dxa"/>
            <w:gridSpan w:val="2"/>
            <w:vAlign w:val="center"/>
          </w:tcPr>
          <w:p w14:paraId="777AC3A2">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2240" w:type="dxa"/>
            <w:gridSpan w:val="2"/>
            <w:vAlign w:val="center"/>
          </w:tcPr>
          <w:p w14:paraId="77CEC817">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67.15</w:t>
            </w:r>
          </w:p>
        </w:tc>
        <w:tc>
          <w:tcPr>
            <w:tcW w:w="1832" w:type="dxa"/>
            <w:gridSpan w:val="2"/>
            <w:vAlign w:val="center"/>
          </w:tcPr>
          <w:p w14:paraId="2DC8EA2B">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66.69</w:t>
            </w:r>
          </w:p>
        </w:tc>
      </w:tr>
      <w:tr w14:paraId="16E8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4" w:type="dxa"/>
            <w:vAlign w:val="center"/>
          </w:tcPr>
          <w:p w14:paraId="25742E75">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（27）业务系统升级和运维费</w:t>
            </w:r>
          </w:p>
        </w:tc>
        <w:tc>
          <w:tcPr>
            <w:tcW w:w="2038" w:type="dxa"/>
            <w:gridSpan w:val="2"/>
            <w:vAlign w:val="center"/>
          </w:tcPr>
          <w:p w14:paraId="394B037C">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2240" w:type="dxa"/>
            <w:gridSpan w:val="2"/>
            <w:vAlign w:val="center"/>
          </w:tcPr>
          <w:p w14:paraId="505035E1">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37.21</w:t>
            </w:r>
          </w:p>
        </w:tc>
        <w:tc>
          <w:tcPr>
            <w:tcW w:w="1832" w:type="dxa"/>
            <w:gridSpan w:val="2"/>
            <w:vAlign w:val="center"/>
          </w:tcPr>
          <w:p w14:paraId="531CE5F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37.21</w:t>
            </w:r>
          </w:p>
        </w:tc>
      </w:tr>
      <w:tr w14:paraId="6053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4" w:type="dxa"/>
            <w:vAlign w:val="center"/>
          </w:tcPr>
          <w:p w14:paraId="79420C16">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（28）电梯改造费用</w:t>
            </w:r>
          </w:p>
        </w:tc>
        <w:tc>
          <w:tcPr>
            <w:tcW w:w="2038" w:type="dxa"/>
            <w:gridSpan w:val="2"/>
            <w:vAlign w:val="center"/>
          </w:tcPr>
          <w:p w14:paraId="3DDE2137">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10.53</w:t>
            </w:r>
          </w:p>
        </w:tc>
        <w:tc>
          <w:tcPr>
            <w:tcW w:w="2240" w:type="dxa"/>
            <w:gridSpan w:val="2"/>
            <w:vAlign w:val="center"/>
          </w:tcPr>
          <w:p w14:paraId="68A1FF17">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1832" w:type="dxa"/>
            <w:gridSpan w:val="2"/>
            <w:vAlign w:val="center"/>
          </w:tcPr>
          <w:p w14:paraId="0B83FD80">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r>
      <w:tr w14:paraId="11F1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0462E866">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（29）中心保密室和人事档案室建设</w:t>
            </w:r>
          </w:p>
        </w:tc>
        <w:tc>
          <w:tcPr>
            <w:tcW w:w="2038" w:type="dxa"/>
            <w:gridSpan w:val="2"/>
            <w:vAlign w:val="center"/>
          </w:tcPr>
          <w:p w14:paraId="5791EBD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10.33</w:t>
            </w:r>
          </w:p>
        </w:tc>
        <w:tc>
          <w:tcPr>
            <w:tcW w:w="2240" w:type="dxa"/>
            <w:gridSpan w:val="2"/>
            <w:vAlign w:val="center"/>
          </w:tcPr>
          <w:p w14:paraId="3D48BCF7">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1832" w:type="dxa"/>
            <w:gridSpan w:val="2"/>
            <w:vAlign w:val="center"/>
          </w:tcPr>
          <w:p w14:paraId="48EE72A3">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r>
      <w:tr w14:paraId="5E93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1421335E">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（30）2022年和2023年公开招聘、选调费用</w:t>
            </w:r>
          </w:p>
        </w:tc>
        <w:tc>
          <w:tcPr>
            <w:tcW w:w="2038" w:type="dxa"/>
            <w:gridSpan w:val="2"/>
            <w:vAlign w:val="center"/>
          </w:tcPr>
          <w:p w14:paraId="7D092845">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42.36</w:t>
            </w:r>
          </w:p>
        </w:tc>
        <w:tc>
          <w:tcPr>
            <w:tcW w:w="2240" w:type="dxa"/>
            <w:gridSpan w:val="2"/>
            <w:vAlign w:val="center"/>
          </w:tcPr>
          <w:p w14:paraId="5E300BF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1832" w:type="dxa"/>
            <w:gridSpan w:val="2"/>
            <w:vAlign w:val="center"/>
          </w:tcPr>
          <w:p w14:paraId="704C5DB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r>
      <w:tr w14:paraId="64B0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09F91B21">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（31）对外共享数据动态脱敏安全防范软件</w:t>
            </w:r>
          </w:p>
        </w:tc>
        <w:tc>
          <w:tcPr>
            <w:tcW w:w="2038" w:type="dxa"/>
            <w:gridSpan w:val="2"/>
            <w:vAlign w:val="center"/>
          </w:tcPr>
          <w:p w14:paraId="15E99ED1">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1.77</w:t>
            </w:r>
          </w:p>
        </w:tc>
        <w:tc>
          <w:tcPr>
            <w:tcW w:w="2240" w:type="dxa"/>
            <w:gridSpan w:val="2"/>
            <w:vAlign w:val="center"/>
          </w:tcPr>
          <w:p w14:paraId="480DDF01">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1832" w:type="dxa"/>
            <w:gridSpan w:val="2"/>
            <w:vAlign w:val="center"/>
          </w:tcPr>
          <w:p w14:paraId="47E2BBC6">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r>
      <w:tr w14:paraId="371A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5D6B44E2">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（32）容灾备份系统</w:t>
            </w:r>
          </w:p>
        </w:tc>
        <w:tc>
          <w:tcPr>
            <w:tcW w:w="2038" w:type="dxa"/>
            <w:gridSpan w:val="2"/>
            <w:vAlign w:val="center"/>
          </w:tcPr>
          <w:p w14:paraId="68A71B3F">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3.92</w:t>
            </w:r>
          </w:p>
        </w:tc>
        <w:tc>
          <w:tcPr>
            <w:tcW w:w="2240" w:type="dxa"/>
            <w:gridSpan w:val="2"/>
            <w:vAlign w:val="center"/>
          </w:tcPr>
          <w:p w14:paraId="3C84F0A7">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1832" w:type="dxa"/>
            <w:gridSpan w:val="2"/>
            <w:vAlign w:val="center"/>
          </w:tcPr>
          <w:p w14:paraId="23A4BA7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r>
      <w:tr w14:paraId="69AD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7B4B0C5A">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（33）数据治理</w:t>
            </w:r>
          </w:p>
        </w:tc>
        <w:tc>
          <w:tcPr>
            <w:tcW w:w="2038" w:type="dxa"/>
            <w:gridSpan w:val="2"/>
            <w:vAlign w:val="center"/>
          </w:tcPr>
          <w:p w14:paraId="0D9E7D3D">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80.8</w:t>
            </w:r>
          </w:p>
        </w:tc>
        <w:tc>
          <w:tcPr>
            <w:tcW w:w="2240" w:type="dxa"/>
            <w:gridSpan w:val="2"/>
            <w:vAlign w:val="center"/>
          </w:tcPr>
          <w:p w14:paraId="31FEAD24">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1832" w:type="dxa"/>
            <w:gridSpan w:val="2"/>
            <w:vAlign w:val="center"/>
          </w:tcPr>
          <w:p w14:paraId="4D9C1983">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r>
      <w:tr w14:paraId="5620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4E95B9AE">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（34）常态化疫情防控经费</w:t>
            </w:r>
          </w:p>
        </w:tc>
        <w:tc>
          <w:tcPr>
            <w:tcW w:w="2038" w:type="dxa"/>
            <w:gridSpan w:val="2"/>
            <w:vAlign w:val="center"/>
          </w:tcPr>
          <w:p w14:paraId="317AD0A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28.31</w:t>
            </w:r>
          </w:p>
        </w:tc>
        <w:tc>
          <w:tcPr>
            <w:tcW w:w="2240" w:type="dxa"/>
            <w:gridSpan w:val="2"/>
            <w:vAlign w:val="center"/>
          </w:tcPr>
          <w:p w14:paraId="58D41191">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c>
          <w:tcPr>
            <w:tcW w:w="1832" w:type="dxa"/>
            <w:gridSpan w:val="2"/>
            <w:vAlign w:val="center"/>
          </w:tcPr>
          <w:p w14:paraId="29E1A514">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w:t>
            </w:r>
          </w:p>
        </w:tc>
      </w:tr>
      <w:tr w14:paraId="7267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A0B79B0">
            <w:pPr>
              <w:widowControl/>
              <w:ind w:firstLine="400" w:firstLineChars="200"/>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4、其他事业类发展资金</w:t>
            </w:r>
          </w:p>
        </w:tc>
        <w:tc>
          <w:tcPr>
            <w:tcW w:w="2038" w:type="dxa"/>
            <w:gridSpan w:val="2"/>
            <w:vAlign w:val="center"/>
          </w:tcPr>
          <w:p w14:paraId="562E13E3">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w:t>
            </w:r>
          </w:p>
        </w:tc>
        <w:tc>
          <w:tcPr>
            <w:tcW w:w="2240" w:type="dxa"/>
            <w:gridSpan w:val="2"/>
            <w:vAlign w:val="center"/>
          </w:tcPr>
          <w:p w14:paraId="5CD0DAB4">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w:t>
            </w:r>
          </w:p>
        </w:tc>
        <w:tc>
          <w:tcPr>
            <w:tcW w:w="1832" w:type="dxa"/>
            <w:gridSpan w:val="2"/>
            <w:vAlign w:val="center"/>
          </w:tcPr>
          <w:p w14:paraId="63EE39F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w:t>
            </w:r>
          </w:p>
        </w:tc>
      </w:tr>
      <w:tr w14:paraId="407B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vAlign w:val="center"/>
          </w:tcPr>
          <w:p w14:paraId="0F3A6357">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w:t>
            </w:r>
          </w:p>
        </w:tc>
        <w:tc>
          <w:tcPr>
            <w:tcW w:w="2038" w:type="dxa"/>
            <w:gridSpan w:val="2"/>
            <w:vAlign w:val="center"/>
          </w:tcPr>
          <w:p w14:paraId="6A0437E2">
            <w:pPr>
              <w:widowControl/>
              <w:jc w:val="center"/>
              <w:rPr>
                <w:rFonts w:hint="default" w:ascii="Times New Roman" w:hAnsi="Times New Roman" w:eastAsia="仿宋_GB2312" w:cs="Times New Roman"/>
                <w:kern w:val="0"/>
                <w:sz w:val="20"/>
                <w:szCs w:val="20"/>
              </w:rPr>
            </w:pPr>
          </w:p>
        </w:tc>
        <w:tc>
          <w:tcPr>
            <w:tcW w:w="2240" w:type="dxa"/>
            <w:gridSpan w:val="2"/>
            <w:vAlign w:val="center"/>
          </w:tcPr>
          <w:p w14:paraId="6D53D770">
            <w:pPr>
              <w:widowControl/>
              <w:jc w:val="center"/>
              <w:rPr>
                <w:rFonts w:hint="default" w:ascii="Times New Roman" w:hAnsi="Times New Roman" w:eastAsia="仿宋_GB2312" w:cs="Times New Roman"/>
                <w:kern w:val="0"/>
                <w:sz w:val="20"/>
                <w:szCs w:val="20"/>
              </w:rPr>
            </w:pPr>
          </w:p>
        </w:tc>
        <w:tc>
          <w:tcPr>
            <w:tcW w:w="1832" w:type="dxa"/>
            <w:gridSpan w:val="2"/>
            <w:vAlign w:val="center"/>
          </w:tcPr>
          <w:p w14:paraId="1BCC58AC">
            <w:pPr>
              <w:widowControl/>
              <w:jc w:val="center"/>
              <w:rPr>
                <w:rFonts w:hint="default" w:ascii="Times New Roman" w:hAnsi="Times New Roman" w:eastAsia="仿宋_GB2312" w:cs="Times New Roman"/>
                <w:kern w:val="0"/>
                <w:sz w:val="20"/>
                <w:szCs w:val="20"/>
              </w:rPr>
            </w:pPr>
          </w:p>
        </w:tc>
      </w:tr>
      <w:tr w14:paraId="4611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AFFABEC">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公用经费</w:t>
            </w:r>
          </w:p>
        </w:tc>
        <w:tc>
          <w:tcPr>
            <w:tcW w:w="2038" w:type="dxa"/>
            <w:gridSpan w:val="2"/>
            <w:vAlign w:val="center"/>
          </w:tcPr>
          <w:p w14:paraId="59B3E446">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263.03</w:t>
            </w:r>
          </w:p>
        </w:tc>
        <w:tc>
          <w:tcPr>
            <w:tcW w:w="2240" w:type="dxa"/>
            <w:gridSpan w:val="2"/>
            <w:vAlign w:val="center"/>
          </w:tcPr>
          <w:p w14:paraId="71ACD679">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273.90</w:t>
            </w:r>
          </w:p>
        </w:tc>
        <w:tc>
          <w:tcPr>
            <w:tcW w:w="1832" w:type="dxa"/>
            <w:gridSpan w:val="2"/>
            <w:vAlign w:val="center"/>
          </w:tcPr>
          <w:p w14:paraId="0FE3732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273.90　</w:t>
            </w:r>
          </w:p>
        </w:tc>
      </w:tr>
      <w:tr w14:paraId="4FF3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93F00E2">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    其中：办公费</w:t>
            </w:r>
          </w:p>
        </w:tc>
        <w:tc>
          <w:tcPr>
            <w:tcW w:w="2038" w:type="dxa"/>
            <w:gridSpan w:val="2"/>
            <w:vAlign w:val="center"/>
          </w:tcPr>
          <w:p w14:paraId="6647EC4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29.88</w:t>
            </w:r>
          </w:p>
        </w:tc>
        <w:tc>
          <w:tcPr>
            <w:tcW w:w="2240" w:type="dxa"/>
            <w:gridSpan w:val="2"/>
            <w:vAlign w:val="center"/>
          </w:tcPr>
          <w:p w14:paraId="69942539">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19</w:t>
            </w:r>
          </w:p>
        </w:tc>
        <w:tc>
          <w:tcPr>
            <w:tcW w:w="1832" w:type="dxa"/>
            <w:gridSpan w:val="2"/>
            <w:vAlign w:val="center"/>
          </w:tcPr>
          <w:p w14:paraId="120325AF">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54.06</w:t>
            </w:r>
          </w:p>
        </w:tc>
      </w:tr>
      <w:tr w14:paraId="0256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AD48967">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          水费、电费、差旅费</w:t>
            </w:r>
          </w:p>
        </w:tc>
        <w:tc>
          <w:tcPr>
            <w:tcW w:w="2038" w:type="dxa"/>
            <w:gridSpan w:val="2"/>
            <w:vAlign w:val="center"/>
          </w:tcPr>
          <w:p w14:paraId="033C5080">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47.59　</w:t>
            </w:r>
          </w:p>
        </w:tc>
        <w:tc>
          <w:tcPr>
            <w:tcW w:w="2240" w:type="dxa"/>
            <w:gridSpan w:val="2"/>
            <w:vAlign w:val="center"/>
          </w:tcPr>
          <w:p w14:paraId="65C4DFCC">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38.88</w:t>
            </w:r>
          </w:p>
        </w:tc>
        <w:tc>
          <w:tcPr>
            <w:tcW w:w="1832" w:type="dxa"/>
            <w:gridSpan w:val="2"/>
            <w:vAlign w:val="center"/>
          </w:tcPr>
          <w:p w14:paraId="254960D6">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47.79　</w:t>
            </w:r>
          </w:p>
        </w:tc>
      </w:tr>
      <w:tr w14:paraId="055C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vAlign w:val="center"/>
          </w:tcPr>
          <w:p w14:paraId="6AD55953">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          会议费、培训费</w:t>
            </w:r>
          </w:p>
        </w:tc>
        <w:tc>
          <w:tcPr>
            <w:tcW w:w="2038" w:type="dxa"/>
            <w:gridSpan w:val="2"/>
            <w:vAlign w:val="center"/>
          </w:tcPr>
          <w:p w14:paraId="5D69BAA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5.63　</w:t>
            </w:r>
          </w:p>
        </w:tc>
        <w:tc>
          <w:tcPr>
            <w:tcW w:w="2240" w:type="dxa"/>
            <w:gridSpan w:val="2"/>
            <w:vAlign w:val="center"/>
          </w:tcPr>
          <w:p w14:paraId="7CAACC62">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6　</w:t>
            </w:r>
          </w:p>
        </w:tc>
        <w:tc>
          <w:tcPr>
            <w:tcW w:w="1832" w:type="dxa"/>
            <w:gridSpan w:val="2"/>
            <w:vAlign w:val="center"/>
          </w:tcPr>
          <w:p w14:paraId="2872610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3.01　</w:t>
            </w:r>
          </w:p>
        </w:tc>
      </w:tr>
      <w:tr w14:paraId="1B31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C250E96">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政府采购金额</w:t>
            </w:r>
          </w:p>
        </w:tc>
        <w:tc>
          <w:tcPr>
            <w:tcW w:w="2038" w:type="dxa"/>
            <w:gridSpan w:val="2"/>
            <w:vAlign w:val="center"/>
          </w:tcPr>
          <w:p w14:paraId="5EDF1EB0">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375.88</w:t>
            </w:r>
          </w:p>
        </w:tc>
        <w:tc>
          <w:tcPr>
            <w:tcW w:w="2240" w:type="dxa"/>
            <w:gridSpan w:val="2"/>
            <w:vAlign w:val="center"/>
          </w:tcPr>
          <w:p w14:paraId="455E3CE3">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531.75　</w:t>
            </w:r>
          </w:p>
        </w:tc>
        <w:tc>
          <w:tcPr>
            <w:tcW w:w="1832" w:type="dxa"/>
            <w:gridSpan w:val="2"/>
            <w:vAlign w:val="center"/>
          </w:tcPr>
          <w:p w14:paraId="3D916496">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807.95　</w:t>
            </w:r>
          </w:p>
        </w:tc>
      </w:tr>
      <w:tr w14:paraId="36C3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C9462A3">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部门基本支出预算调整 </w:t>
            </w:r>
          </w:p>
        </w:tc>
        <w:tc>
          <w:tcPr>
            <w:tcW w:w="2038" w:type="dxa"/>
            <w:gridSpan w:val="2"/>
            <w:vAlign w:val="center"/>
          </w:tcPr>
          <w:p w14:paraId="04A5ADC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1633.81</w:t>
            </w:r>
          </w:p>
        </w:tc>
        <w:tc>
          <w:tcPr>
            <w:tcW w:w="2240" w:type="dxa"/>
            <w:gridSpan w:val="2"/>
            <w:vAlign w:val="center"/>
          </w:tcPr>
          <w:p w14:paraId="06F27CB4">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1756.78　</w:t>
            </w:r>
          </w:p>
        </w:tc>
        <w:tc>
          <w:tcPr>
            <w:tcW w:w="1832" w:type="dxa"/>
            <w:gridSpan w:val="2"/>
            <w:vAlign w:val="center"/>
          </w:tcPr>
          <w:p w14:paraId="22205BD7">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1743.92　</w:t>
            </w:r>
          </w:p>
        </w:tc>
      </w:tr>
      <w:tr w14:paraId="0E70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14:paraId="687429F0">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楼堂馆所控制情况</w:t>
            </w:r>
            <w:r>
              <w:rPr>
                <w:rFonts w:hint="default" w:ascii="Times New Roman" w:hAnsi="Times New Roman" w:eastAsia="仿宋_GB2312" w:cs="Times New Roman"/>
                <w:kern w:val="0"/>
                <w:sz w:val="20"/>
                <w:szCs w:val="20"/>
              </w:rPr>
              <w:br w:type="textWrapping"/>
            </w:r>
          </w:p>
        </w:tc>
        <w:tc>
          <w:tcPr>
            <w:tcW w:w="1189" w:type="dxa"/>
            <w:vAlign w:val="center"/>
          </w:tcPr>
          <w:p w14:paraId="20BE4AE3">
            <w:pPr>
              <w:widowControl/>
              <w:spacing w:line="24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批复规模</w:t>
            </w:r>
            <w:r>
              <w:rPr>
                <w:rFonts w:hint="default" w:ascii="Times New Roman" w:hAnsi="Times New Roman" w:eastAsia="仿宋_GB2312" w:cs="Times New Roman"/>
                <w:kern w:val="0"/>
                <w:sz w:val="20"/>
                <w:szCs w:val="20"/>
              </w:rPr>
              <w:br w:type="textWrapping"/>
            </w:r>
            <w:r>
              <w:rPr>
                <w:rFonts w:hint="default" w:ascii="Times New Roman" w:hAnsi="Times New Roman" w:eastAsia="仿宋_GB2312" w:cs="Times New Roman"/>
                <w:kern w:val="0"/>
                <w:sz w:val="20"/>
                <w:szCs w:val="20"/>
              </w:rPr>
              <w:t>（㎡）</w:t>
            </w:r>
          </w:p>
        </w:tc>
        <w:tc>
          <w:tcPr>
            <w:tcW w:w="849" w:type="dxa"/>
            <w:vAlign w:val="center"/>
          </w:tcPr>
          <w:p w14:paraId="440E9314">
            <w:pPr>
              <w:widowControl/>
              <w:spacing w:line="24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实际规模（㎡）</w:t>
            </w:r>
          </w:p>
        </w:tc>
        <w:tc>
          <w:tcPr>
            <w:tcW w:w="1129" w:type="dxa"/>
            <w:vAlign w:val="center"/>
          </w:tcPr>
          <w:p w14:paraId="5DE97061">
            <w:pPr>
              <w:widowControl/>
              <w:spacing w:line="24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规模控制率</w:t>
            </w:r>
          </w:p>
        </w:tc>
        <w:tc>
          <w:tcPr>
            <w:tcW w:w="1111" w:type="dxa"/>
            <w:vAlign w:val="center"/>
          </w:tcPr>
          <w:p w14:paraId="0C59D31F">
            <w:pPr>
              <w:widowControl/>
              <w:spacing w:line="24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预算投资（万元）</w:t>
            </w:r>
          </w:p>
        </w:tc>
        <w:tc>
          <w:tcPr>
            <w:tcW w:w="969" w:type="dxa"/>
            <w:vAlign w:val="center"/>
          </w:tcPr>
          <w:p w14:paraId="5672433B">
            <w:pPr>
              <w:widowControl/>
              <w:spacing w:line="24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实际投资（万元）</w:t>
            </w:r>
          </w:p>
        </w:tc>
        <w:tc>
          <w:tcPr>
            <w:tcW w:w="863" w:type="dxa"/>
            <w:vAlign w:val="center"/>
          </w:tcPr>
          <w:p w14:paraId="7E460F4B">
            <w:pPr>
              <w:widowControl/>
              <w:spacing w:line="24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投资概算控制率</w:t>
            </w:r>
          </w:p>
        </w:tc>
      </w:tr>
      <w:tr w14:paraId="7F24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vAlign w:val="center"/>
          </w:tcPr>
          <w:p w14:paraId="57A5EB70">
            <w:pPr>
              <w:widowControl/>
              <w:jc w:val="left"/>
              <w:rPr>
                <w:rFonts w:hint="default" w:ascii="Times New Roman" w:hAnsi="Times New Roman" w:eastAsia="仿宋_GB2312" w:cs="Times New Roman"/>
                <w:kern w:val="0"/>
                <w:sz w:val="20"/>
                <w:szCs w:val="20"/>
              </w:rPr>
            </w:pPr>
          </w:p>
        </w:tc>
        <w:tc>
          <w:tcPr>
            <w:tcW w:w="1189" w:type="dxa"/>
            <w:vAlign w:val="center"/>
          </w:tcPr>
          <w:p w14:paraId="791C7DBE">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无</w:t>
            </w:r>
          </w:p>
        </w:tc>
        <w:tc>
          <w:tcPr>
            <w:tcW w:w="849" w:type="dxa"/>
            <w:vAlign w:val="center"/>
          </w:tcPr>
          <w:p w14:paraId="493E6102">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w:t>
            </w:r>
          </w:p>
        </w:tc>
        <w:tc>
          <w:tcPr>
            <w:tcW w:w="1129" w:type="dxa"/>
            <w:vAlign w:val="center"/>
          </w:tcPr>
          <w:p w14:paraId="1C80EE7B">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w:t>
            </w:r>
          </w:p>
        </w:tc>
        <w:tc>
          <w:tcPr>
            <w:tcW w:w="1111" w:type="dxa"/>
            <w:vAlign w:val="center"/>
          </w:tcPr>
          <w:p w14:paraId="3641D6E6">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w:t>
            </w:r>
          </w:p>
        </w:tc>
        <w:tc>
          <w:tcPr>
            <w:tcW w:w="969" w:type="dxa"/>
            <w:vAlign w:val="center"/>
          </w:tcPr>
          <w:p w14:paraId="7387AB67">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w:t>
            </w:r>
          </w:p>
        </w:tc>
        <w:tc>
          <w:tcPr>
            <w:tcW w:w="863" w:type="dxa"/>
            <w:vAlign w:val="center"/>
          </w:tcPr>
          <w:p w14:paraId="0B5C2A8A">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w:t>
            </w:r>
          </w:p>
        </w:tc>
      </w:tr>
      <w:tr w14:paraId="1C48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vAlign w:val="center"/>
          </w:tcPr>
          <w:p w14:paraId="42206860">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厉行节约保障措施</w:t>
            </w:r>
          </w:p>
        </w:tc>
        <w:tc>
          <w:tcPr>
            <w:tcW w:w="6110" w:type="dxa"/>
            <w:gridSpan w:val="6"/>
            <w:vAlign w:val="center"/>
          </w:tcPr>
          <w:p w14:paraId="00EF21B8">
            <w:pPr>
              <w:widowControl/>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2024年中心更为严格控制一般性支出，压减不必要的开支。从细节处落实厉行节约措施，加强对中心的货物、服务采购事前审批管理；严明公务接待纪律，实施公务接待互联网+监督公开，确保“过紧日子”要求落在实处。</w:t>
            </w:r>
          </w:p>
        </w:tc>
      </w:tr>
    </w:tbl>
    <w:p w14:paraId="42444DAC">
      <w:pPr>
        <w:pStyle w:val="21"/>
        <w:spacing w:line="280" w:lineRule="exact"/>
        <w:ind w:firstLine="440"/>
      </w:pPr>
      <w:r>
        <w:rPr>
          <w:rFonts w:eastAsia="仿宋_GB2312"/>
          <w:kern w:val="0"/>
          <w:sz w:val="22"/>
        </w:rPr>
        <w:t>说明：“项目支出”需要填报基本支出以外的所有项目支出情况，“公用经费”填报基本支出中的一般商品和服务支出。</w:t>
      </w:r>
    </w:p>
    <w:p w14:paraId="446E6308">
      <w:r>
        <w:rPr>
          <w:rFonts w:hint="eastAsia"/>
        </w:rPr>
        <w:t xml:space="preserve">       </w:t>
      </w:r>
    </w:p>
    <w:p w14:paraId="4E4D03CD">
      <w:pPr>
        <w:pStyle w:val="9"/>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0567DF3E">
      <w:pPr>
        <w:pStyle w:val="9"/>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6F7203F8">
      <w:pPr>
        <w:pStyle w:val="9"/>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21B61888">
      <w:pPr>
        <w:pStyle w:val="9"/>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3C322322">
      <w:pPr>
        <w:pStyle w:val="9"/>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7D5573FA">
      <w:pPr>
        <w:pStyle w:val="9"/>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05C700EC">
      <w:pPr>
        <w:pStyle w:val="9"/>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7154695A">
      <w:pPr>
        <w:pStyle w:val="9"/>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6DF5130C">
      <w:pPr>
        <w:pStyle w:val="9"/>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sectPr>
          <w:headerReference r:id="rId12" w:type="first"/>
          <w:footerReference r:id="rId14" w:type="first"/>
          <w:headerReference r:id="rId11" w:type="default"/>
          <w:footerReference r:id="rId13" w:type="default"/>
          <w:pgSz w:w="11906" w:h="16838"/>
          <w:pgMar w:top="1701" w:right="1701" w:bottom="1701"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8D8DB03">
      <w:pPr>
        <w:pStyle w:val="9"/>
        <w:shd w:val="clear" w:color="auto" w:fill="FFFFFF"/>
        <w:spacing w:beforeAutospacing="0" w:afterAutospacing="0" w:line="480" w:lineRule="exact"/>
        <w:jc w:val="both"/>
        <w:rPr>
          <w:rFonts w:hint="eastAsia" w:ascii="Times New Roman" w:hAnsi="Times New Roman" w:eastAsia="黑体" w:cs="Times New Roman"/>
          <w:color w:val="000000"/>
          <w:sz w:val="30"/>
          <w:szCs w:val="30"/>
          <w:shd w:val="clear" w:color="auto" w:fill="FFFFFF"/>
          <w:lang w:val="en-US" w:eastAsia="zh-CN"/>
        </w:rPr>
      </w:pPr>
      <w:r>
        <w:rPr>
          <w:rFonts w:hint="default" w:ascii="Times New Roman" w:hAnsi="Times New Roman" w:eastAsia="黑体" w:cs="Times New Roman"/>
          <w:color w:val="000000"/>
          <w:sz w:val="30"/>
          <w:szCs w:val="30"/>
          <w:shd w:val="clear" w:color="auto" w:fill="FFFFFF"/>
        </w:rPr>
        <w:t>附件</w:t>
      </w:r>
      <w:r>
        <w:rPr>
          <w:rFonts w:hint="eastAsia" w:ascii="Times New Roman" w:hAnsi="Times New Roman" w:eastAsia="黑体" w:cs="Times New Roman"/>
          <w:color w:val="000000"/>
          <w:sz w:val="30"/>
          <w:szCs w:val="30"/>
          <w:shd w:val="clear" w:color="auto" w:fill="FFFFFF"/>
          <w:lang w:val="en-US" w:eastAsia="zh-CN"/>
        </w:rPr>
        <w:t>2</w:t>
      </w:r>
    </w:p>
    <w:p w14:paraId="3B18FA66">
      <w:pPr>
        <w:widowControl/>
        <w:tabs>
          <w:tab w:val="left" w:pos="3611"/>
          <w:tab w:val="left" w:pos="4791"/>
          <w:tab w:val="left" w:pos="5951"/>
          <w:tab w:val="left" w:pos="7071"/>
          <w:tab w:val="left" w:pos="8191"/>
          <w:tab w:val="left" w:pos="9311"/>
        </w:tabs>
        <w:spacing w:line="480" w:lineRule="exact"/>
        <w:ind w:left="91"/>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部门整体支出绩效评价基础数据表</w:t>
      </w:r>
    </w:p>
    <w:tbl>
      <w:tblPr>
        <w:tblStyle w:val="10"/>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698"/>
        <w:gridCol w:w="1128"/>
        <w:gridCol w:w="998"/>
        <w:gridCol w:w="296"/>
        <w:gridCol w:w="999"/>
        <w:gridCol w:w="1134"/>
        <w:gridCol w:w="709"/>
        <w:gridCol w:w="816"/>
        <w:gridCol w:w="1193"/>
      </w:tblGrid>
      <w:tr w14:paraId="09EE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69" w:type="dxa"/>
            <w:vAlign w:val="center"/>
          </w:tcPr>
          <w:p w14:paraId="0D88B845">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预算单位名称</w:t>
            </w:r>
          </w:p>
        </w:tc>
        <w:tc>
          <w:tcPr>
            <w:tcW w:w="8971" w:type="dxa"/>
            <w:gridSpan w:val="9"/>
            <w:vAlign w:val="center"/>
          </w:tcPr>
          <w:p w14:paraId="7E250A02">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怀化市住房公积金管理中心　</w:t>
            </w:r>
          </w:p>
        </w:tc>
      </w:tr>
      <w:tr w14:paraId="5187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69" w:type="dxa"/>
            <w:vMerge w:val="restart"/>
            <w:vAlign w:val="center"/>
          </w:tcPr>
          <w:p w14:paraId="15B3C4E5">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年度预</w:t>
            </w:r>
          </w:p>
          <w:p w14:paraId="18D600E5">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算申请</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（万元）</w:t>
            </w:r>
          </w:p>
        </w:tc>
        <w:tc>
          <w:tcPr>
            <w:tcW w:w="2826" w:type="dxa"/>
            <w:gridSpan w:val="2"/>
            <w:vAlign w:val="center"/>
          </w:tcPr>
          <w:p w14:paraId="1E37F39C">
            <w:pPr>
              <w:widowControl/>
              <w:spacing w:line="220" w:lineRule="exact"/>
              <w:jc w:val="center"/>
              <w:rPr>
                <w:rFonts w:hint="default" w:ascii="Times New Roman" w:hAnsi="Times New Roman" w:eastAsia="仿宋_GB2312" w:cs="Times New Roman"/>
                <w:sz w:val="20"/>
                <w:szCs w:val="20"/>
              </w:rPr>
            </w:pPr>
          </w:p>
        </w:tc>
        <w:tc>
          <w:tcPr>
            <w:tcW w:w="998" w:type="dxa"/>
            <w:vAlign w:val="center"/>
          </w:tcPr>
          <w:p w14:paraId="0E4C3923">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w:t>
            </w:r>
          </w:p>
          <w:p w14:paraId="2194276E">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预算数</w:t>
            </w:r>
          </w:p>
        </w:tc>
        <w:tc>
          <w:tcPr>
            <w:tcW w:w="1295" w:type="dxa"/>
            <w:gridSpan w:val="2"/>
            <w:vAlign w:val="center"/>
          </w:tcPr>
          <w:p w14:paraId="4EDBEC47">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134" w:type="dxa"/>
            <w:vAlign w:val="center"/>
          </w:tcPr>
          <w:p w14:paraId="10D33E3F">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4097653C">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709" w:type="dxa"/>
            <w:vAlign w:val="center"/>
          </w:tcPr>
          <w:p w14:paraId="1FF0FFD3">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16" w:type="dxa"/>
            <w:vAlign w:val="center"/>
          </w:tcPr>
          <w:p w14:paraId="072AEF76">
            <w:pPr>
              <w:widowControl/>
              <w:spacing w:line="220" w:lineRule="exact"/>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完成预算的</w:t>
            </w:r>
          </w:p>
        </w:tc>
        <w:tc>
          <w:tcPr>
            <w:tcW w:w="1193" w:type="dxa"/>
            <w:vAlign w:val="center"/>
          </w:tcPr>
          <w:p w14:paraId="3B5C31DD">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6974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3B0C1C00">
            <w:pPr>
              <w:widowControl/>
              <w:spacing w:line="220" w:lineRule="exact"/>
              <w:jc w:val="center"/>
              <w:rPr>
                <w:rFonts w:hint="default" w:ascii="Times New Roman" w:hAnsi="Times New Roman" w:eastAsia="仿宋_GB2312" w:cs="Times New Roman"/>
                <w:color w:val="000000"/>
                <w:kern w:val="0"/>
                <w:sz w:val="20"/>
                <w:szCs w:val="20"/>
              </w:rPr>
            </w:pPr>
          </w:p>
        </w:tc>
        <w:tc>
          <w:tcPr>
            <w:tcW w:w="2826" w:type="dxa"/>
            <w:gridSpan w:val="2"/>
            <w:vAlign w:val="center"/>
          </w:tcPr>
          <w:p w14:paraId="6B1F724C">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kern w:val="0"/>
                <w:sz w:val="20"/>
                <w:szCs w:val="20"/>
              </w:rPr>
              <w:t>年度资金总额</w:t>
            </w:r>
          </w:p>
        </w:tc>
        <w:tc>
          <w:tcPr>
            <w:tcW w:w="998" w:type="dxa"/>
            <w:vAlign w:val="center"/>
          </w:tcPr>
          <w:p w14:paraId="6637ECDE">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3346.35</w:t>
            </w:r>
          </w:p>
        </w:tc>
        <w:tc>
          <w:tcPr>
            <w:tcW w:w="1295" w:type="dxa"/>
            <w:gridSpan w:val="2"/>
            <w:vAlign w:val="center"/>
          </w:tcPr>
          <w:p w14:paraId="75997147">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2900.71</w:t>
            </w:r>
          </w:p>
        </w:tc>
        <w:tc>
          <w:tcPr>
            <w:tcW w:w="1134" w:type="dxa"/>
            <w:vAlign w:val="center"/>
          </w:tcPr>
          <w:p w14:paraId="46F513CD">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2829.40</w:t>
            </w:r>
          </w:p>
        </w:tc>
        <w:tc>
          <w:tcPr>
            <w:tcW w:w="709" w:type="dxa"/>
            <w:vAlign w:val="center"/>
          </w:tcPr>
          <w:p w14:paraId="0ABB35FC">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16" w:type="dxa"/>
            <w:vAlign w:val="center"/>
          </w:tcPr>
          <w:p w14:paraId="1DF0BA79">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97.54%</w:t>
            </w:r>
          </w:p>
        </w:tc>
        <w:tc>
          <w:tcPr>
            <w:tcW w:w="1193" w:type="dxa"/>
            <w:vAlign w:val="center"/>
          </w:tcPr>
          <w:p w14:paraId="155D4B67">
            <w:pPr>
              <w:widowControl/>
              <w:spacing w:line="22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9.7</w:t>
            </w:r>
          </w:p>
        </w:tc>
      </w:tr>
      <w:tr w14:paraId="68B5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2BD30D71">
            <w:pPr>
              <w:widowControl/>
              <w:spacing w:line="220" w:lineRule="exact"/>
              <w:jc w:val="left"/>
              <w:rPr>
                <w:rFonts w:hint="default" w:ascii="Times New Roman" w:hAnsi="Times New Roman" w:eastAsia="仿宋_GB2312" w:cs="Times New Roman"/>
                <w:color w:val="000000"/>
                <w:kern w:val="0"/>
                <w:sz w:val="20"/>
                <w:szCs w:val="20"/>
              </w:rPr>
            </w:pPr>
          </w:p>
        </w:tc>
        <w:tc>
          <w:tcPr>
            <w:tcW w:w="5119" w:type="dxa"/>
            <w:gridSpan w:val="5"/>
            <w:vAlign w:val="center"/>
          </w:tcPr>
          <w:p w14:paraId="595C8B41">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按收入性质分：</w:t>
            </w:r>
          </w:p>
        </w:tc>
        <w:tc>
          <w:tcPr>
            <w:tcW w:w="3852" w:type="dxa"/>
            <w:gridSpan w:val="4"/>
            <w:vAlign w:val="center"/>
          </w:tcPr>
          <w:p w14:paraId="35107F82">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按支出性质分：</w:t>
            </w:r>
          </w:p>
        </w:tc>
      </w:tr>
      <w:tr w14:paraId="02DA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7BD6143D">
            <w:pPr>
              <w:widowControl/>
              <w:spacing w:line="220" w:lineRule="exact"/>
              <w:jc w:val="left"/>
              <w:rPr>
                <w:rFonts w:hint="default" w:ascii="Times New Roman" w:hAnsi="Times New Roman" w:eastAsia="仿宋_GB2312" w:cs="Times New Roman"/>
                <w:color w:val="000000"/>
                <w:kern w:val="0"/>
                <w:sz w:val="20"/>
                <w:szCs w:val="20"/>
              </w:rPr>
            </w:pPr>
          </w:p>
        </w:tc>
        <w:tc>
          <w:tcPr>
            <w:tcW w:w="5119" w:type="dxa"/>
            <w:gridSpan w:val="5"/>
            <w:vAlign w:val="center"/>
          </w:tcPr>
          <w:p w14:paraId="4FA3F28A">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其中：  一般公共预算：2900.71</w:t>
            </w:r>
          </w:p>
        </w:tc>
        <w:tc>
          <w:tcPr>
            <w:tcW w:w="3852" w:type="dxa"/>
            <w:gridSpan w:val="4"/>
            <w:vAlign w:val="center"/>
          </w:tcPr>
          <w:p w14:paraId="514778B5">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其中：基本支出：1743.92</w:t>
            </w:r>
          </w:p>
        </w:tc>
      </w:tr>
      <w:tr w14:paraId="3925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0DBDEF1B">
            <w:pPr>
              <w:widowControl/>
              <w:spacing w:line="220" w:lineRule="exact"/>
              <w:jc w:val="left"/>
              <w:rPr>
                <w:rFonts w:hint="default" w:ascii="Times New Roman" w:hAnsi="Times New Roman" w:eastAsia="仿宋_GB2312" w:cs="Times New Roman"/>
                <w:color w:val="000000"/>
                <w:kern w:val="0"/>
                <w:sz w:val="20"/>
                <w:szCs w:val="20"/>
              </w:rPr>
            </w:pPr>
          </w:p>
        </w:tc>
        <w:tc>
          <w:tcPr>
            <w:tcW w:w="5119" w:type="dxa"/>
            <w:gridSpan w:val="5"/>
            <w:vAlign w:val="center"/>
          </w:tcPr>
          <w:p w14:paraId="0822AADB">
            <w:pPr>
              <w:widowControl/>
              <w:spacing w:line="220" w:lineRule="exact"/>
              <w:ind w:firstLine="800" w:firstLineChars="40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政府性基金拨款：</w:t>
            </w:r>
          </w:p>
        </w:tc>
        <w:tc>
          <w:tcPr>
            <w:tcW w:w="3852" w:type="dxa"/>
            <w:gridSpan w:val="4"/>
            <w:vAlign w:val="center"/>
          </w:tcPr>
          <w:p w14:paraId="029B835F">
            <w:pPr>
              <w:widowControl/>
              <w:spacing w:line="220" w:lineRule="exact"/>
              <w:ind w:firstLine="600" w:firstLineChars="30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项目支出：1085.48</w:t>
            </w:r>
          </w:p>
        </w:tc>
      </w:tr>
      <w:tr w14:paraId="2223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21261A22">
            <w:pPr>
              <w:widowControl/>
              <w:spacing w:line="220" w:lineRule="exact"/>
              <w:jc w:val="left"/>
              <w:rPr>
                <w:rFonts w:hint="default" w:ascii="Times New Roman" w:hAnsi="Times New Roman" w:eastAsia="仿宋_GB2312" w:cs="Times New Roman"/>
                <w:color w:val="000000"/>
                <w:kern w:val="0"/>
                <w:sz w:val="20"/>
                <w:szCs w:val="20"/>
              </w:rPr>
            </w:pPr>
          </w:p>
        </w:tc>
        <w:tc>
          <w:tcPr>
            <w:tcW w:w="5119" w:type="dxa"/>
            <w:gridSpan w:val="5"/>
            <w:vAlign w:val="center"/>
          </w:tcPr>
          <w:p w14:paraId="42D0DB91">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纳入专户管理的非税收入拨款：</w:t>
            </w:r>
          </w:p>
        </w:tc>
        <w:tc>
          <w:tcPr>
            <w:tcW w:w="3852" w:type="dxa"/>
            <w:gridSpan w:val="4"/>
            <w:vAlign w:val="center"/>
          </w:tcPr>
          <w:p w14:paraId="12F9EE67">
            <w:pPr>
              <w:widowControl/>
              <w:spacing w:line="220" w:lineRule="exact"/>
              <w:jc w:val="left"/>
              <w:rPr>
                <w:rFonts w:hint="default" w:ascii="Times New Roman" w:hAnsi="Times New Roman" w:eastAsia="仿宋_GB2312" w:cs="Times New Roman"/>
                <w:color w:val="000000"/>
                <w:kern w:val="0"/>
                <w:sz w:val="20"/>
                <w:szCs w:val="20"/>
              </w:rPr>
            </w:pPr>
          </w:p>
        </w:tc>
      </w:tr>
      <w:tr w14:paraId="2C80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9" w:type="dxa"/>
            <w:vMerge w:val="continue"/>
            <w:vAlign w:val="center"/>
          </w:tcPr>
          <w:p w14:paraId="540DF62D">
            <w:pPr>
              <w:widowControl/>
              <w:spacing w:line="220" w:lineRule="exact"/>
              <w:jc w:val="left"/>
              <w:rPr>
                <w:rFonts w:hint="default" w:ascii="Times New Roman" w:hAnsi="Times New Roman" w:eastAsia="仿宋_GB2312" w:cs="Times New Roman"/>
                <w:color w:val="000000"/>
                <w:kern w:val="0"/>
                <w:sz w:val="20"/>
                <w:szCs w:val="20"/>
              </w:rPr>
            </w:pPr>
          </w:p>
        </w:tc>
        <w:tc>
          <w:tcPr>
            <w:tcW w:w="5119" w:type="dxa"/>
            <w:gridSpan w:val="5"/>
            <w:vAlign w:val="center"/>
          </w:tcPr>
          <w:p w14:paraId="21FD21C1">
            <w:pPr>
              <w:widowControl/>
              <w:spacing w:line="220" w:lineRule="exact"/>
              <w:ind w:firstLine="1400" w:firstLineChars="70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其他资金：</w:t>
            </w:r>
          </w:p>
        </w:tc>
        <w:tc>
          <w:tcPr>
            <w:tcW w:w="3852" w:type="dxa"/>
            <w:gridSpan w:val="4"/>
            <w:vAlign w:val="center"/>
          </w:tcPr>
          <w:p w14:paraId="212CE912">
            <w:pPr>
              <w:widowControl/>
              <w:spacing w:line="220" w:lineRule="exact"/>
              <w:jc w:val="left"/>
              <w:rPr>
                <w:rFonts w:hint="default" w:ascii="Times New Roman" w:hAnsi="Times New Roman" w:eastAsia="仿宋_GB2312" w:cs="Times New Roman"/>
                <w:color w:val="000000"/>
                <w:kern w:val="0"/>
                <w:sz w:val="20"/>
                <w:szCs w:val="20"/>
              </w:rPr>
            </w:pPr>
          </w:p>
        </w:tc>
      </w:tr>
      <w:tr w14:paraId="15DC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restart"/>
            <w:vAlign w:val="center"/>
          </w:tcPr>
          <w:p w14:paraId="3586CC39">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年度总体目标</w:t>
            </w:r>
          </w:p>
        </w:tc>
        <w:tc>
          <w:tcPr>
            <w:tcW w:w="5119" w:type="dxa"/>
            <w:gridSpan w:val="5"/>
            <w:vAlign w:val="center"/>
          </w:tcPr>
          <w:p w14:paraId="0CD55D34">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预期目标</w:t>
            </w:r>
          </w:p>
        </w:tc>
        <w:tc>
          <w:tcPr>
            <w:tcW w:w="3852" w:type="dxa"/>
            <w:gridSpan w:val="4"/>
            <w:vAlign w:val="center"/>
          </w:tcPr>
          <w:p w14:paraId="33313B41">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实际完成情况　</w:t>
            </w:r>
          </w:p>
        </w:tc>
      </w:tr>
      <w:tr w14:paraId="0869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9" w:type="dxa"/>
            <w:vMerge w:val="continue"/>
            <w:vAlign w:val="center"/>
          </w:tcPr>
          <w:p w14:paraId="13BCCE47">
            <w:pPr>
              <w:widowControl/>
              <w:spacing w:line="220" w:lineRule="exact"/>
              <w:jc w:val="left"/>
              <w:rPr>
                <w:rFonts w:hint="default" w:ascii="Times New Roman" w:hAnsi="Times New Roman" w:eastAsia="仿宋_GB2312" w:cs="Times New Roman"/>
                <w:color w:val="000000"/>
                <w:kern w:val="0"/>
                <w:sz w:val="20"/>
                <w:szCs w:val="20"/>
              </w:rPr>
            </w:pPr>
          </w:p>
        </w:tc>
        <w:tc>
          <w:tcPr>
            <w:tcW w:w="5119" w:type="dxa"/>
            <w:gridSpan w:val="5"/>
            <w:vAlign w:val="center"/>
          </w:tcPr>
          <w:p w14:paraId="0AACED1C">
            <w:pPr>
              <w:widowControl/>
              <w:spacing w:line="220" w:lineRule="exact"/>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sz w:val="20"/>
                <w:szCs w:val="20"/>
              </w:rPr>
              <w:t>全市计划力争实现归集住房公积金44.05亿元，增长6%，个贷率控制在70%左右，全市计划发放职工个人住房公积金贷款10.2亿元，逾期率控制在0.03%以内。全市计划完成住房公积金增值收益25650万元。　　</w:t>
            </w:r>
            <w:r>
              <w:rPr>
                <w:rFonts w:hint="default" w:ascii="Times New Roman" w:hAnsi="Times New Roman" w:eastAsia="仿宋_GB2312" w:cs="Times New Roman"/>
                <w:kern w:val="0"/>
                <w:sz w:val="20"/>
                <w:szCs w:val="20"/>
              </w:rPr>
              <w:t>　　</w:t>
            </w:r>
          </w:p>
        </w:tc>
        <w:tc>
          <w:tcPr>
            <w:tcW w:w="3852" w:type="dxa"/>
            <w:gridSpan w:val="4"/>
            <w:vAlign w:val="center"/>
          </w:tcPr>
          <w:p w14:paraId="6EF9B866">
            <w:pPr>
              <w:spacing w:line="22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归集住房公积金43.45亿元，同比增长4.55%，完成年初计划的98.63%；发放个人住房贷款2619笔共9.92亿元，完成年初计划的97.30%，同比分别下降31.13%、33.95%；个贷率72.51%，累计为10.55万户干部职工发放贷款243.29亿元，累计贷款余额118.38亿元；实现增值收益26232.5万元，同比增长2.39%，完成年初计划的102.27%；逾期率控制在0.03%。</w:t>
            </w:r>
          </w:p>
        </w:tc>
      </w:tr>
      <w:tr w14:paraId="337C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69" w:type="dxa"/>
            <w:vMerge w:val="restart"/>
            <w:vAlign w:val="center"/>
          </w:tcPr>
          <w:p w14:paraId="59B1ABCA">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绩</w:t>
            </w:r>
          </w:p>
          <w:p w14:paraId="4FB37E27">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效</w:t>
            </w:r>
          </w:p>
          <w:p w14:paraId="744E71C7">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w:t>
            </w:r>
          </w:p>
          <w:p w14:paraId="76E531AF">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标</w:t>
            </w:r>
          </w:p>
        </w:tc>
        <w:tc>
          <w:tcPr>
            <w:tcW w:w="1698" w:type="dxa"/>
            <w:vAlign w:val="center"/>
          </w:tcPr>
          <w:p w14:paraId="45BD7934">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一级指标</w:t>
            </w:r>
          </w:p>
        </w:tc>
        <w:tc>
          <w:tcPr>
            <w:tcW w:w="1128" w:type="dxa"/>
            <w:vAlign w:val="center"/>
          </w:tcPr>
          <w:p w14:paraId="4EB987EE">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二级指标</w:t>
            </w:r>
          </w:p>
        </w:tc>
        <w:tc>
          <w:tcPr>
            <w:tcW w:w="1294" w:type="dxa"/>
            <w:gridSpan w:val="2"/>
            <w:vAlign w:val="center"/>
          </w:tcPr>
          <w:p w14:paraId="30B542B9">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三级指标</w:t>
            </w:r>
          </w:p>
        </w:tc>
        <w:tc>
          <w:tcPr>
            <w:tcW w:w="999" w:type="dxa"/>
            <w:vAlign w:val="center"/>
          </w:tcPr>
          <w:p w14:paraId="1A5A21B4">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w:t>
            </w:r>
          </w:p>
          <w:p w14:paraId="1BB1E9A8">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指标值</w:t>
            </w:r>
          </w:p>
        </w:tc>
        <w:tc>
          <w:tcPr>
            <w:tcW w:w="1134" w:type="dxa"/>
            <w:vAlign w:val="center"/>
          </w:tcPr>
          <w:p w14:paraId="4EF7660D">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实际</w:t>
            </w:r>
          </w:p>
          <w:p w14:paraId="183487B9">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完成值</w:t>
            </w:r>
          </w:p>
        </w:tc>
        <w:tc>
          <w:tcPr>
            <w:tcW w:w="709" w:type="dxa"/>
            <w:vAlign w:val="center"/>
          </w:tcPr>
          <w:p w14:paraId="607215F9">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分值</w:t>
            </w:r>
          </w:p>
        </w:tc>
        <w:tc>
          <w:tcPr>
            <w:tcW w:w="816" w:type="dxa"/>
            <w:vAlign w:val="center"/>
          </w:tcPr>
          <w:p w14:paraId="4B6C6386">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c>
          <w:tcPr>
            <w:tcW w:w="1193" w:type="dxa"/>
          </w:tcPr>
          <w:p w14:paraId="600E1C66">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偏差原因</w:t>
            </w:r>
          </w:p>
          <w:p w14:paraId="2B6698D8">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分析及</w:t>
            </w:r>
          </w:p>
          <w:p w14:paraId="59274EE1">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改进措施</w:t>
            </w:r>
          </w:p>
        </w:tc>
      </w:tr>
      <w:tr w14:paraId="359F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223D4C51">
            <w:pPr>
              <w:widowControl/>
              <w:spacing w:line="220" w:lineRule="exact"/>
              <w:jc w:val="center"/>
              <w:rPr>
                <w:rFonts w:hint="default" w:ascii="Times New Roman" w:hAnsi="Times New Roman" w:eastAsia="仿宋_GB2312" w:cs="Times New Roman"/>
                <w:color w:val="000000"/>
                <w:kern w:val="0"/>
                <w:sz w:val="20"/>
                <w:szCs w:val="20"/>
              </w:rPr>
            </w:pPr>
          </w:p>
        </w:tc>
        <w:tc>
          <w:tcPr>
            <w:tcW w:w="1698" w:type="dxa"/>
            <w:vMerge w:val="restart"/>
            <w:vAlign w:val="center"/>
          </w:tcPr>
          <w:p w14:paraId="6DE0300C">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产出指标</w:t>
            </w:r>
          </w:p>
          <w:p w14:paraId="43BC6C47">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（40分)</w:t>
            </w:r>
          </w:p>
        </w:tc>
        <w:tc>
          <w:tcPr>
            <w:tcW w:w="1128" w:type="dxa"/>
            <w:vMerge w:val="restart"/>
            <w:vAlign w:val="center"/>
          </w:tcPr>
          <w:p w14:paraId="28830007">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数量</w:t>
            </w:r>
          </w:p>
          <w:p w14:paraId="5FD02E5E">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w:t>
            </w:r>
          </w:p>
        </w:tc>
        <w:tc>
          <w:tcPr>
            <w:tcW w:w="1294" w:type="dxa"/>
            <w:gridSpan w:val="2"/>
            <w:vAlign w:val="center"/>
          </w:tcPr>
          <w:p w14:paraId="570DC226">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缴存额完成数</w:t>
            </w:r>
          </w:p>
        </w:tc>
        <w:tc>
          <w:tcPr>
            <w:tcW w:w="999" w:type="dxa"/>
            <w:vAlign w:val="center"/>
          </w:tcPr>
          <w:p w14:paraId="4A91AA41">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44.05亿元</w:t>
            </w:r>
          </w:p>
        </w:tc>
        <w:tc>
          <w:tcPr>
            <w:tcW w:w="1134" w:type="dxa"/>
            <w:vAlign w:val="center"/>
          </w:tcPr>
          <w:p w14:paraId="658A3D02">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43.45亿元</w:t>
            </w:r>
          </w:p>
        </w:tc>
        <w:tc>
          <w:tcPr>
            <w:tcW w:w="709" w:type="dxa"/>
            <w:vAlign w:val="center"/>
          </w:tcPr>
          <w:p w14:paraId="2A39CBF9">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p w14:paraId="1588BD5A">
            <w:pPr>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10</w:t>
            </w:r>
          </w:p>
        </w:tc>
        <w:tc>
          <w:tcPr>
            <w:tcW w:w="816" w:type="dxa"/>
            <w:vAlign w:val="center"/>
          </w:tcPr>
          <w:p w14:paraId="63323AF4">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p w14:paraId="3A0F9C9C">
            <w:pPr>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10</w:t>
            </w:r>
          </w:p>
        </w:tc>
        <w:tc>
          <w:tcPr>
            <w:tcW w:w="1193" w:type="dxa"/>
            <w:vAlign w:val="center"/>
          </w:tcPr>
          <w:p w14:paraId="57384BF2">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5AE5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2B28F666">
            <w:pPr>
              <w:widowControl/>
              <w:spacing w:line="220" w:lineRule="exact"/>
              <w:jc w:val="center"/>
              <w:rPr>
                <w:rFonts w:hint="default" w:ascii="Times New Roman" w:hAnsi="Times New Roman" w:eastAsia="仿宋_GB2312" w:cs="Times New Roman"/>
                <w:color w:val="000000"/>
                <w:kern w:val="0"/>
                <w:sz w:val="20"/>
                <w:szCs w:val="20"/>
              </w:rPr>
            </w:pPr>
          </w:p>
        </w:tc>
        <w:tc>
          <w:tcPr>
            <w:tcW w:w="1698" w:type="dxa"/>
            <w:vMerge w:val="continue"/>
            <w:vAlign w:val="center"/>
          </w:tcPr>
          <w:p w14:paraId="2072051B">
            <w:pPr>
              <w:widowControl/>
              <w:spacing w:line="220" w:lineRule="exact"/>
              <w:jc w:val="left"/>
              <w:rPr>
                <w:rFonts w:hint="default" w:ascii="Times New Roman" w:hAnsi="Times New Roman" w:eastAsia="仿宋_GB2312" w:cs="Times New Roman"/>
                <w:color w:val="000000"/>
                <w:kern w:val="0"/>
                <w:sz w:val="20"/>
                <w:szCs w:val="20"/>
              </w:rPr>
            </w:pPr>
          </w:p>
        </w:tc>
        <w:tc>
          <w:tcPr>
            <w:tcW w:w="1128" w:type="dxa"/>
            <w:vMerge w:val="continue"/>
            <w:vAlign w:val="center"/>
          </w:tcPr>
          <w:p w14:paraId="722CA1CE">
            <w:pPr>
              <w:widowControl/>
              <w:spacing w:line="220" w:lineRule="exact"/>
              <w:jc w:val="center"/>
              <w:rPr>
                <w:rFonts w:hint="default" w:ascii="Times New Roman" w:hAnsi="Times New Roman" w:eastAsia="仿宋_GB2312" w:cs="Times New Roman"/>
                <w:color w:val="000000"/>
                <w:kern w:val="0"/>
                <w:sz w:val="20"/>
                <w:szCs w:val="20"/>
              </w:rPr>
            </w:pPr>
          </w:p>
        </w:tc>
        <w:tc>
          <w:tcPr>
            <w:tcW w:w="1294" w:type="dxa"/>
            <w:gridSpan w:val="2"/>
            <w:vAlign w:val="center"/>
          </w:tcPr>
          <w:p w14:paraId="640BB607">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发放个人贷款完成额</w:t>
            </w:r>
          </w:p>
        </w:tc>
        <w:tc>
          <w:tcPr>
            <w:tcW w:w="999" w:type="dxa"/>
            <w:vAlign w:val="center"/>
          </w:tcPr>
          <w:p w14:paraId="5F9E2F9E">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10.20亿元</w:t>
            </w:r>
          </w:p>
        </w:tc>
        <w:tc>
          <w:tcPr>
            <w:tcW w:w="1134" w:type="dxa"/>
            <w:vAlign w:val="center"/>
          </w:tcPr>
          <w:p w14:paraId="245A2C62">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9.92亿元　</w:t>
            </w:r>
          </w:p>
        </w:tc>
        <w:tc>
          <w:tcPr>
            <w:tcW w:w="709" w:type="dxa"/>
            <w:vAlign w:val="center"/>
          </w:tcPr>
          <w:p w14:paraId="04D6B5FE">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10</w:t>
            </w:r>
          </w:p>
        </w:tc>
        <w:tc>
          <w:tcPr>
            <w:tcW w:w="816" w:type="dxa"/>
            <w:vAlign w:val="center"/>
          </w:tcPr>
          <w:p w14:paraId="385C7965">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10</w:t>
            </w:r>
          </w:p>
        </w:tc>
        <w:tc>
          <w:tcPr>
            <w:tcW w:w="1193" w:type="dxa"/>
            <w:vAlign w:val="center"/>
          </w:tcPr>
          <w:p w14:paraId="2F869B20">
            <w:pPr>
              <w:widowControl/>
              <w:spacing w:line="220" w:lineRule="exact"/>
              <w:jc w:val="left"/>
              <w:rPr>
                <w:rFonts w:hint="default" w:ascii="Times New Roman" w:hAnsi="Times New Roman" w:eastAsia="仿宋_GB2312" w:cs="Times New Roman"/>
                <w:color w:val="000000"/>
                <w:kern w:val="0"/>
                <w:sz w:val="20"/>
                <w:szCs w:val="20"/>
              </w:rPr>
            </w:pPr>
          </w:p>
        </w:tc>
      </w:tr>
      <w:tr w14:paraId="2F3A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46EE71FF">
            <w:pPr>
              <w:widowControl/>
              <w:spacing w:line="220" w:lineRule="exact"/>
              <w:jc w:val="center"/>
              <w:rPr>
                <w:rFonts w:hint="default" w:ascii="Times New Roman" w:hAnsi="Times New Roman" w:eastAsia="仿宋_GB2312" w:cs="Times New Roman"/>
                <w:color w:val="000000"/>
                <w:kern w:val="0"/>
                <w:sz w:val="20"/>
                <w:szCs w:val="20"/>
              </w:rPr>
            </w:pPr>
          </w:p>
        </w:tc>
        <w:tc>
          <w:tcPr>
            <w:tcW w:w="1698" w:type="dxa"/>
            <w:vMerge w:val="continue"/>
            <w:vAlign w:val="center"/>
          </w:tcPr>
          <w:p w14:paraId="4DD2F5BB">
            <w:pPr>
              <w:widowControl/>
              <w:spacing w:line="220" w:lineRule="exact"/>
              <w:jc w:val="left"/>
              <w:rPr>
                <w:rFonts w:hint="default" w:ascii="Times New Roman" w:hAnsi="Times New Roman" w:eastAsia="仿宋_GB2312" w:cs="Times New Roman"/>
                <w:color w:val="000000"/>
                <w:kern w:val="0"/>
                <w:sz w:val="20"/>
                <w:szCs w:val="20"/>
              </w:rPr>
            </w:pPr>
          </w:p>
        </w:tc>
        <w:tc>
          <w:tcPr>
            <w:tcW w:w="1128" w:type="dxa"/>
            <w:vAlign w:val="center"/>
          </w:tcPr>
          <w:p w14:paraId="584F0B7C">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质量</w:t>
            </w:r>
          </w:p>
          <w:p w14:paraId="6F21D352">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w:t>
            </w:r>
          </w:p>
        </w:tc>
        <w:tc>
          <w:tcPr>
            <w:tcW w:w="1294" w:type="dxa"/>
            <w:gridSpan w:val="2"/>
            <w:vAlign w:val="center"/>
          </w:tcPr>
          <w:p w14:paraId="1FD3A43F">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个贷逾期率</w:t>
            </w:r>
          </w:p>
        </w:tc>
        <w:tc>
          <w:tcPr>
            <w:tcW w:w="999" w:type="dxa"/>
            <w:vAlign w:val="center"/>
          </w:tcPr>
          <w:p w14:paraId="1C14063D">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≤0.03%</w:t>
            </w:r>
          </w:p>
        </w:tc>
        <w:tc>
          <w:tcPr>
            <w:tcW w:w="1134" w:type="dxa"/>
            <w:vAlign w:val="center"/>
          </w:tcPr>
          <w:p w14:paraId="5D78527C">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0.03%</w:t>
            </w:r>
          </w:p>
        </w:tc>
        <w:tc>
          <w:tcPr>
            <w:tcW w:w="709" w:type="dxa"/>
            <w:vAlign w:val="center"/>
          </w:tcPr>
          <w:p w14:paraId="066A252D">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10</w:t>
            </w:r>
          </w:p>
        </w:tc>
        <w:tc>
          <w:tcPr>
            <w:tcW w:w="816" w:type="dxa"/>
            <w:vAlign w:val="center"/>
          </w:tcPr>
          <w:p w14:paraId="49ABB311">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10</w:t>
            </w:r>
          </w:p>
        </w:tc>
        <w:tc>
          <w:tcPr>
            <w:tcW w:w="1193" w:type="dxa"/>
            <w:vAlign w:val="center"/>
          </w:tcPr>
          <w:p w14:paraId="0A7999F2">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4CCA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169" w:type="dxa"/>
            <w:vMerge w:val="continue"/>
            <w:vAlign w:val="center"/>
          </w:tcPr>
          <w:p w14:paraId="0AA9EF29">
            <w:pPr>
              <w:widowControl/>
              <w:spacing w:line="220" w:lineRule="exact"/>
              <w:jc w:val="center"/>
              <w:rPr>
                <w:rFonts w:hint="default" w:ascii="Times New Roman" w:hAnsi="Times New Roman" w:eastAsia="仿宋_GB2312" w:cs="Times New Roman"/>
                <w:color w:val="000000"/>
                <w:kern w:val="0"/>
                <w:sz w:val="20"/>
                <w:szCs w:val="20"/>
              </w:rPr>
            </w:pPr>
          </w:p>
        </w:tc>
        <w:tc>
          <w:tcPr>
            <w:tcW w:w="1698" w:type="dxa"/>
            <w:vMerge w:val="continue"/>
            <w:vAlign w:val="center"/>
          </w:tcPr>
          <w:p w14:paraId="1F959549">
            <w:pPr>
              <w:widowControl/>
              <w:spacing w:line="220" w:lineRule="exact"/>
              <w:jc w:val="left"/>
              <w:rPr>
                <w:rFonts w:hint="default" w:ascii="Times New Roman" w:hAnsi="Times New Roman" w:eastAsia="仿宋_GB2312" w:cs="Times New Roman"/>
                <w:color w:val="000000"/>
                <w:kern w:val="0"/>
                <w:sz w:val="20"/>
                <w:szCs w:val="20"/>
              </w:rPr>
            </w:pPr>
          </w:p>
        </w:tc>
        <w:tc>
          <w:tcPr>
            <w:tcW w:w="1128" w:type="dxa"/>
            <w:vAlign w:val="center"/>
          </w:tcPr>
          <w:p w14:paraId="4F4077A3">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时效指标</w:t>
            </w:r>
          </w:p>
        </w:tc>
        <w:tc>
          <w:tcPr>
            <w:tcW w:w="1294" w:type="dxa"/>
            <w:gridSpan w:val="2"/>
            <w:vAlign w:val="center"/>
          </w:tcPr>
          <w:p w14:paraId="253B5B59">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及时完成情况</w:t>
            </w:r>
          </w:p>
        </w:tc>
        <w:tc>
          <w:tcPr>
            <w:tcW w:w="999" w:type="dxa"/>
            <w:vAlign w:val="center"/>
          </w:tcPr>
          <w:p w14:paraId="27BB6F5E">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2024年12月31日</w:t>
            </w:r>
          </w:p>
        </w:tc>
        <w:tc>
          <w:tcPr>
            <w:tcW w:w="1134" w:type="dxa"/>
            <w:vAlign w:val="center"/>
          </w:tcPr>
          <w:p w14:paraId="72025429">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工作任务按规定时间完成</w:t>
            </w:r>
          </w:p>
        </w:tc>
        <w:tc>
          <w:tcPr>
            <w:tcW w:w="709" w:type="dxa"/>
            <w:vAlign w:val="center"/>
          </w:tcPr>
          <w:p w14:paraId="78582200">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10</w:t>
            </w:r>
          </w:p>
        </w:tc>
        <w:tc>
          <w:tcPr>
            <w:tcW w:w="816" w:type="dxa"/>
            <w:vAlign w:val="center"/>
          </w:tcPr>
          <w:p w14:paraId="46170125">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10</w:t>
            </w:r>
          </w:p>
        </w:tc>
        <w:tc>
          <w:tcPr>
            <w:tcW w:w="1193" w:type="dxa"/>
            <w:vAlign w:val="center"/>
          </w:tcPr>
          <w:p w14:paraId="565375EA">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1A37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69" w:type="dxa"/>
            <w:vMerge w:val="continue"/>
            <w:vAlign w:val="center"/>
          </w:tcPr>
          <w:p w14:paraId="2CC81B79">
            <w:pPr>
              <w:widowControl/>
              <w:spacing w:line="220" w:lineRule="exact"/>
              <w:jc w:val="center"/>
              <w:rPr>
                <w:rFonts w:hint="default" w:ascii="Times New Roman" w:hAnsi="Times New Roman" w:eastAsia="仿宋_GB2312" w:cs="Times New Roman"/>
                <w:color w:val="000000"/>
                <w:kern w:val="0"/>
                <w:sz w:val="20"/>
                <w:szCs w:val="20"/>
              </w:rPr>
            </w:pPr>
          </w:p>
        </w:tc>
        <w:tc>
          <w:tcPr>
            <w:tcW w:w="1698" w:type="dxa"/>
            <w:vMerge w:val="continue"/>
            <w:vAlign w:val="center"/>
          </w:tcPr>
          <w:p w14:paraId="24F16F3A">
            <w:pPr>
              <w:widowControl/>
              <w:spacing w:line="220" w:lineRule="exact"/>
              <w:jc w:val="center"/>
              <w:rPr>
                <w:rFonts w:hint="default" w:ascii="Times New Roman" w:hAnsi="Times New Roman" w:eastAsia="仿宋_GB2312" w:cs="Times New Roman"/>
                <w:color w:val="000000"/>
                <w:kern w:val="0"/>
                <w:sz w:val="20"/>
                <w:szCs w:val="20"/>
              </w:rPr>
            </w:pPr>
          </w:p>
        </w:tc>
        <w:tc>
          <w:tcPr>
            <w:tcW w:w="1128" w:type="dxa"/>
            <w:vMerge w:val="restart"/>
            <w:vAlign w:val="center"/>
          </w:tcPr>
          <w:p w14:paraId="1406B426">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经济成本指标</w:t>
            </w:r>
          </w:p>
        </w:tc>
        <w:tc>
          <w:tcPr>
            <w:tcW w:w="1294" w:type="dxa"/>
            <w:gridSpan w:val="2"/>
            <w:vAlign w:val="center"/>
          </w:tcPr>
          <w:p w14:paraId="1804C975">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基本支出</w:t>
            </w:r>
          </w:p>
        </w:tc>
        <w:tc>
          <w:tcPr>
            <w:tcW w:w="999" w:type="dxa"/>
            <w:vAlign w:val="center"/>
          </w:tcPr>
          <w:p w14:paraId="749D4786">
            <w:pPr>
              <w:widowControl/>
              <w:spacing w:line="220" w:lineRule="exact"/>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1756.78万元</w:t>
            </w:r>
          </w:p>
        </w:tc>
        <w:tc>
          <w:tcPr>
            <w:tcW w:w="1134" w:type="dxa"/>
            <w:vAlign w:val="center"/>
          </w:tcPr>
          <w:p w14:paraId="5B39B185">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1743.92万元</w:t>
            </w:r>
          </w:p>
        </w:tc>
        <w:tc>
          <w:tcPr>
            <w:tcW w:w="709" w:type="dxa"/>
            <w:vAlign w:val="center"/>
          </w:tcPr>
          <w:p w14:paraId="0F3D04CE">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5</w:t>
            </w:r>
          </w:p>
        </w:tc>
        <w:tc>
          <w:tcPr>
            <w:tcW w:w="816" w:type="dxa"/>
            <w:vAlign w:val="center"/>
          </w:tcPr>
          <w:p w14:paraId="60066509">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5</w:t>
            </w:r>
          </w:p>
        </w:tc>
        <w:tc>
          <w:tcPr>
            <w:tcW w:w="1193" w:type="dxa"/>
            <w:vAlign w:val="center"/>
          </w:tcPr>
          <w:p w14:paraId="51290AC0">
            <w:pPr>
              <w:widowControl/>
              <w:spacing w:line="220" w:lineRule="exact"/>
              <w:jc w:val="left"/>
              <w:rPr>
                <w:rFonts w:hint="default" w:ascii="Times New Roman" w:hAnsi="Times New Roman" w:eastAsia="仿宋_GB2312" w:cs="Times New Roman"/>
                <w:color w:val="000000"/>
                <w:kern w:val="0"/>
                <w:sz w:val="20"/>
                <w:szCs w:val="20"/>
              </w:rPr>
            </w:pPr>
          </w:p>
        </w:tc>
      </w:tr>
      <w:tr w14:paraId="51DD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69" w:type="dxa"/>
            <w:vMerge w:val="continue"/>
            <w:vAlign w:val="center"/>
          </w:tcPr>
          <w:p w14:paraId="72D98705">
            <w:pPr>
              <w:widowControl/>
              <w:spacing w:line="220" w:lineRule="exact"/>
              <w:jc w:val="center"/>
              <w:rPr>
                <w:rFonts w:hint="default" w:ascii="Times New Roman" w:hAnsi="Times New Roman" w:eastAsia="仿宋_GB2312" w:cs="Times New Roman"/>
                <w:color w:val="000000"/>
                <w:kern w:val="0"/>
                <w:sz w:val="20"/>
                <w:szCs w:val="20"/>
              </w:rPr>
            </w:pPr>
          </w:p>
        </w:tc>
        <w:tc>
          <w:tcPr>
            <w:tcW w:w="1698" w:type="dxa"/>
            <w:vMerge w:val="continue"/>
            <w:vAlign w:val="center"/>
          </w:tcPr>
          <w:p w14:paraId="5DAAC431">
            <w:pPr>
              <w:widowControl/>
              <w:spacing w:line="220" w:lineRule="exact"/>
              <w:jc w:val="center"/>
              <w:rPr>
                <w:rFonts w:hint="default" w:ascii="Times New Roman" w:hAnsi="Times New Roman" w:eastAsia="仿宋_GB2312" w:cs="Times New Roman"/>
                <w:color w:val="000000"/>
                <w:kern w:val="0"/>
                <w:sz w:val="20"/>
                <w:szCs w:val="20"/>
              </w:rPr>
            </w:pPr>
          </w:p>
        </w:tc>
        <w:tc>
          <w:tcPr>
            <w:tcW w:w="1128" w:type="dxa"/>
            <w:vMerge w:val="continue"/>
            <w:vAlign w:val="center"/>
          </w:tcPr>
          <w:p w14:paraId="663D6BF8">
            <w:pPr>
              <w:widowControl/>
              <w:spacing w:line="220" w:lineRule="exact"/>
              <w:jc w:val="center"/>
              <w:rPr>
                <w:rFonts w:hint="default" w:ascii="Times New Roman" w:hAnsi="Times New Roman" w:eastAsia="仿宋_GB2312" w:cs="Times New Roman"/>
                <w:color w:val="000000"/>
                <w:kern w:val="0"/>
                <w:sz w:val="20"/>
                <w:szCs w:val="20"/>
              </w:rPr>
            </w:pPr>
          </w:p>
        </w:tc>
        <w:tc>
          <w:tcPr>
            <w:tcW w:w="1294" w:type="dxa"/>
            <w:gridSpan w:val="2"/>
            <w:vAlign w:val="center"/>
          </w:tcPr>
          <w:p w14:paraId="44434ED9">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项目支出</w:t>
            </w:r>
          </w:p>
        </w:tc>
        <w:tc>
          <w:tcPr>
            <w:tcW w:w="999" w:type="dxa"/>
            <w:vAlign w:val="center"/>
          </w:tcPr>
          <w:p w14:paraId="2C36E1A2">
            <w:pPr>
              <w:widowControl/>
              <w:spacing w:line="220" w:lineRule="exact"/>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1589.57万元</w:t>
            </w:r>
          </w:p>
        </w:tc>
        <w:tc>
          <w:tcPr>
            <w:tcW w:w="1134" w:type="dxa"/>
            <w:vAlign w:val="center"/>
          </w:tcPr>
          <w:p w14:paraId="37ED0E9C">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1085.48万元</w:t>
            </w:r>
          </w:p>
        </w:tc>
        <w:tc>
          <w:tcPr>
            <w:tcW w:w="709" w:type="dxa"/>
            <w:vAlign w:val="center"/>
          </w:tcPr>
          <w:p w14:paraId="4203E78E">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5</w:t>
            </w:r>
          </w:p>
        </w:tc>
        <w:tc>
          <w:tcPr>
            <w:tcW w:w="816" w:type="dxa"/>
            <w:vAlign w:val="center"/>
          </w:tcPr>
          <w:p w14:paraId="55EBF5F4">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5</w:t>
            </w:r>
          </w:p>
        </w:tc>
        <w:tc>
          <w:tcPr>
            <w:tcW w:w="1193" w:type="dxa"/>
            <w:vAlign w:val="center"/>
          </w:tcPr>
          <w:p w14:paraId="30AE2060">
            <w:pPr>
              <w:widowControl/>
              <w:spacing w:line="220" w:lineRule="exact"/>
              <w:jc w:val="left"/>
              <w:rPr>
                <w:rFonts w:hint="default" w:ascii="Times New Roman" w:hAnsi="Times New Roman" w:eastAsia="仿宋_GB2312" w:cs="Times New Roman"/>
                <w:color w:val="000000"/>
                <w:kern w:val="0"/>
                <w:sz w:val="20"/>
                <w:szCs w:val="20"/>
              </w:rPr>
            </w:pPr>
          </w:p>
        </w:tc>
      </w:tr>
      <w:tr w14:paraId="4DDB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4CE5CE28">
            <w:pPr>
              <w:widowControl/>
              <w:spacing w:line="220" w:lineRule="exact"/>
              <w:jc w:val="center"/>
              <w:rPr>
                <w:rFonts w:hint="default" w:ascii="Times New Roman" w:hAnsi="Times New Roman" w:eastAsia="仿宋_GB2312" w:cs="Times New Roman"/>
                <w:color w:val="000000"/>
                <w:kern w:val="0"/>
                <w:sz w:val="20"/>
                <w:szCs w:val="20"/>
              </w:rPr>
            </w:pPr>
          </w:p>
        </w:tc>
        <w:tc>
          <w:tcPr>
            <w:tcW w:w="1698" w:type="dxa"/>
            <w:vMerge w:val="continue"/>
            <w:vAlign w:val="center"/>
          </w:tcPr>
          <w:p w14:paraId="70815A49">
            <w:pPr>
              <w:widowControl/>
              <w:spacing w:line="220" w:lineRule="exact"/>
              <w:jc w:val="center"/>
              <w:rPr>
                <w:rFonts w:hint="default" w:ascii="Times New Roman" w:hAnsi="Times New Roman" w:eastAsia="仿宋_GB2312" w:cs="Times New Roman"/>
                <w:color w:val="000000"/>
                <w:kern w:val="0"/>
                <w:sz w:val="20"/>
                <w:szCs w:val="20"/>
              </w:rPr>
            </w:pPr>
          </w:p>
        </w:tc>
        <w:tc>
          <w:tcPr>
            <w:tcW w:w="1128" w:type="dxa"/>
            <w:vAlign w:val="center"/>
          </w:tcPr>
          <w:p w14:paraId="4297304C">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社会成本指标</w:t>
            </w:r>
          </w:p>
        </w:tc>
        <w:tc>
          <w:tcPr>
            <w:tcW w:w="1294" w:type="dxa"/>
            <w:gridSpan w:val="2"/>
            <w:vAlign w:val="center"/>
          </w:tcPr>
          <w:p w14:paraId="03C9B18A">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城镇居民居住成本增加</w:t>
            </w:r>
          </w:p>
        </w:tc>
        <w:tc>
          <w:tcPr>
            <w:tcW w:w="999" w:type="dxa"/>
            <w:vAlign w:val="center"/>
          </w:tcPr>
          <w:p w14:paraId="56FA71BA">
            <w:pPr>
              <w:widowControl/>
              <w:spacing w:line="220" w:lineRule="exact"/>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 xml:space="preserve">   0</w:t>
            </w:r>
          </w:p>
        </w:tc>
        <w:tc>
          <w:tcPr>
            <w:tcW w:w="1134" w:type="dxa"/>
            <w:vAlign w:val="center"/>
          </w:tcPr>
          <w:p w14:paraId="767BB894">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0</w:t>
            </w:r>
          </w:p>
        </w:tc>
        <w:tc>
          <w:tcPr>
            <w:tcW w:w="709" w:type="dxa"/>
            <w:vAlign w:val="center"/>
          </w:tcPr>
          <w:p w14:paraId="1E87BCFC">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10</w:t>
            </w:r>
          </w:p>
        </w:tc>
        <w:tc>
          <w:tcPr>
            <w:tcW w:w="816" w:type="dxa"/>
            <w:vAlign w:val="center"/>
          </w:tcPr>
          <w:p w14:paraId="4BBFAE54">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10</w:t>
            </w:r>
          </w:p>
        </w:tc>
        <w:tc>
          <w:tcPr>
            <w:tcW w:w="1193" w:type="dxa"/>
            <w:vAlign w:val="center"/>
          </w:tcPr>
          <w:p w14:paraId="6F2412A0">
            <w:pPr>
              <w:widowControl/>
              <w:spacing w:line="220" w:lineRule="exact"/>
              <w:jc w:val="left"/>
              <w:rPr>
                <w:rFonts w:hint="default" w:ascii="Times New Roman" w:hAnsi="Times New Roman" w:eastAsia="仿宋_GB2312" w:cs="Times New Roman"/>
                <w:color w:val="000000"/>
                <w:kern w:val="0"/>
                <w:sz w:val="20"/>
                <w:szCs w:val="20"/>
              </w:rPr>
            </w:pPr>
          </w:p>
        </w:tc>
      </w:tr>
      <w:tr w14:paraId="6FA2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175CD60B">
            <w:pPr>
              <w:widowControl/>
              <w:spacing w:line="220" w:lineRule="exact"/>
              <w:jc w:val="center"/>
              <w:rPr>
                <w:rFonts w:hint="default" w:ascii="Times New Roman" w:hAnsi="Times New Roman" w:eastAsia="仿宋_GB2312" w:cs="Times New Roman"/>
                <w:color w:val="000000"/>
                <w:kern w:val="0"/>
                <w:sz w:val="20"/>
                <w:szCs w:val="20"/>
              </w:rPr>
            </w:pPr>
          </w:p>
        </w:tc>
        <w:tc>
          <w:tcPr>
            <w:tcW w:w="1698" w:type="dxa"/>
            <w:vMerge w:val="restart"/>
            <w:vAlign w:val="center"/>
          </w:tcPr>
          <w:p w14:paraId="40434E40">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效益指标</w:t>
            </w:r>
          </w:p>
          <w:p w14:paraId="76C5D76C">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（20分）</w:t>
            </w:r>
          </w:p>
        </w:tc>
        <w:tc>
          <w:tcPr>
            <w:tcW w:w="1128" w:type="dxa"/>
            <w:vAlign w:val="center"/>
          </w:tcPr>
          <w:p w14:paraId="0590F228">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经济效</w:t>
            </w:r>
          </w:p>
          <w:p w14:paraId="03360080">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益指标</w:t>
            </w:r>
          </w:p>
        </w:tc>
        <w:tc>
          <w:tcPr>
            <w:tcW w:w="1294" w:type="dxa"/>
            <w:gridSpan w:val="2"/>
            <w:vAlign w:val="center"/>
          </w:tcPr>
          <w:p w14:paraId="0513660D">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增值收益</w:t>
            </w:r>
          </w:p>
        </w:tc>
        <w:tc>
          <w:tcPr>
            <w:tcW w:w="999" w:type="dxa"/>
            <w:vAlign w:val="center"/>
          </w:tcPr>
          <w:p w14:paraId="1FAA6CE1">
            <w:pPr>
              <w:widowControl/>
              <w:spacing w:line="220" w:lineRule="exact"/>
              <w:jc w:val="lef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25650万元</w:t>
            </w:r>
          </w:p>
        </w:tc>
        <w:tc>
          <w:tcPr>
            <w:tcW w:w="1134" w:type="dxa"/>
            <w:vAlign w:val="center"/>
          </w:tcPr>
          <w:p w14:paraId="0F008A22">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26232.5万元</w:t>
            </w:r>
          </w:p>
        </w:tc>
        <w:tc>
          <w:tcPr>
            <w:tcW w:w="709" w:type="dxa"/>
            <w:vAlign w:val="center"/>
          </w:tcPr>
          <w:p w14:paraId="105631BB">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10</w:t>
            </w:r>
          </w:p>
        </w:tc>
        <w:tc>
          <w:tcPr>
            <w:tcW w:w="816" w:type="dxa"/>
            <w:vAlign w:val="center"/>
          </w:tcPr>
          <w:p w14:paraId="37BD32BA">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10</w:t>
            </w:r>
          </w:p>
        </w:tc>
        <w:tc>
          <w:tcPr>
            <w:tcW w:w="1193" w:type="dxa"/>
            <w:vAlign w:val="center"/>
          </w:tcPr>
          <w:p w14:paraId="328C81DB">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0A33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5BF07A12">
            <w:pPr>
              <w:widowControl/>
              <w:spacing w:line="220" w:lineRule="exact"/>
              <w:jc w:val="center"/>
              <w:rPr>
                <w:rFonts w:hint="default" w:ascii="Times New Roman" w:hAnsi="Times New Roman" w:eastAsia="仿宋_GB2312" w:cs="Times New Roman"/>
                <w:color w:val="000000"/>
                <w:kern w:val="0"/>
                <w:sz w:val="20"/>
                <w:szCs w:val="20"/>
              </w:rPr>
            </w:pPr>
          </w:p>
        </w:tc>
        <w:tc>
          <w:tcPr>
            <w:tcW w:w="1698" w:type="dxa"/>
            <w:vMerge w:val="continue"/>
            <w:vAlign w:val="center"/>
          </w:tcPr>
          <w:p w14:paraId="7AE3A9DF">
            <w:pPr>
              <w:widowControl/>
              <w:spacing w:line="220" w:lineRule="exact"/>
              <w:jc w:val="left"/>
              <w:rPr>
                <w:rFonts w:hint="default" w:ascii="Times New Roman" w:hAnsi="Times New Roman" w:eastAsia="仿宋_GB2312" w:cs="Times New Roman"/>
                <w:color w:val="000000"/>
                <w:kern w:val="0"/>
                <w:sz w:val="20"/>
                <w:szCs w:val="20"/>
              </w:rPr>
            </w:pPr>
          </w:p>
        </w:tc>
        <w:tc>
          <w:tcPr>
            <w:tcW w:w="1128" w:type="dxa"/>
            <w:vAlign w:val="center"/>
          </w:tcPr>
          <w:p w14:paraId="67EE4A58">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社会效</w:t>
            </w:r>
          </w:p>
          <w:p w14:paraId="3F5F7346">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益指标</w:t>
            </w:r>
          </w:p>
        </w:tc>
        <w:tc>
          <w:tcPr>
            <w:tcW w:w="1294" w:type="dxa"/>
            <w:gridSpan w:val="2"/>
            <w:vAlign w:val="center"/>
          </w:tcPr>
          <w:p w14:paraId="1C397D11">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改善居民居住条件，促进经济发展</w:t>
            </w:r>
          </w:p>
        </w:tc>
        <w:tc>
          <w:tcPr>
            <w:tcW w:w="999" w:type="dxa"/>
            <w:vAlign w:val="center"/>
          </w:tcPr>
          <w:p w14:paraId="09D73D14">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效果明显</w:t>
            </w:r>
          </w:p>
        </w:tc>
        <w:tc>
          <w:tcPr>
            <w:tcW w:w="1134" w:type="dxa"/>
            <w:vAlign w:val="center"/>
          </w:tcPr>
          <w:p w14:paraId="4F3662BD">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效果明显</w:t>
            </w:r>
          </w:p>
        </w:tc>
        <w:tc>
          <w:tcPr>
            <w:tcW w:w="709" w:type="dxa"/>
            <w:vAlign w:val="center"/>
          </w:tcPr>
          <w:p w14:paraId="19E5F557">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5</w:t>
            </w:r>
          </w:p>
        </w:tc>
        <w:tc>
          <w:tcPr>
            <w:tcW w:w="816" w:type="dxa"/>
            <w:vAlign w:val="center"/>
          </w:tcPr>
          <w:p w14:paraId="5C954EEF">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5</w:t>
            </w:r>
          </w:p>
        </w:tc>
        <w:tc>
          <w:tcPr>
            <w:tcW w:w="1193" w:type="dxa"/>
            <w:vAlign w:val="center"/>
          </w:tcPr>
          <w:p w14:paraId="32593D49">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67CB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69" w:type="dxa"/>
            <w:vMerge w:val="continue"/>
            <w:vAlign w:val="center"/>
          </w:tcPr>
          <w:p w14:paraId="0BC6EF3B">
            <w:pPr>
              <w:widowControl/>
              <w:spacing w:line="220" w:lineRule="exact"/>
              <w:jc w:val="center"/>
              <w:rPr>
                <w:rFonts w:hint="default" w:ascii="Times New Roman" w:hAnsi="Times New Roman" w:eastAsia="仿宋_GB2312" w:cs="Times New Roman"/>
                <w:color w:val="000000"/>
                <w:kern w:val="0"/>
                <w:sz w:val="20"/>
                <w:szCs w:val="20"/>
              </w:rPr>
            </w:pPr>
          </w:p>
        </w:tc>
        <w:tc>
          <w:tcPr>
            <w:tcW w:w="1698" w:type="dxa"/>
            <w:vMerge w:val="continue"/>
            <w:vAlign w:val="center"/>
          </w:tcPr>
          <w:p w14:paraId="2ED673A8">
            <w:pPr>
              <w:widowControl/>
              <w:spacing w:line="220" w:lineRule="exact"/>
              <w:jc w:val="left"/>
              <w:rPr>
                <w:rFonts w:hint="default" w:ascii="Times New Roman" w:hAnsi="Times New Roman" w:eastAsia="仿宋_GB2312" w:cs="Times New Roman"/>
                <w:color w:val="000000"/>
                <w:kern w:val="0"/>
                <w:sz w:val="20"/>
                <w:szCs w:val="20"/>
              </w:rPr>
            </w:pPr>
          </w:p>
        </w:tc>
        <w:tc>
          <w:tcPr>
            <w:tcW w:w="1128" w:type="dxa"/>
            <w:vAlign w:val="center"/>
          </w:tcPr>
          <w:p w14:paraId="57C3CD51">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生态效</w:t>
            </w:r>
          </w:p>
          <w:p w14:paraId="44555C05">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益指标</w:t>
            </w:r>
          </w:p>
        </w:tc>
        <w:tc>
          <w:tcPr>
            <w:tcW w:w="1294" w:type="dxa"/>
            <w:gridSpan w:val="2"/>
            <w:vAlign w:val="center"/>
          </w:tcPr>
          <w:p w14:paraId="45454F54">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单位工作职能能给生态带来的正面影响</w:t>
            </w:r>
          </w:p>
        </w:tc>
        <w:tc>
          <w:tcPr>
            <w:tcW w:w="999" w:type="dxa"/>
            <w:vAlign w:val="center"/>
          </w:tcPr>
          <w:p w14:paraId="05E6652E">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效果明显</w:t>
            </w:r>
          </w:p>
        </w:tc>
        <w:tc>
          <w:tcPr>
            <w:tcW w:w="1134" w:type="dxa"/>
            <w:vAlign w:val="center"/>
          </w:tcPr>
          <w:p w14:paraId="33EAF0E2">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效果明显</w:t>
            </w:r>
          </w:p>
        </w:tc>
        <w:tc>
          <w:tcPr>
            <w:tcW w:w="709" w:type="dxa"/>
            <w:vAlign w:val="center"/>
          </w:tcPr>
          <w:p w14:paraId="5E797AAD">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5</w:t>
            </w:r>
          </w:p>
        </w:tc>
        <w:tc>
          <w:tcPr>
            <w:tcW w:w="816" w:type="dxa"/>
            <w:vAlign w:val="center"/>
          </w:tcPr>
          <w:p w14:paraId="2EE6485D">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5</w:t>
            </w:r>
          </w:p>
        </w:tc>
        <w:tc>
          <w:tcPr>
            <w:tcW w:w="1193" w:type="dxa"/>
            <w:vAlign w:val="center"/>
          </w:tcPr>
          <w:p w14:paraId="4B51007D">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470C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2F240C1F">
            <w:pPr>
              <w:widowControl/>
              <w:spacing w:line="220" w:lineRule="exact"/>
              <w:jc w:val="left"/>
              <w:rPr>
                <w:rFonts w:hint="default" w:ascii="Times New Roman" w:hAnsi="Times New Roman" w:eastAsia="仿宋_GB2312" w:cs="Times New Roman"/>
                <w:color w:val="000000"/>
                <w:kern w:val="0"/>
                <w:sz w:val="20"/>
                <w:szCs w:val="20"/>
              </w:rPr>
            </w:pPr>
          </w:p>
        </w:tc>
        <w:tc>
          <w:tcPr>
            <w:tcW w:w="1698" w:type="dxa"/>
            <w:vAlign w:val="center"/>
          </w:tcPr>
          <w:p w14:paraId="1DFD2D35">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满意度</w:t>
            </w:r>
          </w:p>
          <w:p w14:paraId="1B49E688">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w:t>
            </w:r>
          </w:p>
          <w:p w14:paraId="4E8472DA">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（10分）</w:t>
            </w:r>
          </w:p>
        </w:tc>
        <w:tc>
          <w:tcPr>
            <w:tcW w:w="1128" w:type="dxa"/>
            <w:vAlign w:val="center"/>
          </w:tcPr>
          <w:p w14:paraId="071CB1D7">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服务对象满意度指标</w:t>
            </w:r>
          </w:p>
        </w:tc>
        <w:tc>
          <w:tcPr>
            <w:tcW w:w="1294" w:type="dxa"/>
            <w:gridSpan w:val="2"/>
            <w:vAlign w:val="center"/>
          </w:tcPr>
          <w:p w14:paraId="56F9C563">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20"/>
                <w:szCs w:val="20"/>
              </w:rPr>
              <w:t>社会公众满意度</w:t>
            </w:r>
          </w:p>
        </w:tc>
        <w:tc>
          <w:tcPr>
            <w:tcW w:w="999" w:type="dxa"/>
            <w:vAlign w:val="center"/>
          </w:tcPr>
          <w:p w14:paraId="4DF65CC0">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r>
              <w:rPr>
                <w:rFonts w:hint="default" w:ascii="Times New Roman" w:hAnsi="Times New Roman" w:eastAsia="仿宋_GB2312" w:cs="Times New Roman"/>
                <w:color w:val="000000"/>
                <w:sz w:val="20"/>
                <w:szCs w:val="20"/>
              </w:rPr>
              <w:t>≥90%</w:t>
            </w:r>
          </w:p>
        </w:tc>
        <w:tc>
          <w:tcPr>
            <w:tcW w:w="1134" w:type="dxa"/>
            <w:vAlign w:val="center"/>
          </w:tcPr>
          <w:p w14:paraId="045481C0">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r>
              <w:rPr>
                <w:rFonts w:hint="default" w:ascii="Times New Roman" w:hAnsi="Times New Roman" w:eastAsia="仿宋_GB2312" w:cs="Times New Roman"/>
                <w:color w:val="000000"/>
                <w:sz w:val="20"/>
                <w:szCs w:val="20"/>
              </w:rPr>
              <w:t>≥90%</w:t>
            </w:r>
          </w:p>
        </w:tc>
        <w:tc>
          <w:tcPr>
            <w:tcW w:w="709" w:type="dxa"/>
            <w:vAlign w:val="center"/>
          </w:tcPr>
          <w:p w14:paraId="20BD686E">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10</w:t>
            </w:r>
          </w:p>
        </w:tc>
        <w:tc>
          <w:tcPr>
            <w:tcW w:w="816" w:type="dxa"/>
            <w:vAlign w:val="center"/>
          </w:tcPr>
          <w:p w14:paraId="12581315">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10</w:t>
            </w:r>
          </w:p>
        </w:tc>
        <w:tc>
          <w:tcPr>
            <w:tcW w:w="1193" w:type="dxa"/>
            <w:vAlign w:val="center"/>
          </w:tcPr>
          <w:p w14:paraId="1B5FA90D">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6DAB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2" w:type="dxa"/>
            <w:gridSpan w:val="7"/>
            <w:vAlign w:val="center"/>
          </w:tcPr>
          <w:p w14:paraId="61A3FC69">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总分</w:t>
            </w:r>
          </w:p>
        </w:tc>
        <w:tc>
          <w:tcPr>
            <w:tcW w:w="709" w:type="dxa"/>
            <w:vAlign w:val="center"/>
          </w:tcPr>
          <w:p w14:paraId="6D586602">
            <w:pPr>
              <w:widowControl/>
              <w:spacing w:line="2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816" w:type="dxa"/>
            <w:vAlign w:val="center"/>
          </w:tcPr>
          <w:p w14:paraId="38D2694D">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99.7</w:t>
            </w:r>
          </w:p>
        </w:tc>
        <w:tc>
          <w:tcPr>
            <w:tcW w:w="1193" w:type="dxa"/>
            <w:vAlign w:val="center"/>
          </w:tcPr>
          <w:p w14:paraId="3D2A8F50">
            <w:pPr>
              <w:widowControl/>
              <w:spacing w:line="22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bl>
    <w:p w14:paraId="5B4B1388">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958E2C-3F4C-40F0-BB21-F84F1596E5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embedRegular r:id="rId2" w:fontKey="{0708AC18-47B0-4161-B649-85A1076BDB91}"/>
  </w:font>
  <w:font w:name="方正小标宋_GBK">
    <w:panose1 w:val="02000000000000000000"/>
    <w:charset w:val="86"/>
    <w:family w:val="script"/>
    <w:pitch w:val="default"/>
    <w:sig w:usb0="A00002BF" w:usb1="38CF7CFA" w:usb2="00082016" w:usb3="00000000" w:csb0="00040001" w:csb1="00000000"/>
    <w:embedRegular r:id="rId3" w:fontKey="{8E29D2FD-05D8-4989-875A-C3B7BC58FEEB}"/>
  </w:font>
  <w:font w:name="仿宋_GB2312">
    <w:panose1 w:val="02010609030101010101"/>
    <w:charset w:val="86"/>
    <w:family w:val="modern"/>
    <w:pitch w:val="default"/>
    <w:sig w:usb0="00000001" w:usb1="080E0000" w:usb2="00000000" w:usb3="00000000" w:csb0="00040000" w:csb1="00000000"/>
    <w:embedRegular r:id="rId4" w:fontKey="{FEA79F57-DBD7-47EA-B6F0-D42187479E30}"/>
  </w:font>
  <w:font w:name="仿宋">
    <w:panose1 w:val="02010609060101010101"/>
    <w:charset w:val="86"/>
    <w:family w:val="modern"/>
    <w:pitch w:val="default"/>
    <w:sig w:usb0="800002BF" w:usb1="38CF7CFA" w:usb2="00000016" w:usb3="00000000" w:csb0="00040001" w:csb1="00000000"/>
    <w:embedRegular r:id="rId5" w:fontKey="{13DC6D0D-6E22-4ED6-A393-B0BB32932B35}"/>
  </w:font>
  <w:font w:name="华文中宋">
    <w:panose1 w:val="02010600040101010101"/>
    <w:charset w:val="86"/>
    <w:family w:val="auto"/>
    <w:pitch w:val="default"/>
    <w:sig w:usb0="00000287" w:usb1="080F0000" w:usb2="00000000" w:usb3="00000000" w:csb0="0004009F" w:csb1="DFD70000"/>
    <w:embedRegular r:id="rId6" w:fontKey="{AFB832B3-8318-41AB-82A4-9EAA2ECD6D50}"/>
  </w:font>
  <w:font w:name="楷体_GB2312">
    <w:panose1 w:val="02010609030101010101"/>
    <w:charset w:val="86"/>
    <w:family w:val="modern"/>
    <w:pitch w:val="default"/>
    <w:sig w:usb0="00000001" w:usb1="080E0000" w:usb2="00000000" w:usb3="00000000" w:csb0="00040000" w:csb1="00000000"/>
    <w:embedRegular r:id="rId7" w:fontKey="{3B59D12C-54C8-474D-B039-E728137DE930}"/>
  </w:font>
  <w:font w:name="楷体">
    <w:panose1 w:val="02010609060101010101"/>
    <w:charset w:val="86"/>
    <w:family w:val="modern"/>
    <w:pitch w:val="default"/>
    <w:sig w:usb0="800002BF" w:usb1="38CF7CFA" w:usb2="00000016" w:usb3="00000000" w:csb0="00040001" w:csb1="00000000"/>
    <w:embedRegular r:id="rId8" w:fontKey="{40074390-E0D9-4BE4-A144-E6306B2884B2}"/>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91C9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7E6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ED46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B50E">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547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85011">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385011">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F27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F2C59">
                          <w:pPr>
                            <w:snapToGrid w:val="0"/>
                            <w:rPr>
                              <w:rFonts w:hint="default" w:ascii="Times New Roman" w:hAnsi="Times New Roman" w:cs="Times New Roman" w:eastAsiaTheme="minorEastAsia"/>
                              <w:sz w:val="22"/>
                              <w:szCs w:val="32"/>
                              <w:lang w:eastAsia="zh-CN"/>
                            </w:rPr>
                          </w:pPr>
                          <w:r>
                            <w:rPr>
                              <w:rFonts w:hint="default" w:ascii="Times New Roman" w:hAnsi="Times New Roman" w:cs="Times New Roman"/>
                              <w:sz w:val="22"/>
                              <w:szCs w:val="32"/>
                              <w:lang w:eastAsia="zh-CN"/>
                            </w:rPr>
                            <w:fldChar w:fldCharType="begin"/>
                          </w:r>
                          <w:r>
                            <w:rPr>
                              <w:rFonts w:hint="default" w:ascii="Times New Roman" w:hAnsi="Times New Roman" w:cs="Times New Roman"/>
                              <w:sz w:val="22"/>
                              <w:szCs w:val="32"/>
                              <w:lang w:eastAsia="zh-CN"/>
                            </w:rPr>
                            <w:instrText xml:space="preserve"> PAGE  \* MERGEFORMAT </w:instrText>
                          </w:r>
                          <w:r>
                            <w:rPr>
                              <w:rFonts w:hint="default" w:ascii="Times New Roman" w:hAnsi="Times New Roman" w:cs="Times New Roman"/>
                              <w:sz w:val="22"/>
                              <w:szCs w:val="32"/>
                              <w:lang w:eastAsia="zh-CN"/>
                            </w:rPr>
                            <w:fldChar w:fldCharType="separate"/>
                          </w:r>
                          <w:r>
                            <w:rPr>
                              <w:rFonts w:hint="default" w:ascii="Times New Roman" w:hAnsi="Times New Roman" w:cs="Times New Roman"/>
                              <w:sz w:val="22"/>
                              <w:szCs w:val="32"/>
                            </w:rPr>
                            <w:t>14</w:t>
                          </w:r>
                          <w:r>
                            <w:rPr>
                              <w:rFonts w:hint="default" w:ascii="Times New Roman" w:hAnsi="Times New Roman" w:cs="Times New Roman"/>
                              <w:sz w:val="2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6F2C59">
                    <w:pPr>
                      <w:snapToGrid w:val="0"/>
                      <w:rPr>
                        <w:rFonts w:hint="default" w:ascii="Times New Roman" w:hAnsi="Times New Roman" w:cs="Times New Roman" w:eastAsiaTheme="minorEastAsia"/>
                        <w:sz w:val="22"/>
                        <w:szCs w:val="32"/>
                        <w:lang w:eastAsia="zh-CN"/>
                      </w:rPr>
                    </w:pPr>
                    <w:r>
                      <w:rPr>
                        <w:rFonts w:hint="default" w:ascii="Times New Roman" w:hAnsi="Times New Roman" w:cs="Times New Roman"/>
                        <w:sz w:val="22"/>
                        <w:szCs w:val="32"/>
                        <w:lang w:eastAsia="zh-CN"/>
                      </w:rPr>
                      <w:fldChar w:fldCharType="begin"/>
                    </w:r>
                    <w:r>
                      <w:rPr>
                        <w:rFonts w:hint="default" w:ascii="Times New Roman" w:hAnsi="Times New Roman" w:cs="Times New Roman"/>
                        <w:sz w:val="22"/>
                        <w:szCs w:val="32"/>
                        <w:lang w:eastAsia="zh-CN"/>
                      </w:rPr>
                      <w:instrText xml:space="preserve"> PAGE  \* MERGEFORMAT </w:instrText>
                    </w:r>
                    <w:r>
                      <w:rPr>
                        <w:rFonts w:hint="default" w:ascii="Times New Roman" w:hAnsi="Times New Roman" w:cs="Times New Roman"/>
                        <w:sz w:val="22"/>
                        <w:szCs w:val="32"/>
                        <w:lang w:eastAsia="zh-CN"/>
                      </w:rPr>
                      <w:fldChar w:fldCharType="separate"/>
                    </w:r>
                    <w:r>
                      <w:rPr>
                        <w:rFonts w:hint="default" w:ascii="Times New Roman" w:hAnsi="Times New Roman" w:cs="Times New Roman"/>
                        <w:sz w:val="22"/>
                        <w:szCs w:val="32"/>
                      </w:rPr>
                      <w:t>14</w:t>
                    </w:r>
                    <w:r>
                      <w:rPr>
                        <w:rFonts w:hint="default" w:ascii="Times New Roman" w:hAnsi="Times New Roman" w:cs="Times New Roman"/>
                        <w:sz w:val="22"/>
                        <w:szCs w:val="32"/>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511EE">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AE93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4AE93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13</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7FDA5">
    <w:pPr>
      <w:pStyle w:val="8"/>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EC3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D0F7">
    <w:pPr>
      <w:pStyle w:val="8"/>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0BE4F">
    <w:pPr>
      <w:pStyle w:val="8"/>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BC51">
    <w:pPr>
      <w:pStyle w:val="8"/>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716D75"/>
    <w:rsid w:val="0AAA3BAD"/>
    <w:rsid w:val="0D841F5E"/>
    <w:rsid w:val="140757A4"/>
    <w:rsid w:val="15CC1D55"/>
    <w:rsid w:val="18130CB0"/>
    <w:rsid w:val="1951209D"/>
    <w:rsid w:val="19A903FE"/>
    <w:rsid w:val="1B332FC4"/>
    <w:rsid w:val="1B6E0A64"/>
    <w:rsid w:val="1D97DEFF"/>
    <w:rsid w:val="1DFF72E5"/>
    <w:rsid w:val="1EFC6F07"/>
    <w:rsid w:val="1F315D38"/>
    <w:rsid w:val="26271E5C"/>
    <w:rsid w:val="29E6128A"/>
    <w:rsid w:val="2A792B62"/>
    <w:rsid w:val="2AB2780B"/>
    <w:rsid w:val="2B7F4164"/>
    <w:rsid w:val="2D773035"/>
    <w:rsid w:val="2DC85545"/>
    <w:rsid w:val="2E2B1090"/>
    <w:rsid w:val="2FDF85B8"/>
    <w:rsid w:val="2FFFEE04"/>
    <w:rsid w:val="31725287"/>
    <w:rsid w:val="320D1362"/>
    <w:rsid w:val="33D41C61"/>
    <w:rsid w:val="34DF85B0"/>
    <w:rsid w:val="36A73A0E"/>
    <w:rsid w:val="371F79D3"/>
    <w:rsid w:val="37FA4732"/>
    <w:rsid w:val="3B8F36BC"/>
    <w:rsid w:val="3E2C1442"/>
    <w:rsid w:val="3E9507C6"/>
    <w:rsid w:val="42A82735"/>
    <w:rsid w:val="491FF225"/>
    <w:rsid w:val="49790915"/>
    <w:rsid w:val="4F052C1A"/>
    <w:rsid w:val="4FFD214C"/>
    <w:rsid w:val="51DE7ACD"/>
    <w:rsid w:val="54BC00A3"/>
    <w:rsid w:val="55605EA6"/>
    <w:rsid w:val="558A5A16"/>
    <w:rsid w:val="5777D4F5"/>
    <w:rsid w:val="583A13BC"/>
    <w:rsid w:val="59DD8326"/>
    <w:rsid w:val="5ADF208B"/>
    <w:rsid w:val="5C776F19"/>
    <w:rsid w:val="5DEF592A"/>
    <w:rsid w:val="5FC6BB1E"/>
    <w:rsid w:val="5FF720F1"/>
    <w:rsid w:val="60E509FC"/>
    <w:rsid w:val="63772A13"/>
    <w:rsid w:val="644615F3"/>
    <w:rsid w:val="67FF5C0B"/>
    <w:rsid w:val="6A7F1539"/>
    <w:rsid w:val="6B246AC2"/>
    <w:rsid w:val="6B2923A8"/>
    <w:rsid w:val="6EFC0924"/>
    <w:rsid w:val="6F643835"/>
    <w:rsid w:val="6F7C5692"/>
    <w:rsid w:val="6FB74722"/>
    <w:rsid w:val="6FEF8B7E"/>
    <w:rsid w:val="71074211"/>
    <w:rsid w:val="715B333F"/>
    <w:rsid w:val="71A6591B"/>
    <w:rsid w:val="737D59BA"/>
    <w:rsid w:val="77C37683"/>
    <w:rsid w:val="786505C5"/>
    <w:rsid w:val="796923AD"/>
    <w:rsid w:val="79AC02D9"/>
    <w:rsid w:val="79D19834"/>
    <w:rsid w:val="79FF515B"/>
    <w:rsid w:val="7E777A4E"/>
    <w:rsid w:val="7E9E1962"/>
    <w:rsid w:val="7E9F11B4"/>
    <w:rsid w:val="7F37EC1E"/>
    <w:rsid w:val="7F635C2F"/>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6">
    <w:name w:val="Balloon Text"/>
    <w:basedOn w:val="1"/>
    <w:link w:val="16"/>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
    <w:name w:val="标题1"/>
    <w:basedOn w:val="5"/>
    <w:qFormat/>
    <w:uiPriority w:val="0"/>
    <w:pPr>
      <w:spacing w:before="0" w:after="0" w:line="560" w:lineRule="exact"/>
      <w:ind w:firstLine="200" w:firstLineChars="200"/>
    </w:pPr>
    <w:rPr>
      <w:rFonts w:eastAsia="黑体"/>
      <w:b w:val="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8699</Words>
  <Characters>10933</Characters>
  <Lines>69</Lines>
  <Paragraphs>19</Paragraphs>
  <TotalTime>4</TotalTime>
  <ScaleCrop>false</ScaleCrop>
  <LinksUpToDate>false</LinksUpToDate>
  <CharactersWithSpaces>12010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安苒.</cp:lastModifiedBy>
  <cp:lastPrinted>2025-09-28T07:15:00Z</cp:lastPrinted>
  <dcterms:modified xsi:type="dcterms:W3CDTF">2025-09-28T09:03:37Z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E9F83E47491445069F0983461C8C8AD0_13</vt:lpwstr>
  </property>
  <property fmtid="{D5CDD505-2E9C-101B-9397-08002B2CF9AE}" pid="4" name="KSOTemplateDocerSaveRecord">
    <vt:lpwstr>eyJoZGlkIjoiMTFmYzA2MmNkZTYzNGVlODJjZWM5NTBkMzBjM2E1MmQiLCJ1c2VySWQiOiI4NjAwNDk5OTEifQ==</vt:lpwstr>
  </property>
</Properties>
</file>