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32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8"/>
          <w:szCs w:val="48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kern w:val="32"/>
          <w:sz w:val="48"/>
          <w:szCs w:val="48"/>
          <w:lang w:eastAsia="zh-CN"/>
        </w:rPr>
        <w:t>转移支付情况说明</w:t>
      </w:r>
    </w:p>
    <w:p>
      <w:pPr>
        <w:spacing w:line="600" w:lineRule="exact"/>
        <w:ind w:firstLine="960" w:firstLineChars="200"/>
        <w:jc w:val="center"/>
        <w:rPr>
          <w:rFonts w:hint="eastAsia" w:ascii="方正小标宋简体" w:hAnsi="方正小标宋简体" w:eastAsia="方正小标宋简体" w:cs="方正小标宋简体"/>
          <w:kern w:val="32"/>
          <w:sz w:val="48"/>
          <w:szCs w:val="48"/>
          <w:lang w:eastAsia="zh-CN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2020</w:t>
      </w:r>
      <w:r>
        <w:rPr>
          <w:rFonts w:hint="eastAsia" w:ascii="Times New Roman" w:eastAsia="仿宋_GB2312"/>
          <w:b/>
          <w:kern w:val="32"/>
          <w:sz w:val="32"/>
          <w:szCs w:val="32"/>
        </w:rPr>
        <w:t>年，我们全力争取上级资金和政策扶持力度，全市上级补助收入为</w:t>
      </w:r>
      <w:r>
        <w:rPr>
          <w:rFonts w:ascii="Times New Roman" w:hAnsi="Times New Roman" w:eastAsia="仿宋_GB2312"/>
          <w:kern w:val="32"/>
          <w:sz w:val="32"/>
          <w:szCs w:val="32"/>
        </w:rPr>
        <w:t>334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亿元，比</w:t>
      </w:r>
      <w:r>
        <w:rPr>
          <w:rFonts w:ascii="Times New Roman" w:hAnsi="Times New Roman" w:eastAsia="仿宋_GB2312"/>
          <w:kern w:val="32"/>
          <w:sz w:val="32"/>
          <w:szCs w:val="32"/>
        </w:rPr>
        <w:t>2019</w:t>
      </w:r>
      <w:r>
        <w:rPr>
          <w:rFonts w:hint="eastAsia" w:ascii="Times New Roman" w:eastAsia="仿宋_GB2312"/>
          <w:b/>
          <w:kern w:val="32"/>
          <w:sz w:val="32"/>
          <w:szCs w:val="32"/>
        </w:rPr>
        <w:t>年增加</w:t>
      </w:r>
      <w:r>
        <w:rPr>
          <w:rFonts w:ascii="Times New Roman" w:hAnsi="Times New Roman" w:eastAsia="仿宋_GB2312"/>
          <w:kern w:val="32"/>
          <w:sz w:val="32"/>
          <w:szCs w:val="32"/>
        </w:rPr>
        <w:t>21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亿元，增长</w:t>
      </w:r>
      <w:r>
        <w:rPr>
          <w:rFonts w:ascii="Times New Roman" w:hAnsi="Times New Roman" w:eastAsia="仿宋_GB2312"/>
          <w:kern w:val="32"/>
          <w:sz w:val="32"/>
          <w:szCs w:val="32"/>
        </w:rPr>
        <w:t>6</w:t>
      </w:r>
      <w:r>
        <w:rPr>
          <w:rFonts w:hint="eastAsia" w:ascii="Times New Roman" w:eastAsia="仿宋_GB2312"/>
          <w:b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kern w:val="32"/>
          <w:sz w:val="32"/>
          <w:szCs w:val="32"/>
        </w:rPr>
        <w:t>7</w:t>
      </w:r>
      <w:r>
        <w:rPr>
          <w:rFonts w:hint="eastAsia" w:ascii="仿宋_GB2312" w:eastAsia="仿宋_GB2312"/>
          <w:b/>
          <w:kern w:val="32"/>
          <w:sz w:val="32"/>
          <w:szCs w:val="32"/>
        </w:rPr>
        <w:t>%</w:t>
      </w:r>
      <w:r>
        <w:rPr>
          <w:rFonts w:hint="eastAsia" w:ascii="Times New Roman" w:eastAsia="仿宋_GB2312"/>
          <w:b/>
          <w:kern w:val="32"/>
          <w:sz w:val="32"/>
          <w:szCs w:val="32"/>
        </w:rPr>
        <w:t>。其中：返还性收入</w:t>
      </w:r>
      <w:r>
        <w:rPr>
          <w:rFonts w:ascii="Times New Roman" w:hAnsi="Times New Roman" w:eastAsia="仿宋_GB2312"/>
          <w:kern w:val="32"/>
          <w:sz w:val="32"/>
          <w:szCs w:val="32"/>
        </w:rPr>
        <w:t>11</w:t>
      </w:r>
      <w:r>
        <w:rPr>
          <w:rFonts w:hint="eastAsia" w:ascii="Times New Roman" w:eastAsia="仿宋_GB2312"/>
          <w:b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kern w:val="32"/>
          <w:sz w:val="32"/>
          <w:szCs w:val="32"/>
        </w:rPr>
        <w:t>12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亿元、均衡性转移支付</w:t>
      </w:r>
      <w:r>
        <w:rPr>
          <w:rFonts w:ascii="Times New Roman" w:hAnsi="Times New Roman" w:eastAsia="仿宋_GB2312"/>
          <w:kern w:val="32"/>
          <w:sz w:val="32"/>
          <w:szCs w:val="32"/>
        </w:rPr>
        <w:t>66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亿元、县级基本财力保障</w:t>
      </w:r>
      <w:r>
        <w:rPr>
          <w:rFonts w:ascii="Times New Roman" w:hAnsi="Times New Roman" w:eastAsia="仿宋_GB2312"/>
          <w:kern w:val="32"/>
          <w:sz w:val="32"/>
          <w:szCs w:val="32"/>
        </w:rPr>
        <w:t>36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亿元、国家重点生态功能区转移支付</w:t>
      </w:r>
      <w:r>
        <w:rPr>
          <w:rFonts w:ascii="Times New Roman" w:hAnsi="Times New Roman" w:eastAsia="仿宋_GB2312"/>
          <w:kern w:val="32"/>
          <w:sz w:val="32"/>
          <w:szCs w:val="32"/>
        </w:rPr>
        <w:t>7</w:t>
      </w:r>
      <w:r>
        <w:rPr>
          <w:rFonts w:hint="eastAsia" w:ascii="Times New Roman" w:eastAsia="仿宋_GB2312"/>
          <w:b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kern w:val="32"/>
          <w:sz w:val="32"/>
          <w:szCs w:val="32"/>
        </w:rPr>
        <w:t>8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亿元。市本级上级补助收入为</w:t>
      </w:r>
      <w:r>
        <w:rPr>
          <w:rFonts w:ascii="Times New Roman" w:hAnsi="Times New Roman" w:eastAsia="仿宋_GB2312"/>
          <w:kern w:val="32"/>
          <w:sz w:val="32"/>
          <w:szCs w:val="32"/>
        </w:rPr>
        <w:t>25</w:t>
      </w:r>
      <w:r>
        <w:rPr>
          <w:rFonts w:hint="eastAsia" w:ascii="Times New Roman" w:eastAsia="仿宋_GB2312"/>
          <w:b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kern w:val="32"/>
          <w:sz w:val="32"/>
          <w:szCs w:val="32"/>
        </w:rPr>
        <w:t>5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亿元，增加</w:t>
      </w:r>
      <w:r>
        <w:rPr>
          <w:rFonts w:ascii="Times New Roman" w:hAnsi="Times New Roman" w:eastAsia="仿宋_GB2312"/>
          <w:kern w:val="32"/>
          <w:sz w:val="32"/>
          <w:szCs w:val="32"/>
        </w:rPr>
        <w:t>2</w:t>
      </w:r>
      <w:r>
        <w:rPr>
          <w:rFonts w:hint="eastAsia" w:ascii="Times New Roman" w:eastAsia="仿宋_GB2312"/>
          <w:b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kern w:val="32"/>
          <w:sz w:val="32"/>
          <w:szCs w:val="32"/>
        </w:rPr>
        <w:t>03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亿元，增长</w:t>
      </w:r>
      <w:r>
        <w:rPr>
          <w:rFonts w:ascii="Times New Roman" w:hAnsi="Times New Roman" w:eastAsia="仿宋_GB2312"/>
          <w:kern w:val="32"/>
          <w:sz w:val="32"/>
          <w:szCs w:val="32"/>
        </w:rPr>
        <w:t>8</w:t>
      </w:r>
      <w:r>
        <w:rPr>
          <w:rFonts w:hint="eastAsia" w:ascii="Times New Roman" w:eastAsia="仿宋_GB2312"/>
          <w:b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kern w:val="32"/>
          <w:sz w:val="32"/>
          <w:szCs w:val="32"/>
        </w:rPr>
        <w:t>5</w:t>
      </w:r>
      <w:r>
        <w:rPr>
          <w:rFonts w:hint="eastAsia" w:ascii="仿宋_GB2312" w:eastAsia="仿宋_GB2312"/>
          <w:b/>
          <w:kern w:val="32"/>
          <w:sz w:val="32"/>
          <w:szCs w:val="32"/>
        </w:rPr>
        <w:t>%</w:t>
      </w:r>
      <w:r>
        <w:rPr>
          <w:rFonts w:hint="eastAsia" w:ascii="Times New Roman" w:eastAsia="仿宋_GB2312"/>
          <w:b/>
          <w:kern w:val="32"/>
          <w:sz w:val="32"/>
          <w:szCs w:val="32"/>
        </w:rPr>
        <w:t>。其中：返还性收入</w:t>
      </w:r>
      <w:r>
        <w:rPr>
          <w:rFonts w:ascii="Times New Roman" w:hAnsi="Times New Roman" w:eastAsia="仿宋_GB2312"/>
          <w:kern w:val="32"/>
          <w:sz w:val="32"/>
          <w:szCs w:val="32"/>
        </w:rPr>
        <w:t>4</w:t>
      </w:r>
      <w:r>
        <w:rPr>
          <w:rFonts w:hint="eastAsia" w:ascii="Times New Roman" w:eastAsia="仿宋_GB2312"/>
          <w:b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kern w:val="32"/>
          <w:sz w:val="32"/>
          <w:szCs w:val="32"/>
        </w:rPr>
        <w:t>76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亿元、转移支付</w:t>
      </w:r>
      <w:r>
        <w:rPr>
          <w:rFonts w:ascii="Times New Roman" w:hAnsi="Times New Roman" w:eastAsia="仿宋_GB2312"/>
          <w:kern w:val="32"/>
          <w:sz w:val="32"/>
          <w:szCs w:val="32"/>
        </w:rPr>
        <w:t>20</w:t>
      </w:r>
      <w:r>
        <w:rPr>
          <w:rFonts w:hint="eastAsia" w:ascii="Times New Roman" w:eastAsia="仿宋_GB2312"/>
          <w:b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kern w:val="32"/>
          <w:sz w:val="32"/>
          <w:szCs w:val="32"/>
        </w:rPr>
        <w:t>74</w:t>
      </w:r>
      <w:r>
        <w:rPr>
          <w:rFonts w:hint="eastAsia" w:ascii="Times New Roman" w:eastAsia="仿宋_GB2312"/>
          <w:b/>
          <w:kern w:val="32"/>
          <w:sz w:val="32"/>
          <w:szCs w:val="32"/>
        </w:rPr>
        <w:t>亿元</w:t>
      </w:r>
      <w:r>
        <w:rPr>
          <w:rFonts w:ascii="Times New Roman" w:eastAsia="仿宋_GB2312"/>
          <w:b/>
          <w:kern w:val="3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Times New Roman" w:eastAsia="仿宋_GB2312"/>
          <w:b/>
          <w:bCs/>
          <w:kern w:val="32"/>
          <w:sz w:val="32"/>
          <w:szCs w:val="32"/>
        </w:rPr>
      </w:pPr>
      <w:r>
        <w:rPr>
          <w:rFonts w:hint="eastAsia" w:ascii="Times New Roman" w:eastAsia="仿宋_GB2312"/>
          <w:b/>
          <w:bCs/>
          <w:kern w:val="32"/>
          <w:sz w:val="32"/>
          <w:szCs w:val="32"/>
          <w:lang w:val="en-US" w:eastAsia="zh-CN"/>
        </w:rPr>
        <w:t>2021年</w:t>
      </w:r>
      <w:r>
        <w:rPr>
          <w:rFonts w:hint="eastAsia" w:ascii="Times New Roman" w:eastAsia="仿宋_GB2312"/>
          <w:b/>
          <w:bCs/>
          <w:kern w:val="32"/>
          <w:sz w:val="32"/>
          <w:szCs w:val="32"/>
        </w:rPr>
        <w:t>省级对全市上级补助收入预计为</w:t>
      </w:r>
      <w:r>
        <w:rPr>
          <w:rFonts w:ascii="Times New Roman" w:hAnsi="Times New Roman" w:eastAsia="仿宋_GB2312"/>
          <w:bCs/>
          <w:kern w:val="32"/>
          <w:sz w:val="32"/>
          <w:szCs w:val="32"/>
        </w:rPr>
        <w:t>344</w:t>
      </w:r>
      <w:r>
        <w:rPr>
          <w:rFonts w:hint="eastAsia" w:ascii="Times New Roman" w:eastAsia="仿宋_GB2312"/>
          <w:b/>
          <w:bCs/>
          <w:kern w:val="32"/>
          <w:sz w:val="32"/>
          <w:szCs w:val="32"/>
        </w:rPr>
        <w:t>亿元。省级对市本级上级补助收入预计为</w:t>
      </w:r>
      <w:r>
        <w:rPr>
          <w:rFonts w:ascii="Times New Roman" w:hAnsi="Times New Roman" w:eastAsia="仿宋_GB2312"/>
          <w:bCs/>
          <w:kern w:val="32"/>
          <w:sz w:val="32"/>
          <w:szCs w:val="32"/>
        </w:rPr>
        <w:t>26</w:t>
      </w:r>
      <w:r>
        <w:rPr>
          <w:rFonts w:hint="eastAsia" w:ascii="Times New Roman" w:eastAsia="仿宋_GB2312"/>
          <w:b/>
          <w:bCs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bCs/>
          <w:kern w:val="32"/>
          <w:sz w:val="32"/>
          <w:szCs w:val="32"/>
        </w:rPr>
        <w:t>24</w:t>
      </w:r>
      <w:r>
        <w:rPr>
          <w:rFonts w:hint="eastAsia" w:ascii="Times New Roman" w:eastAsia="仿宋_GB2312"/>
          <w:b/>
          <w:bCs/>
          <w:kern w:val="32"/>
          <w:sz w:val="32"/>
          <w:szCs w:val="32"/>
        </w:rPr>
        <w:t>亿元，其中：返还性收入</w:t>
      </w:r>
      <w:r>
        <w:rPr>
          <w:rFonts w:ascii="Times New Roman" w:hAnsi="Times New Roman" w:eastAsia="仿宋_GB2312"/>
          <w:bCs/>
          <w:kern w:val="32"/>
          <w:sz w:val="32"/>
          <w:szCs w:val="32"/>
        </w:rPr>
        <w:t>4</w:t>
      </w:r>
      <w:r>
        <w:rPr>
          <w:rFonts w:hint="eastAsia" w:ascii="Times New Roman" w:eastAsia="仿宋_GB2312"/>
          <w:b/>
          <w:bCs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bCs/>
          <w:kern w:val="32"/>
          <w:sz w:val="32"/>
          <w:szCs w:val="32"/>
        </w:rPr>
        <w:t>76</w:t>
      </w:r>
      <w:r>
        <w:rPr>
          <w:rFonts w:hint="eastAsia" w:ascii="Times New Roman" w:eastAsia="仿宋_GB2312"/>
          <w:b/>
          <w:bCs/>
          <w:kern w:val="32"/>
          <w:sz w:val="32"/>
          <w:szCs w:val="32"/>
        </w:rPr>
        <w:t>亿元、转移支付</w:t>
      </w:r>
      <w:r>
        <w:rPr>
          <w:rFonts w:ascii="Times New Roman" w:hAnsi="Times New Roman" w:eastAsia="仿宋_GB2312"/>
          <w:bCs/>
          <w:kern w:val="32"/>
          <w:sz w:val="32"/>
          <w:szCs w:val="32"/>
        </w:rPr>
        <w:t>21</w:t>
      </w:r>
      <w:r>
        <w:rPr>
          <w:rFonts w:hint="eastAsia" w:ascii="Times New Roman" w:eastAsia="仿宋_GB2312"/>
          <w:b/>
          <w:bCs/>
          <w:kern w:val="32"/>
          <w:sz w:val="32"/>
          <w:szCs w:val="32"/>
        </w:rPr>
        <w:t>.</w:t>
      </w:r>
      <w:r>
        <w:rPr>
          <w:rFonts w:ascii="Times New Roman" w:hAnsi="Times New Roman" w:eastAsia="仿宋_GB2312"/>
          <w:bCs/>
          <w:kern w:val="32"/>
          <w:sz w:val="32"/>
          <w:szCs w:val="32"/>
        </w:rPr>
        <w:t>48</w:t>
      </w:r>
      <w:r>
        <w:rPr>
          <w:rFonts w:hint="eastAsia" w:ascii="Times New Roman" w:eastAsia="仿宋_GB2312"/>
          <w:b/>
          <w:bCs/>
          <w:kern w:val="32"/>
          <w:sz w:val="32"/>
          <w:szCs w:val="32"/>
        </w:rPr>
        <w:t>亿元。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2E28"/>
    <w:rsid w:val="58E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2021-08-05T08:23:00Z</dcterms:created>
  <dc:creator>李阿蒙</dc:creator>
  <cp:lastModifiedBy>李阿蒙</cp:lastModifiedBy>
  <dcterms:modified xsi:type="dcterms:W3CDTF">2021-08-05T08:25:20Z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698A8BCF5D7947CBB8ED2023B03562D2</vt:lpwstr>
  </property>
</Properties>
</file>