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7C6BA">
      <w:pPr>
        <w:spacing w:line="600" w:lineRule="exact"/>
        <w:jc w:val="center"/>
        <w:rPr>
          <w:rFonts w:hint="eastAsia" w:ascii="宋体" w:hAnsi="宋体" w:eastAsia="宋体" w:cs="宋体"/>
          <w:sz w:val="44"/>
          <w:szCs w:val="44"/>
          <w:highlight w:val="none"/>
        </w:rPr>
      </w:pPr>
    </w:p>
    <w:p w14:paraId="3EADA0A0">
      <w:pPr>
        <w:pStyle w:val="16"/>
        <w:rPr>
          <w:rFonts w:hint="eastAsia" w:ascii="宋体" w:hAnsi="宋体" w:eastAsia="宋体" w:cs="宋体"/>
          <w:sz w:val="44"/>
          <w:szCs w:val="44"/>
          <w:highlight w:val="none"/>
        </w:rPr>
      </w:pPr>
    </w:p>
    <w:p w14:paraId="40DAAB82">
      <w:pPr>
        <w:spacing w:line="600" w:lineRule="exact"/>
        <w:jc w:val="center"/>
        <w:outlineLvl w:val="0"/>
        <w:rPr>
          <w:rFonts w:hint="eastAsia" w:ascii="宋体" w:hAnsi="宋体" w:eastAsia="宋体" w:cs="宋体"/>
          <w:sz w:val="44"/>
          <w:szCs w:val="44"/>
          <w:highlight w:val="none"/>
        </w:rPr>
      </w:pPr>
      <w:bookmarkStart w:id="0" w:name="_Toc2539"/>
      <w:r>
        <w:rPr>
          <w:rFonts w:hint="eastAsia" w:ascii="宋体" w:hAnsi="宋体" w:eastAsia="宋体" w:cs="宋体"/>
          <w:sz w:val="44"/>
          <w:szCs w:val="44"/>
          <w:highlight w:val="none"/>
        </w:rPr>
        <w:t>公开竞争性遴选政策性农业保险承保机构</w:t>
      </w:r>
      <w:bookmarkEnd w:id="0"/>
    </w:p>
    <w:p w14:paraId="461F0F12">
      <w:pPr>
        <w:pStyle w:val="9"/>
        <w:spacing w:line="600" w:lineRule="exact"/>
        <w:rPr>
          <w:rFonts w:hint="eastAsia" w:ascii="宋体" w:hAnsi="宋体" w:eastAsia="宋体" w:cs="宋体"/>
          <w:highlight w:val="none"/>
        </w:rPr>
      </w:pPr>
    </w:p>
    <w:p w14:paraId="477B219E">
      <w:pPr>
        <w:pStyle w:val="9"/>
        <w:spacing w:line="600" w:lineRule="exact"/>
        <w:rPr>
          <w:rFonts w:hint="eastAsia" w:ascii="宋体" w:hAnsi="宋体" w:eastAsia="宋体" w:cs="宋体"/>
          <w:highlight w:val="none"/>
        </w:rPr>
      </w:pPr>
    </w:p>
    <w:p w14:paraId="4E96FFBB">
      <w:pPr>
        <w:pStyle w:val="9"/>
        <w:spacing w:line="600" w:lineRule="exact"/>
        <w:rPr>
          <w:rFonts w:hint="eastAsia" w:ascii="宋体" w:hAnsi="宋体" w:eastAsia="宋体" w:cs="宋体"/>
          <w:highlight w:val="none"/>
        </w:rPr>
      </w:pPr>
    </w:p>
    <w:p w14:paraId="31643E5C">
      <w:pPr>
        <w:spacing w:line="1600" w:lineRule="exact"/>
        <w:jc w:val="center"/>
        <w:rPr>
          <w:rFonts w:hint="eastAsia" w:ascii="宋体" w:hAnsi="宋体" w:eastAsia="宋体" w:cs="宋体"/>
          <w:sz w:val="110"/>
          <w:szCs w:val="110"/>
          <w:highlight w:val="none"/>
        </w:rPr>
      </w:pPr>
      <w:r>
        <w:rPr>
          <w:rFonts w:hint="eastAsia" w:ascii="宋体" w:hAnsi="宋体" w:eastAsia="宋体" w:cs="宋体"/>
          <w:sz w:val="110"/>
          <w:szCs w:val="110"/>
          <w:highlight w:val="none"/>
        </w:rPr>
        <w:t>遴 选 文 件</w:t>
      </w:r>
    </w:p>
    <w:p w14:paraId="1A5572D2">
      <w:pPr>
        <w:spacing w:line="600" w:lineRule="exact"/>
        <w:rPr>
          <w:rFonts w:hint="eastAsia" w:ascii="宋体" w:hAnsi="宋体" w:eastAsia="宋体" w:cs="宋体"/>
          <w:sz w:val="44"/>
          <w:szCs w:val="44"/>
          <w:highlight w:val="none"/>
        </w:rPr>
      </w:pPr>
    </w:p>
    <w:p w14:paraId="0C3D2445">
      <w:pPr>
        <w:pStyle w:val="16"/>
        <w:rPr>
          <w:rFonts w:hint="eastAsia" w:ascii="宋体" w:hAnsi="宋体" w:eastAsia="宋体" w:cs="宋体"/>
          <w:highlight w:val="none"/>
        </w:rPr>
      </w:pPr>
    </w:p>
    <w:p w14:paraId="75E18C7B">
      <w:pPr>
        <w:pStyle w:val="16"/>
        <w:rPr>
          <w:rFonts w:hint="eastAsia" w:ascii="宋体" w:hAnsi="宋体" w:eastAsia="宋体" w:cs="宋体"/>
          <w:highlight w:val="none"/>
        </w:rPr>
      </w:pPr>
    </w:p>
    <w:p w14:paraId="7FDEAD5F">
      <w:pPr>
        <w:spacing w:line="600" w:lineRule="exact"/>
        <w:rPr>
          <w:rFonts w:hint="eastAsia" w:ascii="宋体" w:hAnsi="宋体" w:eastAsia="宋体" w:cs="宋体"/>
          <w:sz w:val="44"/>
          <w:szCs w:val="44"/>
          <w:highlight w:val="none"/>
        </w:rPr>
      </w:pPr>
    </w:p>
    <w:p w14:paraId="6F20D8FD">
      <w:pPr>
        <w:spacing w:line="600" w:lineRule="exact"/>
        <w:ind w:left="2440" w:leftChars="400" w:hanging="1600" w:hangingChars="500"/>
        <w:rPr>
          <w:rFonts w:hint="eastAsia" w:ascii="宋体" w:hAnsi="宋体" w:eastAsia="宋体" w:cs="宋体"/>
          <w:color w:val="auto"/>
          <w:sz w:val="32"/>
          <w:szCs w:val="32"/>
          <w:highlight w:val="none"/>
        </w:rPr>
      </w:pPr>
      <w:r>
        <w:rPr>
          <w:rFonts w:hint="eastAsia" w:ascii="宋体" w:hAnsi="宋体" w:eastAsia="宋体" w:cs="宋体"/>
          <w:sz w:val="32"/>
          <w:szCs w:val="32"/>
          <w:highlight w:val="none"/>
        </w:rPr>
        <w:t>项目名称：</w:t>
      </w:r>
      <w:r>
        <w:rPr>
          <w:rFonts w:hint="eastAsia" w:ascii="宋体" w:hAnsi="宋体" w:cs="宋体"/>
          <w:sz w:val="32"/>
          <w:szCs w:val="32"/>
          <w:highlight w:val="none"/>
          <w:lang w:eastAsia="zh-CN"/>
        </w:rPr>
        <w:t>怀化市靖州苗族侗族自治县2026—2028年政策性农业保险承保机构项目</w:t>
      </w:r>
    </w:p>
    <w:p w14:paraId="1F0D5F65">
      <w:pPr>
        <w:spacing w:line="600" w:lineRule="exact"/>
        <w:ind w:left="840" w:leftChars="400"/>
        <w:rPr>
          <w:rFonts w:hint="eastAsia"/>
          <w:highlight w:val="none"/>
          <w:lang w:val="en-US" w:eastAsia="zh-CN"/>
        </w:rPr>
      </w:pPr>
      <w:r>
        <w:rPr>
          <w:rFonts w:hint="eastAsia" w:ascii="宋体" w:hAnsi="宋体" w:eastAsia="宋体" w:cs="宋体"/>
          <w:color w:val="auto"/>
          <w:sz w:val="32"/>
          <w:szCs w:val="32"/>
          <w:highlight w:val="none"/>
        </w:rPr>
        <w:t>遴 选 人：</w:t>
      </w:r>
      <w:r>
        <w:rPr>
          <w:rFonts w:hint="eastAsia" w:ascii="宋体" w:hAnsi="宋体" w:eastAsia="宋体" w:cs="宋体"/>
          <w:color w:val="auto"/>
          <w:sz w:val="32"/>
          <w:szCs w:val="32"/>
          <w:highlight w:val="none"/>
          <w:lang w:val="en-US" w:eastAsia="zh-CN"/>
        </w:rPr>
        <w:t>怀化市</w:t>
      </w:r>
      <w:r>
        <w:rPr>
          <w:rFonts w:hint="eastAsia" w:ascii="宋体" w:hAnsi="宋体" w:eastAsia="宋体" w:cs="宋体"/>
          <w:color w:val="auto"/>
          <w:sz w:val="32"/>
          <w:szCs w:val="32"/>
          <w:highlight w:val="none"/>
        </w:rPr>
        <w:t>财政局</w:t>
      </w:r>
      <w:r>
        <w:rPr>
          <w:rFonts w:hint="eastAsia" w:ascii="宋体" w:hAnsi="宋体" w:cs="宋体"/>
          <w:color w:val="auto"/>
          <w:sz w:val="32"/>
          <w:szCs w:val="32"/>
          <w:highlight w:val="none"/>
          <w:lang w:val="en-US" w:eastAsia="zh-CN"/>
        </w:rPr>
        <w:t>、</w:t>
      </w:r>
      <w:r>
        <w:rPr>
          <w:rFonts w:hint="eastAsia" w:ascii="宋体" w:hAnsi="宋体" w:eastAsia="宋体" w:cs="宋体"/>
          <w:color w:val="auto"/>
          <w:sz w:val="32"/>
          <w:szCs w:val="32"/>
          <w:highlight w:val="none"/>
          <w:lang w:val="en-US" w:eastAsia="zh-CN"/>
        </w:rPr>
        <w:t>怀化市农业农村局</w:t>
      </w:r>
    </w:p>
    <w:p w14:paraId="7796ADF8">
      <w:pPr>
        <w:spacing w:line="600" w:lineRule="exact"/>
        <w:rPr>
          <w:rFonts w:hint="eastAsia" w:ascii="宋体" w:hAnsi="宋体" w:eastAsia="宋体" w:cs="宋体"/>
          <w:sz w:val="32"/>
          <w:szCs w:val="32"/>
          <w:highlight w:val="none"/>
        </w:rPr>
      </w:pPr>
    </w:p>
    <w:p w14:paraId="64CD69D9">
      <w:pPr>
        <w:spacing w:line="600" w:lineRule="exact"/>
        <w:rPr>
          <w:rFonts w:hint="eastAsia" w:ascii="宋体" w:hAnsi="宋体" w:eastAsia="宋体" w:cs="宋体"/>
          <w:sz w:val="32"/>
          <w:szCs w:val="32"/>
          <w:highlight w:val="none"/>
        </w:rPr>
      </w:pPr>
    </w:p>
    <w:p w14:paraId="3DC16720">
      <w:pPr>
        <w:pStyle w:val="16"/>
        <w:rPr>
          <w:rFonts w:hint="eastAsia" w:ascii="宋体" w:hAnsi="宋体" w:eastAsia="宋体" w:cs="宋体"/>
          <w:sz w:val="32"/>
          <w:szCs w:val="32"/>
          <w:highlight w:val="none"/>
        </w:rPr>
      </w:pPr>
    </w:p>
    <w:p w14:paraId="122C56F4">
      <w:pPr>
        <w:pStyle w:val="16"/>
        <w:rPr>
          <w:rFonts w:hint="eastAsia" w:ascii="宋体" w:hAnsi="宋体" w:eastAsia="宋体" w:cs="宋体"/>
          <w:sz w:val="32"/>
          <w:szCs w:val="32"/>
          <w:highlight w:val="none"/>
        </w:rPr>
      </w:pPr>
    </w:p>
    <w:p w14:paraId="29EF84FD">
      <w:pPr>
        <w:spacing w:line="60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二0二</w:t>
      </w:r>
      <w:r>
        <w:rPr>
          <w:rFonts w:hint="eastAsia" w:ascii="宋体" w:hAnsi="宋体" w:cs="宋体"/>
          <w:sz w:val="32"/>
          <w:szCs w:val="32"/>
          <w:highlight w:val="none"/>
          <w:lang w:eastAsia="zh-CN"/>
        </w:rPr>
        <w:t>六</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一</w:t>
      </w:r>
      <w:r>
        <w:rPr>
          <w:rFonts w:hint="eastAsia" w:ascii="宋体" w:hAnsi="宋体" w:eastAsia="宋体" w:cs="宋体"/>
          <w:sz w:val="32"/>
          <w:szCs w:val="32"/>
          <w:highlight w:val="none"/>
        </w:rPr>
        <w:t>月</w:t>
      </w:r>
    </w:p>
    <w:p w14:paraId="7553D31A">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4DD7609B">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4D24EFFD">
      <w:pPr>
        <w:pStyle w:val="9"/>
        <w:spacing w:line="600" w:lineRule="exact"/>
        <w:jc w:val="center"/>
        <w:rPr>
          <w:rFonts w:hint="eastAsia" w:ascii="宋体" w:hAnsi="宋体" w:eastAsia="宋体" w:cs="宋体"/>
          <w:b/>
          <w:bCs/>
          <w:sz w:val="44"/>
          <w:szCs w:val="44"/>
          <w:highlight w:val="none"/>
        </w:rPr>
      </w:pPr>
    </w:p>
    <w:sdt>
      <w:sdtPr>
        <w:rPr>
          <w:rFonts w:ascii="宋体" w:hAnsi="宋体" w:eastAsia="宋体" w:cs="Times New Roman"/>
          <w:b/>
          <w:bCs/>
          <w:kern w:val="2"/>
          <w:sz w:val="44"/>
          <w:szCs w:val="44"/>
          <w:highlight w:val="none"/>
          <w:lang w:val="en-US" w:eastAsia="zh-CN" w:bidi="ar-SA"/>
        </w:rPr>
        <w:id w:val="147478455"/>
        <w15:color w:val="DBDBDB"/>
        <w:docPartObj>
          <w:docPartGallery w:val="Table of Contents"/>
          <w:docPartUnique/>
        </w:docPartObj>
      </w:sdtPr>
      <w:sdtEndPr>
        <w:rPr>
          <w:rFonts w:hint="eastAsia" w:ascii="宋体" w:hAnsi="宋体" w:eastAsia="宋体" w:cs="宋体"/>
          <w:b/>
          <w:bCs/>
          <w:kern w:val="2"/>
          <w:sz w:val="21"/>
          <w:szCs w:val="44"/>
          <w:highlight w:val="none"/>
          <w:lang w:val="en-US" w:eastAsia="zh-CN" w:bidi="ar-SA"/>
        </w:rPr>
      </w:sdtEndPr>
      <w:sdtContent>
        <w:p w14:paraId="3D3977F4">
          <w:pPr>
            <w:spacing w:before="0" w:beforeLines="0" w:after="0" w:afterLines="0" w:line="240" w:lineRule="auto"/>
            <w:ind w:left="0" w:leftChars="0" w:right="0" w:rightChars="0" w:firstLine="0" w:firstLineChars="0"/>
            <w:jc w:val="center"/>
            <w:rPr>
              <w:b/>
              <w:bCs/>
              <w:sz w:val="44"/>
              <w:szCs w:val="44"/>
              <w:highlight w:val="none"/>
            </w:rPr>
          </w:pPr>
          <w:r>
            <w:rPr>
              <w:rFonts w:ascii="宋体" w:hAnsi="宋体" w:eastAsia="宋体"/>
              <w:b/>
              <w:bCs/>
              <w:sz w:val="44"/>
              <w:szCs w:val="44"/>
              <w:highlight w:val="none"/>
            </w:rPr>
            <w:t>目</w:t>
          </w:r>
          <w:r>
            <w:rPr>
              <w:rFonts w:hint="eastAsia" w:ascii="宋体" w:hAnsi="宋体"/>
              <w:b/>
              <w:bCs/>
              <w:sz w:val="44"/>
              <w:szCs w:val="44"/>
              <w:highlight w:val="none"/>
              <w:lang w:val="en-US" w:eastAsia="zh-CN"/>
            </w:rPr>
            <w:t xml:space="preserve"> </w:t>
          </w:r>
          <w:r>
            <w:rPr>
              <w:rFonts w:ascii="宋体" w:hAnsi="宋体" w:eastAsia="宋体"/>
              <w:b/>
              <w:bCs/>
              <w:sz w:val="44"/>
              <w:szCs w:val="44"/>
              <w:highlight w:val="none"/>
            </w:rPr>
            <w:t>录</w:t>
          </w:r>
        </w:p>
        <w:p w14:paraId="638FAF80">
          <w:pPr>
            <w:pStyle w:val="35"/>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TOC \o "1-3" \h \u </w:instrText>
          </w:r>
          <w:r>
            <w:rPr>
              <w:rFonts w:hint="eastAsia" w:ascii="宋体" w:hAnsi="宋体" w:eastAsia="宋体" w:cs="宋体"/>
              <w:b/>
              <w:bCs/>
              <w:sz w:val="28"/>
              <w:szCs w:val="28"/>
              <w:highlight w:val="none"/>
            </w:rPr>
            <w:fldChar w:fldCharType="separate"/>
          </w:r>
        </w:p>
        <w:p w14:paraId="37E3C49C">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_Toc23780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第一章　遴选邀请</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_Toc23780 \h </w:instrText>
          </w:r>
          <w:r>
            <w:rPr>
              <w:b/>
              <w:bCs/>
              <w:sz w:val="28"/>
              <w:szCs w:val="28"/>
              <w:highlight w:val="none"/>
            </w:rPr>
            <w:fldChar w:fldCharType="separate"/>
          </w:r>
          <w:r>
            <w:rPr>
              <w:b/>
              <w:bCs/>
              <w:sz w:val="28"/>
              <w:szCs w:val="28"/>
              <w:highlight w:val="none"/>
            </w:rPr>
            <w:t>1</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1B4AB4F1">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_Toc26056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第二章　遴选须知</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_Toc26056 \h </w:instrText>
          </w:r>
          <w:r>
            <w:rPr>
              <w:b/>
              <w:bCs/>
              <w:sz w:val="28"/>
              <w:szCs w:val="28"/>
              <w:highlight w:val="none"/>
            </w:rPr>
            <w:fldChar w:fldCharType="separate"/>
          </w:r>
          <w:r>
            <w:rPr>
              <w:b/>
              <w:bCs/>
              <w:sz w:val="28"/>
              <w:szCs w:val="28"/>
              <w:highlight w:val="none"/>
            </w:rPr>
            <w:t>6</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4D725671">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_Toc31532 </w:instrText>
          </w:r>
          <w:r>
            <w:rPr>
              <w:rFonts w:hint="eastAsia" w:ascii="宋体" w:hAnsi="宋体" w:eastAsia="宋体" w:cs="宋体"/>
              <w:b/>
              <w:bCs/>
              <w:sz w:val="28"/>
              <w:szCs w:val="28"/>
              <w:highlight w:val="none"/>
            </w:rPr>
            <w:fldChar w:fldCharType="separate"/>
          </w:r>
          <w:r>
            <w:rPr>
              <w:rFonts w:hint="eastAsia"/>
              <w:b/>
              <w:bCs/>
              <w:sz w:val="28"/>
              <w:szCs w:val="28"/>
              <w:highlight w:val="none"/>
            </w:rPr>
            <w:t>第三章　合同格式</w:t>
          </w:r>
          <w:r>
            <w:rPr>
              <w:b/>
              <w:bCs/>
              <w:sz w:val="28"/>
              <w:szCs w:val="28"/>
              <w:highlight w:val="none"/>
            </w:rPr>
            <w:tab/>
          </w:r>
          <w:r>
            <w:rPr>
              <w:b/>
              <w:bCs/>
              <w:sz w:val="28"/>
              <w:szCs w:val="28"/>
              <w:highlight w:val="none"/>
            </w:rPr>
            <w:fldChar w:fldCharType="begin"/>
          </w:r>
          <w:r>
            <w:rPr>
              <w:b/>
              <w:bCs/>
              <w:sz w:val="28"/>
              <w:szCs w:val="28"/>
              <w:highlight w:val="none"/>
            </w:rPr>
            <w:instrText xml:space="preserve"> PAGEREF _Toc31532 \h </w:instrText>
          </w:r>
          <w:r>
            <w:rPr>
              <w:b/>
              <w:bCs/>
              <w:sz w:val="28"/>
              <w:szCs w:val="28"/>
              <w:highlight w:val="none"/>
            </w:rPr>
            <w:fldChar w:fldCharType="separate"/>
          </w:r>
          <w:r>
            <w:rPr>
              <w:b/>
              <w:bCs/>
              <w:sz w:val="28"/>
              <w:szCs w:val="28"/>
              <w:highlight w:val="none"/>
            </w:rPr>
            <w:t>20</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6252AD50">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_Toc10861 </w:instrText>
          </w:r>
          <w:r>
            <w:rPr>
              <w:rFonts w:hint="eastAsia" w:ascii="宋体" w:hAnsi="宋体" w:eastAsia="宋体" w:cs="宋体"/>
              <w:b/>
              <w:bCs/>
              <w:sz w:val="28"/>
              <w:szCs w:val="28"/>
              <w:highlight w:val="none"/>
            </w:rPr>
            <w:fldChar w:fldCharType="separate"/>
          </w:r>
          <w:r>
            <w:rPr>
              <w:rFonts w:hint="eastAsia"/>
              <w:b/>
              <w:bCs/>
              <w:sz w:val="28"/>
              <w:szCs w:val="28"/>
              <w:highlight w:val="none"/>
            </w:rPr>
            <w:t>第四章　遴选响应文件组成</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_Toc10861 \h </w:instrText>
          </w:r>
          <w:r>
            <w:rPr>
              <w:b/>
              <w:bCs/>
              <w:sz w:val="28"/>
              <w:szCs w:val="28"/>
              <w:highlight w:val="none"/>
            </w:rPr>
            <w:fldChar w:fldCharType="separate"/>
          </w:r>
          <w:r>
            <w:rPr>
              <w:b/>
              <w:bCs/>
              <w:sz w:val="28"/>
              <w:szCs w:val="28"/>
              <w:highlight w:val="none"/>
            </w:rPr>
            <w:t>21</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3AE1E36D">
          <w:pPr>
            <w:spacing w:before="156" w:beforeLines="50" w:after="156" w:afterLines="50" w:line="480" w:lineRule="auto"/>
            <w:rPr>
              <w:rFonts w:hint="eastAsia" w:ascii="宋体" w:hAnsi="宋体" w:eastAsia="宋体" w:cs="宋体"/>
              <w:sz w:val="44"/>
              <w:szCs w:val="44"/>
              <w:highlight w:val="none"/>
            </w:rPr>
          </w:pPr>
          <w:r>
            <w:rPr>
              <w:rFonts w:hint="eastAsia" w:ascii="宋体" w:hAnsi="宋体" w:eastAsia="宋体" w:cs="宋体"/>
              <w:b/>
              <w:bCs/>
              <w:sz w:val="28"/>
              <w:szCs w:val="28"/>
              <w:highlight w:val="none"/>
            </w:rPr>
            <w:fldChar w:fldCharType="end"/>
          </w:r>
        </w:p>
      </w:sdtContent>
    </w:sdt>
    <w:p w14:paraId="655408AF">
      <w:pPr>
        <w:spacing w:before="156" w:beforeLines="50" w:after="156" w:afterLines="50"/>
        <w:rPr>
          <w:rFonts w:hint="eastAsia" w:ascii="宋体" w:hAnsi="宋体" w:eastAsia="宋体" w:cs="宋体"/>
          <w:sz w:val="44"/>
          <w:szCs w:val="44"/>
          <w:highlight w:val="none"/>
        </w:rPr>
      </w:pPr>
    </w:p>
    <w:p w14:paraId="6BF5768C">
      <w:pPr>
        <w:spacing w:before="156" w:beforeLines="50" w:after="156" w:afterLines="50"/>
        <w:rPr>
          <w:rFonts w:hint="eastAsia" w:ascii="宋体" w:hAnsi="宋体" w:eastAsia="宋体" w:cs="宋体"/>
          <w:sz w:val="44"/>
          <w:szCs w:val="44"/>
          <w:highlight w:val="none"/>
        </w:rPr>
      </w:pPr>
    </w:p>
    <w:p w14:paraId="10E373F9">
      <w:pPr>
        <w:spacing w:before="156" w:beforeLines="50" w:after="156" w:afterLines="50"/>
        <w:rPr>
          <w:rFonts w:hint="eastAsia" w:ascii="宋体" w:hAnsi="宋体" w:eastAsia="宋体" w:cs="宋体"/>
          <w:sz w:val="44"/>
          <w:szCs w:val="44"/>
          <w:highlight w:val="none"/>
        </w:rPr>
      </w:pPr>
    </w:p>
    <w:p w14:paraId="66E2BF71">
      <w:pPr>
        <w:spacing w:before="156" w:beforeLines="50" w:after="156" w:afterLines="50"/>
        <w:rPr>
          <w:rFonts w:hint="eastAsia" w:ascii="宋体" w:hAnsi="宋体" w:eastAsia="宋体" w:cs="宋体"/>
          <w:sz w:val="44"/>
          <w:szCs w:val="44"/>
          <w:highlight w:val="none"/>
        </w:rPr>
      </w:pPr>
    </w:p>
    <w:p w14:paraId="6AB9E692">
      <w:pPr>
        <w:spacing w:before="156" w:beforeLines="50" w:after="156" w:afterLines="50"/>
        <w:rPr>
          <w:rFonts w:hint="eastAsia" w:ascii="宋体" w:hAnsi="宋体" w:eastAsia="宋体" w:cs="宋体"/>
          <w:sz w:val="44"/>
          <w:szCs w:val="44"/>
          <w:highlight w:val="none"/>
        </w:rPr>
      </w:pPr>
    </w:p>
    <w:p w14:paraId="33FC4D8F">
      <w:pPr>
        <w:spacing w:before="156" w:beforeLines="50" w:after="156" w:afterLines="50"/>
        <w:rPr>
          <w:rFonts w:hint="eastAsia" w:ascii="宋体" w:hAnsi="宋体" w:eastAsia="宋体" w:cs="宋体"/>
          <w:sz w:val="44"/>
          <w:szCs w:val="44"/>
          <w:highlight w:val="none"/>
        </w:rPr>
      </w:pPr>
    </w:p>
    <w:p w14:paraId="61C82905">
      <w:pPr>
        <w:spacing w:before="156" w:beforeLines="50" w:after="156" w:afterLines="50"/>
        <w:rPr>
          <w:rFonts w:hint="eastAsia" w:ascii="宋体" w:hAnsi="宋体" w:eastAsia="宋体" w:cs="宋体"/>
          <w:sz w:val="44"/>
          <w:szCs w:val="44"/>
          <w:highlight w:val="none"/>
        </w:rPr>
      </w:pPr>
    </w:p>
    <w:p w14:paraId="1C1204C7">
      <w:pPr>
        <w:spacing w:before="156" w:beforeLines="50" w:after="156" w:afterLines="50"/>
        <w:rPr>
          <w:rFonts w:hint="eastAsia" w:ascii="宋体" w:hAnsi="宋体" w:eastAsia="宋体" w:cs="宋体"/>
          <w:sz w:val="44"/>
          <w:szCs w:val="44"/>
          <w:highlight w:val="none"/>
        </w:rPr>
        <w:sectPr>
          <w:pgSz w:w="11906" w:h="16838"/>
          <w:pgMar w:top="1701" w:right="1587" w:bottom="1701" w:left="1587" w:header="851" w:footer="1417" w:gutter="0"/>
          <w:pgBorders>
            <w:top w:val="none" w:sz="0" w:space="0"/>
            <w:left w:val="none" w:sz="0" w:space="0"/>
            <w:bottom w:val="none" w:sz="0" w:space="0"/>
            <w:right w:val="none" w:sz="0" w:space="0"/>
          </w:pgBorders>
          <w:cols w:space="720" w:num="1"/>
          <w:docGrid w:type="lines" w:linePitch="312" w:charSpace="0"/>
        </w:sectPr>
      </w:pPr>
    </w:p>
    <w:p w14:paraId="4E681A19">
      <w:pPr>
        <w:pStyle w:val="3"/>
        <w:keepNext w:val="0"/>
        <w:keepLines w:val="0"/>
        <w:pageBreakBefore w:val="0"/>
        <w:widowControl w:val="0"/>
        <w:kinsoku/>
        <w:wordWrap w:val="0"/>
        <w:overflowPunct/>
        <w:topLinePunct w:val="0"/>
        <w:autoSpaceDE w:val="0"/>
        <w:autoSpaceDN w:val="0"/>
        <w:bidi w:val="0"/>
        <w:adjustRightInd w:val="0"/>
        <w:snapToGrid w:val="0"/>
        <w:spacing w:before="0" w:beforeLines="0" w:after="0" w:afterLines="0" w:line="360" w:lineRule="auto"/>
        <w:ind w:left="0" w:leftChars="0" w:firstLine="0" w:firstLineChars="0"/>
        <w:jc w:val="center"/>
        <w:outlineLvl w:val="0"/>
        <w:rPr>
          <w:rFonts w:hint="eastAsia" w:ascii="宋体" w:hAnsi="宋体" w:eastAsia="宋体" w:cs="宋体"/>
          <w:snapToGrid w:val="0"/>
          <w:spacing w:val="0"/>
          <w:kern w:val="0"/>
          <w:sz w:val="36"/>
          <w:szCs w:val="36"/>
          <w:highlight w:val="none"/>
        </w:rPr>
      </w:pPr>
      <w:bookmarkStart w:id="1" w:name="遴选邀请"/>
      <w:bookmarkStart w:id="2" w:name="_Toc23780"/>
      <w:bookmarkStart w:id="3" w:name="_遴选邀请"/>
      <w:r>
        <w:rPr>
          <w:rFonts w:hint="eastAsia" w:ascii="宋体" w:hAnsi="宋体" w:eastAsia="宋体" w:cs="宋体"/>
          <w:snapToGrid w:val="0"/>
          <w:spacing w:val="0"/>
          <w:kern w:val="0"/>
          <w:sz w:val="36"/>
          <w:szCs w:val="36"/>
          <w:highlight w:val="none"/>
        </w:rPr>
        <w:t>第一章　遴选邀请</w:t>
      </w:r>
      <w:bookmarkEnd w:id="1"/>
      <w:bookmarkEnd w:id="2"/>
    </w:p>
    <w:bookmarkEnd w:id="3"/>
    <w:p w14:paraId="3AB37A49">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lang w:eastAsia="zh-CN"/>
        </w:rPr>
      </w:pPr>
      <w:bookmarkStart w:id="4" w:name="_Toc14271"/>
      <w:r>
        <w:rPr>
          <w:rFonts w:hint="eastAsia" w:ascii="宋体" w:hAnsi="宋体" w:eastAsia="宋体" w:cs="宋体"/>
          <w:snapToGrid w:val="0"/>
          <w:spacing w:val="0"/>
          <w:kern w:val="0"/>
          <w:sz w:val="30"/>
          <w:szCs w:val="30"/>
          <w:highlight w:val="none"/>
          <w:u w:val="single"/>
          <w:lang w:eastAsia="zh-CN"/>
        </w:rPr>
        <w:t>湖南擎峰项目管理咨询有限公司</w:t>
      </w:r>
      <w:r>
        <w:rPr>
          <w:rFonts w:hint="eastAsia" w:ascii="宋体" w:hAnsi="宋体" w:eastAsia="宋体" w:cs="宋体"/>
          <w:snapToGrid w:val="0"/>
          <w:spacing w:val="0"/>
          <w:kern w:val="0"/>
          <w:sz w:val="30"/>
          <w:szCs w:val="30"/>
          <w:highlight w:val="none"/>
          <w:u w:val="single"/>
          <w:lang w:val="en-US" w:eastAsia="zh-CN"/>
        </w:rPr>
        <w:t xml:space="preserve"> </w:t>
      </w:r>
      <w:r>
        <w:rPr>
          <w:rFonts w:hint="eastAsia" w:ascii="宋体" w:hAnsi="宋体" w:eastAsia="宋体" w:cs="宋体"/>
          <w:snapToGrid w:val="0"/>
          <w:spacing w:val="0"/>
          <w:kern w:val="0"/>
          <w:sz w:val="30"/>
          <w:szCs w:val="30"/>
          <w:highlight w:val="none"/>
          <w:lang w:eastAsia="zh-CN"/>
        </w:rPr>
        <w:t>受</w:t>
      </w:r>
      <w:r>
        <w:rPr>
          <w:rFonts w:hint="eastAsia" w:ascii="宋体" w:hAnsi="宋体" w:eastAsia="宋体" w:cs="宋体"/>
          <w:snapToGrid w:val="0"/>
          <w:spacing w:val="0"/>
          <w:kern w:val="0"/>
          <w:sz w:val="30"/>
          <w:szCs w:val="30"/>
          <w:highlight w:val="none"/>
          <w:lang w:val="en-US" w:eastAsia="zh-CN"/>
        </w:rPr>
        <w:t xml:space="preserve"> </w:t>
      </w:r>
      <w:r>
        <w:rPr>
          <w:rFonts w:hint="eastAsia" w:ascii="宋体" w:hAnsi="宋体" w:eastAsia="宋体" w:cs="宋体"/>
          <w:i w:val="0"/>
          <w:iCs w:val="0"/>
          <w:snapToGrid w:val="0"/>
          <w:spacing w:val="0"/>
          <w:kern w:val="0"/>
          <w:sz w:val="30"/>
          <w:szCs w:val="30"/>
          <w:highlight w:val="none"/>
          <w:u w:val="single"/>
          <w:lang w:val="en-US" w:eastAsia="zh-CN"/>
        </w:rPr>
        <w:t>怀化市财政局和</w:t>
      </w:r>
      <w:r>
        <w:rPr>
          <w:rFonts w:hint="eastAsia" w:ascii="宋体" w:hAnsi="宋体" w:eastAsia="宋体" w:cs="宋体"/>
          <w:snapToGrid w:val="0"/>
          <w:spacing w:val="0"/>
          <w:kern w:val="0"/>
          <w:sz w:val="30"/>
          <w:szCs w:val="30"/>
          <w:highlight w:val="none"/>
          <w:u w:val="single"/>
          <w:shd w:val="clear" w:color="auto" w:fill="FFFFFF"/>
          <w:lang w:val="en-US" w:eastAsia="zh-CN"/>
        </w:rPr>
        <w:t xml:space="preserve">怀化市农业农村局 </w:t>
      </w:r>
      <w:r>
        <w:rPr>
          <w:rFonts w:hint="eastAsia" w:ascii="宋体" w:hAnsi="宋体" w:eastAsia="宋体" w:cs="宋体"/>
          <w:snapToGrid w:val="0"/>
          <w:spacing w:val="0"/>
          <w:kern w:val="0"/>
          <w:sz w:val="30"/>
          <w:szCs w:val="30"/>
          <w:highlight w:val="none"/>
          <w:lang w:eastAsia="zh-CN"/>
        </w:rPr>
        <w:t>的委托，根据湘财金【2026】4号文件的通知要求，对</w:t>
      </w:r>
      <w:r>
        <w:rPr>
          <w:rFonts w:hint="eastAsia" w:ascii="宋体" w:hAnsi="宋体" w:eastAsia="宋体" w:cs="宋体"/>
          <w:snapToGrid w:val="0"/>
          <w:spacing w:val="0"/>
          <w:kern w:val="0"/>
          <w:sz w:val="30"/>
          <w:szCs w:val="30"/>
          <w:highlight w:val="none"/>
          <w:u w:val="single"/>
          <w:lang w:eastAsia="zh-CN"/>
        </w:rPr>
        <w:t> </w:t>
      </w:r>
      <w:r>
        <w:rPr>
          <w:rFonts w:hint="eastAsia" w:ascii="宋体" w:hAnsi="宋体" w:cs="宋体"/>
          <w:snapToGrid w:val="0"/>
          <w:spacing w:val="0"/>
          <w:kern w:val="0"/>
          <w:sz w:val="30"/>
          <w:szCs w:val="30"/>
          <w:highlight w:val="none"/>
          <w:u w:val="single"/>
          <w:lang w:eastAsia="zh-CN"/>
        </w:rPr>
        <w:t>怀化市靖州苗族侗族自治县2026—2028年政策性农业保险承保机构项目</w:t>
      </w:r>
      <w:r>
        <w:rPr>
          <w:rFonts w:hint="eastAsia" w:ascii="宋体" w:hAnsi="宋体" w:eastAsia="宋体" w:cs="宋体"/>
          <w:snapToGrid w:val="0"/>
          <w:spacing w:val="0"/>
          <w:kern w:val="0"/>
          <w:sz w:val="30"/>
          <w:szCs w:val="30"/>
          <w:highlight w:val="none"/>
          <w:u w:val="single"/>
          <w:lang w:eastAsia="zh-CN"/>
        </w:rPr>
        <w:t> </w:t>
      </w:r>
      <w:r>
        <w:rPr>
          <w:rFonts w:hint="eastAsia" w:ascii="宋体" w:hAnsi="宋体" w:eastAsia="宋体" w:cs="宋体"/>
          <w:snapToGrid w:val="0"/>
          <w:spacing w:val="0"/>
          <w:kern w:val="0"/>
          <w:sz w:val="30"/>
          <w:szCs w:val="30"/>
          <w:highlight w:val="none"/>
          <w:lang w:eastAsia="zh-CN"/>
        </w:rPr>
        <w:t>进行公开竞争性遴选，现采用发布公告方式（在财政部门指定的媒体：</w:t>
      </w:r>
      <w:r>
        <w:rPr>
          <w:rFonts w:hint="eastAsia" w:ascii="宋体" w:hAnsi="宋体" w:eastAsia="宋体" w:cs="宋体"/>
          <w:snapToGrid w:val="0"/>
          <w:spacing w:val="0"/>
          <w:kern w:val="0"/>
          <w:sz w:val="30"/>
          <w:szCs w:val="30"/>
          <w:highlight w:val="none"/>
          <w:lang w:val="en-US" w:eastAsia="zh-CN"/>
        </w:rPr>
        <w:t>怀化市财政局官网</w:t>
      </w:r>
      <w:r>
        <w:rPr>
          <w:rFonts w:hint="eastAsia" w:ascii="宋体" w:hAnsi="宋体" w:eastAsia="宋体" w:cs="宋体"/>
          <w:snapToGrid w:val="0"/>
          <w:spacing w:val="0"/>
          <w:kern w:val="0"/>
          <w:sz w:val="30"/>
          <w:szCs w:val="30"/>
          <w:highlight w:val="none"/>
          <w:lang w:eastAsia="zh-CN"/>
        </w:rPr>
        <w:t>，网址：</w:t>
      </w:r>
      <w:r>
        <w:rPr>
          <w:rFonts w:hint="eastAsia" w:ascii="宋体" w:hAnsi="宋体" w:eastAsia="宋体" w:cs="宋体"/>
          <w:i w:val="0"/>
          <w:iCs w:val="0"/>
          <w:snapToGrid w:val="0"/>
          <w:color w:val="auto"/>
          <w:spacing w:val="0"/>
          <w:kern w:val="0"/>
          <w:sz w:val="30"/>
          <w:szCs w:val="30"/>
          <w:highlight w:val="none"/>
          <w:u w:val="none"/>
          <w:lang w:eastAsia="zh-CN"/>
        </w:rPr>
        <w:fldChar w:fldCharType="begin"/>
      </w:r>
      <w:r>
        <w:rPr>
          <w:rFonts w:hint="eastAsia" w:ascii="宋体" w:hAnsi="宋体" w:eastAsia="宋体" w:cs="宋体"/>
          <w:i w:val="0"/>
          <w:iCs w:val="0"/>
          <w:snapToGrid w:val="0"/>
          <w:color w:val="auto"/>
          <w:spacing w:val="0"/>
          <w:kern w:val="0"/>
          <w:sz w:val="30"/>
          <w:szCs w:val="30"/>
          <w:highlight w:val="none"/>
          <w:u w:val="none"/>
          <w:lang w:eastAsia="zh-CN"/>
        </w:rPr>
        <w:instrText xml:space="preserve"> HYPERLINK "https://www.huaihua.gov.cn/czj/），邀请符合资格条件的申请人参与公开竞争性遴选。" </w:instrText>
      </w:r>
      <w:r>
        <w:rPr>
          <w:rFonts w:hint="eastAsia" w:ascii="宋体" w:hAnsi="宋体" w:eastAsia="宋体" w:cs="宋体"/>
          <w:i w:val="0"/>
          <w:iCs w:val="0"/>
          <w:snapToGrid w:val="0"/>
          <w:color w:val="auto"/>
          <w:spacing w:val="0"/>
          <w:kern w:val="0"/>
          <w:sz w:val="30"/>
          <w:szCs w:val="30"/>
          <w:highlight w:val="none"/>
          <w:u w:val="none"/>
          <w:lang w:eastAsia="zh-CN"/>
        </w:rPr>
        <w:fldChar w:fldCharType="separate"/>
      </w:r>
      <w:r>
        <w:rPr>
          <w:rStyle w:val="25"/>
          <w:rFonts w:hint="eastAsia" w:ascii="宋体" w:hAnsi="宋体" w:eastAsia="宋体" w:cs="宋体"/>
          <w:i w:val="0"/>
          <w:iCs w:val="0"/>
          <w:snapToGrid w:val="0"/>
          <w:color w:val="auto"/>
          <w:spacing w:val="0"/>
          <w:kern w:val="0"/>
          <w:sz w:val="30"/>
          <w:szCs w:val="30"/>
          <w:highlight w:val="none"/>
          <w:u w:val="none"/>
          <w:lang w:eastAsia="zh-CN"/>
        </w:rPr>
        <w:t>https://www.huaihua.gov.cn/czj/），邀请符合资格条件的申请人参与公开竞争性遴选。</w:t>
      </w:r>
      <w:r>
        <w:rPr>
          <w:rFonts w:hint="eastAsia" w:ascii="宋体" w:hAnsi="宋体" w:eastAsia="宋体" w:cs="宋体"/>
          <w:i w:val="0"/>
          <w:iCs w:val="0"/>
          <w:snapToGrid w:val="0"/>
          <w:color w:val="auto"/>
          <w:spacing w:val="0"/>
          <w:kern w:val="0"/>
          <w:sz w:val="30"/>
          <w:szCs w:val="30"/>
          <w:highlight w:val="none"/>
          <w:u w:val="none"/>
          <w:lang w:eastAsia="zh-CN"/>
        </w:rPr>
        <w:fldChar w:fldCharType="end"/>
      </w:r>
    </w:p>
    <w:p w14:paraId="231C5009">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b/>
          <w:bCs/>
          <w:snapToGrid w:val="0"/>
          <w:color w:val="auto"/>
          <w:spacing w:val="0"/>
          <w:kern w:val="0"/>
          <w:sz w:val="30"/>
          <w:szCs w:val="30"/>
          <w:highlight w:val="none"/>
          <w:shd w:val="clear" w:color="auto" w:fill="FFFFFF"/>
        </w:rPr>
      </w:pPr>
      <w:r>
        <w:rPr>
          <w:rFonts w:hint="eastAsia" w:ascii="宋体" w:hAnsi="宋体" w:eastAsia="宋体" w:cs="宋体"/>
          <w:b/>
          <w:bCs/>
          <w:snapToGrid w:val="0"/>
          <w:color w:val="auto"/>
          <w:spacing w:val="0"/>
          <w:kern w:val="0"/>
          <w:sz w:val="30"/>
          <w:szCs w:val="30"/>
          <w:highlight w:val="none"/>
          <w:shd w:val="clear" w:color="auto" w:fill="FFFFFF"/>
        </w:rPr>
        <w:t>一、遴选项目基本概况</w:t>
      </w:r>
      <w:bookmarkEnd w:id="4"/>
    </w:p>
    <w:p w14:paraId="08395A53">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1、遴选项目名称：</w:t>
      </w:r>
      <w:r>
        <w:rPr>
          <w:rFonts w:hint="eastAsia" w:cs="宋体"/>
          <w:b w:val="0"/>
          <w:bCs w:val="0"/>
          <w:snapToGrid w:val="0"/>
          <w:color w:val="auto"/>
          <w:spacing w:val="0"/>
          <w:kern w:val="0"/>
          <w:sz w:val="30"/>
          <w:szCs w:val="30"/>
          <w:highlight w:val="none"/>
          <w:u w:val="single"/>
          <w:shd w:val="clear" w:color="auto" w:fill="FFFFFF"/>
          <w:lang w:val="en-US" w:eastAsia="zh-CN"/>
        </w:rPr>
        <w:t>怀化市靖州苗族侗族自治县2026—2028年政策性农业保险承保机构项目</w:t>
      </w:r>
    </w:p>
    <w:p w14:paraId="1B3C885F">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2、遴选方式：</w:t>
      </w:r>
      <w:r>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t>公开竞争性遴选</w:t>
      </w:r>
    </w:p>
    <w:p w14:paraId="0352211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3、中选方式：</w:t>
      </w:r>
      <w:r>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t>综合评分法</w:t>
      </w:r>
    </w:p>
    <w:p w14:paraId="43FC765E">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4、遴选项目预算</w:t>
      </w:r>
    </w:p>
    <w:tbl>
      <w:tblPr>
        <w:tblStyle w:val="2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35"/>
        <w:gridCol w:w="2960"/>
        <w:gridCol w:w="1980"/>
        <w:gridCol w:w="2140"/>
      </w:tblGrid>
      <w:tr w14:paraId="6D8D0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63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DF7D64">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00" w:lineRule="exact"/>
              <w:ind w:left="0" w:leftChars="0" w:firstLine="0" w:firstLineChars="0"/>
              <w:jc w:val="center"/>
              <w:textAlignment w:val="auto"/>
              <w:rPr>
                <w:rFonts w:hint="eastAsia" w:ascii="宋体" w:hAnsi="宋体" w:eastAsia="宋体" w:cs="宋体"/>
                <w:b/>
                <w:bCs/>
                <w:snapToGrid w:val="0"/>
                <w:spacing w:val="0"/>
                <w:kern w:val="0"/>
                <w:sz w:val="24"/>
                <w:szCs w:val="24"/>
                <w:highlight w:val="none"/>
              </w:rPr>
            </w:pPr>
            <w:r>
              <w:rPr>
                <w:rFonts w:hint="eastAsia" w:ascii="宋体" w:hAnsi="宋体" w:eastAsia="宋体" w:cs="宋体"/>
                <w:b/>
                <w:bCs/>
                <w:snapToGrid w:val="0"/>
                <w:spacing w:val="0"/>
                <w:kern w:val="0"/>
                <w:sz w:val="24"/>
                <w:szCs w:val="24"/>
                <w:highlight w:val="none"/>
              </w:rPr>
              <w:t>包/品目号</w:t>
            </w:r>
          </w:p>
        </w:tc>
        <w:tc>
          <w:tcPr>
            <w:tcW w:w="29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DD1B4DB">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00" w:lineRule="exact"/>
              <w:ind w:left="0" w:leftChars="0" w:firstLine="0" w:firstLineChars="0"/>
              <w:jc w:val="center"/>
              <w:textAlignment w:val="auto"/>
              <w:rPr>
                <w:rFonts w:hint="eastAsia" w:ascii="宋体" w:hAnsi="宋体" w:eastAsia="宋体" w:cs="宋体"/>
                <w:b/>
                <w:bCs/>
                <w:snapToGrid w:val="0"/>
                <w:spacing w:val="0"/>
                <w:kern w:val="0"/>
                <w:sz w:val="24"/>
                <w:szCs w:val="24"/>
                <w:highlight w:val="none"/>
              </w:rPr>
            </w:pPr>
            <w:r>
              <w:rPr>
                <w:rFonts w:hint="eastAsia" w:ascii="宋体" w:hAnsi="宋体" w:eastAsia="宋体" w:cs="宋体"/>
                <w:b/>
                <w:bCs/>
                <w:snapToGrid w:val="0"/>
                <w:spacing w:val="0"/>
                <w:kern w:val="0"/>
                <w:sz w:val="24"/>
                <w:szCs w:val="24"/>
                <w:highlight w:val="none"/>
              </w:rPr>
              <w:t>标的名称</w:t>
            </w:r>
          </w:p>
        </w:tc>
        <w:tc>
          <w:tcPr>
            <w:tcW w:w="19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A77066C">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00" w:lineRule="exact"/>
              <w:ind w:left="0" w:leftChars="0" w:firstLine="0" w:firstLineChars="0"/>
              <w:jc w:val="center"/>
              <w:textAlignment w:val="auto"/>
              <w:rPr>
                <w:rFonts w:hint="eastAsia" w:ascii="宋体" w:hAnsi="宋体" w:eastAsia="宋体" w:cs="宋体"/>
                <w:b/>
                <w:bCs/>
                <w:snapToGrid w:val="0"/>
                <w:spacing w:val="0"/>
                <w:kern w:val="0"/>
                <w:sz w:val="24"/>
                <w:szCs w:val="24"/>
                <w:highlight w:val="none"/>
              </w:rPr>
            </w:pPr>
            <w:r>
              <w:rPr>
                <w:rFonts w:hint="eastAsia" w:ascii="宋体" w:hAnsi="宋体" w:eastAsia="宋体" w:cs="宋体"/>
                <w:b/>
                <w:bCs/>
                <w:snapToGrid w:val="0"/>
                <w:spacing w:val="0"/>
                <w:kern w:val="0"/>
                <w:sz w:val="24"/>
                <w:szCs w:val="24"/>
                <w:highlight w:val="none"/>
              </w:rPr>
              <w:t>数量</w:t>
            </w:r>
          </w:p>
          <w:p w14:paraId="523EFF0F">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00" w:lineRule="exact"/>
              <w:ind w:left="0" w:leftChars="0" w:firstLine="0" w:firstLineChars="0"/>
              <w:jc w:val="center"/>
              <w:textAlignment w:val="auto"/>
              <w:rPr>
                <w:rFonts w:hint="eastAsia" w:ascii="宋体" w:hAnsi="宋体" w:eastAsia="宋体" w:cs="宋体"/>
                <w:b/>
                <w:bCs/>
                <w:snapToGrid w:val="0"/>
                <w:spacing w:val="0"/>
                <w:kern w:val="0"/>
                <w:sz w:val="24"/>
                <w:szCs w:val="24"/>
                <w:highlight w:val="none"/>
              </w:rPr>
            </w:pPr>
            <w:r>
              <w:rPr>
                <w:rFonts w:hint="eastAsia" w:ascii="宋体" w:hAnsi="宋体" w:eastAsia="宋体" w:cs="宋体"/>
                <w:b/>
                <w:bCs/>
                <w:snapToGrid w:val="0"/>
                <w:spacing w:val="0"/>
                <w:kern w:val="0"/>
                <w:sz w:val="24"/>
                <w:szCs w:val="24"/>
                <w:highlight w:val="none"/>
              </w:rPr>
              <w:t>（单位：项）</w:t>
            </w:r>
          </w:p>
        </w:tc>
        <w:tc>
          <w:tcPr>
            <w:tcW w:w="21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75B0CF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00" w:lineRule="exact"/>
              <w:ind w:left="0" w:leftChars="0" w:firstLine="0" w:firstLineChars="0"/>
              <w:jc w:val="center"/>
              <w:textAlignment w:val="auto"/>
              <w:rPr>
                <w:rFonts w:hint="eastAsia" w:ascii="宋体" w:hAnsi="宋体" w:eastAsia="宋体" w:cs="宋体"/>
                <w:b/>
                <w:bCs/>
                <w:snapToGrid w:val="0"/>
                <w:spacing w:val="0"/>
                <w:kern w:val="0"/>
                <w:sz w:val="24"/>
                <w:szCs w:val="24"/>
                <w:highlight w:val="none"/>
              </w:rPr>
            </w:pPr>
            <w:r>
              <w:rPr>
                <w:rFonts w:hint="eastAsia" w:ascii="宋体" w:hAnsi="宋体" w:eastAsia="宋体" w:cs="宋体"/>
                <w:b/>
                <w:bCs/>
                <w:snapToGrid w:val="0"/>
                <w:spacing w:val="0"/>
                <w:kern w:val="0"/>
                <w:sz w:val="24"/>
                <w:szCs w:val="24"/>
                <w:highlight w:val="none"/>
              </w:rPr>
              <w:t>预算（元）</w:t>
            </w:r>
          </w:p>
        </w:tc>
      </w:tr>
      <w:tr w14:paraId="175FFE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63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9EBFB1">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00" w:lineRule="exact"/>
              <w:ind w:left="0" w:leftChars="0" w:firstLine="0" w:firstLineChars="0"/>
              <w:jc w:val="center"/>
              <w:textAlignment w:val="auto"/>
              <w:rPr>
                <w:rFonts w:hint="eastAsia" w:ascii="宋体" w:hAnsi="宋体" w:eastAsia="宋体" w:cs="宋体"/>
                <w:snapToGrid w:val="0"/>
                <w:spacing w:val="0"/>
                <w:kern w:val="0"/>
                <w:sz w:val="24"/>
                <w:szCs w:val="24"/>
                <w:highlight w:val="none"/>
              </w:rPr>
            </w:pPr>
            <w:r>
              <w:rPr>
                <w:rFonts w:hint="eastAsia" w:ascii="宋体" w:hAnsi="宋体" w:eastAsia="宋体" w:cs="宋体"/>
                <w:snapToGrid w:val="0"/>
                <w:spacing w:val="0"/>
                <w:kern w:val="0"/>
                <w:sz w:val="24"/>
                <w:szCs w:val="24"/>
                <w:highlight w:val="none"/>
              </w:rPr>
              <w:t>整包</w:t>
            </w:r>
          </w:p>
        </w:tc>
        <w:tc>
          <w:tcPr>
            <w:tcW w:w="29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AC81411">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00" w:lineRule="exact"/>
              <w:ind w:left="0" w:leftChars="0" w:firstLine="0" w:firstLineChars="0"/>
              <w:jc w:val="center"/>
              <w:textAlignment w:val="auto"/>
              <w:rPr>
                <w:rFonts w:hint="eastAsia" w:ascii="宋体" w:hAnsi="宋体" w:eastAsia="宋体" w:cs="宋体"/>
                <w:snapToGrid w:val="0"/>
                <w:spacing w:val="0"/>
                <w:kern w:val="0"/>
                <w:sz w:val="24"/>
                <w:szCs w:val="24"/>
                <w:highlight w:val="none"/>
                <w:lang w:eastAsia="zh-CN"/>
              </w:rPr>
            </w:pPr>
            <w:r>
              <w:rPr>
                <w:rFonts w:hint="eastAsia" w:cs="宋体"/>
                <w:snapToGrid w:val="0"/>
                <w:spacing w:val="0"/>
                <w:kern w:val="0"/>
                <w:sz w:val="24"/>
                <w:szCs w:val="24"/>
                <w:highlight w:val="none"/>
                <w:lang w:eastAsia="zh-CN"/>
              </w:rPr>
              <w:t>怀化市靖州苗族侗族自治县2026—2028年政策性农业保险承保机构项目</w:t>
            </w:r>
          </w:p>
        </w:tc>
        <w:tc>
          <w:tcPr>
            <w:tcW w:w="19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47167A">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00" w:lineRule="exact"/>
              <w:ind w:left="0" w:leftChars="0" w:firstLine="0" w:firstLineChars="0"/>
              <w:jc w:val="center"/>
              <w:textAlignment w:val="auto"/>
              <w:rPr>
                <w:rFonts w:hint="eastAsia" w:ascii="宋体" w:hAnsi="宋体" w:eastAsia="宋体" w:cs="宋体"/>
                <w:snapToGrid w:val="0"/>
                <w:spacing w:val="0"/>
                <w:kern w:val="0"/>
                <w:sz w:val="24"/>
                <w:szCs w:val="24"/>
                <w:highlight w:val="none"/>
              </w:rPr>
            </w:pPr>
            <w:r>
              <w:rPr>
                <w:rFonts w:hint="eastAsia" w:ascii="宋体" w:hAnsi="宋体" w:eastAsia="宋体" w:cs="宋体"/>
                <w:snapToGrid w:val="0"/>
                <w:spacing w:val="0"/>
                <w:kern w:val="0"/>
                <w:sz w:val="24"/>
                <w:szCs w:val="24"/>
                <w:highlight w:val="none"/>
              </w:rPr>
              <w:t>1</w:t>
            </w:r>
          </w:p>
        </w:tc>
        <w:tc>
          <w:tcPr>
            <w:tcW w:w="21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5CB5B1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00" w:lineRule="exact"/>
              <w:ind w:left="0" w:leftChars="0" w:firstLine="0" w:firstLineChars="0"/>
              <w:jc w:val="center"/>
              <w:textAlignment w:val="auto"/>
              <w:rPr>
                <w:rFonts w:hint="default" w:ascii="宋体" w:hAnsi="宋体" w:eastAsia="宋体" w:cs="宋体"/>
                <w:b w:val="0"/>
                <w:bCs w:val="0"/>
                <w:snapToGrid w:val="0"/>
                <w:spacing w:val="0"/>
                <w:kern w:val="0"/>
                <w:sz w:val="24"/>
                <w:szCs w:val="24"/>
                <w:highlight w:val="none"/>
                <w:lang w:val="en-US" w:eastAsia="zh-CN"/>
              </w:rPr>
            </w:pPr>
            <w:r>
              <w:rPr>
                <w:rFonts w:hint="eastAsia" w:cs="宋体"/>
                <w:b w:val="0"/>
                <w:bCs w:val="0"/>
                <w:i w:val="0"/>
                <w:iCs w:val="0"/>
                <w:snapToGrid w:val="0"/>
                <w:color w:val="000000"/>
                <w:spacing w:val="0"/>
                <w:kern w:val="0"/>
                <w:sz w:val="24"/>
                <w:szCs w:val="24"/>
                <w:highlight w:val="none"/>
                <w:u w:val="none"/>
                <w:lang w:val="en-US" w:eastAsia="zh-CN" w:bidi="ar"/>
              </w:rPr>
              <w:t>26286700.00</w:t>
            </w:r>
          </w:p>
        </w:tc>
      </w:tr>
    </w:tbl>
    <w:p w14:paraId="1C232D19">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snapToGrid w:val="0"/>
          <w:color w:val="666666"/>
          <w:spacing w:val="0"/>
          <w:kern w:val="0"/>
          <w:sz w:val="30"/>
          <w:szCs w:val="30"/>
          <w:highlight w:val="none"/>
          <w:shd w:val="clear" w:color="auto" w:fill="FFFFFF"/>
        </w:rPr>
      </w:pPr>
      <w:r>
        <w:rPr>
          <w:rFonts w:hint="eastAsia" w:ascii="宋体" w:hAnsi="宋体" w:eastAsia="宋体" w:cs="宋体"/>
          <w:snapToGrid w:val="0"/>
          <w:color w:val="666666"/>
          <w:spacing w:val="0"/>
          <w:kern w:val="0"/>
          <w:sz w:val="30"/>
          <w:szCs w:val="30"/>
          <w:highlight w:val="none"/>
          <w:shd w:val="clear" w:color="auto" w:fill="FFFFFF"/>
        </w:rPr>
        <w:t> </w:t>
      </w:r>
    </w:p>
    <w:p w14:paraId="14DB77F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snapToGrid w:val="0"/>
          <w:color w:val="666666"/>
          <w:spacing w:val="0"/>
          <w:kern w:val="0"/>
          <w:sz w:val="30"/>
          <w:szCs w:val="30"/>
          <w:highlight w:val="none"/>
          <w:shd w:val="clear" w:color="auto" w:fill="FFFFFF"/>
          <w:lang w:val="en-US" w:eastAsia="zh-CN"/>
        </w:rPr>
        <w:t xml:space="preserve"> </w:t>
      </w: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5、遴选项目分包设置</w:t>
      </w:r>
    </w:p>
    <w:tbl>
      <w:tblPr>
        <w:tblStyle w:val="20"/>
        <w:tblW w:w="9267" w:type="dxa"/>
        <w:tblInd w:w="-1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2770"/>
        <w:gridCol w:w="1373"/>
        <w:gridCol w:w="1357"/>
        <w:gridCol w:w="880"/>
        <w:gridCol w:w="2180"/>
      </w:tblGrid>
      <w:tr w14:paraId="4758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7" w:type="dxa"/>
            <w:tcBorders>
              <w:top w:val="single" w:color="000000" w:sz="4" w:space="0"/>
              <w:left w:val="single" w:color="000000" w:sz="4" w:space="0"/>
              <w:bottom w:val="nil"/>
              <w:right w:val="single" w:color="000000" w:sz="4" w:space="0"/>
            </w:tcBorders>
            <w:shd w:val="clear" w:color="auto" w:fill="auto"/>
            <w:vAlign w:val="center"/>
          </w:tcPr>
          <w:p w14:paraId="178BBFA7">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分包</w:t>
            </w:r>
          </w:p>
        </w:tc>
        <w:tc>
          <w:tcPr>
            <w:tcW w:w="2770" w:type="dxa"/>
            <w:tcBorders>
              <w:top w:val="single" w:color="000000" w:sz="4" w:space="0"/>
              <w:left w:val="single" w:color="000000" w:sz="4" w:space="0"/>
              <w:bottom w:val="nil"/>
              <w:right w:val="single" w:color="000000" w:sz="4" w:space="0"/>
            </w:tcBorders>
            <w:shd w:val="clear" w:color="auto" w:fill="auto"/>
            <w:vAlign w:val="center"/>
          </w:tcPr>
          <w:p w14:paraId="7F4C0D51">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险种</w:t>
            </w:r>
          </w:p>
        </w:tc>
        <w:tc>
          <w:tcPr>
            <w:tcW w:w="1373" w:type="dxa"/>
            <w:tcBorders>
              <w:top w:val="single" w:color="000000" w:sz="4" w:space="0"/>
              <w:left w:val="single" w:color="000000" w:sz="4" w:space="0"/>
              <w:bottom w:val="nil"/>
              <w:right w:val="single" w:color="000000" w:sz="4" w:space="0"/>
            </w:tcBorders>
            <w:shd w:val="clear" w:color="auto" w:fill="auto"/>
            <w:vAlign w:val="center"/>
          </w:tcPr>
          <w:p w14:paraId="3FDB49C5">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lang w:val="en-US" w:eastAsia="zh-CN" w:bidi="ar"/>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保费金额</w:t>
            </w:r>
          </w:p>
          <w:p w14:paraId="695CD3DD">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（元）</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1FB4">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lang w:val="en-US" w:eastAsia="zh-CN" w:bidi="ar"/>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小计</w:t>
            </w:r>
          </w:p>
          <w:p w14:paraId="202CA531">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（元）</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E571">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占比</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8696">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lang w:val="en-US" w:eastAsia="zh-CN" w:bidi="ar"/>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行政区域</w:t>
            </w:r>
          </w:p>
        </w:tc>
      </w:tr>
      <w:tr w14:paraId="2DB1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8CBB">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包1</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D001">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left"/>
              <w:textAlignment w:val="center"/>
              <w:rPr>
                <w:rFonts w:hint="default"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育肥猪；能繁母猪；水稻完全成本（大户）；水稻完全成本（散户）；水稻种植（普惠型）；杂交水稻制种；玉米；油菜；商品林；公益林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8DA4">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7905332.76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DEEE">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7905332.76</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616E">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30.07%</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7BAC">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新厂镇</w:t>
            </w:r>
          </w:p>
        </w:tc>
      </w:tr>
      <w:tr w14:paraId="3CC2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FE34">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包2</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8F9A">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育肥猪；能繁母猪；水稻完全成本（大户）；水稻完全成本（散户）；水稻种植（普惠型）；杂交水稻制种；玉米；油菜；商品林；公益林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0237">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7896442.36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1E86">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7896442.36</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F7E4">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30.04%</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C0BF">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渠阳便民服务中心（含排牙山）、江东便民服务中心、艮山口便民服务中心、铺口便民服务中心、横江桥便民服务中心、飞山便民服务中心、平茶镇</w:t>
            </w:r>
          </w:p>
        </w:tc>
      </w:tr>
      <w:tr w14:paraId="7FE2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01CE">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包3</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86C0">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育肥猪；能繁母</w:t>
            </w:r>
            <w:r>
              <w:rPr>
                <w:rFonts w:hint="eastAsia" w:ascii="宋体" w:hAnsi="宋体" w:cs="宋体"/>
                <w:i w:val="0"/>
                <w:iCs w:val="0"/>
                <w:color w:val="000000"/>
                <w:kern w:val="0"/>
                <w:sz w:val="20"/>
                <w:szCs w:val="20"/>
                <w:highlight w:val="none"/>
                <w:u w:val="none"/>
                <w:lang w:val="en-US" w:eastAsia="zh-CN" w:bidi="ar"/>
              </w:rPr>
              <w:t>猪</w:t>
            </w:r>
            <w:r>
              <w:rPr>
                <w:rFonts w:hint="eastAsia" w:ascii="宋体" w:hAnsi="宋体" w:eastAsia="宋体" w:cs="宋体"/>
                <w:i w:val="0"/>
                <w:iCs w:val="0"/>
                <w:color w:val="000000"/>
                <w:kern w:val="0"/>
                <w:sz w:val="20"/>
                <w:szCs w:val="20"/>
                <w:highlight w:val="none"/>
                <w:u w:val="none"/>
                <w:lang w:val="en-US" w:eastAsia="zh-CN" w:bidi="ar"/>
              </w:rPr>
              <w:t>；水稻完全成本（大户）；水稻种植（普惠型）；杂交水稻制种；玉米；油菜；商品林；公益林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BFC1">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4848483.92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BCC5">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4848483.92</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5555">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18.44%</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9993">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b/>
                <w:bCs/>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甘棠镇、坳上镇</w:t>
            </w:r>
          </w:p>
        </w:tc>
      </w:tr>
      <w:tr w14:paraId="10DA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244F">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包4</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CB5D">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育肥猪；能繁母猪；水稻完全成本（大户）；水稻完全成本（散户）；水稻种植（普惠型）；杂交水稻制种；玉米；油菜；商品林；公益林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BD3D">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2978008.84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FB6D">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2978008.84</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8936">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11.33%</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A79A">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大堡子镇、藕团乡、文溪乡</w:t>
            </w:r>
          </w:p>
        </w:tc>
      </w:tr>
      <w:tr w14:paraId="666C1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235B">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ind w:left="0" w:leftChars="0" w:firstLine="0" w:firstLineChars="0"/>
              <w:jc w:val="center"/>
              <w:textAlignment w:val="center"/>
              <w:rPr>
                <w:rFonts w:hint="default" w:ascii="宋体" w:hAnsi="宋体" w:eastAsia="宋体" w:cs="宋体"/>
                <w:snapToGrid w:val="0"/>
                <w:spacing w:val="0"/>
                <w:kern w:val="0"/>
                <w:sz w:val="20"/>
                <w:szCs w:val="20"/>
                <w:highlight w:val="none"/>
                <w:lang w:val="en-US" w:eastAsia="zh-CN" w:bidi="ar-SA"/>
              </w:rPr>
            </w:pPr>
            <w:r>
              <w:rPr>
                <w:rFonts w:hint="eastAsia" w:ascii="宋体" w:hAnsi="宋体" w:cs="宋体"/>
                <w:snapToGrid w:val="0"/>
                <w:spacing w:val="0"/>
                <w:kern w:val="0"/>
                <w:sz w:val="20"/>
                <w:szCs w:val="20"/>
                <w:highlight w:val="none"/>
                <w:lang w:val="en-US" w:eastAsia="zh-CN" w:bidi="ar-SA"/>
              </w:rPr>
              <w:t>包5</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8221">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育肥猪；能繁母猪；水稻完全成本（大户）；水稻完全成本（散户）；水稻种植（普惠型）；杂交水稻制种；玉米；油菜；商品林；公益林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E125">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2658432.12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B841">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2658432.12</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EE96">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10.11%</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373A">
            <w:pPr>
              <w:keepNext w:val="0"/>
              <w:keepLines w:val="0"/>
              <w:pageBreakBefore w:val="0"/>
              <w:widowControl w:val="0"/>
              <w:suppressLineNumbers w:val="0"/>
              <w:kinsoku/>
              <w:wordWrap w:val="0"/>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三锹乡、寨牙乡、太阳坪乡</w:t>
            </w:r>
          </w:p>
        </w:tc>
      </w:tr>
    </w:tbl>
    <w:p w14:paraId="14B00B84">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b/>
          <w:bCs/>
          <w:snapToGrid w:val="0"/>
          <w:color w:val="auto"/>
          <w:spacing w:val="0"/>
          <w:kern w:val="0"/>
          <w:sz w:val="30"/>
          <w:szCs w:val="30"/>
          <w:highlight w:val="none"/>
          <w:shd w:val="clear" w:color="auto" w:fill="FFFFFF"/>
        </w:rPr>
      </w:pPr>
    </w:p>
    <w:p w14:paraId="77970275">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b/>
          <w:bCs/>
          <w:snapToGrid w:val="0"/>
          <w:color w:val="auto"/>
          <w:spacing w:val="0"/>
          <w:kern w:val="0"/>
          <w:sz w:val="30"/>
          <w:szCs w:val="30"/>
          <w:highlight w:val="none"/>
          <w:shd w:val="clear" w:color="auto" w:fill="FFFFFF"/>
        </w:rPr>
      </w:pPr>
      <w:r>
        <w:rPr>
          <w:rFonts w:hint="eastAsia" w:ascii="宋体" w:hAnsi="宋体" w:eastAsia="宋体" w:cs="宋体"/>
          <w:b/>
          <w:bCs/>
          <w:snapToGrid w:val="0"/>
          <w:color w:val="auto"/>
          <w:spacing w:val="0"/>
          <w:kern w:val="0"/>
          <w:sz w:val="30"/>
          <w:szCs w:val="30"/>
          <w:highlight w:val="none"/>
          <w:shd w:val="clear" w:color="auto" w:fill="FFFFFF"/>
        </w:rPr>
        <w:t>二、遴选项目的主要需求</w:t>
      </w:r>
    </w:p>
    <w:tbl>
      <w:tblPr>
        <w:tblStyle w:val="2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605"/>
        <w:gridCol w:w="3240"/>
        <w:gridCol w:w="1400"/>
        <w:gridCol w:w="1300"/>
        <w:gridCol w:w="1453"/>
      </w:tblGrid>
      <w:tr w14:paraId="79D82C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1605" w:type="dxa"/>
            <w:vMerge w:val="restar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38AEE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包/品目号</w:t>
            </w:r>
          </w:p>
        </w:tc>
        <w:tc>
          <w:tcPr>
            <w:tcW w:w="3240" w:type="dxa"/>
            <w:vMerge w:val="restart"/>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026350AC">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标的物名称</w:t>
            </w:r>
          </w:p>
        </w:tc>
        <w:tc>
          <w:tcPr>
            <w:tcW w:w="4153" w:type="dxa"/>
            <w:gridSpan w:val="3"/>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3AE0344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标的主要需求</w:t>
            </w:r>
            <w:r>
              <w:rPr>
                <w:rFonts w:hint="eastAsia" w:ascii="宋体" w:hAnsi="宋体" w:eastAsia="宋体" w:cs="宋体"/>
                <w:snapToGrid w:val="0"/>
                <w:spacing w:val="0"/>
                <w:kern w:val="0"/>
                <w:sz w:val="30"/>
                <w:szCs w:val="30"/>
                <w:highlight w:val="none"/>
              </w:rPr>
              <w:t> </w:t>
            </w:r>
          </w:p>
        </w:tc>
      </w:tr>
      <w:tr w14:paraId="409A3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1605" w:type="dxa"/>
            <w:vMerge w:val="continue"/>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2167C4">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p>
        </w:tc>
        <w:tc>
          <w:tcPr>
            <w:tcW w:w="3240" w:type="dxa"/>
            <w:vMerge w:val="continue"/>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C25DBD9">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p>
        </w:tc>
        <w:tc>
          <w:tcPr>
            <w:tcW w:w="1400"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483BB782">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技术</w:t>
            </w:r>
          </w:p>
        </w:tc>
        <w:tc>
          <w:tcPr>
            <w:tcW w:w="1300" w:type="dxa"/>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C20E8BA">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服务</w:t>
            </w:r>
          </w:p>
        </w:tc>
        <w:tc>
          <w:tcPr>
            <w:tcW w:w="1453" w:type="dxa"/>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54A50FF0">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合同条款</w:t>
            </w:r>
          </w:p>
        </w:tc>
      </w:tr>
      <w:tr w14:paraId="45366E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1605" w:type="dxa"/>
            <w:tcBorders>
              <w:top w:val="single" w:color="auto" w:sz="0"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FA6006">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整包</w:t>
            </w:r>
          </w:p>
        </w:tc>
        <w:tc>
          <w:tcPr>
            <w:tcW w:w="3240"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79A73D9">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lang w:eastAsia="zh-CN"/>
              </w:rPr>
            </w:pPr>
            <w:r>
              <w:rPr>
                <w:rFonts w:hint="eastAsia" w:cs="宋体"/>
                <w:snapToGrid w:val="0"/>
                <w:spacing w:val="0"/>
                <w:kern w:val="0"/>
                <w:sz w:val="30"/>
                <w:szCs w:val="30"/>
                <w:highlight w:val="none"/>
                <w:lang w:eastAsia="zh-CN"/>
              </w:rPr>
              <w:t>怀化市靖州苗族侗族自治县2026—2028年政策性农业保险承保机构项目</w:t>
            </w:r>
          </w:p>
        </w:tc>
        <w:tc>
          <w:tcPr>
            <w:tcW w:w="4153" w:type="dxa"/>
            <w:gridSpan w:val="3"/>
            <w:tcBorders>
              <w:top w:val="single" w:color="auto" w:sz="0"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037F7912">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具体详细内容详见遴选方案。 </w:t>
            </w:r>
          </w:p>
        </w:tc>
      </w:tr>
      <w:tr w14:paraId="086906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4845"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2C8591">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竞争性遴选项目可能实质性变动内容</w:t>
            </w:r>
          </w:p>
        </w:tc>
        <w:tc>
          <w:tcPr>
            <w:tcW w:w="1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483739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是（  ）</w:t>
            </w:r>
          </w:p>
          <w:p w14:paraId="1CE8263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否（√）</w:t>
            </w:r>
          </w:p>
        </w:tc>
        <w:tc>
          <w:tcPr>
            <w:tcW w:w="13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EFA58C7">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是（  ）</w:t>
            </w:r>
          </w:p>
          <w:p w14:paraId="54688B3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否（√）</w:t>
            </w:r>
          </w:p>
        </w:tc>
        <w:tc>
          <w:tcPr>
            <w:tcW w:w="145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390E7AA">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是（  ）</w:t>
            </w:r>
          </w:p>
          <w:p w14:paraId="692B8DE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否（√）</w:t>
            </w:r>
          </w:p>
        </w:tc>
      </w:tr>
    </w:tbl>
    <w:p w14:paraId="6486C56E">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0" w:firstLineChars="0"/>
        <w:jc w:val="left"/>
        <w:textAlignment w:val="auto"/>
        <w:rPr>
          <w:rFonts w:hint="eastAsia" w:ascii="宋体" w:hAnsi="宋体" w:eastAsia="宋体" w:cs="宋体"/>
          <w:b/>
          <w:bCs/>
          <w:snapToGrid w:val="0"/>
          <w:spacing w:val="0"/>
          <w:kern w:val="0"/>
          <w:sz w:val="30"/>
          <w:szCs w:val="30"/>
          <w:highlight w:val="none"/>
          <w:shd w:val="clear" w:color="auto" w:fill="FFFFFF"/>
        </w:rPr>
      </w:pPr>
      <w:r>
        <w:rPr>
          <w:rFonts w:hint="eastAsia" w:ascii="宋体" w:hAnsi="宋体" w:eastAsia="宋体" w:cs="宋体"/>
          <w:snapToGrid w:val="0"/>
          <w:color w:val="666666"/>
          <w:spacing w:val="0"/>
          <w:kern w:val="0"/>
          <w:sz w:val="30"/>
          <w:szCs w:val="30"/>
          <w:highlight w:val="none"/>
          <w:shd w:val="clear" w:color="auto" w:fill="FFFFFF"/>
        </w:rPr>
        <w:t> </w:t>
      </w:r>
      <w:bookmarkStart w:id="5" w:name="_Toc22729"/>
      <w:bookmarkStart w:id="6" w:name="_Toc19640"/>
      <w:r>
        <w:rPr>
          <w:rFonts w:hint="eastAsia" w:ascii="宋体" w:hAnsi="宋体" w:eastAsia="宋体" w:cs="宋体"/>
          <w:b/>
          <w:bCs/>
          <w:snapToGrid w:val="0"/>
          <w:spacing w:val="0"/>
          <w:kern w:val="0"/>
          <w:sz w:val="30"/>
          <w:szCs w:val="30"/>
          <w:highlight w:val="none"/>
          <w:shd w:val="clear" w:color="auto" w:fill="FFFFFF"/>
        </w:rPr>
        <w:t>三、申请人资格条件：</w:t>
      </w:r>
      <w:bookmarkEnd w:id="5"/>
    </w:p>
    <w:p w14:paraId="31B4AAED">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firstLine="301" w:firstLineChars="100"/>
        <w:jc w:val="left"/>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shd w:val="clear" w:color="auto" w:fill="FFFFFF"/>
        </w:rPr>
        <w:t>1、申请人需具备《湖南省财政厅</w:t>
      </w:r>
      <w:r>
        <w:rPr>
          <w:rFonts w:hint="eastAsia" w:ascii="宋体" w:hAnsi="宋体" w:eastAsia="宋体" w:cs="宋体"/>
          <w:b/>
          <w:bCs/>
          <w:snapToGrid w:val="0"/>
          <w:spacing w:val="0"/>
          <w:kern w:val="0"/>
          <w:sz w:val="30"/>
          <w:szCs w:val="30"/>
          <w:highlight w:val="none"/>
          <w:shd w:val="clear" w:color="auto" w:fill="FFFFFF"/>
          <w:lang w:val="en-US" w:eastAsia="zh-CN"/>
        </w:rPr>
        <w:t>湖南省农业农村厅</w:t>
      </w:r>
      <w:r>
        <w:rPr>
          <w:rFonts w:hint="eastAsia" w:ascii="宋体" w:hAnsi="宋体" w:eastAsia="宋体" w:cs="宋体"/>
          <w:b/>
          <w:bCs/>
          <w:snapToGrid w:val="0"/>
          <w:spacing w:val="0"/>
          <w:kern w:val="0"/>
          <w:sz w:val="30"/>
          <w:szCs w:val="30"/>
          <w:highlight w:val="none"/>
          <w:shd w:val="clear" w:color="auto" w:fill="FFFFFF"/>
        </w:rPr>
        <w:t>关于印发〈公开竞争性遴选政策性农业保险承保机构实施办法）的通知》（</w:t>
      </w:r>
      <w:r>
        <w:rPr>
          <w:rFonts w:hint="eastAsia" w:cs="宋体"/>
          <w:b/>
          <w:bCs/>
          <w:snapToGrid w:val="0"/>
          <w:spacing w:val="0"/>
          <w:kern w:val="0"/>
          <w:sz w:val="30"/>
          <w:szCs w:val="30"/>
          <w:highlight w:val="none"/>
          <w:shd w:val="clear" w:color="auto" w:fill="FFFFFF"/>
          <w:lang w:eastAsia="zh-CN"/>
        </w:rPr>
        <w:t>湘财金[2026]4号</w:t>
      </w:r>
      <w:r>
        <w:rPr>
          <w:rFonts w:hint="eastAsia" w:ascii="宋体" w:hAnsi="宋体" w:eastAsia="宋体" w:cs="宋体"/>
          <w:b/>
          <w:bCs/>
          <w:snapToGrid w:val="0"/>
          <w:spacing w:val="0"/>
          <w:kern w:val="0"/>
          <w:sz w:val="30"/>
          <w:szCs w:val="30"/>
          <w:highlight w:val="none"/>
          <w:shd w:val="clear" w:color="auto" w:fill="FFFFFF"/>
        </w:rPr>
        <w:t>）规定的基本资格条件：</w:t>
      </w:r>
    </w:p>
    <w:p w14:paraId="2CC3A589">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（1）申请人的省级公司必须在湖南金融监管局公布的符合农业保险业务经营条件的保险公司目录范围内；</w:t>
      </w:r>
    </w:p>
    <w:p w14:paraId="42BA230E">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（2）具有完善的农业保险大灾风险分散机制；</w:t>
      </w:r>
    </w:p>
    <w:p w14:paraId="1DF1B9BD">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（3）具有完善的基层服务网络；</w:t>
      </w:r>
    </w:p>
    <w:p w14:paraId="3AC9A1C5">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（4）信息化建设满足业务管理要求，能够按要求与中国农业再保险股份有限公司（以下简称中国农再）约定分保业务信息系统进行对接；能够按要求与湖南省农业保险综合管理平台系统对接；</w:t>
      </w:r>
    </w:p>
    <w:p w14:paraId="30D4BB01">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（5）参加农业保险再保险体系改革试点，承保机构总公司已与中国农再签署当期有效的《政策性农业保险再保险标准协议》,双方可协商对有关条款进行调整；</w:t>
      </w:r>
    </w:p>
    <w:p w14:paraId="7B70A261">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（6）对于在财金〔2020〕128号文件印发后开业的承保机构，总公司开业时间需在5年（含）以上，存在重组、更名或新设主体依法受让相关业务的，可以原主体开业时间为准；</w:t>
      </w:r>
    </w:p>
    <w:p w14:paraId="357A23E9">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（7）在遴选区域具有经金监部门批准设立的下属分支机构，持有省级分公司出具的针对本区域遴选的授权文件；</w:t>
      </w:r>
    </w:p>
    <w:p w14:paraId="4A45FDDF">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（8）财政部门规定的其他条件。</w:t>
      </w:r>
    </w:p>
    <w:p w14:paraId="30CE8A56">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301" w:firstLineChars="1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b/>
          <w:bCs/>
          <w:snapToGrid w:val="0"/>
          <w:spacing w:val="0"/>
          <w:kern w:val="0"/>
          <w:sz w:val="30"/>
          <w:szCs w:val="30"/>
          <w:highlight w:val="none"/>
          <w:shd w:val="clear" w:color="auto" w:fill="FFFFFF"/>
          <w:lang w:val="en-US" w:eastAsia="zh-CN" w:bidi="ar-SA"/>
        </w:rPr>
        <w:t>2、存在以下情况的保险机构不得参加遴选：</w:t>
      </w:r>
    </w:p>
    <w:p w14:paraId="4FA34B06">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①以联合体（共保体）形式或委托其他保险机构、中介机构代为办理的；</w:t>
      </w:r>
    </w:p>
    <w:p w14:paraId="33B92A5C">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②以销售网点、“三农”保险服务网点等非市县级分支机构申请的，区级分支机构申请市州本级及所辖区遴选的，市级及以上分支机构申请省直管县市遴选的；</w:t>
      </w:r>
    </w:p>
    <w:p w14:paraId="7F82D325">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③在参选地区农业保险业务违法违规被财政部门或监管部门进行重大行政处罚且尚在处罚期的，以及因农业保险绩效评价取消财政补贴资格期内的。</w:t>
      </w:r>
      <w:bookmarkStart w:id="7" w:name="_Toc32172"/>
    </w:p>
    <w:p w14:paraId="24874109">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jc w:val="left"/>
        <w:textAlignment w:val="auto"/>
        <w:rPr>
          <w:rFonts w:hint="eastAsia" w:ascii="宋体" w:hAnsi="宋体" w:eastAsia="宋体" w:cs="宋体"/>
          <w:b/>
          <w:bCs/>
          <w:snapToGrid w:val="0"/>
          <w:spacing w:val="0"/>
          <w:kern w:val="0"/>
          <w:sz w:val="30"/>
          <w:szCs w:val="30"/>
          <w:highlight w:val="none"/>
          <w:shd w:val="clear" w:color="auto" w:fill="FFFFFF"/>
          <w:lang w:eastAsia="zh-CN"/>
        </w:rPr>
      </w:pPr>
      <w:r>
        <w:rPr>
          <w:rFonts w:hint="eastAsia" w:ascii="宋体" w:hAnsi="宋体" w:eastAsia="宋体" w:cs="宋体"/>
          <w:b/>
          <w:bCs/>
          <w:snapToGrid w:val="0"/>
          <w:spacing w:val="0"/>
          <w:kern w:val="0"/>
          <w:sz w:val="30"/>
          <w:szCs w:val="30"/>
          <w:highlight w:val="none"/>
          <w:shd w:val="clear" w:fill="FFFFFF"/>
          <w:lang w:val="en-US" w:eastAsia="zh-CN" w:bidi="ar-SA"/>
        </w:rPr>
        <w:t>四、</w:t>
      </w:r>
      <w:r>
        <w:rPr>
          <w:rFonts w:hint="eastAsia" w:ascii="宋体" w:hAnsi="宋体" w:eastAsia="宋体" w:cs="宋体"/>
          <w:b/>
          <w:bCs/>
          <w:snapToGrid w:val="0"/>
          <w:spacing w:val="0"/>
          <w:kern w:val="0"/>
          <w:sz w:val="30"/>
          <w:szCs w:val="30"/>
          <w:highlight w:val="none"/>
          <w:shd w:val="clear" w:color="auto" w:fill="FFFFFF"/>
          <w:lang w:eastAsia="zh-CN"/>
        </w:rPr>
        <w:t>选定数量</w:t>
      </w:r>
    </w:p>
    <w:bookmarkEnd w:id="7"/>
    <w:p w14:paraId="3778D03C">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rPr>
        <w:t>本次遴选确定</w:t>
      </w:r>
      <w:r>
        <w:rPr>
          <w:rFonts w:hint="eastAsia" w:ascii="宋体" w:hAnsi="宋体" w:eastAsia="宋体" w:cs="宋体"/>
          <w:snapToGrid w:val="0"/>
          <w:spacing w:val="0"/>
          <w:kern w:val="0"/>
          <w:sz w:val="30"/>
          <w:szCs w:val="30"/>
          <w:highlight w:val="none"/>
          <w:u w:val="single"/>
          <w:lang w:eastAsia="zh-CN"/>
        </w:rPr>
        <w:t>怀化市</w:t>
      </w:r>
      <w:r>
        <w:rPr>
          <w:rFonts w:hint="eastAsia" w:ascii="宋体" w:hAnsi="宋体" w:cs="宋体"/>
          <w:snapToGrid w:val="0"/>
          <w:spacing w:val="0"/>
          <w:kern w:val="0"/>
          <w:sz w:val="30"/>
          <w:szCs w:val="30"/>
          <w:highlight w:val="none"/>
          <w:u w:val="single"/>
          <w:lang w:eastAsia="zh-CN"/>
        </w:rPr>
        <w:t>靖州苗族侗族自治县</w:t>
      </w:r>
      <w:r>
        <w:rPr>
          <w:rFonts w:hint="eastAsia" w:ascii="宋体" w:hAnsi="宋体" w:eastAsia="宋体" w:cs="宋体"/>
          <w:snapToGrid w:val="0"/>
          <w:spacing w:val="0"/>
          <w:kern w:val="0"/>
          <w:sz w:val="30"/>
          <w:szCs w:val="30"/>
          <w:highlight w:val="none"/>
          <w:u w:val="single"/>
          <w:lang w:eastAsia="zh-CN"/>
        </w:rPr>
        <w:t>2026—2028年政策性农业保险承保机构项目</w:t>
      </w:r>
      <w:r>
        <w:rPr>
          <w:rFonts w:hint="eastAsia" w:ascii="宋体" w:hAnsi="宋体" w:eastAsia="宋体" w:cs="宋体"/>
          <w:snapToGrid w:val="0"/>
          <w:spacing w:val="0"/>
          <w:kern w:val="0"/>
          <w:sz w:val="30"/>
          <w:szCs w:val="30"/>
          <w:highlight w:val="none"/>
          <w:u w:val="single"/>
          <w:lang w:val="en-US" w:eastAsia="zh-CN"/>
        </w:rPr>
        <w:t xml:space="preserve"> </w:t>
      </w:r>
      <w:r>
        <w:rPr>
          <w:rFonts w:hint="eastAsia" w:ascii="宋体" w:hAnsi="宋体" w:cs="宋体"/>
          <w:snapToGrid w:val="0"/>
          <w:spacing w:val="0"/>
          <w:kern w:val="0"/>
          <w:sz w:val="30"/>
          <w:szCs w:val="30"/>
          <w:highlight w:val="none"/>
          <w:shd w:val="clear" w:color="auto" w:fill="FFFFFF"/>
          <w:lang w:val="en-US" w:eastAsia="zh-CN"/>
        </w:rPr>
        <w:t>5</w:t>
      </w:r>
      <w:r>
        <w:rPr>
          <w:rFonts w:hint="eastAsia" w:ascii="宋体" w:hAnsi="宋体" w:eastAsia="宋体" w:cs="宋体"/>
          <w:snapToGrid w:val="0"/>
          <w:spacing w:val="0"/>
          <w:kern w:val="0"/>
          <w:sz w:val="30"/>
          <w:szCs w:val="30"/>
          <w:highlight w:val="none"/>
          <w:shd w:val="clear" w:color="auto" w:fill="FFFFFF"/>
          <w:lang w:val="en-US" w:eastAsia="zh-CN"/>
        </w:rPr>
        <w:t>家，</w:t>
      </w:r>
      <w:r>
        <w:rPr>
          <w:rFonts w:hint="eastAsia" w:ascii="宋体" w:hAnsi="宋体" w:eastAsia="宋体" w:cs="宋体"/>
          <w:color w:val="auto"/>
          <w:kern w:val="0"/>
          <w:sz w:val="30"/>
          <w:szCs w:val="30"/>
          <w:highlight w:val="none"/>
          <w:lang w:val="en-US" w:eastAsia="zh-CN" w:bidi="ar-SA"/>
        </w:rPr>
        <w:t>按照参加遴选的承保机构评审</w:t>
      </w:r>
      <w:r>
        <w:rPr>
          <w:rFonts w:hint="eastAsia" w:ascii="宋体" w:hAnsi="宋体" w:cs="宋体"/>
          <w:color w:val="auto"/>
          <w:kern w:val="0"/>
          <w:sz w:val="30"/>
          <w:szCs w:val="30"/>
          <w:highlight w:val="none"/>
          <w:lang w:val="en-US" w:eastAsia="zh-CN" w:bidi="ar-SA"/>
        </w:rPr>
        <w:t>综合</w:t>
      </w:r>
      <w:r>
        <w:rPr>
          <w:rFonts w:hint="eastAsia" w:ascii="宋体" w:hAnsi="宋体" w:eastAsia="宋体" w:cs="宋体"/>
          <w:color w:val="auto"/>
          <w:kern w:val="0"/>
          <w:sz w:val="30"/>
          <w:szCs w:val="30"/>
          <w:highlight w:val="none"/>
          <w:lang w:val="en-US" w:eastAsia="zh-CN" w:bidi="ar-SA"/>
        </w:rPr>
        <w:t>得分排名顺序确定优先选择权。中选机构根据排名按标包指定选包（详见附件1）。</w:t>
      </w:r>
      <w:r>
        <w:rPr>
          <w:rFonts w:hint="eastAsia" w:ascii="宋体" w:hAnsi="宋体" w:eastAsia="宋体" w:cs="宋体"/>
          <w:snapToGrid w:val="0"/>
          <w:spacing w:val="0"/>
          <w:kern w:val="0"/>
          <w:sz w:val="30"/>
          <w:szCs w:val="30"/>
          <w:highlight w:val="none"/>
          <w:shd w:val="clear" w:color="auto" w:fill="FFFFFF"/>
          <w:lang w:val="en-US" w:eastAsia="zh-CN" w:bidi="ar-SA"/>
        </w:rPr>
        <w:t>根据湘财金[2026]4号文的规定，所有遴选区域在中选机构之外，按照本办法遴选 1 家得分最高且具备农业保险实施能力的机构作为后备机构。</w:t>
      </w:r>
    </w:p>
    <w:p w14:paraId="391BC0A3">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firstLine="600" w:firstLineChars="200"/>
        <w:jc w:val="left"/>
        <w:textAlignment w:val="auto"/>
        <w:rPr>
          <w:rFonts w:hint="eastAsia" w:ascii="宋体" w:hAnsi="宋体" w:eastAsia="宋体" w:cs="宋体"/>
          <w:color w:val="FF0000"/>
          <w:kern w:val="0"/>
          <w:sz w:val="30"/>
          <w:szCs w:val="30"/>
          <w:highlight w:val="none"/>
          <w:lang w:val="en-US" w:eastAsia="zh-CN" w:bidi="ar-SA"/>
        </w:rPr>
      </w:pPr>
      <w:r>
        <w:rPr>
          <w:rFonts w:hint="eastAsia" w:ascii="宋体" w:hAnsi="宋体" w:cs="宋体"/>
          <w:snapToGrid w:val="0"/>
          <w:color w:val="000000"/>
          <w:spacing w:val="0"/>
          <w:kern w:val="0"/>
          <w:sz w:val="30"/>
          <w:szCs w:val="30"/>
          <w:highlight w:val="none"/>
          <w:lang w:val="en-US" w:eastAsia="zh-CN" w:bidi="ar"/>
        </w:rPr>
        <w:t>遴选对象为保险公司所辖区域分支机构</w:t>
      </w:r>
      <w:r>
        <w:rPr>
          <w:rFonts w:hint="eastAsia" w:ascii="宋体" w:hAnsi="宋体" w:eastAsia="宋体" w:cs="宋体"/>
          <w:snapToGrid w:val="0"/>
          <w:color w:val="000000"/>
          <w:spacing w:val="0"/>
          <w:kern w:val="0"/>
          <w:sz w:val="30"/>
          <w:szCs w:val="30"/>
          <w:highlight w:val="none"/>
          <w:lang w:val="en-US" w:eastAsia="zh-CN" w:bidi="ar"/>
        </w:rPr>
        <w:t>，不接受市州级及以上分支机构报名。</w:t>
      </w:r>
    </w:p>
    <w:p w14:paraId="1F089B72">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line="490" w:lineRule="exact"/>
        <w:ind w:left="0" w:leftChars="0" w:firstLine="0" w:firstLineChars="0"/>
        <w:jc w:val="left"/>
        <w:textAlignment w:val="auto"/>
        <w:rPr>
          <w:rFonts w:hint="eastAsia" w:ascii="宋体" w:hAnsi="宋体" w:eastAsia="宋体" w:cs="宋体"/>
          <w:b/>
          <w:bCs/>
          <w:snapToGrid w:val="0"/>
          <w:color w:val="000000"/>
          <w:spacing w:val="0"/>
          <w:kern w:val="0"/>
          <w:sz w:val="30"/>
          <w:szCs w:val="30"/>
          <w:highlight w:val="none"/>
          <w:lang w:val="en-US" w:eastAsia="zh-CN" w:bidi="ar"/>
        </w:rPr>
      </w:pPr>
      <w:r>
        <w:rPr>
          <w:rFonts w:hint="eastAsia" w:ascii="宋体" w:hAnsi="宋体" w:eastAsia="宋体" w:cs="宋体"/>
          <w:b/>
          <w:bCs/>
          <w:snapToGrid w:val="0"/>
          <w:color w:val="000000"/>
          <w:spacing w:val="0"/>
          <w:kern w:val="0"/>
          <w:sz w:val="30"/>
          <w:szCs w:val="30"/>
          <w:highlight w:val="none"/>
          <w:lang w:val="en-US" w:eastAsia="zh-CN" w:bidi="ar"/>
        </w:rPr>
        <w:t>五、获取遴选文件的时间、地点、方式及遴选文件售价</w:t>
      </w:r>
    </w:p>
    <w:p w14:paraId="67B93333">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90" w:lineRule="exact"/>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snapToGrid w:val="0"/>
          <w:kern w:val="0"/>
          <w:sz w:val="30"/>
          <w:szCs w:val="30"/>
          <w:highlight w:val="none"/>
          <w:lang w:val="en-US" w:eastAsia="zh-CN" w:bidi="ar"/>
        </w:rPr>
        <w:t>1、获取遴选文件的时间：从</w:t>
      </w:r>
      <w:r>
        <w:rPr>
          <w:rFonts w:hint="eastAsia" w:ascii="宋体" w:hAnsi="宋体" w:eastAsia="宋体" w:cs="宋体"/>
          <w:b w:val="0"/>
          <w:bCs w:val="0"/>
          <w:snapToGrid w:val="0"/>
          <w:color w:val="auto"/>
          <w:spacing w:val="0"/>
          <w:kern w:val="0"/>
          <w:sz w:val="30"/>
          <w:szCs w:val="30"/>
          <w:highlight w:val="none"/>
          <w:u w:val="single"/>
          <w:lang w:eastAsia="zh-CN"/>
        </w:rPr>
        <w:t>202</w:t>
      </w:r>
      <w:r>
        <w:rPr>
          <w:rFonts w:hint="eastAsia" w:ascii="宋体" w:hAnsi="宋体" w:eastAsia="宋体" w:cs="宋体"/>
          <w:b w:val="0"/>
          <w:bCs w:val="0"/>
          <w:snapToGrid w:val="0"/>
          <w:color w:val="auto"/>
          <w:spacing w:val="0"/>
          <w:kern w:val="0"/>
          <w:sz w:val="30"/>
          <w:szCs w:val="30"/>
          <w:highlight w:val="none"/>
          <w:u w:val="single"/>
          <w:lang w:val="en-US" w:eastAsia="zh-CN"/>
        </w:rPr>
        <w:t>6</w:t>
      </w:r>
      <w:r>
        <w:rPr>
          <w:rFonts w:hint="eastAsia" w:ascii="宋体" w:hAnsi="宋体" w:eastAsia="宋体" w:cs="宋体"/>
          <w:b w:val="0"/>
          <w:bCs w:val="0"/>
          <w:snapToGrid w:val="0"/>
          <w:color w:val="auto"/>
          <w:spacing w:val="0"/>
          <w:kern w:val="0"/>
          <w:sz w:val="30"/>
          <w:szCs w:val="30"/>
          <w:highlight w:val="none"/>
        </w:rPr>
        <w:t>年</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01 </w:t>
      </w:r>
      <w:r>
        <w:rPr>
          <w:rFonts w:hint="eastAsia" w:ascii="宋体" w:hAnsi="宋体" w:eastAsia="宋体" w:cs="宋体"/>
          <w:b w:val="0"/>
          <w:bCs w:val="0"/>
          <w:snapToGrid w:val="0"/>
          <w:color w:val="auto"/>
          <w:spacing w:val="0"/>
          <w:kern w:val="0"/>
          <w:sz w:val="30"/>
          <w:szCs w:val="30"/>
          <w:highlight w:val="none"/>
        </w:rPr>
        <w:t>月</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30 </w:t>
      </w:r>
      <w:r>
        <w:rPr>
          <w:rFonts w:hint="eastAsia" w:ascii="宋体" w:hAnsi="宋体" w:eastAsia="宋体" w:cs="宋体"/>
          <w:b w:val="0"/>
          <w:bCs w:val="0"/>
          <w:snapToGrid w:val="0"/>
          <w:color w:val="auto"/>
          <w:spacing w:val="0"/>
          <w:kern w:val="0"/>
          <w:sz w:val="30"/>
          <w:szCs w:val="30"/>
          <w:highlight w:val="none"/>
        </w:rPr>
        <w:t>日至</w:t>
      </w:r>
      <w:r>
        <w:rPr>
          <w:rFonts w:hint="eastAsia" w:ascii="宋体" w:hAnsi="宋体" w:eastAsia="宋体" w:cs="宋体"/>
          <w:b w:val="0"/>
          <w:bCs w:val="0"/>
          <w:snapToGrid w:val="0"/>
          <w:color w:val="auto"/>
          <w:spacing w:val="0"/>
          <w:kern w:val="0"/>
          <w:sz w:val="30"/>
          <w:szCs w:val="30"/>
          <w:highlight w:val="none"/>
          <w:u w:val="single"/>
          <w:lang w:eastAsia="zh-CN"/>
        </w:rPr>
        <w:t>202</w:t>
      </w:r>
      <w:r>
        <w:rPr>
          <w:rFonts w:hint="eastAsia" w:ascii="宋体" w:hAnsi="宋体" w:eastAsia="宋体" w:cs="宋体"/>
          <w:b w:val="0"/>
          <w:bCs w:val="0"/>
          <w:snapToGrid w:val="0"/>
          <w:color w:val="auto"/>
          <w:spacing w:val="0"/>
          <w:kern w:val="0"/>
          <w:sz w:val="30"/>
          <w:szCs w:val="30"/>
          <w:highlight w:val="none"/>
          <w:u w:val="single"/>
          <w:lang w:val="en-US" w:eastAsia="zh-CN"/>
        </w:rPr>
        <w:t>6</w:t>
      </w:r>
      <w:r>
        <w:rPr>
          <w:rFonts w:hint="eastAsia" w:ascii="宋体" w:hAnsi="宋体" w:eastAsia="宋体" w:cs="宋体"/>
          <w:b w:val="0"/>
          <w:bCs w:val="0"/>
          <w:snapToGrid w:val="0"/>
          <w:color w:val="auto"/>
          <w:spacing w:val="0"/>
          <w:kern w:val="0"/>
          <w:sz w:val="30"/>
          <w:szCs w:val="30"/>
          <w:highlight w:val="none"/>
        </w:rPr>
        <w:t>年</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02 </w:t>
      </w:r>
      <w:r>
        <w:rPr>
          <w:rFonts w:hint="eastAsia" w:ascii="宋体" w:hAnsi="宋体" w:eastAsia="宋体" w:cs="宋体"/>
          <w:b w:val="0"/>
          <w:bCs w:val="0"/>
          <w:snapToGrid w:val="0"/>
          <w:color w:val="auto"/>
          <w:spacing w:val="0"/>
          <w:kern w:val="0"/>
          <w:sz w:val="30"/>
          <w:szCs w:val="30"/>
          <w:highlight w:val="none"/>
        </w:rPr>
        <w:t>月</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06 </w:t>
      </w:r>
      <w:r>
        <w:rPr>
          <w:rFonts w:hint="eastAsia" w:ascii="宋体" w:hAnsi="宋体" w:eastAsia="宋体" w:cs="宋体"/>
          <w:b w:val="0"/>
          <w:bCs w:val="0"/>
          <w:snapToGrid w:val="0"/>
          <w:color w:val="auto"/>
          <w:spacing w:val="0"/>
          <w:kern w:val="0"/>
          <w:sz w:val="30"/>
          <w:szCs w:val="30"/>
          <w:highlight w:val="none"/>
        </w:rPr>
        <w:t>日</w:t>
      </w:r>
      <w:r>
        <w:rPr>
          <w:rFonts w:hint="eastAsia" w:ascii="宋体" w:hAnsi="宋体" w:eastAsia="宋体" w:cs="宋体"/>
          <w:b w:val="0"/>
          <w:bCs w:val="0"/>
          <w:snapToGrid w:val="0"/>
          <w:kern w:val="0"/>
          <w:sz w:val="30"/>
          <w:szCs w:val="30"/>
          <w:highlight w:val="none"/>
          <w:lang w:val="en-US" w:eastAsia="zh-CN" w:bidi="ar"/>
        </w:rPr>
        <w:t>，每天9:00—12:00,14:30—17:00(北京时间,节假日休息)。</w:t>
      </w:r>
    </w:p>
    <w:p w14:paraId="72F46B36">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90" w:lineRule="exact"/>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snapToGrid w:val="0"/>
          <w:kern w:val="0"/>
          <w:sz w:val="30"/>
          <w:szCs w:val="30"/>
          <w:highlight w:val="none"/>
          <w:lang w:val="en-US" w:eastAsia="zh-CN" w:bidi="ar"/>
        </w:rPr>
        <w:t>2、获取遴选文件的地点：</w:t>
      </w:r>
      <w:r>
        <w:rPr>
          <w:rFonts w:hint="eastAsia" w:ascii="宋体" w:hAnsi="宋体" w:eastAsia="宋体" w:cs="宋体"/>
          <w:b w:val="0"/>
          <w:bCs w:val="0"/>
          <w:snapToGrid w:val="0"/>
          <w:color w:val="auto"/>
          <w:spacing w:val="0"/>
          <w:kern w:val="0"/>
          <w:sz w:val="30"/>
          <w:szCs w:val="30"/>
          <w:highlight w:val="none"/>
          <w:u w:val="single"/>
          <w:lang w:eastAsia="zh-CN"/>
        </w:rPr>
        <w:t>湖南擎峰项目管理咨询有限公司</w:t>
      </w:r>
      <w:r>
        <w:rPr>
          <w:rFonts w:hint="eastAsia" w:ascii="宋体" w:hAnsi="宋体" w:eastAsia="宋体" w:cs="宋体"/>
          <w:b w:val="0"/>
          <w:bCs w:val="0"/>
          <w:snapToGrid w:val="0"/>
          <w:color w:val="auto"/>
          <w:spacing w:val="0"/>
          <w:kern w:val="0"/>
          <w:sz w:val="30"/>
          <w:szCs w:val="30"/>
          <w:highlight w:val="none"/>
          <w:u w:val="single"/>
          <w:lang w:val="en-US" w:eastAsia="zh-CN"/>
        </w:rPr>
        <w:t>（湖南省怀化市鹤城区本业大道华桥集团B栋1638室）</w:t>
      </w:r>
      <w:r>
        <w:rPr>
          <w:rFonts w:hint="eastAsia" w:ascii="宋体" w:hAnsi="宋体" w:eastAsia="宋体" w:cs="宋体"/>
          <w:b w:val="0"/>
          <w:bCs w:val="0"/>
          <w:snapToGrid w:val="0"/>
          <w:kern w:val="0"/>
          <w:sz w:val="30"/>
          <w:szCs w:val="30"/>
          <w:highlight w:val="none"/>
          <w:lang w:val="en-US" w:eastAsia="zh-CN" w:bidi="ar"/>
        </w:rPr>
        <w:t>。</w:t>
      </w:r>
    </w:p>
    <w:p w14:paraId="71A7B27D">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90" w:lineRule="exact"/>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snapToGrid w:val="0"/>
          <w:kern w:val="0"/>
          <w:sz w:val="30"/>
          <w:szCs w:val="30"/>
          <w:highlight w:val="none"/>
          <w:lang w:val="en-US" w:eastAsia="zh-CN" w:bidi="ar"/>
        </w:rPr>
        <w:t>3、获取方式：现场报名,购买领取采购文件，</w:t>
      </w:r>
      <w:r>
        <w:rPr>
          <w:rFonts w:hint="eastAsia" w:ascii="宋体" w:hAnsi="宋体" w:eastAsia="宋体" w:cs="宋体"/>
          <w:b w:val="0"/>
          <w:bCs w:val="0"/>
          <w:snapToGrid w:val="0"/>
          <w:spacing w:val="0"/>
          <w:kern w:val="0"/>
          <w:sz w:val="30"/>
          <w:szCs w:val="30"/>
          <w:highlight w:val="none"/>
          <w:shd w:val="clear" w:color="auto" w:fill="FFFFFF"/>
          <w:lang w:val="en-US" w:eastAsia="zh-CN"/>
        </w:rPr>
        <w:t>此遴选文件售价人民币：400元整，现金支付，售后一概不退。</w:t>
      </w:r>
    </w:p>
    <w:p w14:paraId="3A849D13">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90" w:lineRule="exact"/>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i w:val="0"/>
          <w:iCs w:val="0"/>
          <w:caps w:val="0"/>
          <w:snapToGrid w:val="0"/>
          <w:color w:val="000000"/>
          <w:spacing w:val="0"/>
          <w:kern w:val="0"/>
          <w:sz w:val="30"/>
          <w:szCs w:val="30"/>
          <w:highlight w:val="none"/>
          <w:lang w:val="en-US" w:eastAsia="zh-CN" w:bidi="ar"/>
        </w:rPr>
        <w:t>4、获取遴选文件的方式：</w:t>
      </w:r>
      <w:r>
        <w:rPr>
          <w:rFonts w:hint="eastAsia" w:ascii="宋体" w:hAnsi="宋体" w:cs="宋体"/>
          <w:b w:val="0"/>
          <w:bCs w:val="0"/>
          <w:i w:val="0"/>
          <w:iCs w:val="0"/>
          <w:caps w:val="0"/>
          <w:snapToGrid w:val="0"/>
          <w:color w:val="000000"/>
          <w:spacing w:val="0"/>
          <w:kern w:val="0"/>
          <w:sz w:val="30"/>
          <w:szCs w:val="30"/>
          <w:highlight w:val="none"/>
          <w:lang w:val="en-US" w:eastAsia="zh-CN" w:bidi="ar"/>
        </w:rPr>
        <w:t>由分支机构负责人或授权委托人</w:t>
      </w:r>
      <w:r>
        <w:rPr>
          <w:rFonts w:hint="eastAsia" w:ascii="宋体" w:hAnsi="宋体" w:eastAsia="宋体" w:cs="宋体"/>
          <w:b w:val="0"/>
          <w:bCs w:val="0"/>
          <w:i w:val="0"/>
          <w:iCs w:val="0"/>
          <w:caps w:val="0"/>
          <w:snapToGrid w:val="0"/>
          <w:color w:val="000000"/>
          <w:spacing w:val="0"/>
          <w:kern w:val="0"/>
          <w:sz w:val="30"/>
          <w:szCs w:val="30"/>
          <w:highlight w:val="none"/>
          <w:lang w:val="en-US" w:eastAsia="zh-CN" w:bidi="ar"/>
        </w:rPr>
        <w:t>携带以下材料：</w:t>
      </w:r>
    </w:p>
    <w:p w14:paraId="067EA71C">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90" w:lineRule="exact"/>
        <w:ind w:right="0" w:firstLine="900" w:firstLineChars="300"/>
        <w:jc w:val="left"/>
        <w:textAlignment w:val="auto"/>
        <w:rPr>
          <w:rFonts w:hint="eastAsia" w:ascii="宋体" w:hAnsi="宋体" w:eastAsia="宋体" w:cs="宋体"/>
          <w:b w:val="0"/>
          <w:bCs w:val="0"/>
          <w:snapToGrid w:val="0"/>
          <w:kern w:val="0"/>
          <w:sz w:val="30"/>
          <w:szCs w:val="30"/>
          <w:highlight w:val="none"/>
          <w:lang w:val="en-US" w:eastAsia="zh-CN" w:bidi="ar"/>
        </w:rPr>
      </w:pPr>
      <w:r>
        <w:rPr>
          <w:rFonts w:hint="eastAsia" w:ascii="宋体" w:hAnsi="宋体" w:eastAsia="宋体" w:cs="宋体"/>
          <w:b w:val="0"/>
          <w:bCs w:val="0"/>
          <w:snapToGrid w:val="0"/>
          <w:kern w:val="0"/>
          <w:sz w:val="30"/>
          <w:szCs w:val="30"/>
          <w:highlight w:val="none"/>
          <w:lang w:val="en-US" w:eastAsia="zh-CN" w:bidi="ar"/>
        </w:rPr>
        <w:t>①</w:t>
      </w:r>
      <w:r>
        <w:rPr>
          <w:rFonts w:hint="eastAsia" w:ascii="宋体" w:hAnsi="宋体" w:cs="宋体"/>
          <w:b w:val="0"/>
          <w:bCs w:val="0"/>
          <w:snapToGrid w:val="0"/>
          <w:kern w:val="0"/>
          <w:sz w:val="30"/>
          <w:szCs w:val="30"/>
          <w:highlight w:val="none"/>
          <w:lang w:val="en-US" w:eastAsia="zh-CN" w:bidi="ar"/>
        </w:rPr>
        <w:t>分支机构负责人资格证明书或授权委托书（须附有相应人员的身份证复印件）；</w:t>
      </w:r>
    </w:p>
    <w:p w14:paraId="2833F65E">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90" w:lineRule="exact"/>
        <w:ind w:right="0" w:firstLine="900" w:firstLineChars="300"/>
        <w:jc w:val="left"/>
        <w:textAlignment w:val="auto"/>
        <w:rPr>
          <w:rFonts w:hint="eastAsia" w:ascii="宋体" w:hAnsi="宋体" w:eastAsia="宋体" w:cs="宋体"/>
          <w:bCs/>
          <w:snapToGrid w:val="0"/>
          <w:kern w:val="0"/>
          <w:sz w:val="30"/>
          <w:szCs w:val="30"/>
          <w:highlight w:val="none"/>
          <w:lang w:val="en-US" w:eastAsia="zh-CN" w:bidi="ar"/>
        </w:rPr>
      </w:pPr>
      <w:r>
        <w:rPr>
          <w:rFonts w:hint="eastAsia" w:ascii="宋体" w:hAnsi="宋体" w:eastAsia="宋体" w:cs="宋体"/>
          <w:bCs/>
          <w:snapToGrid w:val="0"/>
          <w:kern w:val="0"/>
          <w:sz w:val="30"/>
          <w:szCs w:val="30"/>
          <w:highlight w:val="none"/>
          <w:lang w:val="en-US" w:eastAsia="zh-CN" w:bidi="ar"/>
        </w:rPr>
        <w:t>②营业执照；</w:t>
      </w:r>
    </w:p>
    <w:p w14:paraId="1E115C5E">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90" w:lineRule="exact"/>
        <w:ind w:right="0" w:firstLine="900" w:firstLineChars="300"/>
        <w:jc w:val="left"/>
        <w:textAlignment w:val="auto"/>
        <w:rPr>
          <w:rFonts w:hint="eastAsia" w:ascii="宋体" w:hAnsi="宋体" w:eastAsia="宋体" w:cs="宋体"/>
          <w:bCs/>
          <w:snapToGrid w:val="0"/>
          <w:kern w:val="0"/>
          <w:sz w:val="30"/>
          <w:szCs w:val="30"/>
          <w:highlight w:val="none"/>
          <w:lang w:val="en-US" w:eastAsia="zh-CN" w:bidi="ar"/>
        </w:rPr>
      </w:pPr>
      <w:r>
        <w:rPr>
          <w:rFonts w:hint="eastAsia" w:ascii="宋体" w:hAnsi="宋体" w:eastAsia="宋体" w:cs="宋体"/>
          <w:bCs/>
          <w:snapToGrid w:val="0"/>
          <w:kern w:val="0"/>
          <w:sz w:val="30"/>
          <w:szCs w:val="30"/>
          <w:highlight w:val="none"/>
          <w:lang w:val="en-US" w:eastAsia="zh-CN" w:bidi="ar"/>
        </w:rPr>
        <w:t>③符合申请人资格条件证明材料复印件或者情况说明。</w:t>
      </w:r>
    </w:p>
    <w:p w14:paraId="605FAB9D">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90" w:lineRule="exact"/>
        <w:ind w:right="0" w:firstLine="301" w:firstLineChars="100"/>
        <w:jc w:val="left"/>
        <w:textAlignment w:val="auto"/>
        <w:rPr>
          <w:rFonts w:hint="eastAsia" w:ascii="宋体" w:hAnsi="宋体" w:eastAsia="宋体" w:cs="宋体"/>
          <w:b/>
          <w:snapToGrid w:val="0"/>
          <w:color w:val="auto"/>
          <w:spacing w:val="0"/>
          <w:kern w:val="0"/>
          <w:sz w:val="30"/>
          <w:szCs w:val="30"/>
          <w:highlight w:val="none"/>
          <w:lang w:eastAsia="zh-CN"/>
        </w:rPr>
      </w:pPr>
      <w:r>
        <w:rPr>
          <w:rFonts w:hint="eastAsia" w:ascii="宋体" w:hAnsi="宋体" w:eastAsia="宋体" w:cs="宋体"/>
          <w:b/>
          <w:bCs w:val="0"/>
          <w:snapToGrid w:val="0"/>
          <w:kern w:val="0"/>
          <w:sz w:val="30"/>
          <w:szCs w:val="30"/>
          <w:highlight w:val="none"/>
          <w:lang w:val="en-US" w:eastAsia="zh-CN" w:bidi="ar"/>
        </w:rPr>
        <w:t>注：提供上述证明文件复印件二套</w:t>
      </w:r>
      <w:r>
        <w:rPr>
          <w:rFonts w:hint="eastAsia" w:ascii="宋体" w:hAnsi="宋体" w:cs="宋体"/>
          <w:b/>
          <w:bCs w:val="0"/>
          <w:snapToGrid w:val="0"/>
          <w:kern w:val="0"/>
          <w:sz w:val="30"/>
          <w:szCs w:val="30"/>
          <w:highlight w:val="none"/>
          <w:lang w:val="en-US" w:eastAsia="zh-CN" w:bidi="ar"/>
        </w:rPr>
        <w:t>，</w:t>
      </w:r>
      <w:r>
        <w:rPr>
          <w:rFonts w:hint="eastAsia" w:ascii="宋体" w:hAnsi="宋体" w:eastAsia="宋体" w:cs="宋体"/>
          <w:b/>
          <w:bCs w:val="0"/>
          <w:snapToGrid w:val="0"/>
          <w:kern w:val="0"/>
          <w:sz w:val="30"/>
          <w:szCs w:val="30"/>
          <w:highlight w:val="none"/>
          <w:lang w:val="en-US" w:eastAsia="zh-CN" w:bidi="ar"/>
        </w:rPr>
        <w:t>胶装成册签署完整</w:t>
      </w:r>
      <w:r>
        <w:rPr>
          <w:rFonts w:hint="eastAsia" w:ascii="宋体" w:hAnsi="宋体" w:cs="宋体"/>
          <w:b/>
          <w:bCs w:val="0"/>
          <w:snapToGrid w:val="0"/>
          <w:kern w:val="0"/>
          <w:sz w:val="30"/>
          <w:szCs w:val="30"/>
          <w:highlight w:val="none"/>
          <w:lang w:val="en-US" w:eastAsia="zh-CN" w:bidi="ar"/>
        </w:rPr>
        <w:t>并加盖公章</w:t>
      </w:r>
      <w:r>
        <w:rPr>
          <w:rFonts w:hint="eastAsia" w:ascii="宋体" w:hAnsi="宋体" w:eastAsia="宋体" w:cs="宋体"/>
          <w:b/>
          <w:bCs w:val="0"/>
          <w:snapToGrid w:val="0"/>
          <w:kern w:val="0"/>
          <w:sz w:val="30"/>
          <w:szCs w:val="30"/>
          <w:highlight w:val="none"/>
          <w:lang w:val="en-US" w:eastAsia="zh-CN" w:bidi="ar"/>
        </w:rPr>
        <w:t>，未按要求提供的不予受理。</w:t>
      </w:r>
    </w:p>
    <w:p w14:paraId="33565282">
      <w:pPr>
        <w:keepNext w:val="0"/>
        <w:keepLines w:val="0"/>
        <w:pageBreakBefore w:val="0"/>
        <w:widowControl w:val="0"/>
        <w:kinsoku/>
        <w:wordWrap w:val="0"/>
        <w:overflowPunct/>
        <w:topLinePunct w:val="0"/>
        <w:autoSpaceDE w:val="0"/>
        <w:autoSpaceDN w:val="0"/>
        <w:bidi w:val="0"/>
        <w:adjustRightInd w:val="0"/>
        <w:snapToGrid w:val="0"/>
        <w:spacing w:line="490" w:lineRule="exact"/>
        <w:ind w:left="0" w:leftChars="0" w:firstLine="0" w:firstLineChars="0"/>
        <w:jc w:val="left"/>
        <w:textAlignment w:val="auto"/>
        <w:rPr>
          <w:rFonts w:hint="eastAsia" w:ascii="宋体" w:hAnsi="宋体" w:eastAsia="宋体" w:cs="宋体"/>
          <w:b/>
          <w:snapToGrid w:val="0"/>
          <w:color w:val="auto"/>
          <w:spacing w:val="0"/>
          <w:kern w:val="0"/>
          <w:sz w:val="30"/>
          <w:szCs w:val="30"/>
          <w:highlight w:val="none"/>
        </w:rPr>
      </w:pPr>
      <w:r>
        <w:rPr>
          <w:rFonts w:hint="eastAsia" w:ascii="宋体" w:hAnsi="宋体" w:eastAsia="宋体" w:cs="宋体"/>
          <w:b/>
          <w:snapToGrid w:val="0"/>
          <w:color w:val="auto"/>
          <w:spacing w:val="0"/>
          <w:kern w:val="0"/>
          <w:sz w:val="30"/>
          <w:szCs w:val="30"/>
          <w:highlight w:val="none"/>
          <w:lang w:eastAsia="zh-CN"/>
        </w:rPr>
        <w:t>六</w:t>
      </w:r>
      <w:r>
        <w:rPr>
          <w:rFonts w:hint="eastAsia" w:ascii="宋体" w:hAnsi="宋体" w:eastAsia="宋体" w:cs="宋体"/>
          <w:b/>
          <w:snapToGrid w:val="0"/>
          <w:color w:val="auto"/>
          <w:spacing w:val="0"/>
          <w:kern w:val="0"/>
          <w:sz w:val="30"/>
          <w:szCs w:val="30"/>
          <w:highlight w:val="none"/>
        </w:rPr>
        <w:t>、</w:t>
      </w:r>
      <w:r>
        <w:rPr>
          <w:rFonts w:hint="eastAsia" w:ascii="宋体" w:hAnsi="宋体" w:eastAsia="宋体" w:cs="宋体"/>
          <w:b/>
          <w:snapToGrid w:val="0"/>
          <w:color w:val="auto"/>
          <w:spacing w:val="0"/>
          <w:kern w:val="0"/>
          <w:sz w:val="30"/>
          <w:szCs w:val="30"/>
          <w:highlight w:val="none"/>
          <w:lang w:eastAsia="zh-CN"/>
        </w:rPr>
        <w:t>应选</w:t>
      </w:r>
      <w:r>
        <w:rPr>
          <w:rFonts w:hint="eastAsia" w:ascii="宋体" w:hAnsi="宋体" w:eastAsia="宋体" w:cs="宋体"/>
          <w:b/>
          <w:snapToGrid w:val="0"/>
          <w:color w:val="auto"/>
          <w:spacing w:val="0"/>
          <w:kern w:val="0"/>
          <w:sz w:val="30"/>
          <w:szCs w:val="30"/>
          <w:highlight w:val="none"/>
        </w:rPr>
        <w:t>截止时间、开标时间及地点</w:t>
      </w:r>
    </w:p>
    <w:p w14:paraId="58D92ADF">
      <w:pPr>
        <w:keepNext w:val="0"/>
        <w:keepLines w:val="0"/>
        <w:pageBreakBefore w:val="0"/>
        <w:widowControl w:val="0"/>
        <w:kinsoku/>
        <w:wordWrap w:val="0"/>
        <w:overflowPunct/>
        <w:topLinePunct w:val="0"/>
        <w:autoSpaceDE w:val="0"/>
        <w:autoSpaceDN w:val="0"/>
        <w:bidi w:val="0"/>
        <w:adjustRightInd w:val="0"/>
        <w:snapToGrid w:val="0"/>
        <w:spacing w:line="520" w:lineRule="exact"/>
        <w:ind w:left="0" w:leftChars="0" w:firstLine="600" w:firstLineChars="200"/>
        <w:jc w:val="left"/>
        <w:textAlignment w:val="auto"/>
        <w:rPr>
          <w:rFonts w:hint="eastAsia" w:ascii="宋体" w:hAnsi="宋体" w:eastAsia="宋体" w:cs="宋体"/>
          <w:snapToGrid w:val="0"/>
          <w:color w:val="auto"/>
          <w:spacing w:val="0"/>
          <w:kern w:val="0"/>
          <w:sz w:val="30"/>
          <w:szCs w:val="30"/>
          <w:highlight w:val="none"/>
        </w:rPr>
      </w:pPr>
      <w:r>
        <w:rPr>
          <w:rFonts w:hint="eastAsia" w:ascii="宋体" w:hAnsi="宋体" w:eastAsia="宋体" w:cs="宋体"/>
          <w:snapToGrid w:val="0"/>
          <w:color w:val="auto"/>
          <w:spacing w:val="0"/>
          <w:kern w:val="0"/>
          <w:sz w:val="30"/>
          <w:szCs w:val="30"/>
          <w:highlight w:val="none"/>
        </w:rPr>
        <w:t>1、提交</w:t>
      </w:r>
      <w:r>
        <w:rPr>
          <w:rFonts w:hint="eastAsia" w:ascii="宋体" w:hAnsi="宋体" w:eastAsia="宋体" w:cs="宋体"/>
          <w:snapToGrid w:val="0"/>
          <w:color w:val="auto"/>
          <w:spacing w:val="0"/>
          <w:kern w:val="0"/>
          <w:sz w:val="30"/>
          <w:szCs w:val="30"/>
          <w:highlight w:val="none"/>
          <w:lang w:eastAsia="zh-CN"/>
        </w:rPr>
        <w:t>应选</w:t>
      </w:r>
      <w:r>
        <w:rPr>
          <w:rFonts w:hint="eastAsia" w:ascii="宋体" w:hAnsi="宋体" w:eastAsia="宋体" w:cs="宋体"/>
          <w:snapToGrid w:val="0"/>
          <w:color w:val="auto"/>
          <w:spacing w:val="0"/>
          <w:kern w:val="0"/>
          <w:sz w:val="30"/>
          <w:szCs w:val="30"/>
          <w:highlight w:val="none"/>
        </w:rPr>
        <w:t>文件的截止时间：</w:t>
      </w:r>
      <w:r>
        <w:rPr>
          <w:rFonts w:hint="eastAsia" w:ascii="宋体" w:hAnsi="宋体" w:eastAsia="宋体" w:cs="宋体"/>
          <w:snapToGrid w:val="0"/>
          <w:color w:val="auto"/>
          <w:spacing w:val="0"/>
          <w:kern w:val="0"/>
          <w:sz w:val="30"/>
          <w:szCs w:val="30"/>
          <w:highlight w:val="none"/>
          <w:u w:val="single"/>
          <w:lang w:eastAsia="zh-CN"/>
        </w:rPr>
        <w:t>202</w:t>
      </w:r>
      <w:r>
        <w:rPr>
          <w:rFonts w:hint="eastAsia" w:ascii="宋体" w:hAnsi="宋体" w:eastAsia="宋体" w:cs="宋体"/>
          <w:snapToGrid w:val="0"/>
          <w:color w:val="auto"/>
          <w:spacing w:val="0"/>
          <w:kern w:val="0"/>
          <w:sz w:val="30"/>
          <w:szCs w:val="30"/>
          <w:highlight w:val="none"/>
          <w:u w:val="single"/>
          <w:lang w:val="en-US" w:eastAsia="zh-CN"/>
        </w:rPr>
        <w:t>6</w:t>
      </w:r>
      <w:r>
        <w:rPr>
          <w:rFonts w:hint="eastAsia" w:ascii="宋体" w:hAnsi="宋体" w:eastAsia="宋体" w:cs="宋体"/>
          <w:snapToGrid w:val="0"/>
          <w:color w:val="auto"/>
          <w:spacing w:val="0"/>
          <w:kern w:val="0"/>
          <w:sz w:val="30"/>
          <w:szCs w:val="30"/>
          <w:highlight w:val="none"/>
        </w:rPr>
        <w:t>年</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 xml:space="preserve">02 </w:t>
      </w:r>
      <w:r>
        <w:rPr>
          <w:rFonts w:hint="eastAsia" w:ascii="宋体" w:hAnsi="宋体" w:eastAsia="宋体" w:cs="宋体"/>
          <w:snapToGrid w:val="0"/>
          <w:color w:val="auto"/>
          <w:spacing w:val="0"/>
          <w:kern w:val="0"/>
          <w:sz w:val="30"/>
          <w:szCs w:val="30"/>
          <w:highlight w:val="none"/>
        </w:rPr>
        <w:t>月</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10</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日</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14</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时</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30</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分（北京时间）；</w:t>
      </w:r>
    </w:p>
    <w:p w14:paraId="5C847F73">
      <w:pPr>
        <w:keepNext w:val="0"/>
        <w:keepLines w:val="0"/>
        <w:pageBreakBefore w:val="0"/>
        <w:widowControl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color w:val="auto"/>
          <w:spacing w:val="0"/>
          <w:kern w:val="0"/>
          <w:sz w:val="30"/>
          <w:szCs w:val="30"/>
          <w:highlight w:val="none"/>
        </w:rPr>
      </w:pPr>
      <w:r>
        <w:rPr>
          <w:rFonts w:hint="eastAsia" w:ascii="宋体" w:hAnsi="宋体" w:eastAsia="宋体" w:cs="宋体"/>
          <w:snapToGrid w:val="0"/>
          <w:color w:val="auto"/>
          <w:spacing w:val="0"/>
          <w:kern w:val="0"/>
          <w:sz w:val="30"/>
          <w:szCs w:val="30"/>
          <w:highlight w:val="none"/>
        </w:rPr>
        <w:t>2、</w:t>
      </w:r>
      <w:r>
        <w:rPr>
          <w:rFonts w:hint="eastAsia" w:ascii="宋体" w:hAnsi="宋体" w:eastAsia="宋体" w:cs="宋体"/>
          <w:snapToGrid w:val="0"/>
          <w:color w:val="auto"/>
          <w:spacing w:val="0"/>
          <w:kern w:val="0"/>
          <w:sz w:val="30"/>
          <w:szCs w:val="30"/>
          <w:highlight w:val="none"/>
          <w:lang w:eastAsia="zh-CN"/>
        </w:rPr>
        <w:t>会议</w:t>
      </w:r>
      <w:r>
        <w:rPr>
          <w:rFonts w:hint="eastAsia" w:ascii="宋体" w:hAnsi="宋体" w:eastAsia="宋体" w:cs="宋体"/>
          <w:snapToGrid w:val="0"/>
          <w:color w:val="auto"/>
          <w:spacing w:val="0"/>
          <w:kern w:val="0"/>
          <w:sz w:val="30"/>
          <w:szCs w:val="30"/>
          <w:highlight w:val="none"/>
        </w:rPr>
        <w:t>地点：</w:t>
      </w:r>
      <w:r>
        <w:rPr>
          <w:rFonts w:hint="eastAsia" w:ascii="宋体" w:hAnsi="宋体" w:eastAsia="宋体" w:cs="宋体"/>
          <w:snapToGrid w:val="0"/>
          <w:color w:val="auto"/>
          <w:spacing w:val="0"/>
          <w:kern w:val="0"/>
          <w:sz w:val="30"/>
          <w:szCs w:val="30"/>
          <w:highlight w:val="none"/>
          <w:u w:val="single"/>
          <w:lang w:eastAsia="zh-CN"/>
        </w:rPr>
        <w:t>湖南擎峰项目管理咨询有限公司</w:t>
      </w:r>
      <w:r>
        <w:rPr>
          <w:rFonts w:hint="eastAsia" w:ascii="宋体" w:hAnsi="宋体" w:eastAsia="宋体" w:cs="宋体"/>
          <w:snapToGrid w:val="0"/>
          <w:color w:val="auto"/>
          <w:spacing w:val="0"/>
          <w:kern w:val="0"/>
          <w:sz w:val="30"/>
          <w:szCs w:val="30"/>
          <w:highlight w:val="none"/>
          <w:u w:val="single"/>
          <w:lang w:val="en-US" w:eastAsia="zh-CN"/>
        </w:rPr>
        <w:t>（湖南省怀化市鹤城区本业大道华桥集团B栋1638室</w:t>
      </w:r>
    </w:p>
    <w:p w14:paraId="2293A665">
      <w:pPr>
        <w:keepNext w:val="0"/>
        <w:keepLines w:val="0"/>
        <w:pageBreakBefore w:val="0"/>
        <w:widowControl w:val="0"/>
        <w:kinsoku/>
        <w:wordWrap w:val="0"/>
        <w:overflowPunct/>
        <w:topLinePunct w:val="0"/>
        <w:autoSpaceDE w:val="0"/>
        <w:autoSpaceDN w:val="0"/>
        <w:bidi w:val="0"/>
        <w:adjustRightInd w:val="0"/>
        <w:snapToGrid w:val="0"/>
        <w:spacing w:line="520" w:lineRule="exact"/>
        <w:ind w:left="0" w:leftChars="0" w:firstLine="600" w:firstLineChars="200"/>
        <w:jc w:val="left"/>
        <w:textAlignment w:val="auto"/>
        <w:rPr>
          <w:rFonts w:hint="eastAsia" w:ascii="宋体" w:hAnsi="宋体" w:eastAsia="宋体" w:cs="宋体"/>
          <w:snapToGrid w:val="0"/>
          <w:color w:val="auto"/>
          <w:spacing w:val="0"/>
          <w:kern w:val="0"/>
          <w:sz w:val="30"/>
          <w:szCs w:val="30"/>
          <w:highlight w:val="none"/>
        </w:rPr>
      </w:pPr>
      <w:r>
        <w:rPr>
          <w:rFonts w:hint="eastAsia" w:ascii="宋体" w:hAnsi="宋体" w:eastAsia="宋体" w:cs="宋体"/>
          <w:snapToGrid w:val="0"/>
          <w:color w:val="auto"/>
          <w:spacing w:val="0"/>
          <w:kern w:val="0"/>
          <w:sz w:val="30"/>
          <w:szCs w:val="30"/>
          <w:highlight w:val="none"/>
        </w:rPr>
        <w:t>3、开标时间：</w:t>
      </w:r>
      <w:r>
        <w:rPr>
          <w:rFonts w:hint="eastAsia" w:ascii="宋体" w:hAnsi="宋体" w:eastAsia="宋体" w:cs="宋体"/>
          <w:snapToGrid w:val="0"/>
          <w:color w:val="auto"/>
          <w:spacing w:val="0"/>
          <w:kern w:val="0"/>
          <w:sz w:val="30"/>
          <w:szCs w:val="30"/>
          <w:highlight w:val="none"/>
          <w:u w:val="single"/>
          <w:lang w:eastAsia="zh-CN"/>
        </w:rPr>
        <w:t>202</w:t>
      </w:r>
      <w:r>
        <w:rPr>
          <w:rFonts w:hint="eastAsia" w:ascii="宋体" w:hAnsi="宋体" w:eastAsia="宋体" w:cs="宋体"/>
          <w:snapToGrid w:val="0"/>
          <w:color w:val="auto"/>
          <w:spacing w:val="0"/>
          <w:kern w:val="0"/>
          <w:sz w:val="30"/>
          <w:szCs w:val="30"/>
          <w:highlight w:val="none"/>
          <w:u w:val="single"/>
          <w:lang w:val="en-US" w:eastAsia="zh-CN"/>
        </w:rPr>
        <w:t>6</w:t>
      </w:r>
      <w:r>
        <w:rPr>
          <w:rFonts w:hint="eastAsia" w:ascii="宋体" w:hAnsi="宋体" w:eastAsia="宋体" w:cs="宋体"/>
          <w:snapToGrid w:val="0"/>
          <w:color w:val="auto"/>
          <w:spacing w:val="0"/>
          <w:kern w:val="0"/>
          <w:sz w:val="30"/>
          <w:szCs w:val="30"/>
          <w:highlight w:val="none"/>
        </w:rPr>
        <w:t>年</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 xml:space="preserve">02 </w:t>
      </w:r>
      <w:r>
        <w:rPr>
          <w:rFonts w:hint="eastAsia" w:ascii="宋体" w:hAnsi="宋体" w:eastAsia="宋体" w:cs="宋体"/>
          <w:snapToGrid w:val="0"/>
          <w:color w:val="auto"/>
          <w:spacing w:val="0"/>
          <w:kern w:val="0"/>
          <w:sz w:val="30"/>
          <w:szCs w:val="30"/>
          <w:highlight w:val="none"/>
        </w:rPr>
        <w:t>月</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10</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日</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14</w:t>
      </w:r>
      <w:bookmarkStart w:id="41" w:name="_GoBack"/>
      <w:bookmarkEnd w:id="41"/>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时</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30</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分（北京时间）；</w:t>
      </w:r>
    </w:p>
    <w:p w14:paraId="1A6F2607">
      <w:pPr>
        <w:keepNext w:val="0"/>
        <w:keepLines w:val="0"/>
        <w:pageBreakBefore w:val="0"/>
        <w:widowControl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color w:val="auto"/>
          <w:spacing w:val="0"/>
          <w:kern w:val="0"/>
          <w:sz w:val="30"/>
          <w:szCs w:val="30"/>
          <w:highlight w:val="none"/>
          <w:u w:val="single"/>
          <w:lang w:val="en-US" w:eastAsia="zh-CN"/>
        </w:rPr>
      </w:pPr>
      <w:r>
        <w:rPr>
          <w:rFonts w:hint="eastAsia" w:ascii="宋体" w:hAnsi="宋体" w:eastAsia="宋体" w:cs="宋体"/>
          <w:snapToGrid w:val="0"/>
          <w:color w:val="auto"/>
          <w:spacing w:val="0"/>
          <w:kern w:val="0"/>
          <w:sz w:val="30"/>
          <w:szCs w:val="30"/>
          <w:highlight w:val="none"/>
        </w:rPr>
        <w:t>4、开标地点：</w:t>
      </w:r>
      <w:r>
        <w:rPr>
          <w:rFonts w:hint="eastAsia" w:ascii="宋体" w:hAnsi="宋体" w:eastAsia="宋体" w:cs="宋体"/>
          <w:snapToGrid w:val="0"/>
          <w:color w:val="auto"/>
          <w:spacing w:val="0"/>
          <w:kern w:val="0"/>
          <w:sz w:val="30"/>
          <w:szCs w:val="30"/>
          <w:highlight w:val="none"/>
          <w:u w:val="single"/>
          <w:lang w:eastAsia="zh-CN"/>
        </w:rPr>
        <w:t>湖南擎峰项目管理咨询有限公司</w:t>
      </w:r>
      <w:r>
        <w:rPr>
          <w:rFonts w:hint="eastAsia" w:ascii="宋体" w:hAnsi="宋体" w:eastAsia="宋体" w:cs="宋体"/>
          <w:snapToGrid w:val="0"/>
          <w:color w:val="auto"/>
          <w:spacing w:val="0"/>
          <w:kern w:val="0"/>
          <w:sz w:val="30"/>
          <w:szCs w:val="30"/>
          <w:highlight w:val="none"/>
          <w:u w:val="single"/>
          <w:lang w:val="en-US" w:eastAsia="zh-CN"/>
        </w:rPr>
        <w:t>（湖南省怀化市鹤城区本业大道华桥集团B栋1638室</w:t>
      </w:r>
    </w:p>
    <w:p w14:paraId="6C3E0D70">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b/>
          <w:bCs/>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rPr>
        <w:t>逾期送达的或者未送达指定地点的申请文件将拒绝接收。</w:t>
      </w:r>
    </w:p>
    <w:p w14:paraId="64A58D59">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0" w:firstLineChars="0"/>
        <w:jc w:val="left"/>
        <w:textAlignment w:val="auto"/>
        <w:rPr>
          <w:rFonts w:hint="eastAsia" w:ascii="宋体" w:hAnsi="宋体" w:eastAsia="宋体" w:cs="宋体"/>
          <w:b/>
          <w:bCs/>
          <w:snapToGrid w:val="0"/>
          <w:spacing w:val="0"/>
          <w:kern w:val="0"/>
          <w:sz w:val="30"/>
          <w:szCs w:val="30"/>
          <w:highlight w:val="none"/>
          <w:shd w:val="clear" w:color="auto" w:fill="FFFFFF"/>
          <w:lang w:val="en-US" w:eastAsia="zh-CN"/>
        </w:rPr>
      </w:pPr>
      <w:r>
        <w:rPr>
          <w:rFonts w:hint="eastAsia" w:ascii="宋体" w:hAnsi="宋体" w:eastAsia="宋体" w:cs="宋体"/>
          <w:b/>
          <w:bCs/>
          <w:snapToGrid w:val="0"/>
          <w:spacing w:val="0"/>
          <w:kern w:val="0"/>
          <w:sz w:val="30"/>
          <w:szCs w:val="30"/>
          <w:highlight w:val="none"/>
          <w:shd w:val="clear" w:color="auto" w:fill="FFFFFF"/>
          <w:lang w:val="en-US" w:eastAsia="zh-CN"/>
        </w:rPr>
        <w:t>七、其他</w:t>
      </w:r>
    </w:p>
    <w:p w14:paraId="22A38AC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0" w:firstLineChars="200"/>
        <w:jc w:val="left"/>
        <w:textAlignment w:val="auto"/>
        <w:rPr>
          <w:rFonts w:hint="eastAsia" w:ascii="宋体" w:hAnsi="宋体" w:eastAsia="宋体" w:cs="宋体"/>
          <w:b/>
          <w:bCs/>
          <w:snapToGrid w:val="0"/>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rPr>
        <w:t>若对本项目存在相关质疑，请质疑方携带省公司负责人身份证明或授权人（必须为本单位员工且提供本企业近6个月社保缴纳证明原件）委托书及公司营业执照原件至</w:t>
      </w:r>
      <w:r>
        <w:rPr>
          <w:rFonts w:hint="eastAsia" w:ascii="宋体" w:hAnsi="宋体" w:eastAsia="宋体" w:cs="宋体"/>
          <w:snapToGrid w:val="0"/>
          <w:spacing w:val="0"/>
          <w:kern w:val="0"/>
          <w:sz w:val="30"/>
          <w:szCs w:val="30"/>
          <w:highlight w:val="none"/>
          <w:shd w:val="clear" w:color="auto" w:fill="FFFFFF"/>
          <w:lang w:val="en-US" w:eastAsia="zh-CN"/>
        </w:rPr>
        <w:t>湖南擎峰项目管理咨询有限公司（湖南省怀化市鹤城区本业大道华桥集团B栋1638室）</w:t>
      </w:r>
      <w:r>
        <w:rPr>
          <w:rFonts w:hint="eastAsia" w:ascii="宋体" w:hAnsi="宋体" w:eastAsia="宋体" w:cs="宋体"/>
          <w:snapToGrid w:val="0"/>
          <w:spacing w:val="0"/>
          <w:kern w:val="0"/>
          <w:sz w:val="30"/>
          <w:szCs w:val="30"/>
          <w:highlight w:val="none"/>
          <w:shd w:val="clear" w:color="auto" w:fill="FFFFFF"/>
        </w:rPr>
        <w:t>现场提交质疑书，我公司不接受邮件或快递形式所递交的质疑文件。</w:t>
      </w:r>
      <w:bookmarkEnd w:id="6"/>
    </w:p>
    <w:p w14:paraId="4D5D889A">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0" w:firstLineChars="0"/>
        <w:jc w:val="left"/>
        <w:textAlignment w:val="auto"/>
        <w:rPr>
          <w:rFonts w:hint="eastAsia" w:ascii="宋体" w:hAnsi="宋体" w:eastAsia="宋体" w:cs="宋体"/>
          <w:b/>
          <w:bCs/>
          <w:snapToGrid w:val="0"/>
          <w:spacing w:val="0"/>
          <w:kern w:val="0"/>
          <w:sz w:val="30"/>
          <w:szCs w:val="30"/>
          <w:highlight w:val="none"/>
          <w:shd w:val="clear" w:color="auto" w:fill="FFFFFF"/>
        </w:rPr>
      </w:pPr>
      <w:r>
        <w:rPr>
          <w:rFonts w:hint="eastAsia" w:ascii="宋体" w:hAnsi="宋体" w:eastAsia="宋体" w:cs="宋体"/>
          <w:b/>
          <w:bCs/>
          <w:snapToGrid w:val="0"/>
          <w:spacing w:val="0"/>
          <w:kern w:val="0"/>
          <w:sz w:val="30"/>
          <w:szCs w:val="30"/>
          <w:highlight w:val="none"/>
          <w:shd w:val="clear" w:color="auto" w:fill="FFFFFF"/>
          <w:lang w:eastAsia="zh-CN"/>
        </w:rPr>
        <w:t>八</w:t>
      </w:r>
      <w:r>
        <w:rPr>
          <w:rFonts w:hint="eastAsia" w:ascii="宋体" w:hAnsi="宋体" w:eastAsia="宋体" w:cs="宋体"/>
          <w:b/>
          <w:bCs/>
          <w:snapToGrid w:val="0"/>
          <w:spacing w:val="0"/>
          <w:kern w:val="0"/>
          <w:sz w:val="30"/>
          <w:szCs w:val="30"/>
          <w:highlight w:val="none"/>
          <w:shd w:val="clear" w:color="auto" w:fill="FFFFFF"/>
        </w:rPr>
        <w:t>、遴选</w:t>
      </w:r>
      <w:r>
        <w:rPr>
          <w:rFonts w:hint="eastAsia" w:ascii="宋体" w:hAnsi="宋体" w:eastAsia="宋体" w:cs="宋体"/>
          <w:b/>
          <w:bCs/>
          <w:snapToGrid w:val="0"/>
          <w:spacing w:val="0"/>
          <w:kern w:val="0"/>
          <w:sz w:val="30"/>
          <w:szCs w:val="30"/>
          <w:highlight w:val="none"/>
          <w:shd w:val="clear" w:color="auto" w:fill="FFFFFF"/>
          <w:lang w:val="en-US" w:eastAsia="zh-CN"/>
        </w:rPr>
        <w:t>人、采购代理机构的名称、地址和联系方法</w:t>
      </w:r>
    </w:p>
    <w:p w14:paraId="37E2AFB1">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2" w:firstLineChars="200"/>
        <w:jc w:val="left"/>
        <w:textAlignment w:val="auto"/>
        <w:rPr>
          <w:rFonts w:hint="eastAsia" w:ascii="宋体" w:hAnsi="宋体" w:eastAsia="宋体" w:cs="宋体"/>
          <w:b/>
          <w:bCs/>
          <w:snapToGrid w:val="0"/>
          <w:spacing w:val="0"/>
          <w:kern w:val="0"/>
          <w:sz w:val="30"/>
          <w:szCs w:val="30"/>
          <w:highlight w:val="none"/>
          <w:shd w:val="clear" w:color="auto" w:fill="FFFFFF"/>
          <w:lang w:val="en-US" w:eastAsia="zh-CN"/>
        </w:rPr>
      </w:pPr>
      <w:r>
        <w:rPr>
          <w:rFonts w:hint="eastAsia" w:ascii="宋体" w:hAnsi="宋体" w:eastAsia="宋体" w:cs="宋体"/>
          <w:b/>
          <w:bCs/>
          <w:snapToGrid w:val="0"/>
          <w:spacing w:val="0"/>
          <w:kern w:val="0"/>
          <w:sz w:val="30"/>
          <w:szCs w:val="30"/>
          <w:highlight w:val="none"/>
          <w:shd w:val="clear" w:color="auto" w:fill="FFFFFF"/>
          <w:lang w:val="en-US" w:eastAsia="zh-CN"/>
        </w:rPr>
        <w:t>1、</w:t>
      </w:r>
      <w:r>
        <w:rPr>
          <w:rFonts w:hint="eastAsia" w:ascii="宋体" w:hAnsi="宋体" w:eastAsia="宋体" w:cs="宋体"/>
          <w:b/>
          <w:bCs/>
          <w:snapToGrid w:val="0"/>
          <w:spacing w:val="0"/>
          <w:kern w:val="0"/>
          <w:sz w:val="30"/>
          <w:szCs w:val="30"/>
          <w:highlight w:val="none"/>
          <w:shd w:val="clear" w:color="auto" w:fill="FFFFFF"/>
        </w:rPr>
        <w:t>遴选人</w:t>
      </w:r>
      <w:r>
        <w:rPr>
          <w:rFonts w:hint="eastAsia" w:ascii="宋体" w:hAnsi="宋体" w:eastAsia="宋体" w:cs="宋体"/>
          <w:b/>
          <w:bCs/>
          <w:snapToGrid w:val="0"/>
          <w:spacing w:val="0"/>
          <w:kern w:val="0"/>
          <w:sz w:val="30"/>
          <w:szCs w:val="30"/>
          <w:highlight w:val="none"/>
          <w:shd w:val="clear" w:color="auto" w:fill="FFFFFF"/>
          <w:lang w:eastAsia="zh-CN"/>
        </w:rPr>
        <w:t>联系方式</w:t>
      </w:r>
    </w:p>
    <w:p w14:paraId="5E9911D4">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val="en-US" w:eastAsia="zh-CN"/>
        </w:rPr>
        <w:t>（1）遴选人：怀化市财政局、怀化市农业农村局</w:t>
      </w:r>
    </w:p>
    <w:p w14:paraId="2E369F61">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val="en-US" w:eastAsia="zh-CN"/>
        </w:rPr>
        <w:t>（2）联系人：谢先生、孙先生</w:t>
      </w:r>
    </w:p>
    <w:p w14:paraId="606DD464">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0" w:firstLineChars="200"/>
        <w:jc w:val="left"/>
        <w:textAlignment w:val="auto"/>
        <w:rPr>
          <w:rFonts w:hint="default" w:ascii="宋体" w:hAnsi="宋体" w:eastAsia="宋体" w:cs="宋体"/>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val="en-US" w:eastAsia="zh-CN"/>
        </w:rPr>
        <w:t>（3）电   话：0745-2218002</w:t>
      </w:r>
    </w:p>
    <w:p w14:paraId="4BA1CBC7">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0" w:firstLineChars="200"/>
        <w:jc w:val="left"/>
        <w:textAlignment w:val="auto"/>
        <w:rPr>
          <w:rFonts w:hint="eastAsia" w:ascii="宋体" w:hAnsi="宋体" w:eastAsia="宋体" w:cs="宋体"/>
          <w:snapToGrid w:val="0"/>
          <w:color w:val="0000FF"/>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val="en-US" w:eastAsia="zh-CN"/>
        </w:rPr>
        <w:t>（4）地   址：怀化市市民服务中心A栋12楼1231室</w:t>
      </w:r>
    </w:p>
    <w:p w14:paraId="4211044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2" w:firstLineChars="200"/>
        <w:jc w:val="left"/>
        <w:textAlignment w:val="auto"/>
        <w:rPr>
          <w:rFonts w:hint="eastAsia" w:ascii="宋体" w:hAnsi="宋体" w:eastAsia="宋体" w:cs="宋体"/>
          <w:b/>
          <w:bCs/>
          <w:snapToGrid w:val="0"/>
          <w:color w:val="auto"/>
          <w:spacing w:val="0"/>
          <w:kern w:val="0"/>
          <w:sz w:val="30"/>
          <w:szCs w:val="30"/>
          <w:highlight w:val="none"/>
          <w:shd w:val="clear" w:color="auto" w:fill="FFFFFF"/>
          <w:lang w:val="en-US" w:eastAsia="zh-CN"/>
        </w:rPr>
      </w:pPr>
      <w:r>
        <w:rPr>
          <w:rFonts w:hint="eastAsia" w:ascii="宋体" w:hAnsi="宋体" w:eastAsia="宋体" w:cs="宋体"/>
          <w:b/>
          <w:bCs/>
          <w:snapToGrid w:val="0"/>
          <w:spacing w:val="0"/>
          <w:kern w:val="0"/>
          <w:sz w:val="30"/>
          <w:szCs w:val="30"/>
          <w:highlight w:val="none"/>
          <w:shd w:val="clear" w:color="auto" w:fill="FFFFFF"/>
          <w:lang w:val="en-US" w:eastAsia="zh-CN"/>
        </w:rPr>
        <w:t>2、</w:t>
      </w:r>
      <w:r>
        <w:rPr>
          <w:rFonts w:hint="eastAsia" w:ascii="宋体" w:hAnsi="宋体" w:eastAsia="宋体" w:cs="宋体"/>
          <w:b/>
          <w:bCs/>
          <w:snapToGrid w:val="0"/>
          <w:spacing w:val="0"/>
          <w:kern w:val="0"/>
          <w:sz w:val="30"/>
          <w:szCs w:val="30"/>
          <w:highlight w:val="none"/>
          <w:shd w:val="clear" w:color="auto" w:fill="FFFFFF"/>
          <w:lang w:eastAsia="zh-CN"/>
        </w:rPr>
        <w:t>代理机构联系方式</w:t>
      </w:r>
    </w:p>
    <w:p w14:paraId="285C8957">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1）</w:t>
      </w:r>
      <w:r>
        <w:rPr>
          <w:rFonts w:hint="eastAsia" w:ascii="宋体" w:hAnsi="宋体" w:eastAsia="宋体" w:cs="宋体"/>
          <w:snapToGrid w:val="0"/>
          <w:spacing w:val="0"/>
          <w:kern w:val="0"/>
          <w:sz w:val="30"/>
          <w:szCs w:val="30"/>
          <w:highlight w:val="none"/>
          <w:shd w:val="clear" w:color="auto" w:fill="FFFFFF"/>
        </w:rPr>
        <w:t>代理机构名称：</w:t>
      </w:r>
      <w:r>
        <w:rPr>
          <w:rFonts w:hint="eastAsia" w:ascii="宋体" w:hAnsi="宋体" w:eastAsia="宋体" w:cs="宋体"/>
          <w:snapToGrid w:val="0"/>
          <w:spacing w:val="0"/>
          <w:kern w:val="0"/>
          <w:sz w:val="30"/>
          <w:szCs w:val="30"/>
          <w:highlight w:val="none"/>
          <w:shd w:val="clear" w:color="auto" w:fill="FFFFFF"/>
          <w:lang w:eastAsia="zh-CN"/>
        </w:rPr>
        <w:t>湖南擎峰项目管理咨询有限公司</w:t>
      </w:r>
    </w:p>
    <w:p w14:paraId="10FEA54B">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cs="宋体"/>
          <w:snapToGrid w:val="0"/>
          <w:spacing w:val="0"/>
          <w:kern w:val="0"/>
          <w:sz w:val="30"/>
          <w:szCs w:val="30"/>
          <w:highlight w:val="none"/>
          <w:shd w:val="clear" w:color="auto" w:fill="FFFFFF"/>
          <w:lang w:val="en-US" w:eastAsia="zh-CN"/>
        </w:rPr>
        <w:t>2</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snapToGrid w:val="0"/>
          <w:spacing w:val="0"/>
          <w:kern w:val="0"/>
          <w:sz w:val="30"/>
          <w:szCs w:val="30"/>
          <w:highlight w:val="none"/>
          <w:shd w:val="clear" w:color="auto" w:fill="FFFFFF"/>
        </w:rPr>
        <w:t>联系人：</w:t>
      </w:r>
      <w:r>
        <w:rPr>
          <w:rFonts w:hint="eastAsia" w:ascii="宋体" w:hAnsi="宋体" w:eastAsia="宋体" w:cs="宋体"/>
          <w:snapToGrid w:val="0"/>
          <w:spacing w:val="0"/>
          <w:kern w:val="0"/>
          <w:sz w:val="30"/>
          <w:szCs w:val="30"/>
          <w:highlight w:val="none"/>
          <w:shd w:val="clear" w:color="auto" w:fill="FFFFFF"/>
          <w:lang w:eastAsia="zh-CN"/>
        </w:rPr>
        <w:t>阳先生</w:t>
      </w:r>
    </w:p>
    <w:p w14:paraId="78EA6EA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cs="宋体"/>
          <w:snapToGrid w:val="0"/>
          <w:spacing w:val="0"/>
          <w:kern w:val="0"/>
          <w:sz w:val="30"/>
          <w:szCs w:val="30"/>
          <w:highlight w:val="none"/>
          <w:shd w:val="clear" w:color="auto" w:fill="FFFFFF"/>
          <w:lang w:val="en-US" w:eastAsia="zh-CN"/>
        </w:rPr>
        <w:t>3</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snapToGrid w:val="0"/>
          <w:spacing w:val="0"/>
          <w:kern w:val="0"/>
          <w:sz w:val="30"/>
          <w:szCs w:val="30"/>
          <w:highlight w:val="none"/>
          <w:shd w:val="clear" w:color="auto" w:fill="FFFFFF"/>
        </w:rPr>
        <w:t>电</w:t>
      </w:r>
      <w:r>
        <w:rPr>
          <w:rFonts w:hint="eastAsia" w:ascii="宋体" w:hAnsi="宋体" w:eastAsia="宋体" w:cs="宋体"/>
          <w:snapToGrid w:val="0"/>
          <w:spacing w:val="0"/>
          <w:kern w:val="0"/>
          <w:sz w:val="30"/>
          <w:szCs w:val="30"/>
          <w:highlight w:val="none"/>
          <w:shd w:val="clear" w:color="auto" w:fill="FFFFFF"/>
          <w:lang w:val="en-US" w:eastAsia="zh-CN"/>
        </w:rPr>
        <w:t xml:space="preserve">  </w:t>
      </w:r>
      <w:r>
        <w:rPr>
          <w:rFonts w:hint="eastAsia" w:ascii="宋体" w:hAnsi="宋体" w:eastAsia="宋体" w:cs="宋体"/>
          <w:snapToGrid w:val="0"/>
          <w:spacing w:val="0"/>
          <w:kern w:val="0"/>
          <w:sz w:val="30"/>
          <w:szCs w:val="30"/>
          <w:highlight w:val="none"/>
          <w:shd w:val="clear" w:color="auto" w:fill="FFFFFF"/>
        </w:rPr>
        <w:t>话：</w:t>
      </w:r>
      <w:r>
        <w:rPr>
          <w:rFonts w:hint="eastAsia" w:ascii="宋体" w:hAnsi="宋体" w:eastAsia="宋体" w:cs="宋体"/>
          <w:snapToGrid w:val="0"/>
          <w:spacing w:val="0"/>
          <w:kern w:val="0"/>
          <w:sz w:val="30"/>
          <w:szCs w:val="30"/>
          <w:highlight w:val="none"/>
          <w:shd w:val="clear" w:color="auto" w:fill="FFFFFF"/>
          <w:lang w:val="en-US" w:eastAsia="zh-CN"/>
        </w:rPr>
        <w:t>18569685833</w:t>
      </w:r>
    </w:p>
    <w:p w14:paraId="077C5716">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cs="宋体"/>
          <w:snapToGrid w:val="0"/>
          <w:spacing w:val="0"/>
          <w:kern w:val="0"/>
          <w:sz w:val="30"/>
          <w:szCs w:val="30"/>
          <w:highlight w:val="none"/>
          <w:shd w:val="clear" w:color="auto" w:fill="FFFFFF"/>
          <w:lang w:val="en-US" w:eastAsia="zh-CN"/>
        </w:rPr>
        <w:t>4</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snapToGrid w:val="0"/>
          <w:spacing w:val="0"/>
          <w:kern w:val="0"/>
          <w:sz w:val="30"/>
          <w:szCs w:val="30"/>
          <w:highlight w:val="none"/>
          <w:shd w:val="clear" w:color="auto" w:fill="FFFFFF"/>
        </w:rPr>
        <w:t>地</w:t>
      </w:r>
      <w:r>
        <w:rPr>
          <w:rFonts w:hint="eastAsia" w:ascii="宋体" w:hAnsi="宋体" w:eastAsia="宋体" w:cs="宋体"/>
          <w:snapToGrid w:val="0"/>
          <w:spacing w:val="0"/>
          <w:kern w:val="0"/>
          <w:sz w:val="30"/>
          <w:szCs w:val="30"/>
          <w:highlight w:val="none"/>
          <w:shd w:val="clear" w:color="auto" w:fill="FFFFFF"/>
          <w:lang w:val="en-US" w:eastAsia="zh-CN"/>
        </w:rPr>
        <w:t xml:space="preserve">  </w:t>
      </w:r>
      <w:r>
        <w:rPr>
          <w:rFonts w:hint="eastAsia" w:ascii="宋体" w:hAnsi="宋体" w:eastAsia="宋体" w:cs="宋体"/>
          <w:snapToGrid w:val="0"/>
          <w:spacing w:val="0"/>
          <w:kern w:val="0"/>
          <w:sz w:val="30"/>
          <w:szCs w:val="30"/>
          <w:highlight w:val="none"/>
          <w:shd w:val="clear" w:color="auto" w:fill="FFFFFF"/>
        </w:rPr>
        <w:t>址：</w:t>
      </w:r>
      <w:r>
        <w:rPr>
          <w:rFonts w:hint="eastAsia" w:ascii="宋体" w:hAnsi="宋体" w:eastAsia="宋体" w:cs="宋体"/>
          <w:snapToGrid w:val="0"/>
          <w:spacing w:val="0"/>
          <w:kern w:val="0"/>
          <w:sz w:val="30"/>
          <w:szCs w:val="30"/>
          <w:highlight w:val="none"/>
          <w:shd w:val="clear" w:color="auto" w:fill="FFFFFF"/>
          <w:lang w:eastAsia="zh-CN"/>
        </w:rPr>
        <w:t>湖南省怀化市鹤城区本业大道华桥集团B栋1638室</w:t>
      </w:r>
    </w:p>
    <w:p w14:paraId="67A9AE12">
      <w:pPr>
        <w:spacing w:line="600" w:lineRule="exact"/>
        <w:ind w:firstLine="640" w:firstLineChars="20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bookmarkStart w:id="8" w:name="遴选须知"/>
    </w:p>
    <w:p w14:paraId="580A0E06">
      <w:pPr>
        <w:pStyle w:val="3"/>
        <w:bidi w:val="0"/>
        <w:jc w:val="center"/>
        <w:outlineLvl w:val="0"/>
        <w:rPr>
          <w:rFonts w:hint="eastAsia" w:ascii="宋体" w:hAnsi="宋体" w:eastAsia="宋体" w:cs="宋体"/>
          <w:sz w:val="36"/>
          <w:szCs w:val="36"/>
          <w:highlight w:val="none"/>
        </w:rPr>
      </w:pPr>
      <w:bookmarkStart w:id="9" w:name="_Toc26056"/>
      <w:r>
        <w:rPr>
          <w:rFonts w:hint="eastAsia" w:ascii="宋体" w:hAnsi="宋体" w:eastAsia="宋体" w:cs="宋体"/>
          <w:sz w:val="36"/>
          <w:szCs w:val="36"/>
          <w:highlight w:val="none"/>
        </w:rPr>
        <w:t>第二章　遴选须知</w:t>
      </w:r>
      <w:bookmarkEnd w:id="9"/>
    </w:p>
    <w:bookmarkEnd w:id="8"/>
    <w:p w14:paraId="2EED262E">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bookmarkStart w:id="10" w:name="_Toc28161"/>
      <w:r>
        <w:rPr>
          <w:rFonts w:hint="eastAsia" w:ascii="宋体" w:hAnsi="宋体" w:eastAsia="宋体" w:cs="宋体"/>
          <w:b/>
          <w:bCs/>
          <w:color w:val="auto"/>
          <w:kern w:val="0"/>
          <w:sz w:val="30"/>
          <w:szCs w:val="30"/>
          <w:highlight w:val="none"/>
        </w:rPr>
        <w:t>一、遴选遵循的原则</w:t>
      </w:r>
      <w:bookmarkEnd w:id="10"/>
    </w:p>
    <w:p w14:paraId="7FA1400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lang w:val="en-US" w:eastAsia="zh-CN"/>
        </w:rPr>
      </w:pPr>
      <w:bookmarkStart w:id="11" w:name="_Toc13511"/>
      <w:r>
        <w:rPr>
          <w:rFonts w:hint="eastAsia" w:ascii="宋体" w:hAnsi="宋体" w:eastAsia="宋体" w:cs="宋体"/>
          <w:color w:val="auto"/>
          <w:kern w:val="0"/>
          <w:sz w:val="30"/>
          <w:szCs w:val="30"/>
          <w:highlight w:val="none"/>
          <w:lang w:val="en-US" w:eastAsia="zh-CN"/>
        </w:rPr>
        <w:t>公开竞争性遴选工作遵循客观公正、适度竞争、诚实信用、违规淘汰原则，突出以承保机构服务能力、合规经营能力、风险管控能力、科技赋能能力为导向，以绩效评价结果为基础，以监督检查结果为依据，落实好财政部和省财政厅年度农业保险保费补贴整体绩效目标有关要求，切实提升农业保险服务质量。</w:t>
      </w:r>
    </w:p>
    <w:p w14:paraId="657CA8B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val="en-US" w:eastAsia="zh-CN"/>
        </w:rPr>
        <w:t>本项目</w:t>
      </w:r>
      <w:r>
        <w:rPr>
          <w:rFonts w:hint="eastAsia" w:ascii="宋体" w:hAnsi="宋体" w:cs="宋体"/>
          <w:color w:val="auto"/>
          <w:kern w:val="0"/>
          <w:sz w:val="30"/>
          <w:szCs w:val="30"/>
          <w:highlight w:val="none"/>
          <w:lang w:val="en-US" w:eastAsia="zh-CN"/>
        </w:rPr>
        <w:t>遴选对象为保险公司所辖区域分支机构</w:t>
      </w:r>
      <w:r>
        <w:rPr>
          <w:rFonts w:hint="eastAsia" w:ascii="宋体" w:hAnsi="宋体" w:eastAsia="宋体" w:cs="宋体"/>
          <w:color w:val="auto"/>
          <w:kern w:val="0"/>
          <w:sz w:val="30"/>
          <w:szCs w:val="30"/>
          <w:highlight w:val="none"/>
          <w:lang w:val="en-US" w:eastAsia="zh-CN"/>
        </w:rPr>
        <w:t>，不接受市州级分支机构报名。</w:t>
      </w:r>
    </w:p>
    <w:p w14:paraId="2D622C8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二、遴选险种</w:t>
      </w:r>
      <w:bookmarkEnd w:id="11"/>
    </w:p>
    <w:p w14:paraId="181180A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rPr>
      </w:pPr>
      <w:r>
        <w:rPr>
          <w:rFonts w:hint="eastAsia" w:ascii="宋体" w:hAnsi="宋体" w:eastAsia="宋体" w:cs="宋体"/>
          <w:color w:val="auto"/>
          <w:kern w:val="0"/>
          <w:sz w:val="30"/>
          <w:szCs w:val="30"/>
          <w:highlight w:val="none"/>
        </w:rPr>
        <w:t>本次遴选在</w:t>
      </w:r>
      <w:r>
        <w:rPr>
          <w:rFonts w:hint="eastAsia" w:ascii="宋体" w:hAnsi="宋体" w:cs="宋体"/>
          <w:color w:val="auto"/>
          <w:kern w:val="0"/>
          <w:sz w:val="30"/>
          <w:szCs w:val="30"/>
          <w:highlight w:val="none"/>
          <w:lang w:val="en-US" w:eastAsia="zh-CN"/>
        </w:rPr>
        <w:t>靖州苗族侗族自治县</w:t>
      </w:r>
      <w:r>
        <w:rPr>
          <w:rFonts w:hint="eastAsia" w:ascii="宋体" w:hAnsi="宋体" w:eastAsia="宋体" w:cs="宋体"/>
          <w:color w:val="auto"/>
          <w:kern w:val="0"/>
          <w:sz w:val="30"/>
          <w:szCs w:val="30"/>
          <w:highlight w:val="none"/>
        </w:rPr>
        <w:t>内开展政策农业保险品种业务（不含省级共</w:t>
      </w:r>
      <w:r>
        <w:rPr>
          <w:rFonts w:hint="eastAsia" w:ascii="宋体" w:hAnsi="宋体" w:eastAsia="宋体" w:cs="宋体"/>
          <w:color w:val="auto"/>
          <w:kern w:val="0"/>
          <w:sz w:val="30"/>
          <w:szCs w:val="30"/>
          <w:highlight w:val="none"/>
          <w:lang w:val="en-US" w:eastAsia="zh-CN"/>
        </w:rPr>
        <w:t>保）的承保机构。政策性农业保险品种中央财政补贴的农业保险品种</w:t>
      </w:r>
      <w:r>
        <w:rPr>
          <w:rFonts w:hint="eastAsia"/>
          <w:sz w:val="32"/>
          <w:szCs w:val="32"/>
          <w:highlight w:val="none"/>
          <w:lang w:val="en-US" w:eastAsia="zh-CN"/>
        </w:rPr>
        <w:t>8</w:t>
      </w:r>
      <w:r>
        <w:rPr>
          <w:rFonts w:hint="eastAsia"/>
          <w:sz w:val="32"/>
          <w:szCs w:val="32"/>
          <w:highlight w:val="none"/>
        </w:rPr>
        <w:t>个</w:t>
      </w:r>
      <w:r>
        <w:rPr>
          <w:rFonts w:hint="eastAsia"/>
          <w:sz w:val="32"/>
          <w:szCs w:val="32"/>
          <w:highlight w:val="none"/>
          <w:lang w:eastAsia="zh-CN"/>
        </w:rPr>
        <w:t>；</w:t>
      </w:r>
      <w:r>
        <w:rPr>
          <w:rFonts w:hint="eastAsia"/>
          <w:sz w:val="32"/>
          <w:szCs w:val="32"/>
          <w:highlight w:val="none"/>
        </w:rPr>
        <w:t>分别为</w:t>
      </w:r>
      <w:r>
        <w:rPr>
          <w:rFonts w:hint="eastAsia"/>
          <w:sz w:val="32"/>
          <w:szCs w:val="32"/>
          <w:highlight w:val="none"/>
          <w:lang w:val="en-US" w:eastAsia="zh-CN"/>
        </w:rPr>
        <w:t>育肥猪、能繁母猪、水稻、杂交水稻制种、玉米、油菜、商品林、公益林。标包具体情况见附件1。</w:t>
      </w:r>
    </w:p>
    <w:p w14:paraId="6599BDC4">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bookmarkStart w:id="12" w:name="_Toc29974"/>
      <w:bookmarkStart w:id="13" w:name="_Toc13008"/>
      <w:r>
        <w:rPr>
          <w:rFonts w:hint="eastAsia" w:ascii="宋体" w:hAnsi="宋体" w:eastAsia="宋体" w:cs="宋体"/>
          <w:b/>
          <w:bCs/>
          <w:color w:val="auto"/>
          <w:kern w:val="0"/>
          <w:sz w:val="30"/>
          <w:szCs w:val="30"/>
          <w:highlight w:val="none"/>
        </w:rPr>
        <w:t>三、申请人资格条件</w:t>
      </w:r>
      <w:bookmarkEnd w:id="12"/>
    </w:p>
    <w:p w14:paraId="4C5B368D">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firstLine="600" w:firstLineChars="200"/>
        <w:jc w:val="left"/>
        <w:textAlignment w:val="auto"/>
        <w:rPr>
          <w:rFonts w:hint="eastAsia" w:ascii="宋体" w:hAnsi="宋体" w:eastAsia="宋体" w:cs="宋体"/>
          <w:b w:val="0"/>
          <w:bCs w:val="0"/>
          <w:snapToGrid w:val="0"/>
          <w:spacing w:val="0"/>
          <w:kern w:val="0"/>
          <w:sz w:val="30"/>
          <w:szCs w:val="30"/>
          <w:highlight w:val="none"/>
        </w:rPr>
      </w:pPr>
      <w:r>
        <w:rPr>
          <w:rFonts w:hint="eastAsia" w:ascii="宋体" w:hAnsi="宋体" w:eastAsia="宋体" w:cs="宋体"/>
          <w:b w:val="0"/>
          <w:bCs w:val="0"/>
          <w:snapToGrid w:val="0"/>
          <w:spacing w:val="0"/>
          <w:kern w:val="0"/>
          <w:sz w:val="30"/>
          <w:szCs w:val="30"/>
          <w:highlight w:val="none"/>
          <w:shd w:val="clear" w:color="auto" w:fill="FFFFFF"/>
        </w:rPr>
        <w:t>1、申请人需具备《湖南省财政厅</w:t>
      </w:r>
      <w:r>
        <w:rPr>
          <w:rFonts w:hint="eastAsia" w:ascii="宋体" w:hAnsi="宋体" w:eastAsia="宋体" w:cs="宋体"/>
          <w:b w:val="0"/>
          <w:bCs w:val="0"/>
          <w:snapToGrid w:val="0"/>
          <w:spacing w:val="0"/>
          <w:kern w:val="0"/>
          <w:sz w:val="30"/>
          <w:szCs w:val="30"/>
          <w:highlight w:val="none"/>
          <w:shd w:val="clear" w:color="auto" w:fill="FFFFFF"/>
          <w:lang w:val="en-US" w:eastAsia="zh-CN"/>
        </w:rPr>
        <w:t>湖南省农业农村厅</w:t>
      </w:r>
      <w:r>
        <w:rPr>
          <w:rFonts w:hint="eastAsia" w:ascii="宋体" w:hAnsi="宋体" w:eastAsia="宋体" w:cs="宋体"/>
          <w:b w:val="0"/>
          <w:bCs w:val="0"/>
          <w:snapToGrid w:val="0"/>
          <w:spacing w:val="0"/>
          <w:kern w:val="0"/>
          <w:sz w:val="30"/>
          <w:szCs w:val="30"/>
          <w:highlight w:val="none"/>
          <w:shd w:val="clear" w:color="auto" w:fill="FFFFFF"/>
        </w:rPr>
        <w:t>关于印发〈公开竞争性遴选政策性农业保险承保机构实施办法）的通知》（</w:t>
      </w:r>
      <w:r>
        <w:rPr>
          <w:rFonts w:hint="eastAsia" w:cs="宋体"/>
          <w:b w:val="0"/>
          <w:bCs w:val="0"/>
          <w:snapToGrid w:val="0"/>
          <w:spacing w:val="0"/>
          <w:kern w:val="0"/>
          <w:sz w:val="30"/>
          <w:szCs w:val="30"/>
          <w:highlight w:val="none"/>
          <w:shd w:val="clear" w:color="auto" w:fill="FFFFFF"/>
          <w:lang w:eastAsia="zh-CN"/>
        </w:rPr>
        <w:t>湘财金[2026]4号</w:t>
      </w:r>
      <w:r>
        <w:rPr>
          <w:rFonts w:hint="eastAsia" w:ascii="宋体" w:hAnsi="宋体" w:eastAsia="宋体" w:cs="宋体"/>
          <w:b w:val="0"/>
          <w:bCs w:val="0"/>
          <w:snapToGrid w:val="0"/>
          <w:spacing w:val="0"/>
          <w:kern w:val="0"/>
          <w:sz w:val="30"/>
          <w:szCs w:val="30"/>
          <w:highlight w:val="none"/>
          <w:shd w:val="clear" w:color="auto" w:fill="FFFFFF"/>
        </w:rPr>
        <w:t>）规定的基本资格条件：</w:t>
      </w:r>
    </w:p>
    <w:p w14:paraId="0B709B1A">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（1）申请人的省级公司必须在湖南金融监管局公布的符合农业保险业务经营条件的保险公司目录范围内；</w:t>
      </w:r>
    </w:p>
    <w:p w14:paraId="7882234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（2）具有完善的农业保险大灾风险分散机制；</w:t>
      </w:r>
    </w:p>
    <w:p w14:paraId="6795E81F">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（3）具有完善的基层服务网络；</w:t>
      </w:r>
    </w:p>
    <w:p w14:paraId="08F52A5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（4）信息化建设满足业务管理要求，能够按要求与中国农业再保险股份有限公司（以下简称中国农再）约定分保业务信息系统进行对接；能够按要求与湖南省农业保险综合管理平台系统对接；</w:t>
      </w:r>
    </w:p>
    <w:p w14:paraId="77CFA78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（5）参加农业保险再保险体系改革试点，承保机构总公司已与中国农再签署当期有效的《政策性农业保险再保险标准协议》,双方可协商对有关条款进行调整；</w:t>
      </w:r>
    </w:p>
    <w:p w14:paraId="3D9967A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（6）对于在财金〔2020〕128号文件印发后开业的承保机构，总公司开业时间需在5年（含）以上，存在重组、更名或新设主体依法受让相关业务的，可以原主体开业时间为准；</w:t>
      </w:r>
    </w:p>
    <w:p w14:paraId="4F0E2BDA">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（7）在遴选区域具有经金监部门批准设立的下属分支机构，持有省级分公司出具的针对本区域遴选的授权文件；</w:t>
      </w:r>
    </w:p>
    <w:p w14:paraId="465D121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（8）财政部门规定的其他条件。</w:t>
      </w:r>
    </w:p>
    <w:p w14:paraId="017C5841">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2、存在以下情况的保险机构不得参加遴选：</w:t>
      </w:r>
    </w:p>
    <w:p w14:paraId="5AF675E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①以联合体（共保体）形式或委托其他保险机构、中介机构代为办理的；</w:t>
      </w:r>
    </w:p>
    <w:p w14:paraId="3BBA4A8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②以销售</w:t>
      </w:r>
      <w:r>
        <w:rPr>
          <w:rFonts w:hint="eastAsia" w:ascii="宋体" w:hAnsi="宋体" w:eastAsia="宋体" w:cs="宋体"/>
          <w:snapToGrid w:val="0"/>
          <w:spacing w:val="0"/>
          <w:kern w:val="0"/>
          <w:sz w:val="30"/>
          <w:szCs w:val="30"/>
          <w:highlight w:val="none"/>
          <w:shd w:val="clear" w:color="auto" w:fill="FFFFFF"/>
          <w:lang w:val="en-US" w:eastAsia="zh-CN" w:bidi="ar-SA"/>
        </w:rPr>
        <w:t>网点、“三农”保险服务网点等非市县级分支机构申请的，区级分支机构申请市州本级及所辖区遴选的，市级及以上分支机构申请省直管县市遴选的；</w:t>
      </w:r>
    </w:p>
    <w:p w14:paraId="082D5FD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③在参选地区农业保险业务违法违规被财政部门或监管部门进行重大行政处罚且尚在处罚期的，以及因农业保险绩效评价取消财政补贴资格期内的。</w:t>
      </w:r>
    </w:p>
    <w:p w14:paraId="77C69763">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四、选定数量及选包原则</w:t>
      </w:r>
      <w:bookmarkEnd w:id="13"/>
    </w:p>
    <w:p w14:paraId="216F3995">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ind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bookmarkStart w:id="14" w:name="_Toc10232"/>
      <w:r>
        <w:rPr>
          <w:rFonts w:hint="eastAsia" w:ascii="宋体" w:hAnsi="宋体" w:eastAsia="宋体" w:cs="宋体"/>
          <w:snapToGrid w:val="0"/>
          <w:spacing w:val="0"/>
          <w:kern w:val="0"/>
          <w:sz w:val="30"/>
          <w:szCs w:val="30"/>
          <w:highlight w:val="none"/>
          <w:shd w:val="clear" w:color="auto" w:fill="FFFFFF"/>
          <w:lang w:val="en-US" w:eastAsia="zh-CN"/>
        </w:rPr>
        <w:t>本次遴选确定</w:t>
      </w:r>
      <w:r>
        <w:rPr>
          <w:rFonts w:hint="eastAsia" w:ascii="宋体" w:hAnsi="宋体" w:eastAsia="宋体" w:cs="宋体"/>
          <w:snapToGrid w:val="0"/>
          <w:spacing w:val="0"/>
          <w:kern w:val="0"/>
          <w:sz w:val="30"/>
          <w:szCs w:val="30"/>
          <w:highlight w:val="none"/>
          <w:u w:val="single"/>
          <w:lang w:eastAsia="zh-CN"/>
        </w:rPr>
        <w:t>怀化市</w:t>
      </w:r>
      <w:r>
        <w:rPr>
          <w:rFonts w:hint="eastAsia" w:ascii="宋体" w:hAnsi="宋体" w:cs="宋体"/>
          <w:snapToGrid w:val="0"/>
          <w:spacing w:val="0"/>
          <w:kern w:val="0"/>
          <w:sz w:val="30"/>
          <w:szCs w:val="30"/>
          <w:highlight w:val="none"/>
          <w:u w:val="single"/>
          <w:lang w:eastAsia="zh-CN"/>
        </w:rPr>
        <w:t>靖州苗族侗族自治县</w:t>
      </w:r>
      <w:r>
        <w:rPr>
          <w:rFonts w:hint="eastAsia" w:ascii="宋体" w:hAnsi="宋体" w:eastAsia="宋体" w:cs="宋体"/>
          <w:snapToGrid w:val="0"/>
          <w:spacing w:val="0"/>
          <w:kern w:val="0"/>
          <w:sz w:val="30"/>
          <w:szCs w:val="30"/>
          <w:highlight w:val="none"/>
          <w:u w:val="single"/>
          <w:lang w:eastAsia="zh-CN"/>
        </w:rPr>
        <w:t>2026—2028年政策性农业保险承保机构项目</w:t>
      </w:r>
      <w:r>
        <w:rPr>
          <w:rFonts w:hint="eastAsia" w:ascii="宋体" w:hAnsi="宋体" w:cs="宋体"/>
          <w:snapToGrid w:val="0"/>
          <w:spacing w:val="0"/>
          <w:kern w:val="0"/>
          <w:sz w:val="30"/>
          <w:szCs w:val="30"/>
          <w:highlight w:val="none"/>
          <w:shd w:val="clear" w:color="auto" w:fill="FFFFFF"/>
          <w:lang w:val="en-US" w:eastAsia="zh-CN"/>
        </w:rPr>
        <w:t>5</w:t>
      </w:r>
      <w:r>
        <w:rPr>
          <w:rFonts w:hint="eastAsia" w:ascii="宋体" w:hAnsi="宋体" w:eastAsia="宋体" w:cs="宋体"/>
          <w:snapToGrid w:val="0"/>
          <w:spacing w:val="0"/>
          <w:kern w:val="0"/>
          <w:sz w:val="30"/>
          <w:szCs w:val="30"/>
          <w:highlight w:val="none"/>
          <w:shd w:val="clear" w:color="auto" w:fill="FFFFFF"/>
          <w:lang w:val="en-US" w:eastAsia="zh-CN"/>
        </w:rPr>
        <w:t>家，</w:t>
      </w:r>
      <w:r>
        <w:rPr>
          <w:rFonts w:hint="eastAsia" w:ascii="宋体" w:hAnsi="宋体" w:eastAsia="宋体" w:cs="宋体"/>
          <w:color w:val="auto"/>
          <w:kern w:val="0"/>
          <w:sz w:val="30"/>
          <w:szCs w:val="30"/>
          <w:highlight w:val="none"/>
          <w:lang w:val="en-US" w:eastAsia="zh-CN" w:bidi="ar-SA"/>
        </w:rPr>
        <w:t>按照参加遴选的承保机构评审</w:t>
      </w:r>
      <w:r>
        <w:rPr>
          <w:rFonts w:hint="eastAsia" w:ascii="宋体" w:hAnsi="宋体" w:cs="宋体"/>
          <w:color w:val="auto"/>
          <w:kern w:val="0"/>
          <w:sz w:val="30"/>
          <w:szCs w:val="30"/>
          <w:highlight w:val="none"/>
          <w:lang w:val="en-US" w:eastAsia="zh-CN" w:bidi="ar-SA"/>
        </w:rPr>
        <w:t>综合</w:t>
      </w:r>
      <w:r>
        <w:rPr>
          <w:rFonts w:hint="eastAsia" w:ascii="宋体" w:hAnsi="宋体" w:eastAsia="宋体" w:cs="宋体"/>
          <w:color w:val="auto"/>
          <w:kern w:val="0"/>
          <w:sz w:val="30"/>
          <w:szCs w:val="30"/>
          <w:highlight w:val="none"/>
          <w:lang w:val="en-US" w:eastAsia="zh-CN" w:bidi="ar-SA"/>
        </w:rPr>
        <w:t>得分排名顺序确定优先选择权。中选机构根据排名按标包指定选包（详见附件1）。</w:t>
      </w:r>
      <w:r>
        <w:rPr>
          <w:rFonts w:hint="eastAsia" w:ascii="宋体" w:hAnsi="宋体" w:eastAsia="宋体" w:cs="宋体"/>
          <w:snapToGrid w:val="0"/>
          <w:spacing w:val="0"/>
          <w:kern w:val="0"/>
          <w:sz w:val="30"/>
          <w:szCs w:val="30"/>
          <w:highlight w:val="none"/>
          <w:shd w:val="clear" w:color="auto" w:fill="FFFFFF"/>
          <w:lang w:val="en-US" w:eastAsia="zh-CN" w:bidi="ar-SA"/>
        </w:rPr>
        <w:t>根据湘财金[2026]4号文的规定，所有遴选区域在中选机构之外，按照本办法遴选1家得分最高且具备农业保险实施能力的机构作为后备机构。</w:t>
      </w:r>
    </w:p>
    <w:p w14:paraId="3CD671A3">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ind w:firstLine="600" w:firstLineChars="200"/>
        <w:jc w:val="left"/>
        <w:textAlignment w:val="auto"/>
        <w:rPr>
          <w:rFonts w:hint="eastAsia" w:ascii="宋体" w:hAnsi="宋体" w:eastAsia="宋体" w:cs="宋体"/>
          <w:color w:val="FF0000"/>
          <w:kern w:val="0"/>
          <w:sz w:val="30"/>
          <w:szCs w:val="30"/>
          <w:highlight w:val="none"/>
          <w:lang w:val="en-US" w:eastAsia="zh-CN" w:bidi="ar-SA"/>
        </w:rPr>
      </w:pPr>
      <w:r>
        <w:rPr>
          <w:rFonts w:hint="eastAsia" w:ascii="宋体" w:hAnsi="宋体" w:cs="宋体"/>
          <w:snapToGrid w:val="0"/>
          <w:color w:val="000000"/>
          <w:spacing w:val="0"/>
          <w:kern w:val="0"/>
          <w:sz w:val="30"/>
          <w:szCs w:val="30"/>
          <w:highlight w:val="none"/>
          <w:lang w:val="en-US" w:eastAsia="zh-CN" w:bidi="ar"/>
        </w:rPr>
        <w:t>遴选对象为保险公司所辖区域分支机构</w:t>
      </w:r>
      <w:r>
        <w:rPr>
          <w:rFonts w:hint="eastAsia" w:ascii="宋体" w:hAnsi="宋体" w:eastAsia="宋体" w:cs="宋体"/>
          <w:snapToGrid w:val="0"/>
          <w:color w:val="000000"/>
          <w:spacing w:val="0"/>
          <w:kern w:val="0"/>
          <w:sz w:val="30"/>
          <w:szCs w:val="30"/>
          <w:highlight w:val="none"/>
          <w:lang w:val="en-US" w:eastAsia="zh-CN" w:bidi="ar"/>
        </w:rPr>
        <w:t>，不接受市州级及以上分支机构报名。</w:t>
      </w:r>
    </w:p>
    <w:p w14:paraId="49A40A9F">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b/>
          <w:bCs/>
          <w:color w:val="auto"/>
          <w:kern w:val="0"/>
          <w:sz w:val="30"/>
          <w:szCs w:val="30"/>
          <w:highlight w:val="none"/>
          <w:lang w:val="en-US" w:eastAsia="zh-CN" w:bidi="ar-SA"/>
        </w:rPr>
        <w:t>五、服务期限的险种变化</w:t>
      </w:r>
      <w:bookmarkEnd w:id="14"/>
    </w:p>
    <w:p w14:paraId="5168D54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15" w:name="_Toc18148"/>
      <w:r>
        <w:rPr>
          <w:rFonts w:hint="eastAsia" w:ascii="宋体" w:hAnsi="宋体" w:eastAsia="宋体" w:cs="宋体"/>
          <w:kern w:val="0"/>
          <w:sz w:val="30"/>
          <w:szCs w:val="30"/>
          <w:highlight w:val="none"/>
        </w:rPr>
        <w:t>服务期限内各品种政策发生调整，仍由原中选承保机构承保。服务期内由于政策变化或当地产业发展需要出现新品种，参照</w:t>
      </w:r>
      <w:r>
        <w:rPr>
          <w:rFonts w:hint="eastAsia" w:ascii="宋体" w:hAnsi="宋体" w:eastAsia="宋体" w:cs="宋体"/>
          <w:kern w:val="0"/>
          <w:sz w:val="30"/>
          <w:szCs w:val="30"/>
          <w:highlight w:val="none"/>
          <w:lang w:eastAsia="zh-CN"/>
        </w:rPr>
        <w:t>湘财金【2026】4号</w:t>
      </w:r>
      <w:r>
        <w:rPr>
          <w:rFonts w:hint="eastAsia" w:ascii="宋体" w:hAnsi="宋体" w:eastAsia="宋体" w:cs="宋体"/>
          <w:kern w:val="0"/>
          <w:sz w:val="30"/>
          <w:szCs w:val="30"/>
          <w:highlight w:val="none"/>
        </w:rPr>
        <w:t>第</w:t>
      </w:r>
      <w:r>
        <w:rPr>
          <w:rFonts w:hint="eastAsia" w:ascii="宋体" w:hAnsi="宋体" w:eastAsia="宋体" w:cs="宋体"/>
          <w:kern w:val="0"/>
          <w:sz w:val="30"/>
          <w:szCs w:val="30"/>
          <w:highlight w:val="none"/>
          <w:lang w:val="en-US" w:eastAsia="zh-CN"/>
        </w:rPr>
        <w:t>十四</w:t>
      </w:r>
      <w:r>
        <w:rPr>
          <w:rFonts w:hint="eastAsia" w:ascii="宋体" w:hAnsi="宋体" w:eastAsia="宋体" w:cs="宋体"/>
          <w:kern w:val="0"/>
          <w:sz w:val="30"/>
          <w:szCs w:val="30"/>
          <w:highlight w:val="none"/>
        </w:rPr>
        <w:t>条规定确定承保机构，服务期限与该地区已遴选品种的剩余服务期限保持一致，下一轮遴选与其他品种一并开展。</w:t>
      </w:r>
    </w:p>
    <w:p w14:paraId="7584DFCD">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六、遴选小组</w:t>
      </w:r>
      <w:bookmarkEnd w:id="15"/>
    </w:p>
    <w:p w14:paraId="5747601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16" w:name="_Toc21796"/>
      <w:r>
        <w:rPr>
          <w:rFonts w:hint="eastAsia" w:ascii="宋体" w:hAnsi="宋体" w:eastAsia="宋体" w:cs="宋体"/>
          <w:kern w:val="0"/>
          <w:sz w:val="30"/>
          <w:szCs w:val="30"/>
          <w:highlight w:val="none"/>
        </w:rPr>
        <w:t>遴选小组由遴选人代表和评审专家组成，成员人数为5人（遴选人代表2人；评审专家3人，其中遴选区域专家1人，从湖南省政府采购评审专家库中随机抽取2人）。遴选小组成员与申请人存在利害关系的，应当回避。遴选小组成员名单在评审结果公告前应当保密。</w:t>
      </w:r>
    </w:p>
    <w:p w14:paraId="518BD34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七、遴选评审标准</w:t>
      </w:r>
      <w:bookmarkEnd w:id="16"/>
    </w:p>
    <w:p w14:paraId="707171A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评审按百分制计分，由省级评分指标和县级评分指标</w:t>
      </w:r>
      <w:r>
        <w:rPr>
          <w:rFonts w:hint="eastAsia" w:ascii="宋体" w:hAnsi="宋体" w:eastAsia="宋体" w:cs="宋体"/>
          <w:kern w:val="0"/>
          <w:sz w:val="30"/>
          <w:szCs w:val="30"/>
          <w:highlight w:val="none"/>
          <w:lang w:val="en-US" w:eastAsia="zh-CN"/>
        </w:rPr>
        <w:t>组成</w:t>
      </w:r>
      <w:r>
        <w:rPr>
          <w:rFonts w:hint="eastAsia" w:ascii="宋体" w:hAnsi="宋体" w:eastAsia="宋体" w:cs="宋体"/>
          <w:kern w:val="0"/>
          <w:sz w:val="30"/>
          <w:szCs w:val="30"/>
          <w:highlight w:val="none"/>
        </w:rPr>
        <w:t>。</w:t>
      </w:r>
    </w:p>
    <w:p w14:paraId="0648FFFD">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val="en-US" w:eastAsia="zh-CN"/>
        </w:rPr>
        <w:t>其中省级指标（</w:t>
      </w:r>
      <w:r>
        <w:rPr>
          <w:rFonts w:hint="default" w:ascii="宋体" w:hAnsi="宋体" w:eastAsia="宋体" w:cs="宋体"/>
          <w:color w:val="auto"/>
          <w:kern w:val="0"/>
          <w:sz w:val="30"/>
          <w:szCs w:val="30"/>
          <w:highlight w:val="none"/>
          <w:lang w:val="en-US" w:eastAsia="zh-CN"/>
        </w:rPr>
        <w:t>80</w:t>
      </w:r>
      <w:r>
        <w:rPr>
          <w:rFonts w:hint="eastAsia" w:ascii="宋体" w:hAnsi="宋体" w:eastAsia="宋体" w:cs="宋体"/>
          <w:color w:val="auto"/>
          <w:kern w:val="0"/>
          <w:sz w:val="30"/>
          <w:szCs w:val="30"/>
          <w:highlight w:val="none"/>
          <w:lang w:val="en-US" w:eastAsia="zh-CN"/>
        </w:rPr>
        <w:t>分）包括服务能力（</w:t>
      </w:r>
      <w:r>
        <w:rPr>
          <w:rFonts w:hint="default" w:ascii="宋体" w:hAnsi="宋体" w:eastAsia="宋体" w:cs="宋体"/>
          <w:color w:val="auto"/>
          <w:kern w:val="0"/>
          <w:sz w:val="30"/>
          <w:szCs w:val="30"/>
          <w:highlight w:val="none"/>
          <w:lang w:val="en-US" w:eastAsia="zh-CN"/>
        </w:rPr>
        <w:t>30</w:t>
      </w:r>
      <w:r>
        <w:rPr>
          <w:rFonts w:hint="eastAsia" w:ascii="宋体" w:hAnsi="宋体" w:eastAsia="宋体" w:cs="宋体"/>
          <w:color w:val="auto"/>
          <w:kern w:val="0"/>
          <w:sz w:val="30"/>
          <w:szCs w:val="30"/>
          <w:highlight w:val="none"/>
          <w:lang w:val="en-US" w:eastAsia="zh-CN"/>
        </w:rPr>
        <w:t>分）、服务业绩（</w:t>
      </w:r>
      <w:r>
        <w:rPr>
          <w:rFonts w:hint="default" w:ascii="宋体" w:hAnsi="宋体" w:eastAsia="宋体" w:cs="宋体"/>
          <w:color w:val="auto"/>
          <w:kern w:val="0"/>
          <w:sz w:val="30"/>
          <w:szCs w:val="30"/>
          <w:highlight w:val="none"/>
          <w:lang w:val="en-US" w:eastAsia="zh-CN"/>
        </w:rPr>
        <w:t>30</w:t>
      </w:r>
      <w:r>
        <w:rPr>
          <w:rFonts w:hint="eastAsia" w:ascii="宋体" w:hAnsi="宋体" w:eastAsia="宋体" w:cs="宋体"/>
          <w:color w:val="auto"/>
          <w:kern w:val="0"/>
          <w:sz w:val="30"/>
          <w:szCs w:val="30"/>
          <w:highlight w:val="none"/>
          <w:lang w:val="en-US" w:eastAsia="zh-CN"/>
        </w:rPr>
        <w:t>分）、合规经营及风险管控能力（</w:t>
      </w:r>
      <w:r>
        <w:rPr>
          <w:rFonts w:hint="default" w:ascii="宋体" w:hAnsi="宋体" w:eastAsia="宋体" w:cs="宋体"/>
          <w:color w:val="auto"/>
          <w:kern w:val="0"/>
          <w:sz w:val="30"/>
          <w:szCs w:val="30"/>
          <w:highlight w:val="none"/>
          <w:lang w:val="en-US" w:eastAsia="zh-CN"/>
        </w:rPr>
        <w:t>20</w:t>
      </w:r>
      <w:r>
        <w:rPr>
          <w:rFonts w:hint="eastAsia" w:ascii="宋体" w:hAnsi="宋体" w:eastAsia="宋体" w:cs="宋体"/>
          <w:color w:val="auto"/>
          <w:kern w:val="0"/>
          <w:sz w:val="30"/>
          <w:szCs w:val="30"/>
          <w:highlight w:val="none"/>
          <w:lang w:val="en-US" w:eastAsia="zh-CN"/>
        </w:rPr>
        <w:t>分）三项（具体指标及评分细则详见附件</w:t>
      </w:r>
      <w:r>
        <w:rPr>
          <w:rFonts w:hint="eastAsia" w:ascii="宋体" w:hAnsi="宋体" w:cs="宋体"/>
          <w:color w:val="auto"/>
          <w:kern w:val="0"/>
          <w:sz w:val="30"/>
          <w:szCs w:val="30"/>
          <w:highlight w:val="none"/>
          <w:lang w:val="en-US" w:eastAsia="zh-CN"/>
        </w:rPr>
        <w:t>2</w:t>
      </w:r>
      <w:r>
        <w:rPr>
          <w:rFonts w:hint="eastAsia" w:ascii="宋体" w:hAnsi="宋体" w:eastAsia="宋体" w:cs="宋体"/>
          <w:color w:val="auto"/>
          <w:kern w:val="0"/>
          <w:sz w:val="30"/>
          <w:szCs w:val="30"/>
          <w:highlight w:val="none"/>
          <w:lang w:val="en-US" w:eastAsia="zh-CN"/>
        </w:rPr>
        <w:t>）</w:t>
      </w:r>
      <w:r>
        <w:rPr>
          <w:rFonts w:hint="eastAsia" w:ascii="宋体" w:hAnsi="宋体" w:eastAsia="宋体" w:cs="宋体"/>
          <w:color w:val="auto"/>
          <w:kern w:val="0"/>
          <w:sz w:val="30"/>
          <w:szCs w:val="30"/>
          <w:highlight w:val="none"/>
        </w:rPr>
        <w:t>；</w:t>
      </w:r>
    </w:p>
    <w:p w14:paraId="0DEE6EF6">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县级自主设置指标一级指标分值为20分，二级指标从</w:t>
      </w:r>
      <w:r>
        <w:rPr>
          <w:rFonts w:hint="eastAsia" w:ascii="宋体" w:hAnsi="宋体" w:cs="宋体"/>
          <w:color w:val="auto"/>
          <w:kern w:val="0"/>
          <w:sz w:val="30"/>
          <w:szCs w:val="30"/>
          <w:highlight w:val="none"/>
          <w:lang w:eastAsia="zh-CN"/>
        </w:rPr>
        <w:t>五</w:t>
      </w:r>
      <w:r>
        <w:rPr>
          <w:rFonts w:hint="eastAsia" w:ascii="宋体" w:hAnsi="宋体" w:eastAsia="宋体" w:cs="宋体"/>
          <w:color w:val="auto"/>
          <w:kern w:val="0"/>
          <w:sz w:val="30"/>
          <w:szCs w:val="30"/>
          <w:highlight w:val="none"/>
        </w:rPr>
        <w:t>个方面进行设置分别为：</w:t>
      </w:r>
      <w:r>
        <w:rPr>
          <w:rFonts w:hint="eastAsia"/>
          <w:sz w:val="32"/>
          <w:szCs w:val="32"/>
          <w:highlight w:val="none"/>
        </w:rPr>
        <w:t>农业保险绩效评价，农业防灾减损，乡为振兴，资料报送</w:t>
      </w:r>
      <w:r>
        <w:rPr>
          <w:rFonts w:hint="eastAsia"/>
          <w:sz w:val="32"/>
          <w:szCs w:val="32"/>
          <w:highlight w:val="none"/>
          <w:lang w:eastAsia="zh-CN"/>
        </w:rPr>
        <w:t>，</w:t>
      </w:r>
      <w:r>
        <w:rPr>
          <w:rFonts w:hint="eastAsia"/>
          <w:sz w:val="32"/>
          <w:szCs w:val="32"/>
          <w:highlight w:val="none"/>
        </w:rPr>
        <w:t>响应文件制作。</w:t>
      </w:r>
      <w:r>
        <w:rPr>
          <w:rFonts w:hint="eastAsia" w:ascii="宋体" w:hAnsi="宋体" w:eastAsia="宋体" w:cs="宋体"/>
          <w:color w:val="auto"/>
          <w:kern w:val="0"/>
          <w:sz w:val="30"/>
          <w:szCs w:val="30"/>
          <w:highlight w:val="none"/>
          <w:lang w:eastAsia="zh-CN"/>
        </w:rPr>
        <w:t>（</w:t>
      </w:r>
      <w:r>
        <w:rPr>
          <w:rFonts w:hint="eastAsia" w:ascii="宋体" w:hAnsi="宋体" w:eastAsia="宋体" w:cs="宋体"/>
          <w:color w:val="auto"/>
          <w:kern w:val="0"/>
          <w:sz w:val="30"/>
          <w:szCs w:val="30"/>
          <w:highlight w:val="none"/>
        </w:rPr>
        <w:t>具体分值及要求见附件</w:t>
      </w:r>
      <w:r>
        <w:rPr>
          <w:rFonts w:hint="eastAsia" w:ascii="宋体" w:hAnsi="宋体" w:eastAsia="宋体" w:cs="宋体"/>
          <w:color w:val="auto"/>
          <w:kern w:val="0"/>
          <w:sz w:val="30"/>
          <w:szCs w:val="30"/>
          <w:highlight w:val="none"/>
          <w:lang w:val="en-US" w:eastAsia="zh-CN"/>
        </w:rPr>
        <w:t>3</w:t>
      </w:r>
      <w:r>
        <w:rPr>
          <w:rFonts w:hint="eastAsia" w:ascii="宋体" w:hAnsi="宋体" w:eastAsia="宋体" w:cs="宋体"/>
          <w:color w:val="auto"/>
          <w:kern w:val="0"/>
          <w:sz w:val="30"/>
          <w:szCs w:val="30"/>
          <w:highlight w:val="none"/>
          <w:lang w:eastAsia="zh-CN"/>
        </w:rPr>
        <w:t>）</w:t>
      </w:r>
    </w:p>
    <w:p w14:paraId="3BBD2D96">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17" w:name="_Toc30408"/>
      <w:bookmarkStart w:id="18" w:name="_Toc32290"/>
      <w:r>
        <w:rPr>
          <w:rFonts w:hint="eastAsia" w:ascii="宋体" w:hAnsi="宋体" w:eastAsia="宋体" w:cs="宋体"/>
          <w:b/>
          <w:bCs/>
          <w:color w:val="auto"/>
          <w:kern w:val="0"/>
          <w:sz w:val="30"/>
          <w:szCs w:val="30"/>
          <w:highlight w:val="none"/>
          <w:lang w:val="en-US" w:eastAsia="zh-CN" w:bidi="ar-SA"/>
        </w:rPr>
        <w:t>八、评审方法</w:t>
      </w:r>
      <w:bookmarkEnd w:id="17"/>
    </w:p>
    <w:p w14:paraId="172AFA0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19" w:name="_Toc17510"/>
      <w:r>
        <w:rPr>
          <w:rFonts w:hint="eastAsia" w:ascii="宋体" w:hAnsi="宋体" w:eastAsia="宋体" w:cs="宋体"/>
          <w:kern w:val="0"/>
          <w:sz w:val="30"/>
          <w:szCs w:val="30"/>
          <w:highlight w:val="none"/>
        </w:rPr>
        <w:t>采用综合评分法，按评审后总得分由高到低确定中选承保机构和优先选包顺序。总分相同的，按服务能力、服务业绩、合规经营及风险管控能力、市县自主设置指标的得分依次由高到低确定排名顺序。只有1家保险公司参与遴选时，符合遴选条件即可确认中选。</w:t>
      </w:r>
    </w:p>
    <w:p w14:paraId="65F83F2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九、遴选响应文件的编制及要求</w:t>
      </w:r>
      <w:bookmarkEnd w:id="19"/>
    </w:p>
    <w:p w14:paraId="36E5B0B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20" w:name="_Toc15583"/>
      <w:r>
        <w:rPr>
          <w:rFonts w:hint="eastAsia" w:ascii="宋体" w:hAnsi="宋体" w:eastAsia="宋体" w:cs="宋体"/>
          <w:kern w:val="0"/>
          <w:sz w:val="30"/>
          <w:szCs w:val="30"/>
          <w:highlight w:val="none"/>
        </w:rPr>
        <w:t>申请人应仔细阅读遴选文件的所有内容，按遴选文件要求编制遴选响应文件，并保证所提供的的全部资料的真实性，以使其响应文件对遴选文件作出实质性响应。遴选响应文件采用书面形式（电报、传真、电子邮件形式的响应文件概不接受），并按遴选文件中提供的响应文件格式（见第四章）填写。</w:t>
      </w:r>
    </w:p>
    <w:p w14:paraId="78811E4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申请人响应文件的有效期为90日，从提交响应文件截止时间之日起计算。在此期间内响应文件对申请人具有法律效力。</w:t>
      </w:r>
    </w:p>
    <w:p w14:paraId="69E38D4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申请人响应文件的正本和副本应装订成册，正本一份、副本</w:t>
      </w:r>
      <w:r>
        <w:rPr>
          <w:rFonts w:hint="eastAsia" w:ascii="宋体" w:hAnsi="宋体" w:cs="宋体"/>
          <w:kern w:val="0"/>
          <w:sz w:val="30"/>
          <w:szCs w:val="30"/>
          <w:highlight w:val="none"/>
          <w:lang w:val="en-US" w:eastAsia="zh-CN"/>
        </w:rPr>
        <w:t>四</w:t>
      </w:r>
      <w:r>
        <w:rPr>
          <w:rFonts w:hint="eastAsia" w:ascii="宋体" w:hAnsi="宋体" w:eastAsia="宋体" w:cs="宋体"/>
          <w:kern w:val="0"/>
          <w:sz w:val="30"/>
          <w:szCs w:val="30"/>
          <w:highlight w:val="none"/>
        </w:rPr>
        <w:t>份、电子文件一份。正本和副本的封面上应标记“正本”或“副本”字样；当正本和副本有差异时，以正本为准。</w:t>
      </w:r>
    </w:p>
    <w:p w14:paraId="168BD064">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十、遴选响应文件的递交、补充、修改或者撤回</w:t>
      </w:r>
      <w:bookmarkEnd w:id="20"/>
    </w:p>
    <w:p w14:paraId="22A9EFE1">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申请人按照遴选邀请中规定的时间、方式递交遴选响应文件，截止时间后不得补充、修改或者撤回。</w:t>
      </w:r>
    </w:p>
    <w:p w14:paraId="70943BF9">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1" w:name="_Toc1194"/>
      <w:r>
        <w:rPr>
          <w:rFonts w:hint="eastAsia" w:ascii="宋体" w:hAnsi="宋体" w:eastAsia="宋体" w:cs="宋体"/>
          <w:b/>
          <w:bCs/>
          <w:color w:val="auto"/>
          <w:kern w:val="0"/>
          <w:sz w:val="30"/>
          <w:szCs w:val="30"/>
          <w:highlight w:val="none"/>
          <w:lang w:val="en-US" w:eastAsia="zh-CN" w:bidi="ar-SA"/>
        </w:rPr>
        <w:t>十一、评审程序</w:t>
      </w:r>
      <w:bookmarkEnd w:id="21"/>
    </w:p>
    <w:p w14:paraId="0681034F">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评审程序由遴选小组负责完成，包括遴选响应文件资格性、符合性审查、评审计分以及按得分由高到低排序。</w:t>
      </w:r>
    </w:p>
    <w:p w14:paraId="4B9F4E03">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kern w:val="0"/>
          <w:sz w:val="30"/>
          <w:szCs w:val="30"/>
          <w:highlight w:val="none"/>
        </w:rPr>
        <w:t>资格性审查指对申请人响应文件的资格证明文件进行审查，以确定是否具备参加遴选资格条件。</w:t>
      </w:r>
    </w:p>
    <w:p w14:paraId="43D012B7">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符合性审查指对申请人响应文件有效性、完整性和响应程度进行审查，以确定是否对遴选文件的实质性响应要求作出响应。</w:t>
      </w:r>
    </w:p>
    <w:p w14:paraId="34C0CF06">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实质性响应指申请人响应文件与遴选文件要求的所有条款相符，没有偏离。实质性响应与否应由遴选小组认定，非实质性响应的申请人响应文件将不予评审计分。</w:t>
      </w:r>
    </w:p>
    <w:p w14:paraId="0D4EB49C">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遴选小组依据遴选评审标准，采用综合评分法计算申请人的得分。</w:t>
      </w:r>
    </w:p>
    <w:p w14:paraId="51A1AEE7">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2" w:name="_Toc23064"/>
      <w:r>
        <w:rPr>
          <w:rFonts w:hint="eastAsia" w:ascii="宋体" w:hAnsi="宋体" w:eastAsia="宋体" w:cs="宋体"/>
          <w:b/>
          <w:bCs/>
          <w:color w:val="auto"/>
          <w:kern w:val="0"/>
          <w:sz w:val="30"/>
          <w:szCs w:val="30"/>
          <w:highlight w:val="none"/>
          <w:lang w:val="en-US" w:eastAsia="zh-CN" w:bidi="ar-SA"/>
        </w:rPr>
        <w:t>十二、中选承保机构确定</w:t>
      </w:r>
      <w:bookmarkEnd w:id="22"/>
    </w:p>
    <w:p w14:paraId="4C4E482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color w:val="auto"/>
          <w:kern w:val="0"/>
          <w:sz w:val="30"/>
          <w:szCs w:val="30"/>
          <w:highlight w:val="none"/>
        </w:rPr>
      </w:pPr>
      <w:bookmarkStart w:id="23" w:name="_Toc21006"/>
      <w:r>
        <w:rPr>
          <w:rFonts w:hint="eastAsia" w:ascii="宋体" w:hAnsi="宋体" w:eastAsia="宋体" w:cs="宋体"/>
          <w:color w:val="auto"/>
          <w:kern w:val="0"/>
          <w:sz w:val="30"/>
          <w:szCs w:val="30"/>
          <w:highlight w:val="none"/>
        </w:rPr>
        <w:t>市州财政局、农业农村局应当在评审结束后5个工作日内确定中选承保机构。市州财政局应当自中选承保机构确定之日起2个工作日内，在门户网站公告中选结果，遴选文件应当随中选结果同时公告。中选公告期限为5个工作日。参与遴选的申请人实质性响应不足3家时，符合遴选条件的申请人即可中选。</w:t>
      </w:r>
    </w:p>
    <w:p w14:paraId="3F640A08">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十三、放弃中选或转包</w:t>
      </w:r>
      <w:bookmarkEnd w:id="23"/>
    </w:p>
    <w:p w14:paraId="0588BBA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24" w:name="_Toc17756"/>
      <w:r>
        <w:rPr>
          <w:rFonts w:hint="eastAsia" w:ascii="宋体" w:hAnsi="宋体" w:eastAsia="宋体" w:cs="宋体"/>
          <w:kern w:val="0"/>
          <w:sz w:val="30"/>
          <w:szCs w:val="30"/>
          <w:highlight w:val="none"/>
          <w:lang w:val="en-US" w:eastAsia="zh-CN"/>
        </w:rPr>
        <w:t>中选通知书发出后，市州、省直管县市财政、农业农村等部门不得违规改变中选结果，中选承保机构无正当理由不得放弃中选且不得转包。放弃中选包的，视同放弃中选；放弃中选或转包的，在下一个遴选周期不得参与申请。放弃的中选包由其他中选承保机构和后备承保机构按本办法规定的选包规则依次补选。</w:t>
      </w:r>
    </w:p>
    <w:p w14:paraId="354209C3">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十四、合同签订及履约管理</w:t>
      </w:r>
      <w:bookmarkEnd w:id="24"/>
    </w:p>
    <w:p w14:paraId="0B1DBFD9">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cs="宋体"/>
          <w:kern w:val="0"/>
          <w:sz w:val="30"/>
          <w:szCs w:val="30"/>
          <w:highlight w:val="none"/>
          <w:lang w:val="en-US" w:eastAsia="zh-CN"/>
        </w:rPr>
      </w:pPr>
      <w:bookmarkStart w:id="25" w:name="_Toc19986"/>
      <w:r>
        <w:rPr>
          <w:rFonts w:hint="eastAsia" w:ascii="宋体" w:hAnsi="宋体" w:eastAsia="宋体" w:cs="宋体"/>
          <w:kern w:val="0"/>
          <w:sz w:val="30"/>
          <w:szCs w:val="30"/>
          <w:highlight w:val="none"/>
          <w:lang w:val="en-US" w:eastAsia="zh-CN"/>
        </w:rPr>
        <w:t>市州、省直管县市财政局、农业农村局应当自中选通知书发出之日起15日内，按照遴选文件、中选承保机构响应文件以及农业保险政策法规规定，与本遴选区域中选承保机构签订书面合同。所签订的合同不得对遴选文件确定的事项和中选承保机构响应文件作实质性修改。市县财政局、农业农村局不得向中选承保机构提出任何不合理的要求作为签订合同的条件。市县财政局应在合同签订后10个工作日内，以市州为单位汇总后将遴选工作实施情况、遴选结果等书面报送省财政厅</w:t>
      </w:r>
      <w:r>
        <w:rPr>
          <w:rFonts w:hint="eastAsia" w:ascii="宋体" w:hAnsi="宋体" w:cs="宋体"/>
          <w:kern w:val="0"/>
          <w:sz w:val="30"/>
          <w:szCs w:val="30"/>
          <w:highlight w:val="none"/>
          <w:lang w:val="en-US" w:eastAsia="zh-CN"/>
        </w:rPr>
        <w:t>。</w:t>
      </w:r>
    </w:p>
    <w:p w14:paraId="220279FD">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中选承保机构在遴选区域承保服务期限为3年。在服务期限内，如存在以下情形的，取消中选承保机构在该区域剩余服务期限内的承保资格：</w:t>
      </w:r>
    </w:p>
    <w:p w14:paraId="159825F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1、在服务期限内连续两年绩效评价在70分以以下或单次绩效评价在60分以下的；</w:t>
      </w:r>
    </w:p>
    <w:p w14:paraId="67221838">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2、承保机构被财政等相关管理部门处罚停止农业保险补贴或业务的；</w:t>
      </w:r>
    </w:p>
    <w:p w14:paraId="7D575ED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3、承保机构及其所属省级分公司、总公司因农业保险业务受到金融监管部门重大行政处罚的（重大行政处罚标准以金融监管部门认定为准）；</w:t>
      </w:r>
    </w:p>
    <w:p w14:paraId="0D243BC9">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4、承保机构及其负责人因农业保险严重违规被移送纪检监察及司法部门并受到处理的；</w:t>
      </w:r>
    </w:p>
    <w:p w14:paraId="0894A7E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5、以违规引税等不正当手段获得中选资格的；</w:t>
      </w:r>
    </w:p>
    <w:p w14:paraId="60874C10">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6、承保机构因农业保险违规行为引发重大舆情的；</w:t>
      </w:r>
    </w:p>
    <w:p w14:paraId="6D43D3A6">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7、中央和我省其他农业保险相关政策文件规定应取消承保资格的情形。</w:t>
      </w:r>
    </w:p>
    <w:p w14:paraId="31122991">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lang w:val="en-US" w:eastAsia="zh-CN" w:bidi="ar-SA"/>
        </w:rPr>
        <w:t>取消资格后该承保机构负责的业务，以标包为单位由后备承保机构、其他中选承保机构依次选包承接，服务期限为原中选承保机构的剩余服务期限，相关情况应及时报省财政厅、省农业农村厅备案。</w:t>
      </w:r>
    </w:p>
    <w:p w14:paraId="4F57E9BC">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十五、特殊情形</w:t>
      </w:r>
      <w:bookmarkEnd w:id="25"/>
    </w:p>
    <w:p w14:paraId="543735B7">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如有特殊情况，向省财政厅报告并经批准后再开展遴选工作。</w:t>
      </w:r>
    </w:p>
    <w:p w14:paraId="0D1378DD">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6" w:name="_Toc28538"/>
      <w:r>
        <w:rPr>
          <w:rFonts w:hint="eastAsia" w:ascii="宋体" w:hAnsi="宋体" w:eastAsia="宋体" w:cs="宋体"/>
          <w:b/>
          <w:bCs/>
          <w:color w:val="auto"/>
          <w:kern w:val="0"/>
          <w:sz w:val="30"/>
          <w:szCs w:val="30"/>
          <w:highlight w:val="none"/>
          <w:lang w:val="en-US" w:eastAsia="zh-CN" w:bidi="ar-SA"/>
        </w:rPr>
        <w:t>十六、保密及串通行为</w:t>
      </w:r>
      <w:bookmarkEnd w:id="26"/>
    </w:p>
    <w:p w14:paraId="2AE8444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遴选小组成员以及其他与评审工作有关人员不得泄露遴选过程中获悉的国家秘密、商业秘密。</w:t>
      </w:r>
    </w:p>
    <w:p w14:paraId="63A68CA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不得与遴选人、其他申请人恶意串通，或向遴选小组成员行贿或提供其他不正当利益，不得提供虚假资料谋取中选，不得以任何方式干扰、影响遴选工作。否则，依据有关规定取消中选资格，列入不良记录名单，并予以通报。</w:t>
      </w:r>
    </w:p>
    <w:p w14:paraId="695965E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7" w:name="_Toc28247"/>
      <w:r>
        <w:rPr>
          <w:rFonts w:hint="eastAsia" w:ascii="宋体" w:hAnsi="宋体" w:eastAsia="宋体" w:cs="宋体"/>
          <w:b/>
          <w:bCs/>
          <w:color w:val="auto"/>
          <w:kern w:val="0"/>
          <w:sz w:val="30"/>
          <w:szCs w:val="30"/>
          <w:highlight w:val="none"/>
          <w:lang w:val="en-US" w:eastAsia="zh-CN" w:bidi="ar-SA"/>
        </w:rPr>
        <w:t>十七、遴选监督</w:t>
      </w:r>
      <w:bookmarkEnd w:id="27"/>
    </w:p>
    <w:p w14:paraId="4A7C089B">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eastAsia="zh-CN"/>
        </w:rPr>
        <w:t>怀化市财政局机关纪委和怀化市农业农村局机关纪委</w:t>
      </w:r>
      <w:r>
        <w:rPr>
          <w:rFonts w:hint="eastAsia" w:ascii="宋体" w:hAnsi="宋体" w:eastAsia="宋体" w:cs="宋体"/>
          <w:color w:val="auto"/>
          <w:kern w:val="0"/>
          <w:sz w:val="30"/>
          <w:szCs w:val="30"/>
          <w:highlight w:val="none"/>
        </w:rPr>
        <w:t>将对本次遴选工作全过程监督。欢迎社会各界检举、揭发本次遴选中的各种违法、违纪行为。</w:t>
      </w:r>
    </w:p>
    <w:p w14:paraId="2D938D6D">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电话：</w:t>
      </w:r>
      <w:r>
        <w:rPr>
          <w:rFonts w:hint="eastAsia" w:ascii="宋体" w:hAnsi="宋体" w:eastAsia="宋体" w:cs="宋体"/>
          <w:kern w:val="0"/>
          <w:sz w:val="30"/>
          <w:szCs w:val="30"/>
          <w:highlight w:val="none"/>
        </w:rPr>
        <w:t>0745-2</w:t>
      </w:r>
      <w:r>
        <w:rPr>
          <w:rFonts w:hint="eastAsia" w:ascii="宋体" w:hAnsi="宋体" w:eastAsia="宋体" w:cs="宋体"/>
          <w:kern w:val="0"/>
          <w:sz w:val="30"/>
          <w:szCs w:val="30"/>
          <w:highlight w:val="none"/>
          <w:lang w:val="en-US" w:eastAsia="zh-CN"/>
        </w:rPr>
        <w:t>725227     0745-2331026</w:t>
      </w:r>
      <w:r>
        <w:rPr>
          <w:rFonts w:hint="eastAsia" w:ascii="宋体" w:hAnsi="宋体" w:eastAsia="宋体" w:cs="宋体"/>
          <w:color w:val="auto"/>
          <w:kern w:val="0"/>
          <w:sz w:val="30"/>
          <w:szCs w:val="30"/>
          <w:highlight w:val="none"/>
        </w:rPr>
        <w:t>。</w:t>
      </w:r>
    </w:p>
    <w:p w14:paraId="1156A930">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8" w:name="_Toc18295"/>
      <w:r>
        <w:rPr>
          <w:rFonts w:hint="eastAsia" w:ascii="宋体" w:hAnsi="宋体" w:eastAsia="宋体" w:cs="宋体"/>
          <w:b/>
          <w:bCs/>
          <w:color w:val="auto"/>
          <w:kern w:val="0"/>
          <w:sz w:val="30"/>
          <w:szCs w:val="30"/>
          <w:highlight w:val="none"/>
          <w:lang w:val="en-US" w:eastAsia="zh-CN" w:bidi="ar-SA"/>
        </w:rPr>
        <w:t>十八、评分标准</w:t>
      </w:r>
      <w:bookmarkEnd w:id="28"/>
    </w:p>
    <w:p w14:paraId="3FE28127">
      <w:pPr>
        <w:pStyle w:val="4"/>
        <w:keepNext w:val="0"/>
        <w:keepLines w:val="0"/>
        <w:pageBreakBefore w:val="0"/>
        <w:widowControl w:val="0"/>
        <w:kinsoku/>
        <w:wordWrap w:val="0"/>
        <w:overflowPunct/>
        <w:topLinePunct w:val="0"/>
        <w:autoSpaceDE w:val="0"/>
        <w:autoSpaceDN w:val="0"/>
        <w:bidi w:val="0"/>
        <w:adjustRightInd w:val="0"/>
        <w:snapToGrid w:val="0"/>
        <w:spacing w:before="0" w:beforeLines="0" w:after="0" w:afterLines="0" w:line="360" w:lineRule="auto"/>
        <w:ind w:firstLine="600" w:firstLineChars="200"/>
        <w:jc w:val="left"/>
        <w:textAlignment w:val="auto"/>
        <w:rPr>
          <w:rFonts w:hint="eastAsia" w:ascii="宋体" w:hAnsi="宋体" w:eastAsia="宋体" w:cs="宋体"/>
          <w:b w:val="0"/>
          <w:color w:val="auto"/>
          <w:kern w:val="0"/>
          <w:sz w:val="30"/>
          <w:szCs w:val="30"/>
          <w:highlight w:val="none"/>
          <w:lang w:val="en-US" w:eastAsia="zh-CN" w:bidi="ar-SA"/>
        </w:rPr>
      </w:pPr>
      <w:r>
        <w:rPr>
          <w:rFonts w:hint="eastAsia" w:ascii="宋体" w:hAnsi="宋体" w:eastAsia="宋体" w:cs="宋体"/>
          <w:b w:val="0"/>
          <w:color w:val="auto"/>
          <w:kern w:val="0"/>
          <w:sz w:val="30"/>
          <w:szCs w:val="30"/>
          <w:highlight w:val="none"/>
          <w:lang w:val="en-US" w:eastAsia="zh-CN" w:bidi="ar-SA"/>
        </w:rPr>
        <w:t>具体指标详见附件2《公开竞争性遴选政策性农业保险承保机构评审标准（省级）》与附件3《公开竞争性遴选政策性农业保险承保机构评审标准（县级）》</w:t>
      </w:r>
    </w:p>
    <w:p w14:paraId="30C9D9D4">
      <w:pPr>
        <w:pStyle w:val="4"/>
        <w:bidi w:val="0"/>
        <w:rPr>
          <w:rFonts w:hint="eastAsia" w:ascii="宋体" w:hAnsi="宋体" w:eastAsia="宋体" w:cs="宋体"/>
          <w:sz w:val="24"/>
          <w:szCs w:val="24"/>
          <w:highlight w:val="none"/>
        </w:rPr>
        <w:sectPr>
          <w:footerReference r:id="rId3" w:type="default"/>
          <w:pgSz w:w="11906" w:h="16838"/>
          <w:pgMar w:top="1701" w:right="1279" w:bottom="1701" w:left="1587" w:header="851" w:footer="1417" w:gutter="0"/>
          <w:pgBorders>
            <w:top w:val="none" w:sz="0" w:space="0"/>
            <w:left w:val="none" w:sz="0" w:space="0"/>
            <w:bottom w:val="none" w:sz="0" w:space="0"/>
            <w:right w:val="none" w:sz="0" w:space="0"/>
          </w:pgBorders>
          <w:pgNumType w:fmt="decimal" w:start="1"/>
          <w:cols w:space="720" w:num="1"/>
          <w:docGrid w:type="lines" w:linePitch="312" w:charSpace="0"/>
        </w:sectPr>
      </w:pPr>
    </w:p>
    <w:p w14:paraId="7F85BC8A">
      <w:pPr>
        <w:pStyle w:val="4"/>
        <w:keepNext/>
        <w:keepLines/>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附件1</w:t>
      </w:r>
      <w:bookmarkEnd w:id="18"/>
      <w:r>
        <w:rPr>
          <w:rFonts w:hint="eastAsia" w:ascii="宋体" w:hAnsi="宋体" w:cs="宋体"/>
          <w:sz w:val="24"/>
          <w:szCs w:val="24"/>
          <w:highlight w:val="none"/>
          <w:lang w:eastAsia="zh-CN"/>
        </w:rPr>
        <w:t>：</w:t>
      </w:r>
    </w:p>
    <w:p w14:paraId="07B247B4">
      <w:pPr>
        <w:pStyle w:val="4"/>
        <w:keepNext/>
        <w:keepLines/>
        <w:pageBreakBefore w:val="0"/>
        <w:widowControl w:val="0"/>
        <w:kinsoku/>
        <w:wordWrap/>
        <w:overflowPunct/>
        <w:topLinePunct w:val="0"/>
        <w:autoSpaceDE/>
        <w:autoSpaceDN/>
        <w:bidi w:val="0"/>
        <w:adjustRightInd w:val="0"/>
        <w:snapToGrid w:val="0"/>
        <w:spacing w:before="0" w:after="0" w:line="240" w:lineRule="auto"/>
        <w:jc w:val="right"/>
        <w:textAlignment w:val="auto"/>
        <w:rPr>
          <w:rFonts w:hint="eastAsia" w:ascii="宋体" w:hAnsi="宋体" w:eastAsia="宋体" w:cs="宋体"/>
          <w:highlight w:val="none"/>
        </w:rPr>
      </w:pPr>
      <w:r>
        <w:rPr>
          <w:rFonts w:hint="eastAsia" w:ascii="宋体" w:hAnsi="宋体" w:cs="宋体"/>
          <w:sz w:val="24"/>
          <w:szCs w:val="24"/>
          <w:highlight w:val="none"/>
          <w:lang w:eastAsia="zh-CN"/>
        </w:rPr>
        <w:t>金额（元）</w:t>
      </w:r>
    </w:p>
    <w:tbl>
      <w:tblPr>
        <w:tblStyle w:val="20"/>
        <w:tblW w:w="92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2773"/>
        <w:gridCol w:w="1374"/>
        <w:gridCol w:w="1358"/>
        <w:gridCol w:w="881"/>
        <w:gridCol w:w="2183"/>
      </w:tblGrid>
      <w:tr w14:paraId="5B71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707" w:type="dxa"/>
            <w:tcBorders>
              <w:top w:val="single" w:color="000000" w:sz="4" w:space="0"/>
              <w:left w:val="single" w:color="000000" w:sz="4" w:space="0"/>
              <w:bottom w:val="nil"/>
              <w:right w:val="single" w:color="000000" w:sz="4" w:space="0"/>
            </w:tcBorders>
            <w:shd w:val="clear" w:color="auto" w:fill="auto"/>
            <w:vAlign w:val="center"/>
          </w:tcPr>
          <w:p w14:paraId="058A3176">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分包</w:t>
            </w:r>
          </w:p>
        </w:tc>
        <w:tc>
          <w:tcPr>
            <w:tcW w:w="2773" w:type="dxa"/>
            <w:tcBorders>
              <w:top w:val="single" w:color="000000" w:sz="4" w:space="0"/>
              <w:left w:val="single" w:color="000000" w:sz="4" w:space="0"/>
              <w:bottom w:val="nil"/>
              <w:right w:val="single" w:color="000000" w:sz="4" w:space="0"/>
            </w:tcBorders>
            <w:shd w:val="clear" w:color="auto" w:fill="auto"/>
            <w:vAlign w:val="center"/>
          </w:tcPr>
          <w:p w14:paraId="7BB0A540">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险种</w:t>
            </w:r>
          </w:p>
        </w:tc>
        <w:tc>
          <w:tcPr>
            <w:tcW w:w="1374" w:type="dxa"/>
            <w:tcBorders>
              <w:top w:val="single" w:color="000000" w:sz="4" w:space="0"/>
              <w:left w:val="single" w:color="000000" w:sz="4" w:space="0"/>
              <w:bottom w:val="nil"/>
              <w:right w:val="single" w:color="000000" w:sz="4" w:space="0"/>
            </w:tcBorders>
            <w:shd w:val="clear" w:color="auto" w:fill="auto"/>
            <w:vAlign w:val="center"/>
          </w:tcPr>
          <w:p w14:paraId="1D688E2A">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lang w:val="en-US" w:eastAsia="zh-CN" w:bidi="ar"/>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保费金额</w:t>
            </w:r>
          </w:p>
          <w:p w14:paraId="04813FFC">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（元）</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8AAD">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lang w:val="en-US" w:eastAsia="zh-CN" w:bidi="ar"/>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小计</w:t>
            </w:r>
          </w:p>
          <w:p w14:paraId="5FB5CF5B">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（元）</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3D80">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占比</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42A4">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lang w:val="en-US" w:eastAsia="zh-CN" w:bidi="ar"/>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行政区域</w:t>
            </w:r>
          </w:p>
        </w:tc>
      </w:tr>
      <w:tr w14:paraId="27AA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C057">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包1</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020F">
            <w:pPr>
              <w:keepNext w:val="0"/>
              <w:keepLines w:val="0"/>
              <w:widowControl/>
              <w:suppressLineNumbers w:val="0"/>
              <w:jc w:val="left"/>
              <w:textAlignment w:val="center"/>
              <w:rPr>
                <w:rFonts w:hint="default"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育肥猪；能繁母猪；水稻完全成本（大户）；水稻完全成本（散户）；水稻种植（普惠型）；杂交水稻制种；玉米；油菜；商品林；公益林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A7DF">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7905332.76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50CD">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7905332.76</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DF65">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30.07%</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053C">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新厂镇</w:t>
            </w:r>
          </w:p>
        </w:tc>
      </w:tr>
      <w:tr w14:paraId="69D4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59DF">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包2</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4780">
            <w:pPr>
              <w:keepNext w:val="0"/>
              <w:keepLines w:val="0"/>
              <w:widowControl/>
              <w:suppressLineNumbers w:val="0"/>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育肥猪；能繁母猪；水稻完全成本（大户）；水稻完全成本（散户）；水稻种植（普惠型）；杂交水稻制种；玉米；油菜；商品林；公益林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A52E">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7896442.36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9ECB">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7896442.36</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1B15">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30.04%</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6BF6">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渠阳便民服务中心（含排牙山）、江东便民服务中心、艮山口便民服务中心、铺口便民服务中心、横江桥便民服务中心、飞山便民服务中心、平茶镇</w:t>
            </w:r>
          </w:p>
        </w:tc>
      </w:tr>
      <w:tr w14:paraId="7A7B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D205">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包3</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5589">
            <w:pPr>
              <w:keepNext w:val="0"/>
              <w:keepLines w:val="0"/>
              <w:widowControl/>
              <w:suppressLineNumbers w:val="0"/>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育肥猪；能繁母</w:t>
            </w:r>
            <w:r>
              <w:rPr>
                <w:rFonts w:hint="eastAsia" w:ascii="宋体" w:hAnsi="宋体" w:cs="宋体"/>
                <w:i w:val="0"/>
                <w:iCs w:val="0"/>
                <w:color w:val="000000"/>
                <w:kern w:val="0"/>
                <w:sz w:val="20"/>
                <w:szCs w:val="20"/>
                <w:highlight w:val="none"/>
                <w:u w:val="none"/>
                <w:lang w:val="en-US" w:eastAsia="zh-CN" w:bidi="ar"/>
              </w:rPr>
              <w:t>猪</w:t>
            </w:r>
            <w:r>
              <w:rPr>
                <w:rFonts w:hint="eastAsia" w:ascii="宋体" w:hAnsi="宋体" w:eastAsia="宋体" w:cs="宋体"/>
                <w:i w:val="0"/>
                <w:iCs w:val="0"/>
                <w:color w:val="000000"/>
                <w:kern w:val="0"/>
                <w:sz w:val="20"/>
                <w:szCs w:val="20"/>
                <w:highlight w:val="none"/>
                <w:u w:val="none"/>
                <w:lang w:val="en-US" w:eastAsia="zh-CN" w:bidi="ar"/>
              </w:rPr>
              <w:t>；水稻完全成本（大户）；水稻种植（普惠型）；杂交水稻制种；玉米；油菜；商品林；公益林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41FB">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4848483.92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A4F6">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4848483.92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2E0F">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18.44%</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EF99">
            <w:pPr>
              <w:keepNext w:val="0"/>
              <w:keepLines w:val="0"/>
              <w:widowControl/>
              <w:suppressLineNumbers w:val="0"/>
              <w:jc w:val="center"/>
              <w:textAlignment w:val="center"/>
              <w:rPr>
                <w:rFonts w:hint="eastAsia" w:ascii="宋体" w:hAnsi="宋体" w:eastAsia="宋体" w:cs="宋体"/>
                <w:b/>
                <w:bCs/>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甘棠镇、坳上镇</w:t>
            </w:r>
          </w:p>
        </w:tc>
      </w:tr>
      <w:tr w14:paraId="17282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2"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C835">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包4</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FC6B">
            <w:pPr>
              <w:keepNext w:val="0"/>
              <w:keepLines w:val="0"/>
              <w:widowControl/>
              <w:suppressLineNumbers w:val="0"/>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育肥猪；能繁母猪；水稻完全成本（大户）；水稻完全成本（散户）；水稻种植（普惠型）；杂交水稻制种；玉米；油菜；商品林；公益林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4D0A">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2978008.84</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280D">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2978008.84</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71DC">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11.33%</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4A4F">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大堡子镇、藕团乡、文溪乡</w:t>
            </w:r>
          </w:p>
        </w:tc>
      </w:tr>
      <w:tr w14:paraId="5B20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2"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D0DA">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default" w:ascii="宋体" w:hAnsi="宋体" w:eastAsia="宋体" w:cs="宋体"/>
                <w:snapToGrid w:val="0"/>
                <w:spacing w:val="0"/>
                <w:kern w:val="0"/>
                <w:sz w:val="20"/>
                <w:szCs w:val="20"/>
                <w:highlight w:val="none"/>
                <w:lang w:val="en-US" w:eastAsia="zh-CN" w:bidi="ar-SA"/>
              </w:rPr>
            </w:pPr>
            <w:r>
              <w:rPr>
                <w:rFonts w:hint="eastAsia" w:ascii="宋体" w:hAnsi="宋体" w:cs="宋体"/>
                <w:snapToGrid w:val="0"/>
                <w:spacing w:val="0"/>
                <w:kern w:val="0"/>
                <w:sz w:val="20"/>
                <w:szCs w:val="20"/>
                <w:highlight w:val="none"/>
                <w:lang w:val="en-US" w:eastAsia="zh-CN" w:bidi="ar-SA"/>
              </w:rPr>
              <w:t>包5</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886D">
            <w:pPr>
              <w:keepNext w:val="0"/>
              <w:keepLines w:val="0"/>
              <w:widowControl/>
              <w:suppressLineNumbers w:val="0"/>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育肥猪；能繁母猪；水稻完全成本（大户）；水稻完全成本（散户）；水稻种植（普惠型）；杂交水稻制种；玉米；油菜；商品林；公益林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6D7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2658432.12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47A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2658432.12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5FA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10.11%</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D6AE">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三锹乡、寨牙乡、太阳坪乡</w:t>
            </w:r>
          </w:p>
        </w:tc>
      </w:tr>
    </w:tbl>
    <w:p w14:paraId="0ECFB39C">
      <w:pPr>
        <w:pStyle w:val="17"/>
        <w:rPr>
          <w:rFonts w:hint="eastAsia"/>
          <w:highlight w:val="none"/>
        </w:rPr>
      </w:pPr>
    </w:p>
    <w:p w14:paraId="3D9549A5">
      <w:pPr>
        <w:pStyle w:val="18"/>
        <w:rPr>
          <w:rFonts w:hint="eastAsia"/>
          <w:highlight w:val="none"/>
        </w:rPr>
        <w:sectPr>
          <w:pgSz w:w="11906" w:h="16838"/>
          <w:pgMar w:top="1701" w:right="1134" w:bottom="1701" w:left="1587" w:header="851" w:footer="1417" w:gutter="0"/>
          <w:pgBorders>
            <w:top w:val="none" w:sz="0" w:space="0"/>
            <w:left w:val="none" w:sz="0" w:space="0"/>
            <w:bottom w:val="none" w:sz="0" w:space="0"/>
            <w:right w:val="none" w:sz="0" w:space="0"/>
          </w:pgBorders>
          <w:pgNumType w:fmt="decimal" w:start="1"/>
          <w:cols w:space="720" w:num="1"/>
          <w:docGrid w:type="lines" w:linePitch="312" w:charSpace="0"/>
        </w:sectPr>
      </w:pPr>
    </w:p>
    <w:p w14:paraId="50FBACC3">
      <w:pPr>
        <w:pStyle w:val="4"/>
        <w:keepNext/>
        <w:keepLines/>
        <w:pageBreakBefore w:val="0"/>
        <w:widowControl w:val="0"/>
        <w:kinsoku/>
        <w:wordWrap/>
        <w:overflowPunct/>
        <w:topLinePunct w:val="0"/>
        <w:autoSpaceDE/>
        <w:autoSpaceDN/>
        <w:bidi w:val="0"/>
        <w:adjustRightInd w:val="0"/>
        <w:snapToGrid w:val="0"/>
        <w:spacing w:before="0" w:after="0" w:line="413" w:lineRule="auto"/>
        <w:textAlignment w:val="auto"/>
        <w:rPr>
          <w:rFonts w:hint="eastAsia" w:ascii="宋体" w:hAnsi="宋体" w:eastAsia="宋体" w:cs="宋体"/>
          <w:b/>
          <w:sz w:val="24"/>
          <w:szCs w:val="24"/>
          <w:highlight w:val="none"/>
        </w:rPr>
      </w:pPr>
      <w:bookmarkStart w:id="29" w:name="_Toc2672"/>
      <w:bookmarkStart w:id="30" w:name="OLE_LINK1"/>
      <w:r>
        <w:rPr>
          <w:rFonts w:hint="eastAsia" w:ascii="宋体" w:hAnsi="宋体" w:eastAsia="宋体" w:cs="宋体"/>
          <w:b/>
          <w:sz w:val="24"/>
          <w:szCs w:val="24"/>
          <w:highlight w:val="none"/>
        </w:rPr>
        <w:t>附件2</w:t>
      </w:r>
      <w:bookmarkEnd w:id="29"/>
    </w:p>
    <w:p w14:paraId="47A41413">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highlight w:val="none"/>
        </w:rPr>
      </w:pPr>
      <w:r>
        <w:rPr>
          <w:rFonts w:hint="eastAsia" w:ascii="宋体" w:hAnsi="宋体" w:eastAsia="宋体" w:cs="宋体"/>
          <w:b/>
          <w:bCs/>
          <w:color w:val="000000"/>
          <w:kern w:val="0"/>
          <w:sz w:val="32"/>
          <w:szCs w:val="32"/>
          <w:highlight w:val="none"/>
        </w:rPr>
        <w:t>政策性农业保险承保机构公开竞争性遴选评审省级指标及评分规则（省级）</w:t>
      </w: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5E0E4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50D4B2F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7E8A431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1439340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4747A22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BA3DB24">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10F5271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18EB49E6">
            <w:pPr>
              <w:pStyle w:val="38"/>
              <w:keepNext w:val="0"/>
              <w:keepLines w:val="0"/>
              <w:pageBreakBefore w:val="0"/>
              <w:widowControl w:val="0"/>
              <w:tabs>
                <w:tab w:val="left" w:pos="427"/>
                <w:tab w:val="left" w:pos="847"/>
                <w:tab w:val="left" w:pos="1267"/>
              </w:tabs>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7CBD6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722" w:type="dxa"/>
            <w:vMerge w:val="restart"/>
            <w:vAlign w:val="center"/>
          </w:tcPr>
          <w:p w14:paraId="7860FB5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w:t>
            </w:r>
          </w:p>
          <w:p w14:paraId="03BE738B">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能力</w:t>
            </w:r>
          </w:p>
          <w:p w14:paraId="53EF03B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Align w:val="center"/>
          </w:tcPr>
          <w:p w14:paraId="4320172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市县机构设置</w:t>
            </w:r>
          </w:p>
          <w:p w14:paraId="52D0981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4分</w:t>
            </w:r>
          </w:p>
        </w:tc>
        <w:tc>
          <w:tcPr>
            <w:tcW w:w="858" w:type="dxa"/>
            <w:vAlign w:val="center"/>
          </w:tcPr>
          <w:p w14:paraId="689B5FB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w:t>
            </w:r>
          </w:p>
        </w:tc>
        <w:tc>
          <w:tcPr>
            <w:tcW w:w="6051" w:type="dxa"/>
            <w:vAlign w:val="center"/>
          </w:tcPr>
          <w:p w14:paraId="32BC93F1">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遴选区域为市州本级及所辖区的，参加遴选的承保机构得分=2分+设立区支公司/所辖区个数×2分+设立区营销服务部/所辖区个数×1分，最高分不超过4分。</w:t>
            </w:r>
          </w:p>
          <w:p w14:paraId="0BC3D74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遴选区域为省直管县市的，设立县级分支公司的计4分，设立县级营销服务部的计1分，最高分不超过4分。</w:t>
            </w:r>
          </w:p>
        </w:tc>
        <w:tc>
          <w:tcPr>
            <w:tcW w:w="6836" w:type="dxa"/>
            <w:vAlign w:val="center"/>
          </w:tcPr>
          <w:p w14:paraId="65DEA1C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市县级分支公司、县级营销服务部为经金融监管部门批准的具有开办农险资质，并内设专门农业保险部门的财产保险公司自有分支机构（含经监管部门批筹，在合同服务期间可以开展业务的）。需提供相应资质证明的复印件并加盖参加遴选的承保机构公章。</w:t>
            </w:r>
          </w:p>
        </w:tc>
      </w:tr>
      <w:tr w14:paraId="551DC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2" w:hRule="atLeast"/>
        </w:trPr>
        <w:tc>
          <w:tcPr>
            <w:tcW w:w="722" w:type="dxa"/>
            <w:vMerge w:val="continue"/>
            <w:vAlign w:val="center"/>
          </w:tcPr>
          <w:p w14:paraId="7433A59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restart"/>
            <w:vAlign w:val="center"/>
          </w:tcPr>
          <w:p w14:paraId="52A31B1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基层</w:t>
            </w:r>
          </w:p>
          <w:p w14:paraId="6A312BD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w:t>
            </w:r>
          </w:p>
          <w:p w14:paraId="053E545F">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体系</w:t>
            </w:r>
          </w:p>
          <w:p w14:paraId="4312E61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6分</w:t>
            </w:r>
          </w:p>
        </w:tc>
        <w:tc>
          <w:tcPr>
            <w:tcW w:w="858" w:type="dxa"/>
            <w:vMerge w:val="restart"/>
            <w:vAlign w:val="center"/>
          </w:tcPr>
          <w:p w14:paraId="36BB00B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6</w:t>
            </w:r>
          </w:p>
        </w:tc>
        <w:tc>
          <w:tcPr>
            <w:tcW w:w="6051" w:type="dxa"/>
            <w:vAlign w:val="center"/>
          </w:tcPr>
          <w:p w14:paraId="0A3C1E8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设有乡镇营销服务部或农业保险办公室。乡镇营销服务部据实计算，乡镇农业保险办公室按1×80%计算，同时设置乡镇营销服务部和农业保险办公室的，只计算乡镇营销服务部的得分。以遴选区域开展农业保险的行政区划乡镇数量为评审基准值（服务机构总数不超过乡镇数，超出遴选区域行政区划数量不纳入计算），参加遴选的承保机构按照下列公式计算：</w:t>
            </w:r>
          </w:p>
          <w:p w14:paraId="6AF8480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得分=（参加遴选的承保机构乡镇营销服务部数量+乡镇农业保险办公室数量×80%）/评审基准值×6分。</w:t>
            </w:r>
          </w:p>
        </w:tc>
        <w:tc>
          <w:tcPr>
            <w:tcW w:w="6836" w:type="dxa"/>
            <w:vMerge w:val="restart"/>
            <w:vAlign w:val="center"/>
          </w:tcPr>
          <w:p w14:paraId="14CC5C88">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乡镇营销服务部为经金融监管部门批准的财产保险公司自有五级分支机构（含经监管部门批筹的，不含同一集团内的相互代理）,需提供经营许可证复印件、工商行政管理机关核发的营业执照复印件，并加盖参加遴选的承保机构公章。乡镇农业保险办公室以2024年12月31日前已经设立好的机构为准，需提供乡镇及以上人民政府或农业保险工作小组出具的参加遴选的承保机构与该乡镇合作的文件、协议等相关证明复印件加盖证明出具单位公章，提供办公现场实景照片。各公司不得突击、虚假挂牌，如提供虚假材料，则中选资格作废。</w:t>
            </w:r>
          </w:p>
        </w:tc>
      </w:tr>
      <w:tr w14:paraId="40F81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22" w:type="dxa"/>
            <w:vMerge w:val="continue"/>
            <w:vAlign w:val="center"/>
          </w:tcPr>
          <w:p w14:paraId="718B74D7">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Align w:val="center"/>
          </w:tcPr>
          <w:p w14:paraId="5A57999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正式</w:t>
            </w:r>
          </w:p>
          <w:p w14:paraId="00FC142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人员</w:t>
            </w:r>
          </w:p>
          <w:p w14:paraId="305CDDD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配备</w:t>
            </w:r>
          </w:p>
          <w:p w14:paraId="179F272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5分</w:t>
            </w:r>
          </w:p>
        </w:tc>
        <w:tc>
          <w:tcPr>
            <w:tcW w:w="858" w:type="dxa"/>
            <w:vAlign w:val="center"/>
          </w:tcPr>
          <w:p w14:paraId="2608F4C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w:t>
            </w:r>
          </w:p>
        </w:tc>
        <w:tc>
          <w:tcPr>
            <w:tcW w:w="6051" w:type="dxa"/>
            <w:vAlign w:val="center"/>
          </w:tcPr>
          <w:p w14:paraId="2C926EC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配备有专业农险人员，正式编制人员按实计算，劳务派遣人员按50%折算。以参加遴选的承保机构专业农险人员最多数量（若实际人数大于按遴选区域2024年度农业保险中央品种保费规模、400万元匹配1人测算值，余数向上取整，超出人数不纳入计算）为评审基准值，达到基准值的承保机构计满分。未达到基准值的承保机构该项</w:t>
            </w:r>
          </w:p>
          <w:p w14:paraId="3DA0F19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得分=参加遴选的承保机构专业农险人员数量/评审基准值×5分。</w:t>
            </w:r>
          </w:p>
          <w:p w14:paraId="34810CA1">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中央品种指中央财政给予补贴的水稻、水稻制种、玉米、棉花、油菜、大豆、能繁母猪、育肥猪、奶牛、公益林、商品林等11个品种，下同。</w:t>
            </w:r>
          </w:p>
        </w:tc>
        <w:tc>
          <w:tcPr>
            <w:tcW w:w="6836" w:type="dxa"/>
            <w:vAlign w:val="center"/>
          </w:tcPr>
          <w:p w14:paraId="2DDD01F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专业农险人员为参加遴选的承保机构市/县级分支机构专职从事农业保险的正式员工和劳务派遣人员。需提供加盖参加遴选的承保机构省公司公章的专业农险人员名单，2024年12月31日前承保机构与员工签订的正式劳动合同及人社部门提供的社保缴纳证明。以上信息与实际情况不符，则中选资格作废。</w:t>
            </w:r>
          </w:p>
          <w:p w14:paraId="4A9BAB7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遴选区域2024年度农业保险中央品种保费规模以财政部门提供的结算数据为准。</w:t>
            </w:r>
          </w:p>
        </w:tc>
      </w:tr>
    </w:tbl>
    <w:p w14:paraId="371C936D">
      <w:pPr>
        <w:spacing w:after="0"/>
        <w:rPr>
          <w:rFonts w:hint="eastAsia" w:ascii="仿宋" w:hAnsi="仿宋" w:eastAsia="仿宋" w:cs="仿宋"/>
          <w:sz w:val="24"/>
          <w:szCs w:val="24"/>
          <w:highlight w:val="none"/>
        </w:rPr>
        <w:sectPr>
          <w:footerReference r:id="rId4" w:type="default"/>
          <w:footerReference r:id="rId5" w:type="even"/>
          <w:pgSz w:w="16840" w:h="11910" w:orient="landscape"/>
          <w:pgMar w:top="850" w:right="1134" w:bottom="850" w:left="850" w:header="0" w:footer="1283" w:gutter="0"/>
          <w:pgBorders>
            <w:top w:val="none" w:sz="0" w:space="0"/>
            <w:left w:val="none" w:sz="0" w:space="0"/>
            <w:bottom w:val="none" w:sz="0" w:space="0"/>
            <w:right w:val="none" w:sz="0" w:space="0"/>
          </w:pgBorders>
          <w:pgNumType w:start="12"/>
          <w:cols w:space="0" w:num="1"/>
          <w:rtlGutter w:val="0"/>
          <w:docGrid w:linePitch="0" w:charSpace="0"/>
        </w:sectPr>
      </w:pPr>
    </w:p>
    <w:p w14:paraId="3E2B6AD0">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884"/>
        <w:gridCol w:w="737"/>
        <w:gridCol w:w="6051"/>
        <w:gridCol w:w="6836"/>
      </w:tblGrid>
      <w:tr w14:paraId="77657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722" w:type="dxa"/>
            <w:vAlign w:val="center"/>
          </w:tcPr>
          <w:p w14:paraId="57C99A8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4FE085B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84" w:type="dxa"/>
            <w:vAlign w:val="center"/>
          </w:tcPr>
          <w:p w14:paraId="3EF8CBA9">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4E58F4C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37" w:type="dxa"/>
            <w:vAlign w:val="center"/>
          </w:tcPr>
          <w:p w14:paraId="3E5381F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09F9506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06EAF266">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01F70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0" w:hRule="atLeast"/>
        </w:trPr>
        <w:tc>
          <w:tcPr>
            <w:tcW w:w="722" w:type="dxa"/>
            <w:vMerge w:val="restart"/>
            <w:vAlign w:val="center"/>
          </w:tcPr>
          <w:p w14:paraId="58E335E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服务能力</w:t>
            </w:r>
          </w:p>
          <w:p w14:paraId="22308B23">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884" w:type="dxa"/>
            <w:vAlign w:val="center"/>
          </w:tcPr>
          <w:p w14:paraId="3DF5B897">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兼职</w:t>
            </w:r>
          </w:p>
          <w:p w14:paraId="461C20E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人员</w:t>
            </w:r>
          </w:p>
          <w:p w14:paraId="0B5A8DF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配备</w:t>
            </w:r>
          </w:p>
          <w:p w14:paraId="1CB8C91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1分</w:t>
            </w:r>
          </w:p>
        </w:tc>
        <w:tc>
          <w:tcPr>
            <w:tcW w:w="737" w:type="dxa"/>
            <w:vAlign w:val="center"/>
          </w:tcPr>
          <w:p w14:paraId="219A879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w:t>
            </w:r>
          </w:p>
        </w:tc>
        <w:tc>
          <w:tcPr>
            <w:tcW w:w="6051" w:type="dxa"/>
            <w:vAlign w:val="center"/>
          </w:tcPr>
          <w:p w14:paraId="795872C4">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配备乡镇、村农业保险专（兼）干、协保员人数达标标准根据该承保机构在遴选区域的2024年度农业保险中央品种保费规模，按种植险及林业等承保规模/200万元，养殖险承保规模/150万元确定，余数向上取整，未达标的不计分。在达标的基础上，以参加遴选的承保机构兼职人员最多数量（若实际人数大于遴选区域上年政策性农业保险保费规模，按种植险及林业等承保规模/200万元，养殖险承保规模/150万元测算值，超出人数不纳入计算）为评审基准值，达到基准值的承保机构计满分。未达到基准值的承保机构该项</w:t>
            </w:r>
          </w:p>
          <w:p w14:paraId="3FF7241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得分=参加遴选的承保机构乡镇农业保险专（兼）干、协保员数量/评审基准值×1分。</w:t>
            </w:r>
          </w:p>
        </w:tc>
        <w:tc>
          <w:tcPr>
            <w:tcW w:w="6836" w:type="dxa"/>
            <w:vAlign w:val="center"/>
          </w:tcPr>
          <w:p w14:paraId="169E56A3">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乡镇、村农业保险专（兼）干、协保员为参加遴选的承保机构在遴选区域选聘的乡镇、村级兼职农业保险服务人员。需提供加盖参加遴选的承保机构公章的乡镇、村农业保险专（兼）干、协保员名单（包括姓名、身份证号码、电话号码、年工资额或工作经费、防疫激励费用等）,并提供2024年12月31日前签订的委托代办协议，乡镇政府、村支两委或县级农业保险工作小组相关证明文件复印件并加盖证明出具单位公章。以上信息与实际情况不符或弄虚作假的，则中选资格作废。</w:t>
            </w:r>
          </w:p>
          <w:p w14:paraId="3B130678">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遴选区域的2024年度农业保险中央品种保费规模以财政部门提供的结算数据为准。</w:t>
            </w:r>
          </w:p>
        </w:tc>
      </w:tr>
      <w:tr w14:paraId="6E5F2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0" w:hRule="atLeast"/>
        </w:trPr>
        <w:tc>
          <w:tcPr>
            <w:tcW w:w="722" w:type="dxa"/>
            <w:vMerge w:val="continue"/>
            <w:vAlign w:val="center"/>
          </w:tcPr>
          <w:p w14:paraId="74EB6FA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p>
        </w:tc>
        <w:tc>
          <w:tcPr>
            <w:tcW w:w="884" w:type="dxa"/>
            <w:vAlign w:val="center"/>
          </w:tcPr>
          <w:p w14:paraId="31244A3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车辆</w:t>
            </w:r>
          </w:p>
          <w:p w14:paraId="0CFF4582">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配备</w:t>
            </w:r>
          </w:p>
          <w:p w14:paraId="5B8AE7E1">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2分</w:t>
            </w:r>
          </w:p>
        </w:tc>
        <w:tc>
          <w:tcPr>
            <w:tcW w:w="737" w:type="dxa"/>
            <w:vAlign w:val="center"/>
          </w:tcPr>
          <w:p w14:paraId="3F515BA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51" w:type="dxa"/>
            <w:vAlign w:val="center"/>
          </w:tcPr>
          <w:p w14:paraId="20FB55B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在遴选区域配备农业保险工作车辆配备4台及以上的计2分，配备3台的计1.7分，配备2台的计1.4分，配备1台的计1分，未配备的不计分。（车辆数量大于专业农险人员数量的，超出数量不纳入计算）</w:t>
            </w:r>
          </w:p>
        </w:tc>
        <w:tc>
          <w:tcPr>
            <w:tcW w:w="6836" w:type="dxa"/>
            <w:vAlign w:val="center"/>
          </w:tcPr>
          <w:p w14:paraId="009723D8">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农业保险工作车辆要求喷有“三农服务”或“理赔查勘”类似字样，行驶证所有人为参加遴选的承保机构或其省、市级机构。需提供加盖参加遴选的承保机构省公司公章的农业保险工作车辆清单（含车牌号码、行驶证等信息，并附车辆照片和行驶证复印件）。不同遴选区域重复使用同一台车辆信息，则认定为虚假，涉及的遴选区域参加遴选的承保机构的中选资格作废。</w:t>
            </w:r>
          </w:p>
        </w:tc>
      </w:tr>
    </w:tbl>
    <w:p w14:paraId="399F90EC">
      <w:pPr>
        <w:spacing w:after="0" w:line="278" w:lineRule="auto"/>
        <w:rPr>
          <w:rFonts w:hint="eastAsia" w:ascii="仿宋" w:hAnsi="仿宋" w:eastAsia="仿宋" w:cs="仿宋"/>
          <w:sz w:val="24"/>
          <w:szCs w:val="24"/>
          <w:highlight w:val="none"/>
        </w:rPr>
        <w:sectPr>
          <w:pgSz w:w="16840" w:h="11910" w:orient="landscape"/>
          <w:pgMar w:top="850" w:right="1134" w:bottom="850" w:left="850" w:header="0" w:footer="1203" w:gutter="0"/>
          <w:pgBorders>
            <w:top w:val="none" w:sz="0" w:space="0"/>
            <w:left w:val="none" w:sz="0" w:space="0"/>
            <w:bottom w:val="none" w:sz="0" w:space="0"/>
            <w:right w:val="none" w:sz="0" w:space="0"/>
          </w:pgBorders>
          <w:cols w:space="0" w:num="1"/>
          <w:rtlGutter w:val="0"/>
          <w:docGrid w:linePitch="0" w:charSpace="0"/>
        </w:sectPr>
      </w:pPr>
    </w:p>
    <w:p w14:paraId="4A7FF0F2">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06"/>
        <w:gridCol w:w="6881"/>
      </w:tblGrid>
      <w:tr w14:paraId="4D898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722" w:type="dxa"/>
            <w:vAlign w:val="center"/>
          </w:tcPr>
          <w:p w14:paraId="416B8683">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10EDD7A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6132DE7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0A83675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22606283">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06" w:type="dxa"/>
            <w:vAlign w:val="center"/>
          </w:tcPr>
          <w:p w14:paraId="06999B66">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81" w:type="dxa"/>
            <w:vAlign w:val="center"/>
          </w:tcPr>
          <w:p w14:paraId="6624629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7E785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2" w:hRule="atLeast"/>
        </w:trPr>
        <w:tc>
          <w:tcPr>
            <w:tcW w:w="722" w:type="dxa"/>
            <w:vAlign w:val="center"/>
          </w:tcPr>
          <w:p w14:paraId="7C9D225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服务能力</w:t>
            </w:r>
          </w:p>
          <w:p w14:paraId="4CCA88F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Align w:val="center"/>
          </w:tcPr>
          <w:p w14:paraId="722E585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科技</w:t>
            </w:r>
          </w:p>
          <w:p w14:paraId="39EDF30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赋能</w:t>
            </w:r>
          </w:p>
          <w:p w14:paraId="66B933C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12分</w:t>
            </w:r>
          </w:p>
        </w:tc>
        <w:tc>
          <w:tcPr>
            <w:tcW w:w="858" w:type="dxa"/>
            <w:vAlign w:val="center"/>
          </w:tcPr>
          <w:p w14:paraId="79FCFA9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12</w:t>
            </w:r>
          </w:p>
        </w:tc>
        <w:tc>
          <w:tcPr>
            <w:tcW w:w="6006" w:type="dxa"/>
            <w:vAlign w:val="center"/>
          </w:tcPr>
          <w:p w14:paraId="1792E195">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内配备农业保险所需的无人机（1.5分）、AI智能点数工具（1.5分）、线上化投保理赔全流程服务（1分）、风险减量管理服务（2分）、客户信息真实性校验工具（2分）、高精度勾图能力（2分）、卫星遥感及3S技术（2分）。</w:t>
            </w:r>
          </w:p>
        </w:tc>
        <w:tc>
          <w:tcPr>
            <w:tcW w:w="6881" w:type="dxa"/>
            <w:vAlign w:val="center"/>
          </w:tcPr>
          <w:p w14:paraId="2B9CBDE6">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1.每个遴选区域至少配备1台无人机，计0.5分；具备常态化作业能力，计1分。（由参加遴选的承保机构提供设备归属证明资料、功能说明和在遴选区域所在市州的应用案例，应用时间应在2025年9月30日前，下同）</w:t>
            </w:r>
          </w:p>
          <w:p w14:paraId="4977EB8C">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2.AI智能点数工具配备到人，计0.5分；有遴选区域内养殖场的实际应用案例，计1分。（由参加遴选的承保机构提供设备归属证明资料、功能说明和在遴选区域所在市州的应用案例）</w:t>
            </w:r>
          </w:p>
          <w:p w14:paraId="3D02C79A">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3.线上化投保理赔全流程服务须支持农险投保理赔信息采集及录入、告知、公示、缴费、出单、支付等全流程线上化，计1分。（需提供农险线上化APP截图、流程操作截图）</w:t>
            </w:r>
          </w:p>
          <w:p w14:paraId="7309E520">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4.风险减量管理服务，建立的气象、地质、病虫害等各类灾害预警防治平台计1分，常态化应用计1分。（需提供相关APP、系统截图，技术服务证明材料、在遴选区域所在市州的应用案例）</w:t>
            </w:r>
          </w:p>
          <w:p w14:paraId="4DEF2838">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5.客户信息真实性校验需能实现投保人身份证件、银行卡实名校验功能，计1分。（需提供服务证明材料、检测流程截图）</w:t>
            </w:r>
          </w:p>
          <w:p w14:paraId="2E7E7291">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6.高精度勾图能力主要是指农险地块信息建设能力，能做到一人一地的得2分；仅能按保单勾画地图,无法对应到人的得1分；无法勾图的不得分。（需提供勾图系统功能介绍、勾图界面截图）</w:t>
            </w:r>
          </w:p>
          <w:p w14:paraId="3659C954">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7.卫星遥感及3S技术需满足位置定位、面积检测、作物识别、灾害识别等功能，每项功能计0.5分。（需提供技术服务证明材料、检测流程截图）</w:t>
            </w:r>
          </w:p>
        </w:tc>
      </w:tr>
      <w:tr w14:paraId="5E641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6" w:hRule="atLeast"/>
        </w:trPr>
        <w:tc>
          <w:tcPr>
            <w:tcW w:w="722" w:type="dxa"/>
            <w:vAlign w:val="center"/>
          </w:tcPr>
          <w:p w14:paraId="066583E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服务业绩</w:t>
            </w:r>
          </w:p>
          <w:p w14:paraId="5DDAEEE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Align w:val="center"/>
          </w:tcPr>
          <w:p w14:paraId="288AC54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基础信息质量</w:t>
            </w:r>
          </w:p>
          <w:p w14:paraId="4872177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2分</w:t>
            </w:r>
          </w:p>
        </w:tc>
        <w:tc>
          <w:tcPr>
            <w:tcW w:w="858" w:type="dxa"/>
            <w:vAlign w:val="center"/>
          </w:tcPr>
          <w:p w14:paraId="78B6B69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06" w:type="dxa"/>
            <w:vAlign w:val="center"/>
          </w:tcPr>
          <w:p w14:paraId="09C698C2">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集体投保身份准确率：参选机构所属省公司全省范围内中央品种保单级身份证号去重，再按照身份证规则统计符合身份证号，集体投保身份准确率=符合编码规则农户户次/集体投保农户总户次。以参加遴选的承保机构准确率最高值为评审基准值，该承保机构得满分。其他参加遴选的承保机构按照下列公式计算：</w:t>
            </w:r>
          </w:p>
          <w:p w14:paraId="27C37A6E">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得分=其他参加遴选的集体投保身份准确率/评审基准值×2分。</w:t>
            </w:r>
          </w:p>
        </w:tc>
        <w:tc>
          <w:tcPr>
            <w:tcW w:w="6881" w:type="dxa"/>
            <w:vAlign w:val="center"/>
          </w:tcPr>
          <w:p w14:paraId="72B8A6C3">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按该指标值取2025年7月1日-12月31日数据，以金融监管部门提供为准。</w:t>
            </w:r>
          </w:p>
        </w:tc>
      </w:tr>
    </w:tbl>
    <w:p w14:paraId="0818BBE4">
      <w:pPr>
        <w:spacing w:after="0" w:line="278" w:lineRule="auto"/>
        <w:rPr>
          <w:rFonts w:hint="eastAsia" w:ascii="仿宋" w:hAnsi="仿宋" w:eastAsia="仿宋" w:cs="仿宋"/>
          <w:sz w:val="24"/>
          <w:szCs w:val="24"/>
          <w:highlight w:val="none"/>
        </w:rPr>
        <w:sectPr>
          <w:pgSz w:w="16840" w:h="11910" w:orient="landscape"/>
          <w:pgMar w:top="850" w:right="1134" w:bottom="850" w:left="850" w:header="0" w:footer="1283" w:gutter="0"/>
          <w:pgBorders>
            <w:top w:val="none" w:sz="0" w:space="0"/>
            <w:left w:val="none" w:sz="0" w:space="0"/>
            <w:bottom w:val="none" w:sz="0" w:space="0"/>
            <w:right w:val="none" w:sz="0" w:space="0"/>
          </w:pgBorders>
          <w:cols w:space="0" w:num="1"/>
          <w:rtlGutter w:val="0"/>
          <w:docGrid w:linePitch="0" w:charSpace="0"/>
        </w:sectPr>
      </w:pPr>
    </w:p>
    <w:p w14:paraId="7ECDC157">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1F83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722" w:type="dxa"/>
            <w:vAlign w:val="center"/>
          </w:tcPr>
          <w:p w14:paraId="3549363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5246FC6F">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3B68B50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7C44106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BA965A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2327271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2FD72FF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6010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9" w:hRule="atLeast"/>
        </w:trPr>
        <w:tc>
          <w:tcPr>
            <w:tcW w:w="722" w:type="dxa"/>
            <w:vMerge w:val="restart"/>
            <w:vAlign w:val="center"/>
          </w:tcPr>
          <w:p w14:paraId="27D4AA6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p w14:paraId="78AA271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服务业绩</w:t>
            </w:r>
          </w:p>
          <w:p w14:paraId="75518CC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 分</w:t>
            </w:r>
          </w:p>
        </w:tc>
        <w:tc>
          <w:tcPr>
            <w:tcW w:w="763" w:type="dxa"/>
            <w:vMerge w:val="restart"/>
            <w:vAlign w:val="center"/>
          </w:tcPr>
          <w:p w14:paraId="642160C4">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历史理赔情况</w:t>
            </w:r>
          </w:p>
          <w:p w14:paraId="443F71A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19 分</w:t>
            </w:r>
          </w:p>
        </w:tc>
        <w:tc>
          <w:tcPr>
            <w:tcW w:w="858" w:type="dxa"/>
            <w:vMerge w:val="restart"/>
            <w:vAlign w:val="center"/>
          </w:tcPr>
          <w:p w14:paraId="6D2118F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10</w:t>
            </w:r>
          </w:p>
        </w:tc>
        <w:tc>
          <w:tcPr>
            <w:tcW w:w="6051" w:type="dxa"/>
            <w:vMerge w:val="restart"/>
            <w:vAlign w:val="center"/>
          </w:tcPr>
          <w:p w14:paraId="78B01574">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平均已决赔付率。根据参加遴选的承保机构 2022-2024 年省级公司和遴选区域分支机构农业保险中央品种的平均已决赔付率计算得出，平均已决赔付率=（参加遴选的承保机构省级公司平均已决赔付率+遴选区域分支机构平均已决赔付率）/2,当省级公司的平均已决赔付率超出 80%时，只按 80%纳入计算；当遴选区域分支机构的平均已决赔付率超出 100%时，只按 100%纳入计算。以参加遴选的承保机构平均已决赔付率最高值为评审基准值，该承保机构得满分。其他参加遴选的承保机构按照下列公式计算：</w:t>
            </w:r>
          </w:p>
          <w:p w14:paraId="2DB0C856">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得分=其他参加遴选的承保机构平均已决赔付率/评审基准值×10 分。</w:t>
            </w:r>
          </w:p>
        </w:tc>
        <w:tc>
          <w:tcPr>
            <w:tcW w:w="6836" w:type="dxa"/>
            <w:vMerge w:val="restart"/>
            <w:vAlign w:val="center"/>
          </w:tcPr>
          <w:p w14:paraId="4AC6F9BE">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2022-2024 年农业保险中央品种平均已决赔付率=2022-2024 年已决赔款/2022-2024 年保费收入。若参加遴选的承保机构在遴选区域未开展中央品种业务，而其省级公司开展过业务，则按省级公司该指标认定；若其省级公司未开展过政策性农业保险业务，则省级公司和遴选区域分支机构均按总公司该指标认定。保费与赔款均不包括省级共保品种。需提供参加遴选的承保机构会计报表“已决赔款、保费收入”相关科目页面复印件并加盖参加遴选的承保机构公章，通过湖南省农业保险综合管理平台数据进行比对核实。</w:t>
            </w:r>
          </w:p>
          <w:p w14:paraId="66BFC3DA">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省级公司数据是指省级公司归口的全省数据，下同。</w:t>
            </w:r>
          </w:p>
        </w:tc>
      </w:tr>
      <w:tr w14:paraId="623CE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22" w:type="dxa"/>
            <w:vMerge w:val="continue"/>
            <w:vAlign w:val="center"/>
          </w:tcPr>
          <w:p w14:paraId="0C57CC35">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continue"/>
            <w:vAlign w:val="center"/>
          </w:tcPr>
          <w:p w14:paraId="14089C9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858" w:type="dxa"/>
            <w:vMerge w:val="restart"/>
            <w:vAlign w:val="center"/>
          </w:tcPr>
          <w:p w14:paraId="2597B7A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w:t>
            </w:r>
          </w:p>
        </w:tc>
        <w:tc>
          <w:tcPr>
            <w:tcW w:w="6051" w:type="dxa"/>
            <w:vMerge w:val="restart"/>
            <w:vAlign w:val="center"/>
          </w:tcPr>
          <w:p w14:paraId="30B6B451">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p>
          <w:p w14:paraId="1E671531">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平均结案率。根据参加遴选的承保机构省级公司和遴选区域分支机构 2022-2024 年的农业保险中央品种平均结案率计算得出。遴选区域分支机构年度农业保险结案率 85%以下，当年结案率按 0计算。以参加遴选的承保机构结案率最高值为评审基准值，该承保机构得满分。其他参加遴选的承保机构按照下列公式计算：</w:t>
            </w:r>
          </w:p>
          <w:p w14:paraId="55E20B1F">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得分=其他参加遴选的承保机构农业保险结案率/评审基准值×4 分。</w:t>
            </w:r>
          </w:p>
        </w:tc>
        <w:tc>
          <w:tcPr>
            <w:tcW w:w="6836" w:type="dxa"/>
            <w:vMerge w:val="restart"/>
            <w:vAlign w:val="center"/>
          </w:tcPr>
          <w:p w14:paraId="1C272029">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年度农业保险结案率=年度已决赔款/（年度已决赔款+期末未决赔款）,即参加遴选的承保机构接到报案后，已经按规定程序确定理赔的案件金额占所有报案预计可能赔付的金额比例。遴选区域分支机构年度农业保险结案率 85%以下，当年结案率按 0 计算。年度平均结案率=（参加遴选的承保机构省级公司农业保险结案率+遴选区域分支机构农业保险结案率）/2， 2022-2024 年的平均结案率为 3 年的算数平均。若参加遴选的承保机构在遴选区域未开展业务，而其省级公司开展过政策性农业保险业务，则按省级公司该指标认定；若其省级公司未开展过政策性农业保险业务，则省级公司和遴选区域分支机构均按总公司该指标认定。赔款不包括省级共保品种。需提供参加遴选的承保机构会计报表“已决赔款、未决赔款”相关科目页面复印件并加盖参加遴选的承保机构公章，通过湖南省农业保险综合管理平台数据进行比对核实。</w:t>
            </w:r>
          </w:p>
        </w:tc>
      </w:tr>
      <w:tr w14:paraId="1B2A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22" w:type="dxa"/>
            <w:vMerge w:val="continue"/>
            <w:vAlign w:val="center"/>
          </w:tcPr>
          <w:p w14:paraId="2675745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continue"/>
            <w:vAlign w:val="center"/>
          </w:tcPr>
          <w:p w14:paraId="09158FE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858" w:type="dxa"/>
            <w:vAlign w:val="center"/>
          </w:tcPr>
          <w:p w14:paraId="1761B84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51" w:type="dxa"/>
            <w:vAlign w:val="center"/>
          </w:tcPr>
          <w:p w14:paraId="410C2CCC">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养殖险案均立案结案周期：案件从立案到结案的平均时间（单位：天）。以参加遴选的承保机构 2022-2024 年的案均立案结案周期最优值为评审基准值，该承保机构得满分。其他参加遴选的承保机构按照下列公式计算：</w:t>
            </w:r>
          </w:p>
          <w:p w14:paraId="27931967">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得分=评审基准值/其他参加遴选的承保机构标准化养殖险案均立案结案周期×2 分。</w:t>
            </w:r>
          </w:p>
        </w:tc>
        <w:tc>
          <w:tcPr>
            <w:tcW w:w="6836" w:type="dxa"/>
            <w:vAlign w:val="center"/>
          </w:tcPr>
          <w:p w14:paraId="6F5E125D">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 2022-2024 年湖南省农业保险综合管理平台数据为准。若参加遴选的承保机构上年在遴选区域未开展业务，而其省级公司开展过政策性农业保险业务，则按省级公司该指标认定。</w:t>
            </w:r>
          </w:p>
        </w:tc>
      </w:tr>
    </w:tbl>
    <w:p w14:paraId="1AD2E8BA">
      <w:pPr>
        <w:spacing w:after="0"/>
        <w:rPr>
          <w:rFonts w:hint="eastAsia" w:ascii="仿宋" w:hAnsi="仿宋" w:eastAsia="仿宋" w:cs="仿宋"/>
          <w:sz w:val="24"/>
          <w:szCs w:val="24"/>
          <w:highlight w:val="none"/>
        </w:rPr>
        <w:sectPr>
          <w:pgSz w:w="16840" w:h="11910" w:orient="landscape"/>
          <w:pgMar w:top="850" w:right="1134" w:bottom="850" w:left="850" w:header="0" w:footer="1203" w:gutter="0"/>
          <w:pgBorders>
            <w:top w:val="none" w:sz="0" w:space="0"/>
            <w:left w:val="none" w:sz="0" w:space="0"/>
            <w:bottom w:val="none" w:sz="0" w:space="0"/>
            <w:right w:val="none" w:sz="0" w:space="0"/>
          </w:pgBorders>
          <w:cols w:space="0" w:num="1"/>
          <w:rtlGutter w:val="0"/>
          <w:docGrid w:linePitch="0" w:charSpace="0"/>
        </w:sectPr>
      </w:pPr>
    </w:p>
    <w:p w14:paraId="6CF6A088">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339E0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5DECD46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196616B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32E60A26">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7503F25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5615984">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5E9724FE">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39CD09A9">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6EDEE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restart"/>
            <w:vAlign w:val="center"/>
          </w:tcPr>
          <w:p w14:paraId="5EDD073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服务业绩</w:t>
            </w:r>
          </w:p>
          <w:p w14:paraId="4F5D6C5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Merge w:val="restart"/>
            <w:vAlign w:val="center"/>
          </w:tcPr>
          <w:p w14:paraId="2D318AD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历史</w:t>
            </w:r>
          </w:p>
          <w:p w14:paraId="14EE14A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理赔</w:t>
            </w:r>
          </w:p>
          <w:p w14:paraId="0472914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情况</w:t>
            </w:r>
          </w:p>
          <w:p w14:paraId="490D97B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19分</w:t>
            </w:r>
          </w:p>
        </w:tc>
        <w:tc>
          <w:tcPr>
            <w:tcW w:w="858" w:type="dxa"/>
            <w:vMerge w:val="restart"/>
            <w:vAlign w:val="center"/>
          </w:tcPr>
          <w:p w14:paraId="700D1B9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51" w:type="dxa"/>
            <w:vAlign w:val="center"/>
          </w:tcPr>
          <w:p w14:paraId="2A7DC4C3">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种植险案均立案结案周期：案件从立案到结案的平均时间（单位：天）。以参加遴选的承保机构2022-2024年案均立案结案周期最优值为评审基准值，该承保机构得满分。其他参加遴选的承保机构按照下列公式计算：</w:t>
            </w:r>
          </w:p>
          <w:p w14:paraId="28B4238D">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得分=评审基准值/其他参加遴选的承保机构种植险案均立案结案周期×2分。</w:t>
            </w:r>
          </w:p>
        </w:tc>
        <w:tc>
          <w:tcPr>
            <w:tcW w:w="6836" w:type="dxa"/>
            <w:vAlign w:val="center"/>
          </w:tcPr>
          <w:p w14:paraId="7A200836">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以2022-2024年湖南省农业保险综合管理平台数据为准。若参加遴选的承保机构上年在遴选区域未开展业务，而其省级公司开展过政策性农业保险业务，则按省级公司该指标认定。</w:t>
            </w:r>
          </w:p>
        </w:tc>
      </w:tr>
      <w:tr w14:paraId="23808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4BACC2C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continue"/>
            <w:vAlign w:val="center"/>
          </w:tcPr>
          <w:p w14:paraId="00455DD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858" w:type="dxa"/>
            <w:vAlign w:val="center"/>
          </w:tcPr>
          <w:p w14:paraId="5DD08E2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w:t>
            </w:r>
          </w:p>
        </w:tc>
        <w:tc>
          <w:tcPr>
            <w:tcW w:w="6051" w:type="dxa"/>
            <w:vAlign w:val="center"/>
          </w:tcPr>
          <w:p w14:paraId="494555EE">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森林险案均立案结案周期：案件从立案到结案的平均时间（单位：天）。以参加遴选的承保机构2022-2024年案均立案结案周期最优值为评审基准值，该承保机构得满分。其他参加遴选的承保机构按照下列公式计算：</w:t>
            </w:r>
          </w:p>
          <w:p w14:paraId="12ADB729">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得分=评审基准值/其他参加遴选的承保机构森林险案均立案结案周期×1分。</w:t>
            </w:r>
          </w:p>
        </w:tc>
        <w:tc>
          <w:tcPr>
            <w:tcW w:w="6836" w:type="dxa"/>
            <w:vAlign w:val="center"/>
          </w:tcPr>
          <w:p w14:paraId="55B03E53">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以2022-2024年湖南省农业保险综合管理平台数据为准。若参加遴选的承保机构上年在遴选区域未开展业务，而其省级公司开展过政策性农业保险业务，则按省级公司该指标认定。</w:t>
            </w:r>
          </w:p>
        </w:tc>
      </w:tr>
      <w:tr w14:paraId="1A18D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16E65385">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Align w:val="center"/>
          </w:tcPr>
          <w:p w14:paraId="138F703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承保</w:t>
            </w:r>
          </w:p>
          <w:p w14:paraId="79B342D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业绩</w:t>
            </w:r>
          </w:p>
          <w:p w14:paraId="60FDDBD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4分</w:t>
            </w:r>
          </w:p>
        </w:tc>
        <w:tc>
          <w:tcPr>
            <w:tcW w:w="858" w:type="dxa"/>
            <w:vAlign w:val="center"/>
          </w:tcPr>
          <w:p w14:paraId="66A1D9D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w:t>
            </w:r>
          </w:p>
        </w:tc>
        <w:tc>
          <w:tcPr>
            <w:tcW w:w="6051" w:type="dxa"/>
            <w:vAlign w:val="center"/>
          </w:tcPr>
          <w:p w14:paraId="4BC697DF">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农业保险（包括政策性和商业性种植险、养殖险、森林险）的承保业绩。以参加遴选的承保机构2022-2024年遴选区域农业保险年平均保费收入（按实际开展业务年限计算）最多的为评审基准值，该承保机构得满分。其他参加遴选的承保机构按照下列公式计算：</w:t>
            </w:r>
          </w:p>
          <w:p w14:paraId="31D36B71">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得分=其他参加遴选的承保机构2022-2024年遴选区域农业保险年平均保费收入/评审基准值×4分。</w:t>
            </w:r>
          </w:p>
        </w:tc>
        <w:tc>
          <w:tcPr>
            <w:tcW w:w="6836" w:type="dxa"/>
            <w:vAlign w:val="center"/>
          </w:tcPr>
          <w:p w14:paraId="40F2DB1A">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承保业绩由参加遴选的承保机构提供经金融监管部门或保险行业协会认定的相关证明文件，并加盖证明出具单位公章。</w:t>
            </w:r>
          </w:p>
        </w:tc>
      </w:tr>
      <w:tr w14:paraId="6EC41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747454FD">
            <w:pPr>
              <w:jc w:val="center"/>
              <w:rPr>
                <w:rFonts w:hint="eastAsia" w:ascii="仿宋" w:hAnsi="仿宋" w:eastAsia="仿宋" w:cs="仿宋"/>
                <w:snapToGrid w:val="0"/>
                <w:spacing w:val="0"/>
                <w:kern w:val="0"/>
                <w:sz w:val="24"/>
                <w:szCs w:val="24"/>
                <w:highlight w:val="none"/>
                <w:lang w:val="en-US" w:eastAsia="zh-CN" w:bidi="ar-SA"/>
              </w:rPr>
            </w:pPr>
          </w:p>
        </w:tc>
        <w:tc>
          <w:tcPr>
            <w:tcW w:w="763" w:type="dxa"/>
            <w:vAlign w:val="center"/>
          </w:tcPr>
          <w:p w14:paraId="53BB909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服务</w:t>
            </w:r>
          </w:p>
          <w:p w14:paraId="49E2252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经验</w:t>
            </w:r>
          </w:p>
          <w:p w14:paraId="232C0DF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2分</w:t>
            </w:r>
          </w:p>
        </w:tc>
        <w:tc>
          <w:tcPr>
            <w:tcW w:w="858" w:type="dxa"/>
            <w:vAlign w:val="center"/>
          </w:tcPr>
          <w:p w14:paraId="62CC6F1C">
            <w:pPr>
              <w:pStyle w:val="38"/>
              <w:ind w:left="6"/>
              <w:jc w:val="center"/>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051" w:type="dxa"/>
            <w:vAlign w:val="center"/>
          </w:tcPr>
          <w:p w14:paraId="41B20D78">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2022-2024年期间参加遴选的承保机构总公司系统内其它省分公司获得（直辖市、自治区、新疆生产建设兵团）农业保险遴选业务承保资格并开展业务的，承保区域覆盖省份＞20个（含）以上计2分，承保区域覆盖省份15个（含）-20个（不含）计1.5分，承保区域覆盖省份10个（含）-15个（不含）计1分，承保区域覆盖省份5个（含）-10个（不含）计0.5分，承保区域覆盖省份5个以下计0分。同一省份（直辖市、自治区、新疆生产建设兵团）下辖机构于2022-2024年多次农业保险遴选中选的，只计算1次。</w:t>
            </w:r>
          </w:p>
        </w:tc>
        <w:tc>
          <w:tcPr>
            <w:tcW w:w="6836" w:type="dxa"/>
            <w:vAlign w:val="center"/>
          </w:tcPr>
          <w:p w14:paraId="3350E0BD">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遴选业务承保资格覆盖省份（直辖市、自治区）根据相应地区遴选中标合同复印件（提供合同首页及盖章，可证明开展了相关业务即可，无需提供全部合同）核定。</w:t>
            </w:r>
          </w:p>
        </w:tc>
      </w:tr>
      <w:tr w14:paraId="39C3D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456BA84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p>
        </w:tc>
        <w:tc>
          <w:tcPr>
            <w:tcW w:w="763" w:type="dxa"/>
            <w:vAlign w:val="center"/>
          </w:tcPr>
          <w:p w14:paraId="37AD5D5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表彰</w:t>
            </w:r>
          </w:p>
          <w:p w14:paraId="6E9A54FB">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及试</w:t>
            </w:r>
          </w:p>
          <w:p w14:paraId="252C218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点</w:t>
            </w:r>
          </w:p>
          <w:p w14:paraId="200F1DC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3分</w:t>
            </w:r>
          </w:p>
        </w:tc>
        <w:tc>
          <w:tcPr>
            <w:tcW w:w="858" w:type="dxa"/>
            <w:vAlign w:val="center"/>
          </w:tcPr>
          <w:p w14:paraId="12FB419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3</w:t>
            </w:r>
          </w:p>
        </w:tc>
        <w:tc>
          <w:tcPr>
            <w:tcW w:w="6051" w:type="dxa"/>
            <w:vAlign w:val="center"/>
          </w:tcPr>
          <w:p w14:paraId="133AB9E5">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获得奖励表彰和项目试点的情况。参加遴选的承保机构省级公司2022-2024年获得省级（含）以上有关财政、农业农村、金融管理及监管等部门在农业保险工作方面的表彰，以及参加遴选的承保机构在遴选区域承担省级（含）以上职能部门农业保险试点项目或任务的。每一项计1分，最高分不超过3分。</w:t>
            </w:r>
          </w:p>
        </w:tc>
        <w:tc>
          <w:tcPr>
            <w:tcW w:w="6836" w:type="dxa"/>
            <w:vAlign w:val="center"/>
          </w:tcPr>
          <w:p w14:paraId="3DFDA1C3">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参加遴选的承保机构需提供2022-2024年受表彰的证明材料复印件、试点项目或任务的证明材料复印件并加盖参加遴选的承保机构公章。如提供虚假材料，则中选资格作废。</w:t>
            </w:r>
          </w:p>
        </w:tc>
      </w:tr>
    </w:tbl>
    <w:p w14:paraId="3955F9E2">
      <w:pPr>
        <w:spacing w:after="0" w:line="278" w:lineRule="auto"/>
        <w:jc w:val="both"/>
        <w:rPr>
          <w:rFonts w:hint="eastAsia" w:ascii="仿宋" w:hAnsi="仿宋" w:eastAsia="仿宋" w:cs="仿宋"/>
          <w:sz w:val="24"/>
          <w:szCs w:val="24"/>
          <w:highlight w:val="none"/>
        </w:rPr>
        <w:sectPr>
          <w:pgSz w:w="16840" w:h="11910" w:orient="landscape"/>
          <w:pgMar w:top="850" w:right="1134" w:bottom="850" w:left="850" w:header="0" w:footer="1283" w:gutter="0"/>
          <w:pgBorders>
            <w:top w:val="none" w:sz="0" w:space="0"/>
            <w:left w:val="none" w:sz="0" w:space="0"/>
            <w:bottom w:val="none" w:sz="0" w:space="0"/>
            <w:right w:val="none" w:sz="0" w:space="0"/>
          </w:pgBorders>
          <w:cols w:space="0" w:num="1"/>
          <w:rtlGutter w:val="0"/>
          <w:docGrid w:linePitch="0" w:charSpace="0"/>
        </w:sectPr>
      </w:pPr>
    </w:p>
    <w:p w14:paraId="43DD120A">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30EA7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0B0CDE12">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6AA569C2">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6E18CFB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531D119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5BD968B">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519DC4AA">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6A4529B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51E40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30" w:hRule="atLeast"/>
        </w:trPr>
        <w:tc>
          <w:tcPr>
            <w:tcW w:w="722" w:type="dxa"/>
            <w:vMerge w:val="restart"/>
            <w:vAlign w:val="center"/>
          </w:tcPr>
          <w:p w14:paraId="2D2D239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合规</w:t>
            </w:r>
          </w:p>
          <w:p w14:paraId="2C2BBD6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经营</w:t>
            </w:r>
          </w:p>
          <w:p w14:paraId="18EB8CD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及风险管控能力</w:t>
            </w:r>
          </w:p>
          <w:p w14:paraId="1E8C415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20分</w:t>
            </w:r>
          </w:p>
        </w:tc>
        <w:tc>
          <w:tcPr>
            <w:tcW w:w="763" w:type="dxa"/>
            <w:vAlign w:val="center"/>
          </w:tcPr>
          <w:p w14:paraId="61ABE02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综合</w:t>
            </w:r>
          </w:p>
          <w:p w14:paraId="39BD7B1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费用</w:t>
            </w:r>
          </w:p>
          <w:p w14:paraId="040658E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率</w:t>
            </w:r>
          </w:p>
          <w:p w14:paraId="462C240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3分</w:t>
            </w:r>
          </w:p>
        </w:tc>
        <w:tc>
          <w:tcPr>
            <w:tcW w:w="858" w:type="dxa"/>
            <w:vAlign w:val="center"/>
          </w:tcPr>
          <w:p w14:paraId="5A05770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w:t>
            </w:r>
          </w:p>
        </w:tc>
        <w:tc>
          <w:tcPr>
            <w:tcW w:w="6051" w:type="dxa"/>
            <w:vAlign w:val="center"/>
          </w:tcPr>
          <w:p w14:paraId="74EEB5F7">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参加遴选的承保机构省级分公司2022-2024年农业保险平均综合费用率15%（含）以下计3分，15%-17.5%（含）计2分，17.5%-20%（含）计1分，20%以上不计分。</w:t>
            </w:r>
          </w:p>
        </w:tc>
        <w:tc>
          <w:tcPr>
            <w:tcW w:w="6836" w:type="dxa"/>
            <w:vAlign w:val="center"/>
          </w:tcPr>
          <w:p w14:paraId="479EC03A">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综合费用率=（业务及管理费用+手续费及佣金支出+分保费用+营业税金及附加-摊回分保费用）/（本年自留保费-提取未到期责任准备金）。由参加遴选的承保机构提供省级公司农业保险综合费用率相关财务指标证明材料，并加盖公章。</w:t>
            </w:r>
          </w:p>
        </w:tc>
      </w:tr>
      <w:tr w14:paraId="2EF4E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50" w:hRule="atLeast"/>
        </w:trPr>
        <w:tc>
          <w:tcPr>
            <w:tcW w:w="722" w:type="dxa"/>
            <w:vMerge w:val="continue"/>
            <w:vAlign w:val="center"/>
          </w:tcPr>
          <w:p w14:paraId="04D6B13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Align w:val="center"/>
          </w:tcPr>
          <w:p w14:paraId="44AAE2C4">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监管</w:t>
            </w:r>
          </w:p>
          <w:p w14:paraId="797F992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检查</w:t>
            </w:r>
          </w:p>
          <w:p w14:paraId="4A7B6BA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及处</w:t>
            </w:r>
          </w:p>
          <w:p w14:paraId="4167797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罚</w:t>
            </w:r>
          </w:p>
          <w:p w14:paraId="588FA45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5分</w:t>
            </w:r>
          </w:p>
        </w:tc>
        <w:tc>
          <w:tcPr>
            <w:tcW w:w="858" w:type="dxa"/>
            <w:vAlign w:val="center"/>
          </w:tcPr>
          <w:p w14:paraId="5885034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w:t>
            </w:r>
          </w:p>
        </w:tc>
        <w:tc>
          <w:tcPr>
            <w:tcW w:w="6051" w:type="dxa"/>
            <w:vMerge w:val="restart"/>
            <w:vAlign w:val="center"/>
          </w:tcPr>
          <w:p w14:paraId="49F022D8">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参加遴选的承保机构2022-2024年期间开展的农业保险业务，被财政、审计和金融监管部门检查发现虚假承保、虚假理赔问题的，每项扣1分，扣完为止。</w:t>
            </w:r>
          </w:p>
        </w:tc>
        <w:tc>
          <w:tcPr>
            <w:tcW w:w="6836" w:type="dxa"/>
            <w:vMerge w:val="restart"/>
            <w:vAlign w:val="center"/>
          </w:tcPr>
          <w:p w14:paraId="0A87C7AC">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违规问题以检查报告、审计报告、处罚文件以及监管通报等为准，同一违规事实或负面事件不重复扣分。如隐瞒不报或少报，则中选资格作废。违规问题以报告或文件下达的时间为准。</w:t>
            </w:r>
          </w:p>
        </w:tc>
      </w:tr>
      <w:tr w14:paraId="0651A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50" w:hRule="atLeast"/>
        </w:trPr>
        <w:tc>
          <w:tcPr>
            <w:tcW w:w="722" w:type="dxa"/>
            <w:vMerge w:val="continue"/>
            <w:vAlign w:val="center"/>
          </w:tcPr>
          <w:p w14:paraId="2A60CC1D">
            <w:pPr>
              <w:jc w:val="center"/>
              <w:rPr>
                <w:rFonts w:hint="eastAsia" w:ascii="仿宋" w:hAnsi="仿宋" w:eastAsia="仿宋" w:cs="仿宋"/>
                <w:snapToGrid w:val="0"/>
                <w:spacing w:val="0"/>
                <w:kern w:val="0"/>
                <w:sz w:val="24"/>
                <w:szCs w:val="24"/>
                <w:highlight w:val="none"/>
                <w:lang w:val="en-US" w:eastAsia="zh-CN" w:bidi="ar-SA"/>
              </w:rPr>
            </w:pPr>
          </w:p>
        </w:tc>
        <w:tc>
          <w:tcPr>
            <w:tcW w:w="763" w:type="dxa"/>
            <w:vMerge w:val="restart"/>
            <w:vAlign w:val="center"/>
          </w:tcPr>
          <w:p w14:paraId="0D35CA8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服务</w:t>
            </w:r>
          </w:p>
          <w:p w14:paraId="6067BDD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对象</w:t>
            </w:r>
          </w:p>
          <w:p w14:paraId="6AC0C52E">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满意</w:t>
            </w:r>
          </w:p>
          <w:p w14:paraId="7441FEF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度</w:t>
            </w:r>
          </w:p>
          <w:p w14:paraId="4ACDCB6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3分</w:t>
            </w:r>
          </w:p>
        </w:tc>
        <w:tc>
          <w:tcPr>
            <w:tcW w:w="858" w:type="dxa"/>
            <w:vMerge w:val="restart"/>
            <w:vAlign w:val="center"/>
          </w:tcPr>
          <w:p w14:paraId="469C1009">
            <w:pPr>
              <w:pStyle w:val="38"/>
              <w:spacing w:before="162"/>
              <w:ind w:left="6"/>
              <w:jc w:val="center"/>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3</w:t>
            </w:r>
          </w:p>
        </w:tc>
        <w:tc>
          <w:tcPr>
            <w:tcW w:w="6051" w:type="dxa"/>
            <w:vMerge w:val="restart"/>
            <w:vAlign w:val="center"/>
          </w:tcPr>
          <w:p w14:paraId="526BDDEB">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1、参加遴选的承保机构所属省级分公司消费者权益保护监管评价情况。按评价情况打分，一级的计1分；二级A计0.8分，二级B计0.6分，二级C计0.4分；三、四级不计分。</w:t>
            </w:r>
          </w:p>
        </w:tc>
        <w:tc>
          <w:tcPr>
            <w:tcW w:w="6836" w:type="dxa"/>
            <w:vMerge w:val="restart"/>
            <w:vAlign w:val="center"/>
          </w:tcPr>
          <w:p w14:paraId="3E4EFE32">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参加遴选的承保机构需提供2024年度经金融监管部门评定的消费者权益保护监管评价证明材料，并加盖公章。</w:t>
            </w:r>
          </w:p>
        </w:tc>
      </w:tr>
      <w:tr w14:paraId="7EA03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60" w:hRule="atLeast"/>
        </w:trPr>
        <w:tc>
          <w:tcPr>
            <w:tcW w:w="722" w:type="dxa"/>
            <w:vMerge w:val="continue"/>
            <w:vAlign w:val="center"/>
          </w:tcPr>
          <w:p w14:paraId="56537712">
            <w:pPr>
              <w:jc w:val="center"/>
              <w:rPr>
                <w:rFonts w:hint="eastAsia" w:ascii="仿宋" w:hAnsi="仿宋" w:eastAsia="仿宋" w:cs="仿宋"/>
                <w:snapToGrid w:val="0"/>
                <w:spacing w:val="0"/>
                <w:kern w:val="0"/>
                <w:sz w:val="24"/>
                <w:szCs w:val="24"/>
                <w:highlight w:val="none"/>
                <w:lang w:val="en-US" w:eastAsia="zh-CN" w:bidi="ar-SA"/>
              </w:rPr>
            </w:pPr>
          </w:p>
        </w:tc>
        <w:tc>
          <w:tcPr>
            <w:tcW w:w="763" w:type="dxa"/>
            <w:vMerge w:val="continue"/>
            <w:vAlign w:val="center"/>
          </w:tcPr>
          <w:p w14:paraId="677A12D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p>
        </w:tc>
        <w:tc>
          <w:tcPr>
            <w:tcW w:w="858" w:type="dxa"/>
            <w:vMerge w:val="continue"/>
            <w:vAlign w:val="center"/>
          </w:tcPr>
          <w:p w14:paraId="532A8E39">
            <w:pPr>
              <w:jc w:val="center"/>
              <w:rPr>
                <w:rFonts w:hint="eastAsia" w:ascii="仿宋" w:hAnsi="仿宋" w:eastAsia="仿宋" w:cs="仿宋"/>
                <w:snapToGrid w:val="0"/>
                <w:spacing w:val="0"/>
                <w:kern w:val="0"/>
                <w:sz w:val="24"/>
                <w:szCs w:val="24"/>
                <w:highlight w:val="none"/>
                <w:lang w:val="en-US" w:eastAsia="zh-CN" w:bidi="ar-SA"/>
              </w:rPr>
            </w:pPr>
          </w:p>
        </w:tc>
        <w:tc>
          <w:tcPr>
            <w:tcW w:w="6051" w:type="dxa"/>
            <w:vAlign w:val="center"/>
          </w:tcPr>
          <w:p w14:paraId="05A19361">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2、服务对象满意度，按省财政厅委托开展的2023和2024年度电话回访满意度评价结果，每年分值1分，总计2分，从高到低排名，第一名得1分，按0.2分依次递减，减完为止。</w:t>
            </w:r>
          </w:p>
        </w:tc>
        <w:tc>
          <w:tcPr>
            <w:tcW w:w="6836" w:type="dxa"/>
            <w:vAlign w:val="center"/>
          </w:tcPr>
          <w:p w14:paraId="1263646A">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以省财政厅委托第三方开展的电话回访报告为依据。</w:t>
            </w:r>
          </w:p>
        </w:tc>
      </w:tr>
      <w:tr w14:paraId="1D4C5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10" w:hRule="atLeast"/>
        </w:trPr>
        <w:tc>
          <w:tcPr>
            <w:tcW w:w="722" w:type="dxa"/>
            <w:vMerge w:val="continue"/>
            <w:vAlign w:val="center"/>
          </w:tcPr>
          <w:p w14:paraId="4A17544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p>
        </w:tc>
        <w:tc>
          <w:tcPr>
            <w:tcW w:w="763" w:type="dxa"/>
            <w:vAlign w:val="center"/>
          </w:tcPr>
          <w:p w14:paraId="37E3C10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偿付</w:t>
            </w:r>
          </w:p>
          <w:p w14:paraId="4E80881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能力</w:t>
            </w:r>
          </w:p>
          <w:p w14:paraId="54C6D8A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充足</w:t>
            </w:r>
          </w:p>
          <w:p w14:paraId="1C98FE8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率</w:t>
            </w:r>
          </w:p>
          <w:p w14:paraId="108EBAB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2分</w:t>
            </w:r>
          </w:p>
        </w:tc>
        <w:tc>
          <w:tcPr>
            <w:tcW w:w="858" w:type="dxa"/>
            <w:vAlign w:val="center"/>
          </w:tcPr>
          <w:p w14:paraId="18B5E30E">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051" w:type="dxa"/>
            <w:vAlign w:val="center"/>
          </w:tcPr>
          <w:p w14:paraId="423CCD68">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偿付能力充足率总计2分，其中</w:t>
            </w:r>
          </w:p>
          <w:p w14:paraId="27A54DA2">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参加遴选的承保机构所属总公司2024年度综合偿付能力充足率230%（含）以上的计满分1分</w:t>
            </w:r>
            <w:r>
              <w:rPr>
                <w:rFonts w:hint="eastAsia" w:ascii="仿宋" w:hAnsi="仿宋" w:eastAsia="仿宋" w:cs="仿宋"/>
                <w:snapToGrid w:val="0"/>
                <w:spacing w:val="0"/>
                <w:kern w:val="0"/>
                <w:sz w:val="24"/>
                <w:szCs w:val="24"/>
                <w:highlight w:val="none"/>
              </w:rPr>
              <w:tab/>
            </w:r>
            <w:r>
              <w:rPr>
                <w:rFonts w:hint="eastAsia" w:ascii="仿宋" w:hAnsi="仿宋" w:eastAsia="仿宋" w:cs="仿宋"/>
                <w:snapToGrid w:val="0"/>
                <w:spacing w:val="0"/>
                <w:kern w:val="0"/>
                <w:sz w:val="24"/>
                <w:szCs w:val="24"/>
                <w:highlight w:val="none"/>
              </w:rPr>
              <w:t>180%（含）-230%（不含）的按排名依次递减0.1分；低于180%的不计分。</w:t>
            </w:r>
          </w:p>
          <w:p w14:paraId="74B9E7E4">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参加遴选的承保机构所属总公司最近一期综合偿付能力充足率230%（含）以上的计满分1分</w:t>
            </w:r>
            <w:r>
              <w:rPr>
                <w:rFonts w:hint="eastAsia" w:ascii="仿宋" w:hAnsi="仿宋" w:eastAsia="仿宋" w:cs="仿宋"/>
                <w:snapToGrid w:val="0"/>
                <w:spacing w:val="0"/>
                <w:kern w:val="0"/>
                <w:sz w:val="24"/>
                <w:szCs w:val="24"/>
                <w:highlight w:val="none"/>
              </w:rPr>
              <w:tab/>
            </w:r>
            <w:r>
              <w:rPr>
                <w:rFonts w:hint="eastAsia" w:ascii="仿宋" w:hAnsi="仿宋" w:eastAsia="仿宋" w:cs="仿宋"/>
                <w:snapToGrid w:val="0"/>
                <w:spacing w:val="0"/>
                <w:kern w:val="0"/>
                <w:sz w:val="24"/>
                <w:szCs w:val="24"/>
                <w:highlight w:val="none"/>
              </w:rPr>
              <w:t>180%（含）-230%（不含）的按排名依次递减0.1分；低于180%的不计分。</w:t>
            </w:r>
          </w:p>
        </w:tc>
        <w:tc>
          <w:tcPr>
            <w:tcW w:w="6836" w:type="dxa"/>
            <w:vAlign w:val="center"/>
          </w:tcPr>
          <w:p w14:paraId="6BAD8514">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综合偿付能力充足率=保险公司的实际资本/最低资本，需提供参加遴选的承保公司总公司2024年度经审计的会计报表和最近一期会计报表中“偿付能力报告含偿付能力充足率”相关页面复印件并加盖参加遴选的承保机构公章，其中2024年度报表应经审计。</w:t>
            </w:r>
          </w:p>
        </w:tc>
      </w:tr>
    </w:tbl>
    <w:p w14:paraId="134E429E">
      <w:pPr>
        <w:spacing w:after="0"/>
        <w:rPr>
          <w:rFonts w:hint="eastAsia" w:ascii="仿宋" w:hAnsi="仿宋" w:eastAsia="仿宋" w:cs="仿宋"/>
          <w:sz w:val="24"/>
          <w:szCs w:val="24"/>
          <w:highlight w:val="none"/>
        </w:rPr>
        <w:sectPr>
          <w:pgSz w:w="16840" w:h="11910" w:orient="landscape"/>
          <w:pgMar w:top="850" w:right="1134" w:bottom="850" w:left="850" w:header="0" w:footer="1203" w:gutter="0"/>
          <w:pgBorders>
            <w:top w:val="none" w:sz="0" w:space="0"/>
            <w:left w:val="none" w:sz="0" w:space="0"/>
            <w:bottom w:val="none" w:sz="0" w:space="0"/>
            <w:right w:val="none" w:sz="0" w:space="0"/>
          </w:pgBorders>
          <w:cols w:space="0" w:num="1"/>
          <w:rtlGutter w:val="0"/>
          <w:docGrid w:linePitch="0" w:charSpace="0"/>
        </w:sectPr>
      </w:pPr>
    </w:p>
    <w:p w14:paraId="048704FE">
      <w:pPr>
        <w:pStyle w:val="5"/>
        <w:spacing w:before="5"/>
        <w:rPr>
          <w:rFonts w:hint="eastAsia" w:ascii="仿宋" w:hAnsi="仿宋" w:eastAsia="仿宋" w:cs="仿宋"/>
          <w:sz w:val="24"/>
          <w:szCs w:val="24"/>
          <w:highlight w:val="none"/>
        </w:rPr>
      </w:pPr>
    </w:p>
    <w:tbl>
      <w:tblPr>
        <w:tblStyle w:val="20"/>
        <w:tblW w:w="15236"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740"/>
        <w:gridCol w:w="820"/>
        <w:gridCol w:w="6120"/>
        <w:gridCol w:w="6820"/>
      </w:tblGrid>
      <w:tr w14:paraId="23FB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736" w:type="dxa"/>
            <w:vAlign w:val="center"/>
          </w:tcPr>
          <w:p w14:paraId="1589A44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14462673">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40" w:type="dxa"/>
            <w:vAlign w:val="center"/>
          </w:tcPr>
          <w:p w14:paraId="1E51797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48150AD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20" w:type="dxa"/>
            <w:vAlign w:val="center"/>
          </w:tcPr>
          <w:p w14:paraId="75843D4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120" w:type="dxa"/>
            <w:vAlign w:val="center"/>
          </w:tcPr>
          <w:p w14:paraId="6E05CE7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20" w:type="dxa"/>
            <w:vAlign w:val="center"/>
          </w:tcPr>
          <w:p w14:paraId="23251FDB">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61F7D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5" w:hRule="atLeast"/>
        </w:trPr>
        <w:tc>
          <w:tcPr>
            <w:tcW w:w="736" w:type="dxa"/>
            <w:vMerge w:val="restart"/>
            <w:vAlign w:val="center"/>
          </w:tcPr>
          <w:p w14:paraId="0A6C5D8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合规经营及风险管控能力</w:t>
            </w:r>
          </w:p>
          <w:p w14:paraId="6FD1D6A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20 分</w:t>
            </w:r>
          </w:p>
        </w:tc>
        <w:tc>
          <w:tcPr>
            <w:tcW w:w="740" w:type="dxa"/>
            <w:vAlign w:val="center"/>
          </w:tcPr>
          <w:p w14:paraId="08D9F494">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风险综合评级</w:t>
            </w:r>
          </w:p>
          <w:p w14:paraId="0E961A0B">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2分</w:t>
            </w:r>
          </w:p>
        </w:tc>
        <w:tc>
          <w:tcPr>
            <w:tcW w:w="820" w:type="dxa"/>
            <w:vAlign w:val="center"/>
          </w:tcPr>
          <w:p w14:paraId="4C1A452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120" w:type="dxa"/>
            <w:vAlign w:val="center"/>
          </w:tcPr>
          <w:p w14:paraId="2EF595AF">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风险综合评级总计2分，其中</w:t>
            </w:r>
          </w:p>
          <w:p w14:paraId="146F425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参加遴选的承保机构所属总公司2024年度风险综合评级达到A级的计1分，B级的计0.5分，C、D级不计分。</w:t>
            </w:r>
          </w:p>
          <w:p w14:paraId="754865B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参加遴选的承保机构所属总公司最近一期风险综合评级达到A级的计1分，B级的计0.5分，C、D级不计分。</w:t>
            </w:r>
          </w:p>
        </w:tc>
        <w:tc>
          <w:tcPr>
            <w:tcW w:w="6820" w:type="dxa"/>
            <w:vAlign w:val="center"/>
          </w:tcPr>
          <w:p w14:paraId="582DDD6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参加遴选的承保机构需提供2024年度和最近一期经金融监管部门评定的风险综合评级证明材料，并加盖公章。</w:t>
            </w:r>
          </w:p>
        </w:tc>
      </w:tr>
      <w:tr w14:paraId="6247F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736" w:type="dxa"/>
            <w:vMerge w:val="continue"/>
            <w:vAlign w:val="center"/>
          </w:tcPr>
          <w:p w14:paraId="69D97E36">
            <w:pPr>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p>
        </w:tc>
        <w:tc>
          <w:tcPr>
            <w:tcW w:w="740" w:type="dxa"/>
            <w:vAlign w:val="center"/>
          </w:tcPr>
          <w:p w14:paraId="293B9292">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大灾准备金</w:t>
            </w:r>
          </w:p>
          <w:p w14:paraId="58D4509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2分</w:t>
            </w:r>
          </w:p>
        </w:tc>
        <w:tc>
          <w:tcPr>
            <w:tcW w:w="820" w:type="dxa"/>
            <w:vAlign w:val="center"/>
          </w:tcPr>
          <w:p w14:paraId="33A17CD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120" w:type="dxa"/>
            <w:vAlign w:val="center"/>
          </w:tcPr>
          <w:p w14:paraId="6F0FB19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参加遴选的承保机构所属省级公司2022-2024年期间按规定足额提取农业保险大灾准备金计1分，未足额提取或未提取不得分；</w:t>
            </w:r>
          </w:p>
          <w:p w14:paraId="1C582D8B">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规范使用计1分，未按规范使用不得分。未开展政策性农业保险业务的承保机构计1分。</w:t>
            </w:r>
          </w:p>
        </w:tc>
        <w:tc>
          <w:tcPr>
            <w:tcW w:w="6820" w:type="dxa"/>
            <w:vAlign w:val="center"/>
          </w:tcPr>
          <w:p w14:paraId="6AF453D3">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参加遴选的承保机构需提供省级公司2022-2024年农业保险大灾准备金提取证明材料，并加盖公章。</w:t>
            </w:r>
          </w:p>
        </w:tc>
      </w:tr>
      <w:tr w14:paraId="24BF8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trPr>
        <w:tc>
          <w:tcPr>
            <w:tcW w:w="736" w:type="dxa"/>
            <w:vMerge w:val="continue"/>
            <w:vAlign w:val="center"/>
          </w:tcPr>
          <w:p w14:paraId="480B60B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p>
        </w:tc>
        <w:tc>
          <w:tcPr>
            <w:tcW w:w="740" w:type="dxa"/>
            <w:vAlign w:val="center"/>
          </w:tcPr>
          <w:p w14:paraId="18114DC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管理</w:t>
            </w:r>
          </w:p>
          <w:p w14:paraId="372D0E5E">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制度</w:t>
            </w:r>
          </w:p>
          <w:p w14:paraId="3825C94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3分</w:t>
            </w:r>
          </w:p>
        </w:tc>
        <w:tc>
          <w:tcPr>
            <w:tcW w:w="820" w:type="dxa"/>
            <w:vAlign w:val="center"/>
          </w:tcPr>
          <w:p w14:paraId="44BCFFB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w:t>
            </w:r>
          </w:p>
        </w:tc>
        <w:tc>
          <w:tcPr>
            <w:tcW w:w="6120" w:type="dxa"/>
            <w:vAlign w:val="center"/>
          </w:tcPr>
          <w:p w14:paraId="4B3E472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农业保险工作相关制度。对内控合规制度、承保查勘理赔制度、客户服务制度、风险控制制度等相关规章制度进行综合评价，优计3分，良计2分，一般计1分，差不计分。</w:t>
            </w:r>
          </w:p>
        </w:tc>
        <w:tc>
          <w:tcPr>
            <w:tcW w:w="6820" w:type="dxa"/>
            <w:vAlign w:val="center"/>
          </w:tcPr>
          <w:p w14:paraId="4A9746A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以参加遴选的承保机构提供的制度汇编文本为评分依据。</w:t>
            </w:r>
          </w:p>
        </w:tc>
      </w:tr>
      <w:bookmarkEnd w:id="30"/>
    </w:tbl>
    <w:p w14:paraId="5CD8FD6D">
      <w:pPr>
        <w:spacing w:line="600" w:lineRule="exac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注：1、参加市本级及所辖区</w:t>
      </w:r>
      <w:r>
        <w:rPr>
          <w:rFonts w:hint="eastAsia" w:ascii="宋体" w:hAnsi="宋体" w:eastAsia="宋体" w:cs="宋体"/>
          <w:spacing w:val="-1"/>
          <w:sz w:val="24"/>
          <w:szCs w:val="24"/>
          <w:highlight w:val="none"/>
        </w:rPr>
        <w:t>遴</w:t>
      </w:r>
      <w:r>
        <w:rPr>
          <w:rFonts w:hint="eastAsia" w:ascii="宋体" w:hAnsi="宋体" w:eastAsia="宋体" w:cs="宋体"/>
          <w:b w:val="0"/>
          <w:bCs w:val="0"/>
          <w:sz w:val="24"/>
          <w:szCs w:val="24"/>
          <w:highlight w:val="none"/>
        </w:rPr>
        <w:t>选的承保机构市级分支机构，人员、车辆、信息设备、历史理赔情况及历史业绩指标数据统计范围包合避选区域范围内的所有的市辖区分支机构</w:t>
      </w:r>
      <w:r>
        <w:rPr>
          <w:rFonts w:hint="eastAsia" w:ascii="宋体" w:hAnsi="宋体" w:cs="宋体"/>
          <w:b w:val="0"/>
          <w:bCs w:val="0"/>
          <w:sz w:val="24"/>
          <w:szCs w:val="24"/>
          <w:highlight w:val="none"/>
          <w:lang w:eastAsia="zh-CN"/>
        </w:rPr>
        <w:t>。</w:t>
      </w:r>
    </w:p>
    <w:p w14:paraId="6B2CA442">
      <w:pPr>
        <w:spacing w:line="600" w:lineRule="exact"/>
        <w:ind w:firstLine="480" w:firstLineChars="200"/>
        <w:outlineLvl w:val="2"/>
        <w:rPr>
          <w:rFonts w:hint="eastAsia" w:ascii="宋体" w:hAnsi="宋体" w:eastAsia="宋体" w:cs="宋体"/>
          <w:sz w:val="24"/>
          <w:szCs w:val="24"/>
          <w:highlight w:val="none"/>
        </w:rPr>
      </w:pPr>
      <w:bookmarkStart w:id="31" w:name="_Toc12615"/>
      <w:r>
        <w:rPr>
          <w:rFonts w:hint="eastAsia" w:ascii="宋体" w:hAnsi="宋体" w:eastAsia="宋体" w:cs="宋体"/>
          <w:b w:val="0"/>
          <w:bCs w:val="0"/>
          <w:sz w:val="24"/>
          <w:szCs w:val="24"/>
          <w:highlight w:val="none"/>
        </w:rPr>
        <w:t>2、近3年指20</w:t>
      </w:r>
      <w:r>
        <w:rPr>
          <w:rFonts w:hint="eastAsia" w:ascii="宋体" w:hAnsi="宋体" w:cs="宋体"/>
          <w:b w:val="0"/>
          <w:bCs w:val="0"/>
          <w:sz w:val="24"/>
          <w:szCs w:val="24"/>
          <w:highlight w:val="none"/>
          <w:lang w:val="en-US" w:eastAsia="zh-CN"/>
        </w:rPr>
        <w:t>23</w:t>
      </w:r>
      <w:r>
        <w:rPr>
          <w:rFonts w:hint="eastAsia" w:ascii="宋体" w:hAnsi="宋体" w:eastAsia="宋体" w:cs="宋体"/>
          <w:b w:val="0"/>
          <w:bCs w:val="0"/>
          <w:sz w:val="24"/>
          <w:szCs w:val="24"/>
          <w:highlight w:val="none"/>
        </w:rPr>
        <w:t>-202</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rPr>
        <w:t>年，上年指20</w:t>
      </w:r>
      <w:r>
        <w:rPr>
          <w:rFonts w:hint="eastAsia" w:ascii="宋体" w:hAnsi="宋体" w:cs="宋体"/>
          <w:b w:val="0"/>
          <w:bCs w:val="0"/>
          <w:sz w:val="24"/>
          <w:szCs w:val="24"/>
          <w:highlight w:val="none"/>
          <w:lang w:val="en-US" w:eastAsia="zh-CN"/>
        </w:rPr>
        <w:t>25</w:t>
      </w:r>
      <w:r>
        <w:rPr>
          <w:rFonts w:hint="eastAsia" w:ascii="宋体" w:hAnsi="宋体" w:eastAsia="宋体" w:cs="宋体"/>
          <w:b w:val="0"/>
          <w:bCs w:val="0"/>
          <w:sz w:val="24"/>
          <w:szCs w:val="24"/>
          <w:highlight w:val="none"/>
        </w:rPr>
        <w:t>年。</w:t>
      </w:r>
      <w:bookmarkEnd w:id="31"/>
    </w:p>
    <w:p w14:paraId="5C589793">
      <w:pPr>
        <w:pStyle w:val="16"/>
        <w:rPr>
          <w:rFonts w:hint="eastAsia" w:ascii="宋体" w:hAnsi="宋体" w:eastAsia="宋体" w:cs="宋体"/>
          <w:sz w:val="24"/>
          <w:szCs w:val="24"/>
          <w:highlight w:val="none"/>
        </w:rPr>
      </w:pPr>
    </w:p>
    <w:p w14:paraId="13EC8CCF">
      <w:pPr>
        <w:pStyle w:val="4"/>
        <w:bidi w:val="0"/>
        <w:spacing w:line="240" w:lineRule="auto"/>
        <w:outlineLvl w:val="0"/>
        <w:rPr>
          <w:rFonts w:hint="eastAsia" w:ascii="宋体" w:hAnsi="宋体" w:eastAsia="宋体" w:cs="宋体"/>
          <w:b/>
          <w:sz w:val="24"/>
          <w:szCs w:val="24"/>
          <w:highlight w:val="none"/>
        </w:rPr>
        <w:sectPr>
          <w:pgSz w:w="16837" w:h="11905" w:orient="landscape"/>
          <w:pgMar w:top="850" w:right="1134" w:bottom="850" w:left="850" w:header="850" w:footer="1417" w:gutter="0"/>
          <w:pgBorders>
            <w:top w:val="none" w:sz="0" w:space="0"/>
            <w:left w:val="none" w:sz="0" w:space="0"/>
            <w:bottom w:val="none" w:sz="0" w:space="0"/>
            <w:right w:val="none" w:sz="0" w:space="0"/>
          </w:pgBorders>
          <w:pgNumType w:fmt="decimal"/>
          <w:cols w:space="0" w:num="1"/>
          <w:rtlGutter w:val="0"/>
          <w:docGrid w:linePitch="636" w:charSpace="0"/>
        </w:sectPr>
      </w:pPr>
      <w:bookmarkStart w:id="32" w:name="_Toc876"/>
    </w:p>
    <w:p w14:paraId="42F791BA">
      <w:pPr>
        <w:pStyle w:val="4"/>
        <w:keepNext/>
        <w:keepLines/>
        <w:pageBreakBefore w:val="0"/>
        <w:widowControl w:val="0"/>
        <w:kinsoku/>
        <w:wordWrap/>
        <w:overflowPunct/>
        <w:topLinePunct w:val="0"/>
        <w:autoSpaceDE/>
        <w:autoSpaceDN/>
        <w:bidi w:val="0"/>
        <w:adjustRightInd w:val="0"/>
        <w:snapToGrid w:val="0"/>
        <w:spacing w:before="0" w:after="0" w:line="240" w:lineRule="auto"/>
        <w:textAlignment w:val="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附件3</w:t>
      </w:r>
      <w:bookmarkEnd w:id="32"/>
    </w:p>
    <w:p w14:paraId="180842B6">
      <w:pPr>
        <w:pStyle w:val="33"/>
        <w:shd w:val="clear" w:color="auto" w:fill="auto"/>
        <w:spacing w:line="240" w:lineRule="auto"/>
        <w:ind w:firstLine="0"/>
        <w:jc w:val="center"/>
        <w:rPr>
          <w:rFonts w:hint="eastAsia" w:ascii="宋体" w:hAnsi="宋体" w:eastAsia="宋体" w:cs="宋体"/>
          <w:b/>
          <w:bCs/>
          <w:spacing w:val="0"/>
          <w:sz w:val="32"/>
          <w:szCs w:val="32"/>
          <w:highlight w:val="none"/>
        </w:rPr>
      </w:pPr>
      <w:r>
        <w:rPr>
          <w:rFonts w:hint="eastAsia" w:ascii="宋体" w:hAnsi="宋体" w:eastAsia="宋体" w:cs="宋体"/>
          <w:b/>
          <w:bCs/>
          <w:spacing w:val="0"/>
          <w:sz w:val="32"/>
          <w:szCs w:val="32"/>
          <w:highlight w:val="none"/>
        </w:rPr>
        <w:t>公开竞争性遴选政策性农业保险承保机构评审标准（县级）</w:t>
      </w:r>
    </w:p>
    <w:tbl>
      <w:tblPr>
        <w:tblStyle w:val="20"/>
        <w:tblW w:w="148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793"/>
        <w:gridCol w:w="1183"/>
        <w:gridCol w:w="634"/>
        <w:gridCol w:w="8177"/>
        <w:gridCol w:w="3560"/>
      </w:tblGrid>
      <w:tr w14:paraId="243B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3840">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b/>
                <w:bCs/>
                <w:i w:val="0"/>
                <w:iCs w:val="0"/>
                <w:snapToGrid w:val="0"/>
                <w:color w:val="auto"/>
                <w:kern w:val="0"/>
                <w:sz w:val="22"/>
                <w:szCs w:val="22"/>
                <w:highlight w:val="none"/>
                <w:u w:val="none"/>
              </w:rPr>
            </w:pPr>
            <w:r>
              <w:rPr>
                <w:rFonts w:hint="eastAsia" w:ascii="仿宋" w:hAnsi="仿宋" w:eastAsia="仿宋" w:cs="仿宋"/>
                <w:b/>
                <w:bCs/>
                <w:i w:val="0"/>
                <w:iCs w:val="0"/>
                <w:snapToGrid w:val="0"/>
                <w:color w:val="auto"/>
                <w:kern w:val="0"/>
                <w:sz w:val="22"/>
                <w:szCs w:val="22"/>
                <w:highlight w:val="none"/>
                <w:u w:val="none"/>
                <w:lang w:val="en-US" w:eastAsia="zh-CN" w:bidi="ar"/>
              </w:rPr>
              <w:t>序号</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D1AF">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b/>
                <w:bCs/>
                <w:snapToGrid w:val="0"/>
                <w:color w:val="auto"/>
                <w:spacing w:val="0"/>
                <w:kern w:val="0"/>
                <w:sz w:val="22"/>
                <w:szCs w:val="22"/>
                <w:highlight w:val="none"/>
                <w:lang w:val="en-US" w:eastAsia="zh-CN" w:bidi="ar-SA"/>
              </w:rPr>
            </w:pPr>
            <w:r>
              <w:rPr>
                <w:rFonts w:hint="eastAsia" w:ascii="仿宋" w:hAnsi="仿宋" w:eastAsia="仿宋" w:cs="仿宋"/>
                <w:b/>
                <w:bCs/>
                <w:snapToGrid w:val="0"/>
                <w:color w:val="auto"/>
                <w:spacing w:val="0"/>
                <w:kern w:val="0"/>
                <w:sz w:val="22"/>
                <w:szCs w:val="22"/>
                <w:highlight w:val="none"/>
                <w:lang w:val="en-US" w:eastAsia="zh-CN" w:bidi="ar-SA"/>
              </w:rPr>
              <w:t>一级指标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0B1B">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b/>
                <w:bCs/>
                <w:snapToGrid w:val="0"/>
                <w:color w:val="auto"/>
                <w:spacing w:val="0"/>
                <w:kern w:val="0"/>
                <w:sz w:val="22"/>
                <w:szCs w:val="22"/>
                <w:highlight w:val="none"/>
                <w:lang w:val="en-US" w:eastAsia="zh-CN" w:bidi="ar-SA"/>
              </w:rPr>
            </w:pPr>
            <w:r>
              <w:rPr>
                <w:rFonts w:hint="eastAsia" w:ascii="仿宋" w:hAnsi="仿宋" w:eastAsia="仿宋" w:cs="仿宋"/>
                <w:b/>
                <w:bCs/>
                <w:snapToGrid w:val="0"/>
                <w:color w:val="auto"/>
                <w:spacing w:val="0"/>
                <w:kern w:val="0"/>
                <w:sz w:val="22"/>
                <w:szCs w:val="22"/>
                <w:highlight w:val="none"/>
                <w:lang w:val="en-US" w:eastAsia="zh-CN" w:bidi="ar-SA"/>
              </w:rPr>
              <w:t>二级指标</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5D94">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b/>
                <w:bCs/>
                <w:snapToGrid w:val="0"/>
                <w:color w:val="auto"/>
                <w:spacing w:val="0"/>
                <w:kern w:val="0"/>
                <w:sz w:val="22"/>
                <w:szCs w:val="22"/>
                <w:highlight w:val="none"/>
                <w:lang w:val="en-US" w:eastAsia="zh-CN" w:bidi="ar-SA"/>
              </w:rPr>
            </w:pPr>
            <w:r>
              <w:rPr>
                <w:rFonts w:hint="eastAsia" w:ascii="仿宋" w:hAnsi="仿宋" w:eastAsia="仿宋" w:cs="仿宋"/>
                <w:b/>
                <w:bCs/>
                <w:snapToGrid w:val="0"/>
                <w:color w:val="auto"/>
                <w:spacing w:val="0"/>
                <w:kern w:val="0"/>
                <w:sz w:val="22"/>
                <w:szCs w:val="22"/>
                <w:highlight w:val="none"/>
                <w:lang w:val="en-US" w:eastAsia="zh-CN" w:bidi="ar-SA"/>
              </w:rPr>
              <w:t>分值</w:t>
            </w:r>
          </w:p>
        </w:tc>
        <w:tc>
          <w:tcPr>
            <w:tcW w:w="8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056A">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b/>
                <w:bCs/>
                <w:snapToGrid w:val="0"/>
                <w:color w:val="auto"/>
                <w:spacing w:val="0"/>
                <w:kern w:val="0"/>
                <w:sz w:val="22"/>
                <w:szCs w:val="22"/>
                <w:highlight w:val="none"/>
                <w:lang w:val="en-US" w:eastAsia="zh-CN" w:bidi="ar-SA"/>
              </w:rPr>
            </w:pPr>
            <w:r>
              <w:rPr>
                <w:rFonts w:hint="eastAsia" w:ascii="仿宋" w:hAnsi="仿宋" w:eastAsia="仿宋" w:cs="仿宋"/>
                <w:b/>
                <w:bCs/>
                <w:snapToGrid w:val="0"/>
                <w:color w:val="auto"/>
                <w:spacing w:val="0"/>
                <w:kern w:val="0"/>
                <w:sz w:val="22"/>
                <w:szCs w:val="22"/>
                <w:highlight w:val="none"/>
                <w:lang w:val="en-US" w:eastAsia="zh-CN" w:bidi="ar-SA"/>
              </w:rPr>
              <w:t>评分标准</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7168">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b/>
                <w:bCs/>
                <w:snapToGrid w:val="0"/>
                <w:color w:val="auto"/>
                <w:spacing w:val="0"/>
                <w:kern w:val="0"/>
                <w:sz w:val="22"/>
                <w:szCs w:val="22"/>
                <w:highlight w:val="none"/>
                <w:lang w:val="en-US" w:eastAsia="zh-CN" w:bidi="ar-SA"/>
              </w:rPr>
            </w:pPr>
            <w:r>
              <w:rPr>
                <w:rFonts w:hint="eastAsia" w:ascii="仿宋" w:hAnsi="仿宋" w:eastAsia="仿宋" w:cs="仿宋"/>
                <w:b/>
                <w:bCs/>
                <w:snapToGrid w:val="0"/>
                <w:color w:val="auto"/>
                <w:spacing w:val="0"/>
                <w:kern w:val="0"/>
                <w:sz w:val="22"/>
                <w:szCs w:val="22"/>
                <w:highlight w:val="none"/>
                <w:lang w:val="en-US" w:eastAsia="zh-CN" w:bidi="ar-SA"/>
              </w:rPr>
              <w:t>评分说明</w:t>
            </w:r>
          </w:p>
        </w:tc>
      </w:tr>
      <w:tr w14:paraId="3387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ABA9">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rPr>
            </w:pPr>
            <w:r>
              <w:rPr>
                <w:rFonts w:hint="eastAsia" w:ascii="仿宋" w:hAnsi="仿宋" w:eastAsia="仿宋" w:cs="仿宋"/>
                <w:i w:val="0"/>
                <w:iCs w:val="0"/>
                <w:snapToGrid w:val="0"/>
                <w:color w:val="auto"/>
                <w:kern w:val="0"/>
                <w:sz w:val="22"/>
                <w:szCs w:val="22"/>
                <w:highlight w:val="none"/>
                <w:u w:val="none"/>
                <w:lang w:val="en-US" w:eastAsia="zh-CN" w:bidi="ar"/>
              </w:rPr>
              <w:t>1</w:t>
            </w:r>
          </w:p>
        </w:tc>
        <w:tc>
          <w:tcPr>
            <w:tcW w:w="793" w:type="dxa"/>
            <w:vMerge w:val="restart"/>
            <w:tcBorders>
              <w:top w:val="single" w:color="000000" w:sz="4" w:space="0"/>
              <w:left w:val="single" w:color="000000" w:sz="4" w:space="0"/>
              <w:right w:val="single" w:color="000000" w:sz="4" w:space="0"/>
            </w:tcBorders>
            <w:shd w:val="clear" w:color="auto" w:fill="auto"/>
            <w:vAlign w:val="center"/>
          </w:tcPr>
          <w:p w14:paraId="1D3C9237">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县级设置</w:t>
            </w:r>
          </w:p>
          <w:p w14:paraId="23912E7B">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rPr>
            </w:pPr>
            <w:r>
              <w:rPr>
                <w:rFonts w:hint="eastAsia" w:ascii="仿宋" w:hAnsi="仿宋" w:eastAsia="仿宋" w:cs="仿宋"/>
                <w:i w:val="0"/>
                <w:iCs w:val="0"/>
                <w:snapToGrid w:val="0"/>
                <w:color w:val="auto"/>
                <w:kern w:val="0"/>
                <w:sz w:val="22"/>
                <w:szCs w:val="22"/>
                <w:highlight w:val="none"/>
                <w:u w:val="none"/>
                <w:lang w:val="en-US" w:eastAsia="zh-CN" w:bidi="ar"/>
              </w:rPr>
              <w:t>20分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78B5">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绩效评价</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FFC4">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8</w:t>
            </w:r>
          </w:p>
        </w:tc>
        <w:tc>
          <w:tcPr>
            <w:tcW w:w="8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1FE3">
            <w:pPr>
              <w:keepNext w:val="0"/>
              <w:keepLines w:val="0"/>
              <w:pageBreakBefore w:val="0"/>
              <w:widowControl w:val="0"/>
              <w:suppressLineNumbers w:val="0"/>
              <w:kinsoku/>
              <w:wordWrap w:val="0"/>
              <w:overflowPunct/>
              <w:topLinePunct w:val="0"/>
              <w:autoSpaceDE w:val="0"/>
              <w:autoSpaceDN w:val="0"/>
              <w:bidi w:val="0"/>
              <w:adjustRightInd w:val="0"/>
              <w:snapToGrid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根据2022-2024年度绩效评价结果，以连续三年绩效评价得分平均数为评分依据，平均数90分（包含90分）以上者为优秀得8分，80分-90分(包含80分）为良好得6分，70分-80分为合格得4分（上年度未开展农险工作酌情打3分）</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4A11">
            <w:pPr>
              <w:keepNext w:val="0"/>
              <w:keepLines w:val="0"/>
              <w:pageBreakBefore w:val="0"/>
              <w:widowControl w:val="0"/>
              <w:suppressLineNumbers w:val="0"/>
              <w:kinsoku/>
              <w:wordWrap w:val="0"/>
              <w:overflowPunct/>
              <w:topLinePunct w:val="0"/>
              <w:autoSpaceDE w:val="0"/>
              <w:autoSpaceDN w:val="0"/>
              <w:bidi w:val="0"/>
              <w:adjustRightInd w:val="0"/>
              <w:snapToGrid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以县财政部门提供的绩效评得分证明材料为准</w:t>
            </w:r>
          </w:p>
        </w:tc>
      </w:tr>
      <w:tr w14:paraId="08FA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4C51">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rPr>
            </w:pPr>
            <w:r>
              <w:rPr>
                <w:rFonts w:hint="eastAsia" w:ascii="仿宋" w:hAnsi="仿宋" w:eastAsia="仿宋" w:cs="仿宋"/>
                <w:i w:val="0"/>
                <w:iCs w:val="0"/>
                <w:snapToGrid w:val="0"/>
                <w:color w:val="auto"/>
                <w:kern w:val="0"/>
                <w:sz w:val="22"/>
                <w:szCs w:val="22"/>
                <w:highlight w:val="none"/>
                <w:u w:val="none"/>
                <w:lang w:val="en-US" w:eastAsia="zh-CN" w:bidi="ar"/>
              </w:rPr>
              <w:t>2</w:t>
            </w:r>
          </w:p>
        </w:tc>
        <w:tc>
          <w:tcPr>
            <w:tcW w:w="793" w:type="dxa"/>
            <w:vMerge w:val="continue"/>
            <w:tcBorders>
              <w:left w:val="single" w:color="000000" w:sz="4" w:space="0"/>
              <w:right w:val="single" w:color="000000" w:sz="4" w:space="0"/>
            </w:tcBorders>
            <w:shd w:val="clear" w:color="auto" w:fill="auto"/>
            <w:vAlign w:val="center"/>
          </w:tcPr>
          <w:p w14:paraId="78728BB1">
            <w:pPr>
              <w:keepNext w:val="0"/>
              <w:keepLines w:val="0"/>
              <w:pageBreakBefore w:val="0"/>
              <w:widowControl w:val="0"/>
              <w:kinsoku/>
              <w:wordWrap w:val="0"/>
              <w:overflowPunct/>
              <w:topLinePunct w:val="0"/>
              <w:autoSpaceDE w:val="0"/>
              <w:autoSpaceDN w:val="0"/>
              <w:bidi w:val="0"/>
              <w:adjustRightInd w:val="0"/>
              <w:snapToGrid w:val="0"/>
              <w:ind w:firstLine="0" w:firstLineChars="0"/>
              <w:jc w:val="center"/>
              <w:rPr>
                <w:rFonts w:hint="eastAsia" w:ascii="仿宋" w:hAnsi="仿宋" w:eastAsia="仿宋" w:cs="仿宋"/>
                <w:i w:val="0"/>
                <w:iCs w:val="0"/>
                <w:snapToGrid w:val="0"/>
                <w:color w:val="auto"/>
                <w:kern w:val="0"/>
                <w:sz w:val="22"/>
                <w:szCs w:val="22"/>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0A46">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农业防灾减损</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699F">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2</w:t>
            </w:r>
          </w:p>
        </w:tc>
        <w:tc>
          <w:tcPr>
            <w:tcW w:w="8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D6F8">
            <w:pPr>
              <w:keepNext w:val="0"/>
              <w:keepLines w:val="0"/>
              <w:pageBreakBefore w:val="0"/>
              <w:widowControl w:val="0"/>
              <w:suppressLineNumbers w:val="0"/>
              <w:kinsoku/>
              <w:wordWrap w:val="0"/>
              <w:overflowPunct/>
              <w:topLinePunct w:val="0"/>
              <w:autoSpaceDE w:val="0"/>
              <w:autoSpaceDN w:val="0"/>
              <w:bidi w:val="0"/>
              <w:adjustRightInd w:val="0"/>
              <w:snapToGrid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农业防灾减损是指农业生产过程中预防灾害发生，减少灾害产生的损失。各保险机构近3年（2023-2025年）在我县投入的农业防灾减损费用（含防疫激励费用）。参加遴选的承保机构投入防灾减损费用总和最高者得2分，后续根据排名依次得分为1.8分、1.6分、1.4分、1.2分。</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8862">
            <w:pPr>
              <w:keepNext w:val="0"/>
              <w:keepLines w:val="0"/>
              <w:pageBreakBefore w:val="0"/>
              <w:widowControl w:val="0"/>
              <w:suppressLineNumbers w:val="0"/>
              <w:kinsoku/>
              <w:wordWrap w:val="0"/>
              <w:overflowPunct/>
              <w:topLinePunct w:val="0"/>
              <w:autoSpaceDE w:val="0"/>
              <w:autoSpaceDN w:val="0"/>
              <w:bidi w:val="0"/>
              <w:adjustRightInd w:val="0"/>
              <w:snapToGrid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以银行等部门提供的资金拨付凭证以及相关职能部门提供的证明材料为准</w:t>
            </w:r>
          </w:p>
        </w:tc>
      </w:tr>
      <w:tr w14:paraId="6FA4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28" w:type="dxa"/>
            <w:vMerge w:val="restart"/>
            <w:tcBorders>
              <w:top w:val="single" w:color="000000" w:sz="4" w:space="0"/>
              <w:left w:val="single" w:color="000000" w:sz="4" w:space="0"/>
              <w:right w:val="single" w:color="000000" w:sz="4" w:space="0"/>
            </w:tcBorders>
            <w:shd w:val="clear" w:color="auto" w:fill="auto"/>
            <w:vAlign w:val="center"/>
          </w:tcPr>
          <w:p w14:paraId="10D2FF61">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rPr>
            </w:pPr>
            <w:r>
              <w:rPr>
                <w:rFonts w:hint="eastAsia" w:ascii="仿宋" w:hAnsi="仿宋" w:eastAsia="仿宋" w:cs="仿宋"/>
                <w:i w:val="0"/>
                <w:iCs w:val="0"/>
                <w:snapToGrid w:val="0"/>
                <w:color w:val="auto"/>
                <w:kern w:val="0"/>
                <w:sz w:val="22"/>
                <w:szCs w:val="22"/>
                <w:highlight w:val="none"/>
                <w:u w:val="none"/>
                <w:lang w:val="en-US" w:eastAsia="zh-CN" w:bidi="ar"/>
              </w:rPr>
              <w:t>3</w:t>
            </w:r>
          </w:p>
        </w:tc>
        <w:tc>
          <w:tcPr>
            <w:tcW w:w="793" w:type="dxa"/>
            <w:vMerge w:val="continue"/>
            <w:tcBorders>
              <w:left w:val="single" w:color="000000" w:sz="4" w:space="0"/>
              <w:right w:val="single" w:color="000000" w:sz="4" w:space="0"/>
            </w:tcBorders>
            <w:shd w:val="clear" w:color="auto" w:fill="auto"/>
            <w:vAlign w:val="center"/>
          </w:tcPr>
          <w:p w14:paraId="44D3DC32">
            <w:pPr>
              <w:keepNext w:val="0"/>
              <w:keepLines w:val="0"/>
              <w:pageBreakBefore w:val="0"/>
              <w:widowControl w:val="0"/>
              <w:kinsoku/>
              <w:wordWrap w:val="0"/>
              <w:overflowPunct/>
              <w:topLinePunct w:val="0"/>
              <w:autoSpaceDE w:val="0"/>
              <w:autoSpaceDN w:val="0"/>
              <w:bidi w:val="0"/>
              <w:adjustRightInd w:val="0"/>
              <w:snapToGrid w:val="0"/>
              <w:ind w:firstLine="0" w:firstLineChars="0"/>
              <w:jc w:val="center"/>
              <w:rPr>
                <w:rFonts w:hint="eastAsia" w:ascii="仿宋" w:hAnsi="仿宋" w:eastAsia="仿宋" w:cs="仿宋"/>
                <w:i w:val="0"/>
                <w:iCs w:val="0"/>
                <w:snapToGrid w:val="0"/>
                <w:color w:val="auto"/>
                <w:kern w:val="0"/>
                <w:sz w:val="22"/>
                <w:szCs w:val="22"/>
                <w:highlight w:val="none"/>
                <w:u w:val="none"/>
              </w:rPr>
            </w:pPr>
          </w:p>
        </w:tc>
        <w:tc>
          <w:tcPr>
            <w:tcW w:w="1183" w:type="dxa"/>
            <w:vMerge w:val="restart"/>
            <w:tcBorders>
              <w:top w:val="single" w:color="000000" w:sz="4" w:space="0"/>
              <w:left w:val="single" w:color="000000" w:sz="4" w:space="0"/>
              <w:right w:val="single" w:color="000000" w:sz="4" w:space="0"/>
            </w:tcBorders>
            <w:shd w:val="clear" w:color="auto" w:fill="auto"/>
            <w:vAlign w:val="center"/>
          </w:tcPr>
          <w:p w14:paraId="64C13AED">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乡村振兴</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AFE6">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2</w:t>
            </w:r>
          </w:p>
        </w:tc>
        <w:tc>
          <w:tcPr>
            <w:tcW w:w="8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92FD">
            <w:pPr>
              <w:keepNext w:val="0"/>
              <w:keepLines w:val="0"/>
              <w:pageBreakBefore w:val="0"/>
              <w:widowControl w:val="0"/>
              <w:suppressLineNumbers w:val="0"/>
              <w:kinsoku/>
              <w:wordWrap w:val="0"/>
              <w:overflowPunct/>
              <w:topLinePunct w:val="0"/>
              <w:autoSpaceDE w:val="0"/>
              <w:autoSpaceDN w:val="0"/>
              <w:bidi w:val="0"/>
              <w:adjustRightInd w:val="0"/>
              <w:snapToGrid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各保险机构近3年（2023年-2025年）支持我县乡村振兴相关工作（建设、物质等）投放资金。以参加遴选的承保机构支持我县乡村振兴工作资金最多的为评审基准值，该机构得满分。其他参加遴选的承保机构按照下列公式计算：得分=其他参加遴选的承保机构支持乡村振兴工作资金/评审基准值×2</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3260">
            <w:pPr>
              <w:keepNext w:val="0"/>
              <w:keepLines w:val="0"/>
              <w:pageBreakBefore w:val="0"/>
              <w:widowControl w:val="0"/>
              <w:suppressLineNumbers w:val="0"/>
              <w:kinsoku/>
              <w:wordWrap w:val="0"/>
              <w:overflowPunct/>
              <w:topLinePunct w:val="0"/>
              <w:autoSpaceDE w:val="0"/>
              <w:autoSpaceDN w:val="0"/>
              <w:bidi w:val="0"/>
              <w:adjustRightInd w:val="0"/>
              <w:snapToGrid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以银行部门提供的资金拨付凭证以及相关职能部门提供的证明材料为准</w:t>
            </w:r>
          </w:p>
        </w:tc>
      </w:tr>
      <w:tr w14:paraId="2B9B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28" w:type="dxa"/>
            <w:vMerge w:val="continue"/>
            <w:tcBorders>
              <w:left w:val="single" w:color="000000" w:sz="4" w:space="0"/>
              <w:bottom w:val="single" w:color="000000" w:sz="4" w:space="0"/>
              <w:right w:val="single" w:color="000000" w:sz="4" w:space="0"/>
            </w:tcBorders>
            <w:shd w:val="clear" w:color="auto" w:fill="auto"/>
            <w:vAlign w:val="center"/>
          </w:tcPr>
          <w:p w14:paraId="7CF3EA99">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ind w:firstLine="210" w:firstLineChars="100"/>
              <w:jc w:val="left"/>
              <w:textAlignment w:val="center"/>
              <w:rPr>
                <w:highlight w:val="none"/>
              </w:rPr>
            </w:pPr>
          </w:p>
        </w:tc>
        <w:tc>
          <w:tcPr>
            <w:tcW w:w="793" w:type="dxa"/>
            <w:vMerge w:val="continue"/>
            <w:tcBorders>
              <w:left w:val="single" w:color="000000" w:sz="4" w:space="0"/>
              <w:bottom w:val="single" w:color="000000" w:sz="4" w:space="0"/>
              <w:right w:val="single" w:color="000000" w:sz="4" w:space="0"/>
            </w:tcBorders>
            <w:shd w:val="clear" w:color="auto" w:fill="auto"/>
            <w:vAlign w:val="center"/>
          </w:tcPr>
          <w:p w14:paraId="71077C89">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ind w:firstLine="210" w:firstLineChars="100"/>
              <w:jc w:val="left"/>
              <w:textAlignment w:val="center"/>
              <w:rPr>
                <w:highlight w:val="none"/>
              </w:rPr>
            </w:pPr>
          </w:p>
        </w:tc>
        <w:tc>
          <w:tcPr>
            <w:tcW w:w="1183" w:type="dxa"/>
            <w:vMerge w:val="continue"/>
            <w:tcBorders>
              <w:left w:val="single" w:color="000000" w:sz="4" w:space="0"/>
              <w:bottom w:val="single" w:color="000000" w:sz="4" w:space="0"/>
              <w:right w:val="single" w:color="000000" w:sz="4" w:space="0"/>
            </w:tcBorders>
            <w:shd w:val="clear" w:color="auto" w:fill="auto"/>
            <w:vAlign w:val="center"/>
          </w:tcPr>
          <w:p w14:paraId="378EE3BF">
            <w:pPr>
              <w:jc w:val="center"/>
              <w:rPr>
                <w:rFonts w:hint="eastAsia" w:ascii="仿宋" w:hAnsi="仿宋" w:eastAsia="仿宋" w:cs="仿宋"/>
                <w:i w:val="0"/>
                <w:iCs w:val="0"/>
                <w:snapToGrid w:val="0"/>
                <w:color w:val="auto"/>
                <w:kern w:val="0"/>
                <w:sz w:val="22"/>
                <w:szCs w:val="22"/>
                <w:highlight w:val="none"/>
                <w:u w:val="none"/>
                <w:lang w:val="en-US" w:eastAsia="zh-CN"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F2C9">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4</w:t>
            </w:r>
          </w:p>
        </w:tc>
        <w:tc>
          <w:tcPr>
            <w:tcW w:w="8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A818">
            <w:pPr>
              <w:keepNext w:val="0"/>
              <w:keepLines w:val="0"/>
              <w:pageBreakBefore w:val="0"/>
              <w:widowControl/>
              <w:suppressLineNumbers w:val="0"/>
              <w:kinsoku/>
              <w:overflowPunct/>
              <w:topLinePunct w:val="0"/>
              <w:bidi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1、2023-2025年期间参加遴选的承保机构参与乡村振兴（脱贫攻坚）有驻村点和支付工作经费的，其中连续开展的计2.5分，间断开展的扣0.5分；未参与乡村振兴工作的不计分；2、开展“防贫保（乡村振兴保）”保险业务的计1.5分、间断开展的扣0.5分、未开展的不计分。</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0D83">
            <w:pPr>
              <w:keepNext w:val="0"/>
              <w:keepLines w:val="0"/>
              <w:pageBreakBefore w:val="0"/>
              <w:widowControl/>
              <w:suppressLineNumbers w:val="0"/>
              <w:kinsoku/>
              <w:overflowPunct/>
              <w:topLinePunct w:val="0"/>
              <w:bidi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以相关部门提供的证明材料为准</w:t>
            </w:r>
          </w:p>
        </w:tc>
      </w:tr>
      <w:tr w14:paraId="749A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81ED">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rPr>
            </w:pPr>
            <w:r>
              <w:rPr>
                <w:rFonts w:hint="eastAsia" w:ascii="仿宋" w:hAnsi="仿宋" w:eastAsia="仿宋" w:cs="仿宋"/>
                <w:i w:val="0"/>
                <w:iCs w:val="0"/>
                <w:snapToGrid w:val="0"/>
                <w:color w:val="auto"/>
                <w:kern w:val="0"/>
                <w:sz w:val="22"/>
                <w:szCs w:val="22"/>
                <w:highlight w:val="none"/>
                <w:u w:val="none"/>
                <w:lang w:val="en-US" w:eastAsia="zh-CN" w:bidi="ar"/>
              </w:rPr>
              <w:t>4</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E6353">
            <w:pPr>
              <w:keepNext w:val="0"/>
              <w:keepLines w:val="0"/>
              <w:pageBreakBefore w:val="0"/>
              <w:widowControl w:val="0"/>
              <w:kinsoku/>
              <w:wordWrap w:val="0"/>
              <w:overflowPunct/>
              <w:topLinePunct w:val="0"/>
              <w:autoSpaceDE w:val="0"/>
              <w:autoSpaceDN w:val="0"/>
              <w:bidi w:val="0"/>
              <w:adjustRightInd w:val="0"/>
              <w:snapToGrid w:val="0"/>
              <w:ind w:firstLine="0" w:firstLineChars="0"/>
              <w:jc w:val="center"/>
              <w:rPr>
                <w:rFonts w:hint="eastAsia" w:ascii="仿宋" w:hAnsi="仿宋" w:eastAsia="仿宋" w:cs="仿宋"/>
                <w:i w:val="0"/>
                <w:iCs w:val="0"/>
                <w:snapToGrid w:val="0"/>
                <w:color w:val="auto"/>
                <w:kern w:val="0"/>
                <w:sz w:val="22"/>
                <w:szCs w:val="22"/>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4E68">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资料报送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5CE3">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2</w:t>
            </w:r>
          </w:p>
        </w:tc>
        <w:tc>
          <w:tcPr>
            <w:tcW w:w="8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1B96">
            <w:pPr>
              <w:keepNext w:val="0"/>
              <w:keepLines w:val="0"/>
              <w:pageBreakBefore w:val="0"/>
              <w:widowControl w:val="0"/>
              <w:suppressLineNumbers w:val="0"/>
              <w:kinsoku/>
              <w:wordWrap w:val="0"/>
              <w:overflowPunct/>
              <w:topLinePunct w:val="0"/>
              <w:autoSpaceDE w:val="0"/>
              <w:autoSpaceDN w:val="0"/>
              <w:bidi w:val="0"/>
              <w:adjustRightInd w:val="0"/>
              <w:snapToGrid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各承保机构按照财政部门要求及时、准确报送有关农业保险数据资料（包括但不限于报表、工作总结、资金申请等）。之前年度未开展政策性农业保险工作的保险机构以本次遴选上报资料的真实性、准确性等条件为标准进行评分。1、资料报送不及时的扣0.2分； 2、报送不准确的扣0.2分，扣完为止。</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A73F">
            <w:pPr>
              <w:keepNext w:val="0"/>
              <w:keepLines w:val="0"/>
              <w:pageBreakBefore w:val="0"/>
              <w:widowControl w:val="0"/>
              <w:suppressLineNumbers w:val="0"/>
              <w:kinsoku/>
              <w:wordWrap w:val="0"/>
              <w:overflowPunct/>
              <w:topLinePunct w:val="0"/>
              <w:autoSpaceDE w:val="0"/>
              <w:autoSpaceDN w:val="0"/>
              <w:bidi w:val="0"/>
              <w:adjustRightInd w:val="0"/>
              <w:snapToGrid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以加盖财政部门公章的证明材料为准</w:t>
            </w:r>
          </w:p>
        </w:tc>
      </w:tr>
      <w:tr w14:paraId="58A9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C095">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ind w:firstLine="210" w:firstLineChars="100"/>
              <w:jc w:val="left"/>
              <w:textAlignment w:val="center"/>
              <w:rPr>
                <w:rFonts w:hint="eastAsia" w:eastAsia="宋体"/>
                <w:highlight w:val="none"/>
                <w:lang w:val="en-US" w:eastAsia="zh-CN"/>
              </w:rPr>
            </w:pPr>
            <w:r>
              <w:rPr>
                <w:rFonts w:hint="eastAsia"/>
                <w:highlight w:val="none"/>
                <w:lang w:val="en-US" w:eastAsia="zh-CN"/>
              </w:rPr>
              <w:t>5</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8F93C">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ind w:firstLine="210" w:firstLineChars="100"/>
              <w:jc w:val="left"/>
              <w:textAlignment w:val="center"/>
              <w:rPr>
                <w:highlight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CA98">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响应文件制作</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2D48">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2</w:t>
            </w:r>
          </w:p>
        </w:tc>
        <w:tc>
          <w:tcPr>
            <w:tcW w:w="8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CA8C">
            <w:pPr>
              <w:keepNext w:val="0"/>
              <w:keepLines w:val="0"/>
              <w:pageBreakBefore w:val="0"/>
              <w:widowControl/>
              <w:suppressLineNumbers w:val="0"/>
              <w:kinsoku/>
              <w:overflowPunct/>
              <w:topLinePunct w:val="0"/>
              <w:bidi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1、响应遴选文件要求，编制完整、非活页装订，且有详细目录、连续页码、目录与有关材料装订顺序对应清晰查阅方便得2分。2、编排杂乱无章、资料残缺不全、叙述模糊不清、前后不一致等，每处扣0.2分，扣完为止。</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9165">
            <w:pPr>
              <w:keepNext w:val="0"/>
              <w:keepLines w:val="0"/>
              <w:pageBreakBefore w:val="0"/>
              <w:widowControl/>
              <w:suppressLineNumbers w:val="0"/>
              <w:kinsoku/>
              <w:overflowPunct/>
              <w:topLinePunct w:val="0"/>
              <w:bidi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以承保机构提供的遴选资料为评判依据，由专家评审据实评分。</w:t>
            </w:r>
          </w:p>
        </w:tc>
      </w:tr>
    </w:tbl>
    <w:p w14:paraId="63207506">
      <w:pPr>
        <w:keepNext w:val="0"/>
        <w:keepLines w:val="0"/>
        <w:pageBreakBefore w:val="0"/>
        <w:widowControl w:val="0"/>
        <w:kinsoku/>
        <w:wordWrap w:val="0"/>
        <w:overflowPunct/>
        <w:topLinePunct w:val="0"/>
        <w:autoSpaceDE w:val="0"/>
        <w:autoSpaceDN w:val="0"/>
        <w:bidi w:val="0"/>
        <w:adjustRightInd w:val="0"/>
        <w:snapToGrid w:val="0"/>
        <w:spacing w:line="36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注：1、参加市本级及所辖区遴选的承保机构市级分支机构，人员、车辆、信息设备、历史理赔情况及历史业绩指标数据统计范围包合避选区域范围内的所有的市辖区分支机构</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2、近3年指20</w:t>
      </w:r>
      <w:r>
        <w:rPr>
          <w:rFonts w:hint="eastAsia" w:ascii="宋体" w:hAnsi="宋体" w:cs="宋体"/>
          <w:b w:val="0"/>
          <w:bCs w:val="0"/>
          <w:sz w:val="24"/>
          <w:szCs w:val="24"/>
          <w:highlight w:val="none"/>
          <w:lang w:val="en-US" w:eastAsia="zh-CN"/>
        </w:rPr>
        <w:t>23</w:t>
      </w:r>
      <w:r>
        <w:rPr>
          <w:rFonts w:hint="eastAsia" w:ascii="宋体" w:hAnsi="宋体" w:eastAsia="宋体" w:cs="宋体"/>
          <w:b w:val="0"/>
          <w:bCs w:val="0"/>
          <w:sz w:val="24"/>
          <w:szCs w:val="24"/>
          <w:highlight w:val="none"/>
        </w:rPr>
        <w:t>-202</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rPr>
        <w:t>年，上年指20</w:t>
      </w:r>
      <w:r>
        <w:rPr>
          <w:rFonts w:hint="eastAsia" w:ascii="宋体" w:hAnsi="宋体" w:cs="宋体"/>
          <w:b w:val="0"/>
          <w:bCs w:val="0"/>
          <w:sz w:val="24"/>
          <w:szCs w:val="24"/>
          <w:highlight w:val="none"/>
          <w:lang w:val="en-US" w:eastAsia="zh-CN"/>
        </w:rPr>
        <w:t>25</w:t>
      </w:r>
      <w:r>
        <w:rPr>
          <w:rFonts w:hint="eastAsia" w:ascii="宋体" w:hAnsi="宋体" w:eastAsia="宋体" w:cs="宋体"/>
          <w:b w:val="0"/>
          <w:bCs w:val="0"/>
          <w:sz w:val="24"/>
          <w:szCs w:val="24"/>
          <w:highlight w:val="none"/>
        </w:rPr>
        <w:t>年。</w:t>
      </w:r>
    </w:p>
    <w:p w14:paraId="489F61DF">
      <w:pPr>
        <w:pStyle w:val="16"/>
        <w:rPr>
          <w:rFonts w:hint="eastAsia" w:ascii="宋体" w:hAnsi="宋体" w:eastAsia="宋体" w:cs="宋体"/>
          <w:highlight w:val="none"/>
        </w:rPr>
        <w:sectPr>
          <w:pgSz w:w="16837" w:h="11905" w:orient="landscape"/>
          <w:pgMar w:top="850" w:right="1134" w:bottom="567" w:left="850" w:header="850" w:footer="1417" w:gutter="0"/>
          <w:pgBorders>
            <w:top w:val="none" w:sz="0" w:space="0"/>
            <w:left w:val="none" w:sz="0" w:space="0"/>
            <w:bottom w:val="none" w:sz="0" w:space="0"/>
            <w:right w:val="none" w:sz="0" w:space="0"/>
          </w:pgBorders>
          <w:pgNumType w:fmt="decimal"/>
          <w:cols w:space="0" w:num="1"/>
          <w:rtlGutter w:val="0"/>
          <w:docGrid w:linePitch="636" w:charSpace="0"/>
        </w:sectPr>
      </w:pPr>
    </w:p>
    <w:p w14:paraId="76CD697D">
      <w:pPr>
        <w:pStyle w:val="3"/>
        <w:bidi w:val="0"/>
        <w:jc w:val="center"/>
        <w:outlineLvl w:val="0"/>
        <w:rPr>
          <w:rFonts w:hint="eastAsia" w:ascii="宋体" w:hAnsi="宋体" w:eastAsia="宋体" w:cs="宋体"/>
          <w:highlight w:val="none"/>
        </w:rPr>
      </w:pPr>
      <w:bookmarkStart w:id="33" w:name="_Toc31532"/>
      <w:bookmarkStart w:id="34" w:name="合同格式"/>
      <w:r>
        <w:rPr>
          <w:rFonts w:hint="eastAsia" w:ascii="宋体" w:hAnsi="宋体" w:eastAsia="宋体" w:cs="宋体"/>
          <w:highlight w:val="none"/>
        </w:rPr>
        <w:t>第三章　合同格式</w:t>
      </w:r>
      <w:bookmarkEnd w:id="33"/>
    </w:p>
    <w:p w14:paraId="015321E9">
      <w:pPr>
        <w:pStyle w:val="6"/>
        <w:adjustRightInd w:val="0"/>
        <w:snapToGrid w:val="0"/>
        <w:spacing w:line="630" w:lineRule="exact"/>
        <w:ind w:left="0" w:leftChars="0"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由遴选区域财政部门和农业农村局</w:t>
      </w:r>
      <w:r>
        <w:rPr>
          <w:rFonts w:eastAsia="仿宋_GB2312"/>
          <w:color w:val="auto"/>
          <w:sz w:val="32"/>
          <w:szCs w:val="32"/>
          <w:highlight w:val="none"/>
        </w:rPr>
        <w:t>根据《中华人民共和国</w:t>
      </w:r>
      <w:r>
        <w:rPr>
          <w:rFonts w:hint="eastAsia" w:eastAsia="仿宋_GB2312"/>
          <w:color w:val="auto"/>
          <w:sz w:val="32"/>
          <w:szCs w:val="32"/>
          <w:highlight w:val="none"/>
          <w:lang w:val="en-US" w:eastAsia="zh-CN"/>
        </w:rPr>
        <w:t>民法典</w:t>
      </w:r>
      <w:r>
        <w:rPr>
          <w:rFonts w:eastAsia="仿宋_GB2312"/>
          <w:color w:val="auto"/>
          <w:sz w:val="32"/>
          <w:szCs w:val="32"/>
          <w:highlight w:val="none"/>
        </w:rPr>
        <w:t>》、《农业保险条例》</w:t>
      </w:r>
      <w:r>
        <w:rPr>
          <w:rFonts w:hint="eastAsia" w:eastAsia="仿宋_GB2312"/>
          <w:color w:val="auto"/>
          <w:sz w:val="32"/>
          <w:szCs w:val="32"/>
          <w:highlight w:val="none"/>
          <w:lang w:eastAsia="zh-CN"/>
        </w:rPr>
        <w:t>、</w:t>
      </w:r>
      <w:r>
        <w:rPr>
          <w:rFonts w:eastAsia="仿宋_GB2312"/>
          <w:color w:val="auto"/>
          <w:sz w:val="32"/>
          <w:szCs w:val="32"/>
          <w:highlight w:val="none"/>
        </w:rPr>
        <w:t>《中央财政农业保险保费补贴管理办法》</w:t>
      </w:r>
      <w:r>
        <w:rPr>
          <w:rFonts w:hint="eastAsia" w:eastAsia="仿宋_GB2312"/>
          <w:color w:val="auto"/>
          <w:sz w:val="32"/>
          <w:szCs w:val="32"/>
          <w:highlight w:val="none"/>
          <w:lang w:eastAsia="zh-CN"/>
        </w:rPr>
        <w:t>、《湖南省财政厅湖南省农业农村厅关于印发（公开竞争性遴选政策性农业保险承保机构实施办法）的通知》湘财金【2026】4号、</w:t>
      </w:r>
      <w:r>
        <w:rPr>
          <w:rFonts w:eastAsia="仿宋_GB2312"/>
          <w:color w:val="auto"/>
          <w:sz w:val="32"/>
          <w:szCs w:val="32"/>
          <w:highlight w:val="none"/>
        </w:rPr>
        <w:t>其他有关法律、法规、规章</w:t>
      </w:r>
      <w:r>
        <w:rPr>
          <w:rFonts w:hint="eastAsia" w:eastAsia="仿宋_GB2312"/>
          <w:color w:val="auto"/>
          <w:sz w:val="32"/>
          <w:szCs w:val="32"/>
          <w:highlight w:val="none"/>
          <w:lang w:val="en-US" w:eastAsia="zh-CN"/>
        </w:rPr>
        <w:t>以及中选承保机构响应文件和项目具体情况</w:t>
      </w:r>
      <w:r>
        <w:rPr>
          <w:rFonts w:eastAsia="仿宋_GB2312"/>
          <w:color w:val="auto"/>
          <w:sz w:val="32"/>
          <w:szCs w:val="32"/>
          <w:highlight w:val="none"/>
        </w:rPr>
        <w:t>，</w:t>
      </w:r>
      <w:r>
        <w:rPr>
          <w:rFonts w:hint="eastAsia" w:eastAsia="仿宋_GB2312"/>
          <w:color w:val="auto"/>
          <w:sz w:val="32"/>
          <w:szCs w:val="32"/>
          <w:highlight w:val="none"/>
          <w:lang w:val="en-US" w:eastAsia="zh-CN"/>
        </w:rPr>
        <w:t>与中选承保机构共同拟定合同文本。</w:t>
      </w:r>
    </w:p>
    <w:p w14:paraId="78AEEF88">
      <w:pPr>
        <w:spacing w:line="600" w:lineRule="exact"/>
        <w:jc w:val="center"/>
        <w:rPr>
          <w:rFonts w:hint="eastAsia" w:ascii="宋体" w:hAnsi="宋体" w:eastAsia="宋体" w:cs="宋体"/>
          <w:b/>
          <w:bCs/>
          <w:sz w:val="44"/>
          <w:szCs w:val="44"/>
          <w:highlight w:val="none"/>
        </w:rPr>
      </w:pPr>
    </w:p>
    <w:p w14:paraId="28064F4E">
      <w:pPr>
        <w:pStyle w:val="16"/>
        <w:rPr>
          <w:rFonts w:hint="eastAsia"/>
          <w:highlight w:val="none"/>
        </w:rPr>
        <w:sectPr>
          <w:pgSz w:w="11906" w:h="16838"/>
          <w:pgMar w:top="1701" w:right="1587" w:bottom="1701" w:left="1587" w:header="850" w:footer="1417" w:gutter="0"/>
          <w:pgBorders>
            <w:top w:val="none" w:sz="0" w:space="0"/>
            <w:left w:val="none" w:sz="0" w:space="0"/>
            <w:bottom w:val="none" w:sz="0" w:space="0"/>
            <w:right w:val="none" w:sz="0" w:space="0"/>
          </w:pgBorders>
          <w:pgNumType w:fmt="decimal"/>
          <w:cols w:space="720" w:num="1"/>
          <w:docGrid w:type="lines" w:linePitch="312" w:charSpace="0"/>
        </w:sectPr>
      </w:pPr>
    </w:p>
    <w:bookmarkEnd w:id="34"/>
    <w:p w14:paraId="1F865DBF">
      <w:pPr>
        <w:pStyle w:val="3"/>
        <w:bidi w:val="0"/>
        <w:jc w:val="center"/>
        <w:outlineLvl w:val="0"/>
        <w:rPr>
          <w:rFonts w:hint="eastAsia" w:ascii="宋体" w:hAnsi="宋体" w:eastAsia="宋体" w:cs="宋体"/>
          <w:highlight w:val="none"/>
        </w:rPr>
      </w:pPr>
      <w:bookmarkStart w:id="35" w:name="_Toc10861"/>
      <w:bookmarkStart w:id="36" w:name="遴选响应文件组成"/>
      <w:r>
        <w:rPr>
          <w:rFonts w:hint="eastAsia" w:ascii="宋体" w:hAnsi="宋体" w:eastAsia="宋体" w:cs="宋体"/>
          <w:highlight w:val="none"/>
        </w:rPr>
        <w:t>第四章　遴选响应文件组成</w:t>
      </w:r>
      <w:bookmarkEnd w:id="35"/>
    </w:p>
    <w:bookmarkEnd w:id="36"/>
    <w:p w14:paraId="48F4BA34">
      <w:pPr>
        <w:pStyle w:val="16"/>
        <w:spacing w:line="600" w:lineRule="exact"/>
        <w:rPr>
          <w:rFonts w:hint="eastAsia" w:ascii="宋体" w:hAnsi="宋体" w:eastAsia="宋体" w:cs="宋体"/>
          <w:highlight w:val="none"/>
        </w:rPr>
      </w:pPr>
    </w:p>
    <w:p w14:paraId="7FF59148">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"一、遴选响应声明" </w:instrText>
      </w:r>
      <w:r>
        <w:rPr>
          <w:rFonts w:hint="eastAsia" w:ascii="宋体" w:hAnsi="宋体" w:eastAsia="宋体" w:cs="宋体"/>
          <w:sz w:val="32"/>
          <w:szCs w:val="32"/>
          <w:highlight w:val="none"/>
        </w:rPr>
        <w:fldChar w:fldCharType="separate"/>
      </w:r>
      <w:r>
        <w:rPr>
          <w:rStyle w:val="24"/>
          <w:rFonts w:hint="eastAsia" w:ascii="宋体" w:hAnsi="宋体" w:eastAsia="宋体" w:cs="宋体"/>
          <w:color w:val="auto"/>
          <w:sz w:val="32"/>
          <w:szCs w:val="32"/>
          <w:highlight w:val="none"/>
          <w:u w:val="none"/>
        </w:rPr>
        <w:t>遴选响应声明</w:t>
      </w:r>
      <w:r>
        <w:rPr>
          <w:rFonts w:hint="eastAsia" w:ascii="宋体" w:hAnsi="宋体" w:eastAsia="宋体" w:cs="宋体"/>
          <w:sz w:val="32"/>
          <w:szCs w:val="32"/>
          <w:highlight w:val="none"/>
        </w:rPr>
        <w:fldChar w:fldCharType="end"/>
      </w:r>
    </w:p>
    <w:p w14:paraId="77A0D642">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二、</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"二、申请人资格证明文件" </w:instrText>
      </w:r>
      <w:r>
        <w:rPr>
          <w:rFonts w:hint="eastAsia" w:ascii="宋体" w:hAnsi="宋体" w:eastAsia="宋体" w:cs="宋体"/>
          <w:sz w:val="32"/>
          <w:szCs w:val="32"/>
          <w:highlight w:val="none"/>
        </w:rPr>
        <w:fldChar w:fldCharType="separate"/>
      </w:r>
      <w:r>
        <w:rPr>
          <w:rStyle w:val="24"/>
          <w:rFonts w:hint="eastAsia" w:ascii="宋体" w:hAnsi="宋体" w:eastAsia="宋体" w:cs="宋体"/>
          <w:color w:val="auto"/>
          <w:sz w:val="32"/>
          <w:szCs w:val="32"/>
          <w:highlight w:val="none"/>
          <w:u w:val="none"/>
        </w:rPr>
        <w:t>申请人资格证明文</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t>件</w:t>
      </w:r>
    </w:p>
    <w:p w14:paraId="4D601418">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三、与</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"三、评审标准相关内容" </w:instrText>
      </w:r>
      <w:r>
        <w:rPr>
          <w:rFonts w:hint="eastAsia" w:ascii="宋体" w:hAnsi="宋体" w:eastAsia="宋体" w:cs="宋体"/>
          <w:sz w:val="32"/>
          <w:szCs w:val="32"/>
          <w:highlight w:val="none"/>
        </w:rPr>
        <w:fldChar w:fldCharType="separate"/>
      </w:r>
      <w:r>
        <w:rPr>
          <w:rStyle w:val="25"/>
          <w:rFonts w:hint="eastAsia" w:ascii="宋体" w:hAnsi="宋体" w:eastAsia="宋体" w:cs="宋体"/>
          <w:color w:val="auto"/>
          <w:sz w:val="32"/>
          <w:szCs w:val="32"/>
          <w:highlight w:val="none"/>
          <w:u w:val="none"/>
        </w:rPr>
        <w:t>评审标准相关内容</w:t>
      </w:r>
      <w:r>
        <w:rPr>
          <w:rFonts w:hint="eastAsia" w:ascii="宋体" w:hAnsi="宋体" w:eastAsia="宋体" w:cs="宋体"/>
          <w:sz w:val="32"/>
          <w:szCs w:val="32"/>
          <w:highlight w:val="none"/>
        </w:rPr>
        <w:fldChar w:fldCharType="end"/>
      </w:r>
    </w:p>
    <w:p w14:paraId="795485CE">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四、</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"四、申请人认为需要提供的其它资料（包括长望浏宁）" </w:instrText>
      </w:r>
      <w:r>
        <w:rPr>
          <w:rFonts w:hint="eastAsia" w:ascii="宋体" w:hAnsi="宋体" w:eastAsia="宋体" w:cs="宋体"/>
          <w:sz w:val="32"/>
          <w:szCs w:val="32"/>
          <w:highlight w:val="none"/>
        </w:rPr>
        <w:fldChar w:fldCharType="separate"/>
      </w:r>
      <w:r>
        <w:rPr>
          <w:rStyle w:val="24"/>
          <w:rFonts w:hint="eastAsia" w:ascii="宋体" w:hAnsi="宋体" w:eastAsia="宋体" w:cs="宋体"/>
          <w:color w:val="auto"/>
          <w:sz w:val="32"/>
          <w:szCs w:val="32"/>
          <w:highlight w:val="none"/>
          <w:u w:val="none"/>
        </w:rPr>
        <w:t>申请人认为需要提供的其它资料</w:t>
      </w:r>
      <w:r>
        <w:rPr>
          <w:rFonts w:hint="eastAsia" w:ascii="宋体" w:hAnsi="宋体" w:eastAsia="宋体" w:cs="宋体"/>
          <w:sz w:val="32"/>
          <w:szCs w:val="32"/>
          <w:highlight w:val="none"/>
        </w:rPr>
        <w:fldChar w:fldCharType="end"/>
      </w:r>
    </w:p>
    <w:p w14:paraId="067095A4">
      <w:pPr>
        <w:pStyle w:val="16"/>
        <w:spacing w:line="600" w:lineRule="exact"/>
        <w:rPr>
          <w:rFonts w:hint="eastAsia" w:ascii="宋体" w:hAnsi="宋体" w:eastAsia="宋体" w:cs="宋体"/>
          <w:highlight w:val="none"/>
        </w:rPr>
      </w:pPr>
    </w:p>
    <w:p w14:paraId="3361EC89">
      <w:pPr>
        <w:pStyle w:val="9"/>
        <w:ind w:firstLine="643" w:firstLineChars="200"/>
        <w:jc w:val="left"/>
        <w:rPr>
          <w:rFonts w:hint="eastAsia" w:ascii="宋体" w:hAnsi="宋体" w:eastAsia="宋体" w:cs="宋体"/>
          <w:sz w:val="32"/>
          <w:szCs w:val="32"/>
          <w:highlight w:val="none"/>
        </w:rPr>
      </w:pPr>
    </w:p>
    <w:p w14:paraId="042415FD">
      <w:pPr>
        <w:pStyle w:val="9"/>
        <w:rPr>
          <w:rFonts w:hint="eastAsia" w:ascii="宋体" w:hAnsi="宋体" w:eastAsia="宋体" w:cs="宋体"/>
          <w:b/>
          <w:bCs/>
          <w:sz w:val="44"/>
          <w:szCs w:val="44"/>
          <w:highlight w:val="none"/>
        </w:rPr>
      </w:pPr>
    </w:p>
    <w:p w14:paraId="1776D4FB">
      <w:pPr>
        <w:pStyle w:val="9"/>
        <w:rPr>
          <w:rFonts w:hint="eastAsia" w:ascii="宋体" w:hAnsi="宋体" w:eastAsia="宋体" w:cs="宋体"/>
          <w:sz w:val="24"/>
          <w:highlight w:val="none"/>
        </w:rPr>
      </w:pPr>
    </w:p>
    <w:p w14:paraId="6BEFF9C8">
      <w:pPr>
        <w:pStyle w:val="9"/>
        <w:rPr>
          <w:rFonts w:hint="eastAsia" w:ascii="宋体" w:hAnsi="宋体" w:eastAsia="宋体" w:cs="宋体"/>
          <w:sz w:val="24"/>
          <w:highlight w:val="none"/>
        </w:rPr>
      </w:pPr>
    </w:p>
    <w:p w14:paraId="075E2070">
      <w:pPr>
        <w:pStyle w:val="9"/>
        <w:rPr>
          <w:rFonts w:hint="eastAsia" w:ascii="宋体" w:hAnsi="宋体" w:eastAsia="宋体" w:cs="宋体"/>
          <w:sz w:val="24"/>
          <w:highlight w:val="none"/>
        </w:rPr>
      </w:pPr>
    </w:p>
    <w:p w14:paraId="0A72B82D">
      <w:pPr>
        <w:pStyle w:val="9"/>
        <w:rPr>
          <w:rFonts w:hint="eastAsia" w:ascii="宋体" w:hAnsi="宋体" w:eastAsia="宋体" w:cs="宋体"/>
          <w:sz w:val="24"/>
          <w:highlight w:val="none"/>
        </w:rPr>
      </w:pPr>
    </w:p>
    <w:p w14:paraId="29384589">
      <w:pPr>
        <w:pStyle w:val="9"/>
        <w:rPr>
          <w:rFonts w:hint="eastAsia" w:ascii="宋体" w:hAnsi="宋体" w:eastAsia="宋体" w:cs="宋体"/>
          <w:sz w:val="24"/>
          <w:highlight w:val="none"/>
        </w:rPr>
      </w:pPr>
    </w:p>
    <w:p w14:paraId="5E85BC69">
      <w:pPr>
        <w:spacing w:line="600" w:lineRule="exact"/>
        <w:jc w:val="center"/>
        <w:rPr>
          <w:rFonts w:hint="eastAsia" w:ascii="宋体" w:hAnsi="宋体" w:eastAsia="宋体" w:cs="宋体"/>
          <w:color w:val="auto"/>
          <w:sz w:val="44"/>
          <w:szCs w:val="44"/>
          <w:highlight w:val="none"/>
        </w:rPr>
      </w:pPr>
      <w:r>
        <w:rPr>
          <w:rFonts w:hint="eastAsia" w:ascii="宋体" w:hAnsi="宋体" w:eastAsia="宋体" w:cs="宋体"/>
          <w:sz w:val="24"/>
          <w:highlight w:val="none"/>
        </w:rPr>
        <w:br w:type="page"/>
      </w:r>
      <w:bookmarkStart w:id="37" w:name="一、遴选响应声明"/>
      <w:r>
        <w:rPr>
          <w:rFonts w:hint="eastAsia" w:ascii="宋体" w:hAnsi="宋体" w:eastAsia="宋体" w:cs="宋体"/>
          <w:color w:val="auto"/>
          <w:sz w:val="44"/>
          <w:szCs w:val="44"/>
          <w:highlight w:val="none"/>
        </w:rPr>
        <w:t>一、遴选响应声明</w:t>
      </w:r>
    </w:p>
    <w:p w14:paraId="41FC0F80">
      <w:pPr>
        <w:spacing w:line="600" w:lineRule="exact"/>
        <w:jc w:val="center"/>
        <w:rPr>
          <w:rFonts w:hint="eastAsia" w:ascii="宋体" w:hAnsi="宋体" w:eastAsia="宋体" w:cs="宋体"/>
          <w:color w:val="auto"/>
          <w:sz w:val="44"/>
          <w:szCs w:val="44"/>
          <w:highlight w:val="none"/>
        </w:rPr>
      </w:pPr>
    </w:p>
    <w:bookmarkEnd w:id="37"/>
    <w:p w14:paraId="01BE3D15">
      <w:pPr>
        <w:adjustRightInd w:val="0"/>
        <w:snapToGrid w:val="0"/>
        <w:spacing w:line="60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致</w:t>
      </w:r>
      <w:r>
        <w:rPr>
          <w:rFonts w:hint="eastAsia" w:ascii="宋体" w:hAnsi="宋体" w:eastAsia="宋体" w:cs="宋体"/>
          <w:color w:val="auto"/>
          <w:sz w:val="32"/>
          <w:szCs w:val="32"/>
          <w:highlight w:val="none"/>
          <w:lang w:eastAsia="zh-CN"/>
        </w:rPr>
        <w:t>怀化市财政局、</w:t>
      </w:r>
      <w:r>
        <w:rPr>
          <w:rFonts w:hint="eastAsia" w:ascii="宋体" w:hAnsi="宋体" w:eastAsia="宋体" w:cs="宋体"/>
          <w:color w:val="auto"/>
          <w:sz w:val="32"/>
          <w:szCs w:val="32"/>
          <w:highlight w:val="none"/>
          <w:lang w:val="en-US" w:eastAsia="zh-CN"/>
        </w:rPr>
        <w:t>怀化市农业农村局</w:t>
      </w:r>
      <w:r>
        <w:rPr>
          <w:rFonts w:hint="eastAsia" w:ascii="宋体" w:hAnsi="宋体" w:eastAsia="宋体" w:cs="宋体"/>
          <w:color w:val="auto"/>
          <w:sz w:val="32"/>
          <w:szCs w:val="32"/>
          <w:highlight w:val="none"/>
        </w:rPr>
        <w:t>：</w:t>
      </w:r>
    </w:p>
    <w:p w14:paraId="6EBFA8A9">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我方已仔细研究了</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项目名称）的竞争性遴选文件的全部内容，知悉参加竞争性遴选的风险，我方承诺接受遴选文件的全部条款且无任何异议。</w:t>
      </w:r>
    </w:p>
    <w:p w14:paraId="4F049176">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一、我方同意在遴选文件中规定的提交响应文件截止时间起90日内（响应文件有效期）遵守本响应文件中的承诺且在此期限期满之前均具有法律约束力。</w:t>
      </w:r>
    </w:p>
    <w:p w14:paraId="01A659C3">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二、我方提交响应文件正本一份和副本</w:t>
      </w:r>
      <w:r>
        <w:rPr>
          <w:rFonts w:hint="eastAsia" w:ascii="宋体" w:hAnsi="宋体" w:eastAsia="宋体" w:cs="宋体"/>
          <w:color w:val="auto"/>
          <w:sz w:val="32"/>
          <w:szCs w:val="32"/>
          <w:highlight w:val="none"/>
          <w:lang w:val="en-US" w:eastAsia="zh-CN"/>
        </w:rPr>
        <w:t>六</w:t>
      </w:r>
      <w:r>
        <w:rPr>
          <w:rFonts w:hint="eastAsia" w:ascii="宋体" w:hAnsi="宋体" w:eastAsia="宋体" w:cs="宋体"/>
          <w:color w:val="auto"/>
          <w:sz w:val="32"/>
          <w:szCs w:val="32"/>
          <w:highlight w:val="none"/>
        </w:rPr>
        <w:t>份，并保证响应文件提供的数据和资料全部内容真实、合法、准确和完整，我们对此负责，并愿承担由此引起的法律责任。</w:t>
      </w:r>
    </w:p>
    <w:p w14:paraId="7887A51E">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三、我方愿意向贵方提供任何与本项遴选有关的数据、情况和技术资料。若贵方需要，我方愿意提供我方作出的一切承诺的证明资料。</w:t>
      </w:r>
    </w:p>
    <w:p w14:paraId="42C06D1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四、我方愿意按遴选文件规定提交遴选响应文件。</w:t>
      </w:r>
    </w:p>
    <w:p w14:paraId="647A5DD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五、我方承诺遵守《农业保险条例》的有关规</w:t>
      </w:r>
      <w:r>
        <w:rPr>
          <w:rFonts w:hint="eastAsia" w:ascii="宋体" w:hAnsi="宋体" w:eastAsia="宋体" w:cs="宋体"/>
          <w:color w:val="auto"/>
          <w:spacing w:val="-6"/>
          <w:sz w:val="32"/>
          <w:szCs w:val="32"/>
          <w:highlight w:val="none"/>
        </w:rPr>
        <w:t>定，保证在获得中选资格后，按照遴选文件确定的事项签订承保合同，履行双方所签订的合同，并</w:t>
      </w:r>
      <w:r>
        <w:rPr>
          <w:rFonts w:hint="eastAsia" w:ascii="宋体" w:hAnsi="宋体" w:eastAsia="宋体" w:cs="宋体"/>
          <w:color w:val="auto"/>
          <w:sz w:val="32"/>
          <w:szCs w:val="32"/>
          <w:highlight w:val="none"/>
        </w:rPr>
        <w:t>承担合同规定的责任和义务。</w:t>
      </w:r>
    </w:p>
    <w:p w14:paraId="35445901">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六、我方在此声明： </w:t>
      </w:r>
    </w:p>
    <w:p w14:paraId="295842D3">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（一）我方与遴选人不存在隶属关系或者其他利害关系。</w:t>
      </w:r>
    </w:p>
    <w:p w14:paraId="1A7ABAEC">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（二）我方与参加本项目的其他申请人不存在直接控股、管理关系，或者与其他申请人负责人为同一人。</w:t>
      </w:r>
    </w:p>
    <w:p w14:paraId="4CE06D47">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（三）我方未为本项目前期准备提供设计或咨询服务。</w:t>
      </w:r>
    </w:p>
    <w:p w14:paraId="6EEA20E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（四）我方依法缴纳了各项税费及各项社会保障资金，没有偷税、漏税及欠缴行为。</w:t>
      </w:r>
    </w:p>
    <w:p w14:paraId="4FF0A4DE">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（五）我方在遴选响应文件有效期内没有存在下列重大违法记录：</w:t>
      </w:r>
    </w:p>
    <w:p w14:paraId="7C8F929A">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1、因农业保险业务被行政处罚；</w:t>
      </w:r>
    </w:p>
    <w:p w14:paraId="5112426D">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2、因农业保险绩效考评取消了财政补贴资格。</w:t>
      </w:r>
    </w:p>
    <w:p w14:paraId="21AB5F5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p>
    <w:p w14:paraId="16C8E998">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附件：1、</w:t>
      </w:r>
      <w:r>
        <w:rPr>
          <w:rFonts w:hint="eastAsia" w:ascii="宋体" w:hAnsi="宋体" w:eastAsia="宋体" w:cs="宋体"/>
          <w:color w:val="auto"/>
          <w:sz w:val="32"/>
          <w:szCs w:val="32"/>
          <w:highlight w:val="none"/>
        </w:rPr>
        <w:t>申请人公司负责人身份证明</w:t>
      </w:r>
    </w:p>
    <w:p w14:paraId="630DF967">
      <w:pPr>
        <w:adjustRightInd w:val="0"/>
        <w:snapToGrid w:val="0"/>
        <w:spacing w:line="600" w:lineRule="exact"/>
        <w:ind w:firstLine="1600" w:firstLineChars="500"/>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2</w:t>
      </w:r>
      <w:r>
        <w:rPr>
          <w:rFonts w:hint="eastAsia" w:ascii="宋体" w:hAnsi="宋体" w:eastAsia="宋体" w:cs="宋体"/>
          <w:color w:val="auto"/>
          <w:sz w:val="32"/>
          <w:szCs w:val="32"/>
          <w:highlight w:val="none"/>
        </w:rPr>
        <w:t>、申请人公司负责人授权书</w:t>
      </w:r>
    </w:p>
    <w:p w14:paraId="3F96FC5D">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p>
    <w:p w14:paraId="068F8FB9">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p>
    <w:p w14:paraId="7D53D284">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申请人名称（盖单位章）：</w:t>
      </w:r>
    </w:p>
    <w:p w14:paraId="2BDE632C">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申请人公司负责人（签字）：</w:t>
      </w:r>
      <w:r>
        <w:rPr>
          <w:rFonts w:hint="eastAsia" w:ascii="宋体" w:hAnsi="宋体" w:eastAsia="宋体" w:cs="宋体"/>
          <w:color w:val="auto"/>
          <w:sz w:val="32"/>
          <w:szCs w:val="32"/>
          <w:highlight w:val="none"/>
        </w:rPr>
        <w:tab/>
      </w:r>
    </w:p>
    <w:p w14:paraId="1ED10973">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    年   月  日</w:t>
      </w:r>
    </w:p>
    <w:p w14:paraId="6FE8F472">
      <w:pPr>
        <w:adjustRightInd w:val="0"/>
        <w:snapToGrid w:val="0"/>
        <w:spacing w:line="600" w:lineRule="exact"/>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附件1</w:t>
      </w:r>
    </w:p>
    <w:p w14:paraId="31D7E6ED">
      <w:pPr>
        <w:spacing w:line="600" w:lineRule="exact"/>
        <w:jc w:val="center"/>
        <w:rPr>
          <w:rFonts w:hint="eastAsia" w:ascii="宋体" w:hAnsi="宋体" w:eastAsia="宋体" w:cs="宋体"/>
          <w:bCs/>
          <w:color w:val="auto"/>
          <w:sz w:val="44"/>
          <w:szCs w:val="44"/>
          <w:highlight w:val="none"/>
        </w:rPr>
      </w:pPr>
    </w:p>
    <w:p w14:paraId="4197D6F8">
      <w:pPr>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申请人公司负责人身份证明</w:t>
      </w:r>
    </w:p>
    <w:p w14:paraId="48D28138">
      <w:pPr>
        <w:spacing w:line="600" w:lineRule="exact"/>
        <w:jc w:val="center"/>
        <w:rPr>
          <w:rFonts w:hint="eastAsia" w:ascii="宋体" w:hAnsi="宋体" w:eastAsia="宋体" w:cs="宋体"/>
          <w:bCs/>
          <w:color w:val="auto"/>
          <w:sz w:val="44"/>
          <w:szCs w:val="44"/>
          <w:highlight w:val="none"/>
        </w:rPr>
      </w:pPr>
    </w:p>
    <w:p w14:paraId="6DBB1A3E">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申请人</w:t>
      </w:r>
      <w:r>
        <w:rPr>
          <w:rFonts w:hint="eastAsia" w:ascii="宋体" w:hAnsi="宋体" w:eastAsia="宋体" w:cs="宋体"/>
          <w:color w:val="auto"/>
          <w:kern w:val="0"/>
          <w:sz w:val="32"/>
          <w:szCs w:val="32"/>
          <w:highlight w:val="none"/>
        </w:rPr>
        <w:t>名称：</w:t>
      </w:r>
    </w:p>
    <w:p w14:paraId="3E49B943">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注  册  号：</w:t>
      </w:r>
    </w:p>
    <w:p w14:paraId="16DF10AE">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注</w:t>
      </w:r>
      <w:r>
        <w:rPr>
          <w:rFonts w:hint="eastAsia" w:ascii="宋体" w:hAnsi="宋体" w:eastAsia="宋体" w:cs="宋体"/>
          <w:color w:val="auto"/>
          <w:spacing w:val="-20"/>
          <w:sz w:val="32"/>
          <w:szCs w:val="32"/>
          <w:highlight w:val="none"/>
        </w:rPr>
        <w:t xml:space="preserve"> 册 地 </w:t>
      </w:r>
      <w:r>
        <w:rPr>
          <w:rFonts w:hint="eastAsia" w:ascii="宋体" w:hAnsi="宋体" w:eastAsia="宋体" w:cs="宋体"/>
          <w:color w:val="auto"/>
          <w:sz w:val="32"/>
          <w:szCs w:val="32"/>
          <w:highlight w:val="none"/>
        </w:rPr>
        <w:t>址：</w:t>
      </w:r>
    </w:p>
    <w:p w14:paraId="59265998">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成 </w:t>
      </w:r>
      <w:r>
        <w:rPr>
          <w:rFonts w:hint="eastAsia" w:ascii="宋体" w:hAnsi="宋体" w:eastAsia="宋体" w:cs="宋体"/>
          <w:color w:val="auto"/>
          <w:spacing w:val="-20"/>
          <w:sz w:val="32"/>
          <w:szCs w:val="32"/>
          <w:highlight w:val="none"/>
        </w:rPr>
        <w:t xml:space="preserve">立 时 </w:t>
      </w:r>
      <w:r>
        <w:rPr>
          <w:rFonts w:hint="eastAsia" w:ascii="宋体" w:hAnsi="宋体" w:eastAsia="宋体" w:cs="宋体"/>
          <w:color w:val="auto"/>
          <w:sz w:val="32"/>
          <w:szCs w:val="32"/>
          <w:highlight w:val="none"/>
        </w:rPr>
        <w:t>间：     年   月   日</w:t>
      </w:r>
    </w:p>
    <w:p w14:paraId="04CDDD72">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经</w:t>
      </w:r>
      <w:r>
        <w:rPr>
          <w:rFonts w:hint="eastAsia" w:ascii="宋体" w:hAnsi="宋体" w:eastAsia="宋体" w:cs="宋体"/>
          <w:color w:val="auto"/>
          <w:spacing w:val="-20"/>
          <w:sz w:val="32"/>
          <w:szCs w:val="32"/>
          <w:highlight w:val="none"/>
        </w:rPr>
        <w:t xml:space="preserve"> 营 期 </w:t>
      </w:r>
      <w:r>
        <w:rPr>
          <w:rFonts w:hint="eastAsia" w:ascii="宋体" w:hAnsi="宋体" w:eastAsia="宋体" w:cs="宋体"/>
          <w:color w:val="auto"/>
          <w:sz w:val="32"/>
          <w:szCs w:val="32"/>
          <w:highlight w:val="none"/>
        </w:rPr>
        <w:t>限：</w:t>
      </w:r>
    </w:p>
    <w:p w14:paraId="4CBAB24C">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u w:val="single"/>
        </w:rPr>
      </w:pPr>
      <w:r>
        <w:rPr>
          <w:rFonts w:hint="eastAsia" w:ascii="宋体" w:hAnsi="宋体" w:eastAsia="宋体" w:cs="宋体"/>
          <w:color w:val="auto"/>
          <w:sz w:val="32"/>
          <w:szCs w:val="32"/>
          <w:highlight w:val="none"/>
        </w:rPr>
        <w:t>经</w:t>
      </w:r>
      <w:r>
        <w:rPr>
          <w:rFonts w:hint="eastAsia" w:ascii="宋体" w:hAnsi="宋体" w:eastAsia="宋体" w:cs="宋体"/>
          <w:color w:val="auto"/>
          <w:spacing w:val="-20"/>
          <w:sz w:val="32"/>
          <w:szCs w:val="32"/>
          <w:highlight w:val="none"/>
        </w:rPr>
        <w:t xml:space="preserve"> 营 范 </w:t>
      </w:r>
      <w:r>
        <w:rPr>
          <w:rFonts w:hint="eastAsia" w:ascii="宋体" w:hAnsi="宋体" w:eastAsia="宋体" w:cs="宋体"/>
          <w:color w:val="auto"/>
          <w:sz w:val="32"/>
          <w:szCs w:val="32"/>
          <w:highlight w:val="none"/>
        </w:rPr>
        <w:t>围：</w:t>
      </w:r>
      <w:r>
        <w:rPr>
          <w:rFonts w:hint="eastAsia" w:ascii="宋体" w:hAnsi="宋体" w:eastAsia="宋体" w:cs="宋体"/>
          <w:color w:val="auto"/>
          <w:kern w:val="0"/>
          <w:sz w:val="32"/>
          <w:szCs w:val="32"/>
          <w:highlight w:val="none"/>
        </w:rPr>
        <w:t>主营：    ；    兼营：</w:t>
      </w:r>
    </w:p>
    <w:p w14:paraId="36B90E1A">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姓</w:t>
      </w:r>
      <w:r>
        <w:rPr>
          <w:rFonts w:hint="eastAsia" w:ascii="宋体" w:hAnsi="宋体" w:eastAsia="宋体" w:cs="宋体"/>
          <w:color w:val="auto"/>
          <w:spacing w:val="-6"/>
          <w:sz w:val="32"/>
          <w:szCs w:val="32"/>
          <w:highlight w:val="none"/>
        </w:rPr>
        <w:t xml:space="preserve">      </w:t>
      </w:r>
      <w:r>
        <w:rPr>
          <w:rFonts w:hint="eastAsia" w:ascii="宋体" w:hAnsi="宋体" w:eastAsia="宋体" w:cs="宋体"/>
          <w:color w:val="auto"/>
          <w:sz w:val="32"/>
          <w:szCs w:val="32"/>
          <w:highlight w:val="none"/>
        </w:rPr>
        <w:t>名：</w:t>
      </w:r>
      <w:r>
        <w:rPr>
          <w:rFonts w:hint="eastAsia" w:ascii="宋体" w:hAnsi="宋体" w:eastAsia="宋体" w:cs="宋体"/>
          <w:color w:val="auto"/>
          <w:kern w:val="0"/>
          <w:sz w:val="32"/>
          <w:szCs w:val="32"/>
          <w:highlight w:val="none"/>
        </w:rPr>
        <w:t xml:space="preserve"> </w:t>
      </w:r>
    </w:p>
    <w:p w14:paraId="1A21E842">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性</w:t>
      </w:r>
      <w:r>
        <w:rPr>
          <w:rFonts w:hint="eastAsia" w:ascii="宋体" w:hAnsi="宋体" w:eastAsia="宋体" w:cs="宋体"/>
          <w:color w:val="auto"/>
          <w:spacing w:val="-6"/>
          <w:sz w:val="32"/>
          <w:szCs w:val="32"/>
          <w:highlight w:val="none"/>
        </w:rPr>
        <w:t xml:space="preserve">      </w:t>
      </w:r>
      <w:r>
        <w:rPr>
          <w:rFonts w:hint="eastAsia" w:ascii="宋体" w:hAnsi="宋体" w:eastAsia="宋体" w:cs="宋体"/>
          <w:color w:val="auto"/>
          <w:sz w:val="32"/>
          <w:szCs w:val="32"/>
          <w:highlight w:val="none"/>
        </w:rPr>
        <w:t>别：</w:t>
      </w:r>
    </w:p>
    <w:p w14:paraId="434394DA">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w:t>
      </w:r>
      <w:r>
        <w:rPr>
          <w:rFonts w:hint="eastAsia" w:ascii="宋体" w:hAnsi="宋体" w:eastAsia="宋体" w:cs="宋体"/>
          <w:color w:val="auto"/>
          <w:spacing w:val="-6"/>
          <w:sz w:val="32"/>
          <w:szCs w:val="32"/>
          <w:highlight w:val="none"/>
        </w:rPr>
        <w:t xml:space="preserve">      </w:t>
      </w:r>
      <w:r>
        <w:rPr>
          <w:rFonts w:hint="eastAsia" w:ascii="宋体" w:hAnsi="宋体" w:eastAsia="宋体" w:cs="宋体"/>
          <w:color w:val="auto"/>
          <w:sz w:val="32"/>
          <w:szCs w:val="32"/>
          <w:highlight w:val="none"/>
        </w:rPr>
        <w:t>龄：</w:t>
      </w:r>
    </w:p>
    <w:p w14:paraId="4D7ACADE">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系（</w:t>
      </w:r>
      <w:r>
        <w:rPr>
          <w:rFonts w:hint="eastAsia" w:ascii="宋体" w:hAnsi="宋体" w:eastAsia="宋体" w:cs="宋体"/>
          <w:color w:val="auto"/>
          <w:sz w:val="32"/>
          <w:szCs w:val="32"/>
          <w:highlight w:val="none"/>
        </w:rPr>
        <w:t>申请人</w:t>
      </w:r>
      <w:r>
        <w:rPr>
          <w:rFonts w:hint="eastAsia" w:ascii="宋体" w:hAnsi="宋体" w:eastAsia="宋体" w:cs="宋体"/>
          <w:color w:val="auto"/>
          <w:kern w:val="0"/>
          <w:sz w:val="32"/>
          <w:szCs w:val="32"/>
          <w:highlight w:val="none"/>
        </w:rPr>
        <w:t>名称）的公司负责人。</w:t>
      </w:r>
    </w:p>
    <w:p w14:paraId="183A0A67">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p>
    <w:p w14:paraId="1597B44B">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特此证明。</w:t>
      </w:r>
    </w:p>
    <w:p w14:paraId="63F710AD">
      <w:pPr>
        <w:pStyle w:val="16"/>
        <w:spacing w:line="600" w:lineRule="exact"/>
        <w:ind w:left="0" w:leftChars="0" w:firstLine="640" w:firstLineChars="200"/>
        <w:rPr>
          <w:rFonts w:hint="eastAsia" w:ascii="宋体" w:hAnsi="宋体" w:eastAsia="宋体" w:cs="宋体"/>
          <w:color w:val="auto"/>
          <w:sz w:val="32"/>
          <w:szCs w:val="32"/>
          <w:highlight w:val="none"/>
        </w:rPr>
      </w:pPr>
    </w:p>
    <w:p w14:paraId="20F1633A">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附：申请人公司负责人身份证复印件</w:t>
      </w:r>
    </w:p>
    <w:p w14:paraId="0A88CCAA">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申请人名称（盖单位章）：</w:t>
      </w:r>
    </w:p>
    <w:p w14:paraId="3AE254D2">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日  期：     年   月    日      </w:t>
      </w:r>
    </w:p>
    <w:p w14:paraId="301692A6">
      <w:pPr>
        <w:widowControl/>
        <w:spacing w:line="600" w:lineRule="exact"/>
        <w:jc w:val="left"/>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br w:type="page"/>
      </w:r>
      <w:r>
        <w:rPr>
          <w:rFonts w:hint="eastAsia" w:ascii="宋体" w:hAnsi="宋体" w:eastAsia="宋体" w:cs="宋体"/>
          <w:color w:val="auto"/>
          <w:sz w:val="32"/>
          <w:szCs w:val="32"/>
          <w:highlight w:val="none"/>
        </w:rPr>
        <w:t>附件2</w:t>
      </w:r>
    </w:p>
    <w:p w14:paraId="6645EDF0">
      <w:pPr>
        <w:spacing w:line="600" w:lineRule="exact"/>
        <w:jc w:val="center"/>
        <w:rPr>
          <w:rFonts w:hint="eastAsia" w:ascii="宋体" w:hAnsi="宋体" w:eastAsia="宋体" w:cs="宋体"/>
          <w:bCs/>
          <w:color w:val="auto"/>
          <w:sz w:val="44"/>
          <w:szCs w:val="44"/>
          <w:highlight w:val="none"/>
        </w:rPr>
      </w:pPr>
    </w:p>
    <w:p w14:paraId="13117521">
      <w:pPr>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申请人公司负责人授权委托书</w:t>
      </w:r>
    </w:p>
    <w:p w14:paraId="77B3ADE6">
      <w:pPr>
        <w:adjustRightInd w:val="0"/>
        <w:snapToGrid w:val="0"/>
        <w:spacing w:line="600" w:lineRule="exact"/>
        <w:ind w:firstLine="643" w:firstLineChars="200"/>
        <w:jc w:val="center"/>
        <w:rPr>
          <w:rFonts w:hint="eastAsia" w:ascii="宋体" w:hAnsi="宋体" w:eastAsia="宋体" w:cs="宋体"/>
          <w:b/>
          <w:color w:val="auto"/>
          <w:sz w:val="32"/>
          <w:szCs w:val="32"/>
          <w:highlight w:val="none"/>
        </w:rPr>
      </w:pPr>
    </w:p>
    <w:p w14:paraId="08308DCA">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本人（姓名、职务）系（</w:t>
      </w:r>
      <w:r>
        <w:rPr>
          <w:rFonts w:hint="eastAsia" w:ascii="宋体" w:hAnsi="宋体" w:eastAsia="宋体" w:cs="宋体"/>
          <w:color w:val="auto"/>
          <w:sz w:val="32"/>
          <w:szCs w:val="32"/>
          <w:highlight w:val="none"/>
        </w:rPr>
        <w:t>申请人</w:t>
      </w:r>
      <w:r>
        <w:rPr>
          <w:rFonts w:hint="eastAsia" w:ascii="宋体" w:hAnsi="宋体" w:eastAsia="宋体" w:cs="宋体"/>
          <w:color w:val="auto"/>
          <w:kern w:val="0"/>
          <w:sz w:val="32"/>
          <w:szCs w:val="32"/>
          <w:highlight w:val="none"/>
        </w:rPr>
        <w:t>名称）的申请人公司负责人，现授权（姓名、职务）为我方代理人。代理人根据授权，以我方名义：（1）签署、澄清、补正、修改、撤回、提交</w:t>
      </w:r>
      <w:r>
        <w:rPr>
          <w:rFonts w:hint="eastAsia" w:ascii="宋体" w:hAnsi="宋体" w:eastAsia="宋体" w:cs="宋体"/>
          <w:color w:val="auto"/>
          <w:kern w:val="0"/>
          <w:sz w:val="32"/>
          <w:szCs w:val="32"/>
          <w:highlight w:val="none"/>
          <w:lang w:val="en-US" w:eastAsia="zh-CN"/>
        </w:rPr>
        <w:t>应选</w:t>
      </w:r>
      <w:r>
        <w:rPr>
          <w:rFonts w:hint="eastAsia" w:ascii="宋体" w:hAnsi="宋体" w:eastAsia="宋体" w:cs="宋体"/>
          <w:color w:val="auto"/>
          <w:kern w:val="0"/>
          <w:sz w:val="32"/>
          <w:szCs w:val="32"/>
          <w:highlight w:val="none"/>
        </w:rPr>
        <w:t>文件；（2）签订合同和处理有关事宜，其法律后果由我方承担；（3）询问、质疑等相关事项，其法律后果由我方承担。</w:t>
      </w:r>
    </w:p>
    <w:p w14:paraId="6ECA9143">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p>
    <w:p w14:paraId="18A56112">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xml:space="preserve">委托期限：                </w:t>
      </w:r>
    </w:p>
    <w:p w14:paraId="2D75AA96">
      <w:pPr>
        <w:spacing w:line="600" w:lineRule="exact"/>
        <w:ind w:firstLine="640" w:firstLineChars="200"/>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代理人无转委托权。</w:t>
      </w:r>
    </w:p>
    <w:p w14:paraId="38C6590D">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本授权书于     年     月     日签字生效，特此声明。</w:t>
      </w:r>
    </w:p>
    <w:p w14:paraId="69593D07">
      <w:pPr>
        <w:pStyle w:val="16"/>
        <w:spacing w:line="600" w:lineRule="exact"/>
        <w:ind w:left="0" w:leftChars="0" w:firstLine="640" w:firstLineChars="200"/>
        <w:rPr>
          <w:rFonts w:hint="eastAsia" w:ascii="宋体" w:hAnsi="宋体" w:eastAsia="宋体" w:cs="宋体"/>
          <w:color w:val="auto"/>
          <w:sz w:val="32"/>
          <w:szCs w:val="32"/>
          <w:highlight w:val="none"/>
        </w:rPr>
      </w:pPr>
    </w:p>
    <w:p w14:paraId="0F4A03A6">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附：委托代理人身份证复印件及申请人公司负责人身份证明</w:t>
      </w:r>
    </w:p>
    <w:p w14:paraId="5582B434">
      <w:pPr>
        <w:adjustRightInd w:val="0"/>
        <w:snapToGrid w:val="0"/>
        <w:spacing w:line="600" w:lineRule="exact"/>
        <w:ind w:firstLine="640" w:firstLineChars="200"/>
        <w:rPr>
          <w:rFonts w:hint="eastAsia" w:ascii="宋体" w:hAnsi="宋体" w:eastAsia="宋体" w:cs="宋体"/>
          <w:color w:val="auto"/>
          <w:sz w:val="32"/>
          <w:szCs w:val="32"/>
          <w:highlight w:val="none"/>
        </w:rPr>
      </w:pPr>
    </w:p>
    <w:p w14:paraId="260E4AD9">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申请人公司负责人（签字）：</w:t>
      </w:r>
    </w:p>
    <w:p w14:paraId="62A8152B">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委托代理人（签字）：</w:t>
      </w:r>
    </w:p>
    <w:p w14:paraId="018DD5C4">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    年    月    日</w:t>
      </w:r>
    </w:p>
    <w:p w14:paraId="7798EAE1">
      <w:pPr>
        <w:spacing w:line="556" w:lineRule="exact"/>
        <w:jc w:val="center"/>
        <w:rPr>
          <w:rFonts w:hint="eastAsia" w:ascii="宋体" w:hAnsi="宋体" w:eastAsia="宋体" w:cs="宋体"/>
          <w:bCs/>
          <w:color w:val="auto"/>
          <w:sz w:val="44"/>
          <w:szCs w:val="44"/>
          <w:highlight w:val="none"/>
        </w:rPr>
      </w:pPr>
      <w:bookmarkStart w:id="38" w:name="二、申请人资格证明文件"/>
    </w:p>
    <w:p w14:paraId="215566F3">
      <w:pPr>
        <w:pStyle w:val="16"/>
        <w:rPr>
          <w:rFonts w:hint="eastAsia" w:ascii="宋体" w:hAnsi="宋体" w:eastAsia="宋体" w:cs="宋体"/>
          <w:color w:val="auto"/>
          <w:highlight w:val="none"/>
        </w:rPr>
      </w:pPr>
    </w:p>
    <w:p w14:paraId="34BA380E">
      <w:pPr>
        <w:pStyle w:val="16"/>
        <w:rPr>
          <w:rFonts w:hint="eastAsia" w:ascii="宋体" w:hAnsi="宋体" w:eastAsia="宋体" w:cs="宋体"/>
          <w:color w:val="auto"/>
          <w:highlight w:val="none"/>
        </w:rPr>
      </w:pPr>
    </w:p>
    <w:p w14:paraId="61962681">
      <w:pPr>
        <w:spacing w:line="556"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二、申请人资格证明文件</w:t>
      </w:r>
    </w:p>
    <w:bookmarkEnd w:id="38"/>
    <w:p w14:paraId="7D29854F">
      <w:pPr>
        <w:adjustRightInd w:val="0"/>
        <w:snapToGrid w:val="0"/>
        <w:spacing w:line="600" w:lineRule="exact"/>
        <w:ind w:firstLine="280" w:firstLineChars="100"/>
        <w:outlineLvl w:val="0"/>
        <w:rPr>
          <w:rFonts w:hint="eastAsia" w:ascii="宋体" w:hAnsi="宋体" w:eastAsia="宋体" w:cs="宋体"/>
          <w:color w:val="auto"/>
          <w:sz w:val="28"/>
          <w:szCs w:val="36"/>
          <w:highlight w:val="none"/>
          <w:lang w:val="en-US" w:eastAsia="zh-CN"/>
        </w:rPr>
      </w:pPr>
    </w:p>
    <w:p w14:paraId="3D19D0B6">
      <w:pPr>
        <w:adjustRightInd w:val="0"/>
        <w:snapToGrid w:val="0"/>
        <w:spacing w:line="600" w:lineRule="exact"/>
        <w:ind w:firstLine="280" w:firstLineChars="100"/>
        <w:outlineLvl w:val="0"/>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符合“第二章 遴选须知”中“三、申请人资格条件”的证明文件</w:t>
      </w:r>
    </w:p>
    <w:p w14:paraId="36AA1565">
      <w:pPr>
        <w:adjustRightInd w:val="0"/>
        <w:snapToGrid w:val="0"/>
        <w:spacing w:line="600" w:lineRule="exact"/>
        <w:outlineLvl w:val="0"/>
        <w:rPr>
          <w:rFonts w:hint="eastAsia" w:ascii="宋体" w:hAnsi="宋体" w:eastAsia="宋体" w:cs="宋体"/>
          <w:b/>
          <w:bCs/>
          <w:color w:val="auto"/>
          <w:sz w:val="32"/>
          <w:szCs w:val="32"/>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2"/>
          <w:szCs w:val="32"/>
          <w:highlight w:val="none"/>
        </w:rPr>
        <w:t>申请人基本情况表</w:t>
      </w:r>
    </w:p>
    <w:tbl>
      <w:tblPr>
        <w:tblStyle w:val="20"/>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826"/>
        <w:gridCol w:w="1414"/>
      </w:tblGrid>
      <w:tr w14:paraId="614B0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7614F300">
            <w:pPr>
              <w:topLinePunct/>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申请人名称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0F08B36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盖申请人单位公章</w:t>
            </w:r>
          </w:p>
        </w:tc>
        <w:tc>
          <w:tcPr>
            <w:tcW w:w="1826" w:type="dxa"/>
            <w:tcBorders>
              <w:top w:val="double" w:color="auto" w:sz="4" w:space="0"/>
              <w:left w:val="single" w:color="auto" w:sz="6" w:space="0"/>
              <w:bottom w:val="single" w:color="auto" w:sz="6" w:space="0"/>
              <w:right w:val="single" w:color="auto" w:sz="6" w:space="0"/>
            </w:tcBorders>
            <w:noWrap w:val="0"/>
            <w:vAlign w:val="center"/>
          </w:tcPr>
          <w:p w14:paraId="076D1A55">
            <w:pPr>
              <w:topLinePunct/>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申请人公司负责人</w:t>
            </w:r>
          </w:p>
        </w:tc>
        <w:tc>
          <w:tcPr>
            <w:tcW w:w="1414" w:type="dxa"/>
            <w:tcBorders>
              <w:top w:val="double" w:color="auto" w:sz="4" w:space="0"/>
              <w:left w:val="single" w:color="auto" w:sz="6" w:space="0"/>
              <w:bottom w:val="single" w:color="auto" w:sz="6" w:space="0"/>
              <w:right w:val="double" w:color="auto" w:sz="4" w:space="0"/>
            </w:tcBorders>
            <w:noWrap w:val="0"/>
            <w:vAlign w:val="center"/>
          </w:tcPr>
          <w:p w14:paraId="0BC04D48">
            <w:pPr>
              <w:topLinePunct/>
              <w:adjustRightInd w:val="0"/>
              <w:snapToGrid w:val="0"/>
              <w:jc w:val="center"/>
              <w:rPr>
                <w:rFonts w:hint="eastAsia" w:ascii="宋体" w:hAnsi="宋体" w:eastAsia="宋体" w:cs="宋体"/>
                <w:color w:val="auto"/>
                <w:szCs w:val="21"/>
                <w:highlight w:val="none"/>
              </w:rPr>
            </w:pPr>
          </w:p>
        </w:tc>
      </w:tr>
      <w:tr w14:paraId="3E32D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0DFEF268">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77898BD4">
            <w:pPr>
              <w:topLinePunct/>
              <w:spacing w:line="440" w:lineRule="exact"/>
              <w:jc w:val="center"/>
              <w:rPr>
                <w:rFonts w:hint="eastAsia" w:ascii="宋体" w:hAnsi="宋体" w:eastAsia="宋体" w:cs="宋体"/>
                <w:color w:val="auto"/>
                <w:szCs w:val="21"/>
                <w:highlight w:val="none"/>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2E57F70A">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121101B3">
            <w:pPr>
              <w:topLinePunct/>
              <w:spacing w:line="440" w:lineRule="exact"/>
              <w:jc w:val="center"/>
              <w:rPr>
                <w:rFonts w:hint="eastAsia" w:ascii="宋体" w:hAnsi="宋体" w:eastAsia="宋体" w:cs="宋体"/>
                <w:color w:val="auto"/>
                <w:szCs w:val="21"/>
                <w:highlight w:val="none"/>
              </w:rPr>
            </w:pPr>
          </w:p>
        </w:tc>
      </w:tr>
      <w:tr w14:paraId="03981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restart"/>
            <w:tcBorders>
              <w:top w:val="single" w:color="auto" w:sz="6" w:space="0"/>
              <w:left w:val="double" w:color="auto" w:sz="4" w:space="0"/>
              <w:right w:val="single" w:color="auto" w:sz="6" w:space="0"/>
            </w:tcBorders>
            <w:noWrap w:val="0"/>
            <w:vAlign w:val="center"/>
          </w:tcPr>
          <w:p w14:paraId="457FEE0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上年营业收入</w:t>
            </w:r>
          </w:p>
        </w:tc>
        <w:tc>
          <w:tcPr>
            <w:tcW w:w="3960" w:type="dxa"/>
            <w:gridSpan w:val="5"/>
            <w:vMerge w:val="restart"/>
            <w:tcBorders>
              <w:top w:val="single" w:color="auto" w:sz="6" w:space="0"/>
              <w:left w:val="single" w:color="auto" w:sz="6" w:space="0"/>
              <w:right w:val="single" w:color="auto" w:sz="6" w:space="0"/>
            </w:tcBorders>
            <w:noWrap w:val="0"/>
            <w:vAlign w:val="center"/>
          </w:tcPr>
          <w:p w14:paraId="6722E02F">
            <w:pPr>
              <w:topLinePunct/>
              <w:spacing w:line="440" w:lineRule="exact"/>
              <w:jc w:val="center"/>
              <w:rPr>
                <w:rFonts w:hint="eastAsia" w:ascii="宋体" w:hAnsi="宋体" w:eastAsia="宋体" w:cs="宋体"/>
                <w:color w:val="auto"/>
                <w:szCs w:val="21"/>
                <w:highlight w:val="none"/>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71F36B7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7D439636">
            <w:pPr>
              <w:topLinePunct/>
              <w:spacing w:line="440" w:lineRule="exact"/>
              <w:jc w:val="center"/>
              <w:rPr>
                <w:rFonts w:hint="eastAsia" w:ascii="宋体" w:hAnsi="宋体" w:eastAsia="宋体" w:cs="宋体"/>
                <w:color w:val="auto"/>
                <w:szCs w:val="21"/>
                <w:highlight w:val="none"/>
              </w:rPr>
            </w:pPr>
          </w:p>
        </w:tc>
      </w:tr>
      <w:tr w14:paraId="39AA7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continue"/>
            <w:tcBorders>
              <w:left w:val="double" w:color="auto" w:sz="4" w:space="0"/>
              <w:bottom w:val="single" w:color="auto" w:sz="6" w:space="0"/>
              <w:right w:val="single" w:color="auto" w:sz="6" w:space="0"/>
            </w:tcBorders>
            <w:noWrap w:val="0"/>
            <w:vAlign w:val="center"/>
          </w:tcPr>
          <w:p w14:paraId="564927DA">
            <w:pPr>
              <w:topLinePunct/>
              <w:spacing w:line="440" w:lineRule="exact"/>
              <w:jc w:val="center"/>
              <w:rPr>
                <w:rFonts w:hint="eastAsia" w:ascii="宋体" w:hAnsi="宋体" w:eastAsia="宋体" w:cs="宋体"/>
                <w:color w:val="auto"/>
                <w:szCs w:val="21"/>
                <w:highlight w:val="none"/>
              </w:rPr>
            </w:pPr>
          </w:p>
        </w:tc>
        <w:tc>
          <w:tcPr>
            <w:tcW w:w="3960" w:type="dxa"/>
            <w:gridSpan w:val="5"/>
            <w:vMerge w:val="continue"/>
            <w:tcBorders>
              <w:left w:val="single" w:color="auto" w:sz="6" w:space="0"/>
              <w:bottom w:val="single" w:color="auto" w:sz="6" w:space="0"/>
              <w:right w:val="single" w:color="auto" w:sz="6" w:space="0"/>
            </w:tcBorders>
            <w:noWrap w:val="0"/>
            <w:vAlign w:val="center"/>
          </w:tcPr>
          <w:p w14:paraId="74BC027B">
            <w:pPr>
              <w:topLinePunct/>
              <w:spacing w:line="440" w:lineRule="exact"/>
              <w:jc w:val="center"/>
              <w:rPr>
                <w:rFonts w:hint="eastAsia" w:ascii="宋体" w:hAnsi="宋体" w:eastAsia="宋体" w:cs="宋体"/>
                <w:color w:val="auto"/>
                <w:szCs w:val="21"/>
                <w:highlight w:val="none"/>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75B0E224">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34DE3B21">
            <w:pPr>
              <w:topLinePunct/>
              <w:spacing w:line="440" w:lineRule="exact"/>
              <w:jc w:val="center"/>
              <w:rPr>
                <w:rFonts w:hint="eastAsia" w:ascii="宋体" w:hAnsi="宋体" w:eastAsia="宋体" w:cs="宋体"/>
                <w:color w:val="auto"/>
                <w:szCs w:val="21"/>
                <w:highlight w:val="none"/>
              </w:rPr>
            </w:pPr>
          </w:p>
        </w:tc>
      </w:tr>
      <w:tr w14:paraId="1A76A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0725A02D">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5FDD688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443DF8C6">
            <w:pPr>
              <w:topLinePunct/>
              <w:spacing w:line="440" w:lineRule="exact"/>
              <w:jc w:val="center"/>
              <w:rPr>
                <w:rFonts w:hint="eastAsia" w:ascii="宋体" w:hAnsi="宋体" w:eastAsia="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7C29710A">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7ABD93A0">
            <w:pPr>
              <w:topLinePunct/>
              <w:spacing w:line="440" w:lineRule="exact"/>
              <w:ind w:firstLine="105" w:firstLineChars="50"/>
              <w:jc w:val="center"/>
              <w:rPr>
                <w:rFonts w:hint="eastAsia" w:ascii="宋体" w:hAnsi="宋体" w:eastAsia="宋体" w:cs="宋体"/>
                <w:color w:val="auto"/>
                <w:szCs w:val="21"/>
                <w:highlight w:val="none"/>
              </w:rPr>
            </w:pPr>
          </w:p>
        </w:tc>
      </w:tr>
      <w:tr w14:paraId="5A6BF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C4B258F">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13AE113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269AC068">
            <w:pPr>
              <w:topLinePunct/>
              <w:spacing w:line="440" w:lineRule="exact"/>
              <w:jc w:val="center"/>
              <w:rPr>
                <w:rFonts w:hint="eastAsia" w:ascii="宋体" w:hAnsi="宋体" w:eastAsia="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41B3D1B6">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6521FDF4">
            <w:pPr>
              <w:topLinePunct/>
              <w:spacing w:line="440" w:lineRule="exact"/>
              <w:ind w:firstLine="105" w:firstLineChars="50"/>
              <w:jc w:val="center"/>
              <w:rPr>
                <w:rFonts w:hint="eastAsia" w:ascii="宋体" w:hAnsi="宋体" w:eastAsia="宋体" w:cs="宋体"/>
                <w:color w:val="auto"/>
                <w:szCs w:val="21"/>
                <w:highlight w:val="none"/>
              </w:rPr>
            </w:pPr>
          </w:p>
        </w:tc>
      </w:tr>
      <w:tr w14:paraId="01A8C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9687A72">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1656C3E3">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30741765">
            <w:pPr>
              <w:topLinePunct/>
              <w:spacing w:line="440" w:lineRule="exact"/>
              <w:ind w:firstLine="105" w:firstLineChars="50"/>
              <w:jc w:val="center"/>
              <w:rPr>
                <w:rFonts w:hint="eastAsia" w:ascii="宋体" w:hAnsi="宋体" w:eastAsia="宋体" w:cs="宋体"/>
                <w:color w:val="auto"/>
                <w:szCs w:val="21"/>
                <w:highlight w:val="none"/>
              </w:rPr>
            </w:pPr>
          </w:p>
        </w:tc>
      </w:tr>
      <w:tr w14:paraId="0741E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49970A05">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485D6A6D">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D6E6B62">
            <w:pPr>
              <w:topLinePunct/>
              <w:spacing w:line="440" w:lineRule="exact"/>
              <w:ind w:firstLine="105" w:firstLineChars="50"/>
              <w:jc w:val="center"/>
              <w:rPr>
                <w:rFonts w:hint="eastAsia" w:ascii="宋体" w:hAnsi="宋体" w:eastAsia="宋体" w:cs="宋体"/>
                <w:color w:val="auto"/>
                <w:szCs w:val="21"/>
                <w:highlight w:val="none"/>
              </w:rPr>
            </w:pPr>
          </w:p>
        </w:tc>
      </w:tr>
      <w:tr w14:paraId="754F8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2E5AFD0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54407071">
            <w:pPr>
              <w:topLinePunct/>
              <w:spacing w:line="440" w:lineRule="exact"/>
              <w:jc w:val="center"/>
              <w:rPr>
                <w:rFonts w:hint="eastAsia" w:ascii="宋体" w:hAnsi="宋体" w:eastAsia="宋体" w:cs="宋体"/>
                <w:color w:val="auto"/>
                <w:szCs w:val="21"/>
                <w:highlight w:val="none"/>
              </w:rPr>
            </w:pPr>
          </w:p>
        </w:tc>
      </w:tr>
      <w:tr w14:paraId="582C2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05ADA3A2">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AE7A74C">
            <w:pPr>
              <w:topLinePunct/>
              <w:spacing w:line="440" w:lineRule="exact"/>
              <w:jc w:val="center"/>
              <w:rPr>
                <w:rFonts w:hint="eastAsia" w:ascii="宋体" w:hAnsi="宋体" w:eastAsia="宋体" w:cs="宋体"/>
                <w:color w:val="auto"/>
                <w:szCs w:val="21"/>
                <w:highlight w:val="none"/>
              </w:rPr>
            </w:pPr>
          </w:p>
        </w:tc>
      </w:tr>
      <w:tr w14:paraId="0CACF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6DB537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40A483D9">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79D5FF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33FDA61">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有效期</w:t>
            </w:r>
          </w:p>
        </w:tc>
      </w:tr>
      <w:tr w14:paraId="5BB28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1B9CD2A7">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71D165E8">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519A68D9">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423F24A2">
            <w:pPr>
              <w:topLinePunct/>
              <w:spacing w:line="440" w:lineRule="exact"/>
              <w:jc w:val="center"/>
              <w:rPr>
                <w:rFonts w:hint="eastAsia" w:ascii="宋体" w:hAnsi="宋体" w:eastAsia="宋体" w:cs="宋体"/>
                <w:color w:val="auto"/>
                <w:szCs w:val="21"/>
                <w:highlight w:val="none"/>
              </w:rPr>
            </w:pPr>
          </w:p>
        </w:tc>
      </w:tr>
      <w:tr w14:paraId="03959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4AADC62C">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2772D4BC">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466CB5AD">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FD23508">
            <w:pPr>
              <w:topLinePunct/>
              <w:spacing w:line="440" w:lineRule="exact"/>
              <w:jc w:val="center"/>
              <w:rPr>
                <w:rFonts w:hint="eastAsia" w:ascii="宋体" w:hAnsi="宋体" w:eastAsia="宋体" w:cs="宋体"/>
                <w:color w:val="auto"/>
                <w:szCs w:val="21"/>
                <w:highlight w:val="none"/>
              </w:rPr>
            </w:pPr>
          </w:p>
        </w:tc>
      </w:tr>
      <w:tr w14:paraId="19928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0004795">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56052B1">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7FEAD577">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17E301DD">
            <w:pPr>
              <w:topLinePunct/>
              <w:spacing w:line="440" w:lineRule="exact"/>
              <w:jc w:val="center"/>
              <w:rPr>
                <w:rFonts w:hint="eastAsia" w:ascii="宋体" w:hAnsi="宋体" w:eastAsia="宋体" w:cs="宋体"/>
                <w:color w:val="auto"/>
                <w:szCs w:val="21"/>
                <w:highlight w:val="none"/>
              </w:rPr>
            </w:pPr>
          </w:p>
        </w:tc>
      </w:tr>
      <w:tr w14:paraId="3863D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2"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609DD7FA">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79A6214E">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附《营业执照》（副本）复印件</w:t>
            </w:r>
          </w:p>
        </w:tc>
      </w:tr>
    </w:tbl>
    <w:p w14:paraId="12807989">
      <w:pPr>
        <w:adjustRightInd w:val="0"/>
        <w:snapToGrid w:val="0"/>
        <w:spacing w:line="6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39" w:name="三、评审标准相关内容"/>
    </w:p>
    <w:p w14:paraId="40AE778B">
      <w:pPr>
        <w:adjustRightInd w:val="0"/>
        <w:snapToGrid w:val="0"/>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三、与评审标准相关内容</w:t>
      </w:r>
    </w:p>
    <w:p w14:paraId="3DE793DC">
      <w:pPr>
        <w:pStyle w:val="16"/>
        <w:rPr>
          <w:rFonts w:hint="eastAsia" w:ascii="宋体" w:hAnsi="宋体" w:eastAsia="宋体" w:cs="宋体"/>
          <w:color w:val="auto"/>
          <w:highlight w:val="none"/>
        </w:rPr>
      </w:pPr>
    </w:p>
    <w:bookmarkEnd w:id="39"/>
    <w:p w14:paraId="78C204D6">
      <w:pPr>
        <w:widowControl/>
        <w:numPr>
          <w:ilvl w:val="0"/>
          <w:numId w:val="1"/>
        </w:numPr>
        <w:spacing w:line="60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按《</w:t>
      </w:r>
      <w:r>
        <w:rPr>
          <w:rFonts w:hint="eastAsia" w:ascii="宋体" w:hAnsi="宋体" w:eastAsia="宋体" w:cs="宋体"/>
          <w:color w:val="auto"/>
          <w:kern w:val="0"/>
          <w:sz w:val="30"/>
          <w:szCs w:val="30"/>
          <w:highlight w:val="none"/>
        </w:rPr>
        <w:t>公开竞争性遴选政策性农业保险承保机构评审标准（省级）</w:t>
      </w:r>
      <w:r>
        <w:rPr>
          <w:rFonts w:hint="eastAsia" w:ascii="宋体" w:hAnsi="宋体" w:eastAsia="宋体" w:cs="宋体"/>
          <w:color w:val="auto"/>
          <w:sz w:val="30"/>
          <w:szCs w:val="30"/>
          <w:highlight w:val="none"/>
        </w:rPr>
        <w:t>》和《</w:t>
      </w:r>
      <w:r>
        <w:rPr>
          <w:rFonts w:hint="eastAsia" w:ascii="宋体" w:hAnsi="宋体" w:eastAsia="宋体" w:cs="宋体"/>
          <w:color w:val="auto"/>
          <w:kern w:val="0"/>
          <w:sz w:val="30"/>
          <w:szCs w:val="30"/>
          <w:highlight w:val="none"/>
        </w:rPr>
        <w:t>公开竞争性遴选政策性农业保险承保机构评审标准</w:t>
      </w:r>
      <w:r>
        <w:rPr>
          <w:rFonts w:hint="eastAsia" w:ascii="宋体" w:hAnsi="宋体" w:eastAsia="宋体" w:cs="宋体"/>
          <w:color w:val="auto"/>
          <w:sz w:val="30"/>
          <w:szCs w:val="30"/>
          <w:highlight w:val="none"/>
        </w:rPr>
        <w:t>（县级）》中的款项逐项列表列明，凡评分说明中要求提供的证明文件、支撑数据，须在项中相应栏目中出具，并按要求盖章、签字。</w:t>
      </w:r>
    </w:p>
    <w:p w14:paraId="7FB4479C">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2、其他指标项根据评审标准列明。</w:t>
      </w:r>
    </w:p>
    <w:p w14:paraId="1F55C7EE">
      <w:pPr>
        <w:adjustRightInd w:val="0"/>
        <w:snapToGrid w:val="0"/>
        <w:spacing w:line="6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40" w:name="四、申请人认为需要提供的其它资料（包括长望浏宁）"/>
    </w:p>
    <w:p w14:paraId="3D6869E4">
      <w:pPr>
        <w:adjustRightInd w:val="0"/>
        <w:snapToGrid w:val="0"/>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四、申请人认为需要提供的其它资料</w:t>
      </w:r>
    </w:p>
    <w:bookmarkEnd w:id="40"/>
    <w:p w14:paraId="76A376E7">
      <w:pPr>
        <w:pStyle w:val="16"/>
        <w:spacing w:line="600" w:lineRule="exact"/>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 xml:space="preserve">  </w:t>
      </w:r>
    </w:p>
    <w:p w14:paraId="716C4DF6">
      <w:pPr>
        <w:pStyle w:val="16"/>
        <w:spacing w:line="600" w:lineRule="exact"/>
        <w:ind w:left="0" w:leftChars="0" w:firstLine="600" w:firstLineChars="200"/>
        <w:rPr>
          <w:rFonts w:hint="eastAsia" w:ascii="宋体" w:hAnsi="宋体" w:eastAsia="宋体" w:cs="宋体"/>
          <w:color w:val="auto"/>
          <w:sz w:val="30"/>
          <w:szCs w:val="30"/>
          <w:highlight w:val="none"/>
        </w:rPr>
      </w:pPr>
    </w:p>
    <w:p w14:paraId="212F21E7">
      <w:pPr>
        <w:pStyle w:val="16"/>
        <w:spacing w:line="600" w:lineRule="exact"/>
        <w:ind w:left="0" w:leftChars="0" w:firstLine="600" w:firstLineChars="200"/>
        <w:rPr>
          <w:rFonts w:hint="eastAsia" w:ascii="宋体" w:hAnsi="宋体" w:eastAsia="宋体" w:cs="宋体"/>
          <w:color w:val="auto"/>
          <w:sz w:val="30"/>
          <w:szCs w:val="30"/>
          <w:highlight w:val="none"/>
        </w:rPr>
      </w:pPr>
    </w:p>
    <w:p w14:paraId="4F157905">
      <w:pPr>
        <w:pStyle w:val="16"/>
        <w:spacing w:line="600" w:lineRule="exact"/>
        <w:ind w:left="0" w:leftChars="0" w:firstLine="600" w:firstLineChars="200"/>
        <w:rPr>
          <w:rFonts w:hint="eastAsia" w:ascii="宋体" w:hAnsi="宋体" w:eastAsia="宋体" w:cs="宋体"/>
          <w:color w:val="auto"/>
          <w:sz w:val="30"/>
          <w:szCs w:val="30"/>
          <w:highlight w:val="none"/>
        </w:rPr>
      </w:pPr>
    </w:p>
    <w:p w14:paraId="1EB949B5">
      <w:pPr>
        <w:pStyle w:val="16"/>
        <w:spacing w:line="600" w:lineRule="exact"/>
        <w:ind w:left="0" w:leftChars="0" w:firstLine="600" w:firstLineChars="200"/>
        <w:rPr>
          <w:rFonts w:hint="eastAsia" w:ascii="宋体" w:hAnsi="宋体" w:eastAsia="宋体" w:cs="宋体"/>
          <w:color w:val="auto"/>
          <w:sz w:val="30"/>
          <w:szCs w:val="30"/>
          <w:highlight w:val="none"/>
        </w:rPr>
      </w:pPr>
    </w:p>
    <w:p w14:paraId="5AAFB86A">
      <w:pPr>
        <w:pStyle w:val="16"/>
        <w:spacing w:line="600" w:lineRule="exact"/>
        <w:ind w:left="0" w:leftChars="0" w:firstLine="600" w:firstLineChars="200"/>
        <w:rPr>
          <w:rFonts w:hint="eastAsia" w:ascii="宋体" w:hAnsi="宋体" w:eastAsia="宋体" w:cs="宋体"/>
          <w:color w:val="auto"/>
          <w:sz w:val="30"/>
          <w:szCs w:val="30"/>
          <w:highlight w:val="none"/>
        </w:rPr>
      </w:pPr>
    </w:p>
    <w:p w14:paraId="11BDDC6A">
      <w:pPr>
        <w:pStyle w:val="16"/>
        <w:spacing w:line="600" w:lineRule="exact"/>
        <w:ind w:left="0" w:leftChars="0" w:firstLine="600" w:firstLineChars="200"/>
        <w:rPr>
          <w:rFonts w:hint="eastAsia" w:ascii="宋体" w:hAnsi="宋体" w:eastAsia="宋体" w:cs="宋体"/>
          <w:color w:val="auto"/>
          <w:sz w:val="30"/>
          <w:szCs w:val="30"/>
          <w:highlight w:val="none"/>
        </w:rPr>
      </w:pPr>
    </w:p>
    <w:p w14:paraId="2EC50A0F">
      <w:pPr>
        <w:pStyle w:val="16"/>
        <w:spacing w:line="600" w:lineRule="exact"/>
        <w:ind w:left="0" w:leftChars="0" w:firstLine="600" w:firstLineChars="200"/>
        <w:rPr>
          <w:rFonts w:hint="eastAsia" w:ascii="宋体" w:hAnsi="宋体" w:eastAsia="宋体" w:cs="宋体"/>
          <w:color w:val="auto"/>
          <w:sz w:val="30"/>
          <w:szCs w:val="30"/>
          <w:highlight w:val="none"/>
        </w:rPr>
      </w:pPr>
    </w:p>
    <w:p w14:paraId="509321D7">
      <w:pPr>
        <w:pStyle w:val="16"/>
        <w:spacing w:line="600" w:lineRule="exact"/>
        <w:ind w:left="0" w:leftChars="0" w:firstLine="600" w:firstLineChars="200"/>
        <w:rPr>
          <w:rFonts w:hint="eastAsia" w:ascii="宋体" w:hAnsi="宋体" w:eastAsia="宋体" w:cs="宋体"/>
          <w:color w:val="auto"/>
          <w:sz w:val="30"/>
          <w:szCs w:val="30"/>
          <w:highlight w:val="none"/>
        </w:rPr>
      </w:pPr>
    </w:p>
    <w:p w14:paraId="73330751">
      <w:pPr>
        <w:pStyle w:val="16"/>
        <w:spacing w:line="600" w:lineRule="exact"/>
        <w:ind w:left="0" w:leftChars="0" w:firstLine="600" w:firstLineChars="200"/>
        <w:rPr>
          <w:rFonts w:hint="eastAsia" w:ascii="宋体" w:hAnsi="宋体" w:eastAsia="宋体" w:cs="宋体"/>
          <w:color w:val="auto"/>
          <w:sz w:val="30"/>
          <w:szCs w:val="30"/>
          <w:highlight w:val="none"/>
        </w:rPr>
      </w:pPr>
    </w:p>
    <w:p w14:paraId="496394DE">
      <w:pPr>
        <w:pStyle w:val="16"/>
        <w:spacing w:line="600" w:lineRule="exact"/>
        <w:ind w:left="0" w:leftChars="0" w:firstLine="600" w:firstLineChars="200"/>
        <w:rPr>
          <w:rFonts w:hint="eastAsia" w:ascii="宋体" w:hAnsi="宋体" w:eastAsia="宋体" w:cs="宋体"/>
          <w:color w:val="auto"/>
          <w:sz w:val="30"/>
          <w:szCs w:val="30"/>
          <w:highlight w:val="none"/>
        </w:rPr>
      </w:pPr>
    </w:p>
    <w:p w14:paraId="63E98674">
      <w:pPr>
        <w:pStyle w:val="16"/>
        <w:spacing w:line="600" w:lineRule="exact"/>
        <w:ind w:left="0" w:leftChars="0" w:firstLine="600" w:firstLineChars="200"/>
        <w:rPr>
          <w:rFonts w:hint="eastAsia" w:ascii="宋体" w:hAnsi="宋体" w:eastAsia="宋体" w:cs="宋体"/>
          <w:color w:val="auto"/>
          <w:sz w:val="30"/>
          <w:szCs w:val="30"/>
          <w:highlight w:val="none"/>
        </w:rPr>
      </w:pPr>
    </w:p>
    <w:p w14:paraId="6846C0CA">
      <w:pPr>
        <w:pStyle w:val="16"/>
        <w:spacing w:line="600" w:lineRule="exact"/>
        <w:ind w:left="0" w:leftChars="0" w:firstLine="600" w:firstLineChars="200"/>
        <w:rPr>
          <w:rFonts w:hint="eastAsia" w:ascii="宋体" w:hAnsi="宋体" w:eastAsia="宋体" w:cs="宋体"/>
          <w:color w:val="auto"/>
          <w:sz w:val="30"/>
          <w:szCs w:val="30"/>
          <w:highlight w:val="none"/>
        </w:rPr>
      </w:pPr>
    </w:p>
    <w:p w14:paraId="5F0D8856">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申请人（盖章）：</w:t>
      </w:r>
    </w:p>
    <w:p w14:paraId="6CD700F1">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申请人公司负责人或委托代理人（签字）：</w:t>
      </w:r>
    </w:p>
    <w:p w14:paraId="6E5B0129">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日  期：     年   月   日</w:t>
      </w:r>
    </w:p>
    <w:p w14:paraId="657B1E3F">
      <w:pPr>
        <w:pStyle w:val="16"/>
        <w:spacing w:line="600" w:lineRule="exact"/>
        <w:ind w:left="0" w:leftChars="0" w:firstLine="600" w:firstLineChars="200"/>
        <w:rPr>
          <w:rFonts w:hint="eastAsia" w:ascii="宋体" w:hAnsi="宋体" w:eastAsia="宋体" w:cs="宋体"/>
          <w:sz w:val="30"/>
          <w:szCs w:val="30"/>
          <w:highlight w:val="none"/>
        </w:rPr>
      </w:pPr>
    </w:p>
    <w:p w14:paraId="4189E708">
      <w:pPr>
        <w:pStyle w:val="16"/>
        <w:spacing w:line="600" w:lineRule="exact"/>
        <w:ind w:left="0" w:leftChars="0" w:firstLine="600" w:firstLineChars="200"/>
        <w:outlineLvl w:val="2"/>
        <w:rPr>
          <w:rFonts w:hint="eastAsia" w:ascii="宋体" w:hAnsi="宋体" w:eastAsia="宋体" w:cs="宋体"/>
          <w:sz w:val="30"/>
          <w:szCs w:val="30"/>
          <w:highlight w:val="none"/>
        </w:rPr>
      </w:pPr>
    </w:p>
    <w:sectPr>
      <w:pgSz w:w="11906" w:h="16838"/>
      <w:pgMar w:top="1701" w:right="1587" w:bottom="1701" w:left="1587" w:header="851" w:footer="141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5D1A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0E6D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10E6D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5A6A">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9319895</wp:posOffset>
              </wp:positionH>
              <wp:positionV relativeFrom="page">
                <wp:posOffset>6605270</wp:posOffset>
              </wp:positionV>
              <wp:extent cx="48387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3870" cy="203200"/>
                      </a:xfrm>
                      <a:prstGeom prst="rect">
                        <a:avLst/>
                      </a:prstGeom>
                      <a:noFill/>
                      <a:ln>
                        <a:noFill/>
                      </a:ln>
                    </wps:spPr>
                    <wps:txbx>
                      <w:txbxContent>
                        <w:p w14:paraId="2574F2B0">
                          <w:pPr>
                            <w:spacing w:before="0" w:line="312" w:lineRule="exact"/>
                            <w:ind w:left="20" w:right="0" w:firstLine="0"/>
                            <w:jc w:val="left"/>
                            <w:rPr>
                              <w:rFonts w:ascii="Times New Roman"/>
                              <w:sz w:val="28"/>
                            </w:rPr>
                          </w:pPr>
                          <w:r>
                            <w:rPr>
                              <w:rFonts w:ascii="Times New Roman"/>
                              <w:w w:val="145"/>
                              <w:sz w:val="28"/>
                            </w:rPr>
                            <w:t>-</w:t>
                          </w:r>
                          <w:r>
                            <w:rPr>
                              <w:rFonts w:ascii="Times New Roman"/>
                              <w:spacing w:val="-68"/>
                              <w:w w:val="145"/>
                              <w:sz w:val="28"/>
                            </w:rPr>
                            <w:t xml:space="preserve"> </w:t>
                          </w:r>
                          <w:r>
                            <w:fldChar w:fldCharType="begin"/>
                          </w:r>
                          <w:r>
                            <w:rPr>
                              <w:rFonts w:ascii="Times New Roman"/>
                              <w:w w:val="120"/>
                              <w:sz w:val="28"/>
                            </w:rPr>
                            <w:instrText xml:space="preserve"> PAGE </w:instrText>
                          </w:r>
                          <w:r>
                            <w:fldChar w:fldCharType="separate"/>
                          </w:r>
                          <w:r>
                            <w:t>13</w:t>
                          </w:r>
                          <w:r>
                            <w:fldChar w:fldCharType="end"/>
                          </w:r>
                          <w:r>
                            <w:rPr>
                              <w:rFonts w:ascii="Times New Roman"/>
                              <w:w w:val="120"/>
                              <w:sz w:val="28"/>
                            </w:rPr>
                            <w:t xml:space="preserve"> </w:t>
                          </w:r>
                          <w:r>
                            <w:rPr>
                              <w:rFonts w:ascii="Times New Roman"/>
                              <w:w w:val="145"/>
                              <w:sz w:val="28"/>
                            </w:rPr>
                            <w:t>-</w:t>
                          </w:r>
                        </w:p>
                      </w:txbxContent>
                    </wps:txbx>
                    <wps:bodyPr lIns="0" tIns="0" rIns="0" bIns="0" upright="1"/>
                  </wps:wsp>
                </a:graphicData>
              </a:graphic>
            </wp:anchor>
          </w:drawing>
        </mc:Choice>
        <mc:Fallback>
          <w:pict>
            <v:shape id="_x0000_s1026" o:spid="_x0000_s1026" o:spt="202" type="#_x0000_t202" style="position:absolute;left:0pt;margin-left:733.85pt;margin-top:520.1pt;height:16pt;width:38.1pt;mso-position-horizontal-relative:page;mso-position-vertical-relative:page;z-index:-251656192;mso-width-relative:page;mso-height-relative:page;" filled="f" stroked="f" coordsize="21600,21600" o:gfxdata="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7ZQr9wAAAAPAQAADwAAAAAAAAABACAAAAAiAAAAZHJzL2Rvd25yZXYueG1sUEsB&#10;AhQAFAAAAAgAh07iQKM0yoO4AQAAcQMAAA4AAAAAAAAAAQAgAAAAKwEAAGRycy9lMm9Eb2MueG1s&#10;UEsFBgAAAAAGAAYAWQEAAFUFAAAAAA==&#10;">
              <v:fill on="f" focussize="0,0"/>
              <v:stroke on="f"/>
              <v:imagedata o:title=""/>
              <o:lock v:ext="edit" aspectratio="f"/>
              <v:textbox inset="0mm,0mm,0mm,0mm">
                <w:txbxContent>
                  <w:p w14:paraId="2574F2B0">
                    <w:pPr>
                      <w:spacing w:before="0" w:line="312" w:lineRule="exact"/>
                      <w:ind w:left="20" w:right="0" w:firstLine="0"/>
                      <w:jc w:val="left"/>
                      <w:rPr>
                        <w:rFonts w:ascii="Times New Roman"/>
                        <w:sz w:val="28"/>
                      </w:rPr>
                    </w:pPr>
                    <w:r>
                      <w:rPr>
                        <w:rFonts w:ascii="Times New Roman"/>
                        <w:w w:val="145"/>
                        <w:sz w:val="28"/>
                      </w:rPr>
                      <w:t>-</w:t>
                    </w:r>
                    <w:r>
                      <w:rPr>
                        <w:rFonts w:ascii="Times New Roman"/>
                        <w:spacing w:val="-68"/>
                        <w:w w:val="145"/>
                        <w:sz w:val="28"/>
                      </w:rPr>
                      <w:t xml:space="preserve"> </w:t>
                    </w:r>
                    <w:r>
                      <w:fldChar w:fldCharType="begin"/>
                    </w:r>
                    <w:r>
                      <w:rPr>
                        <w:rFonts w:ascii="Times New Roman"/>
                        <w:w w:val="120"/>
                        <w:sz w:val="28"/>
                      </w:rPr>
                      <w:instrText xml:space="preserve"> PAGE </w:instrText>
                    </w:r>
                    <w:r>
                      <w:fldChar w:fldCharType="separate"/>
                    </w:r>
                    <w:r>
                      <w:t>13</w:t>
                    </w:r>
                    <w:r>
                      <w:fldChar w:fldCharType="end"/>
                    </w:r>
                    <w:r>
                      <w:rPr>
                        <w:rFonts w:ascii="Times New Roman"/>
                        <w:w w:val="120"/>
                        <w:sz w:val="28"/>
                      </w:rPr>
                      <w:t xml:space="preserve"> </w:t>
                    </w:r>
                    <w:r>
                      <w:rPr>
                        <w:rFonts w:ascii="Times New Roman"/>
                        <w:w w:val="145"/>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6110">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885825</wp:posOffset>
              </wp:positionH>
              <wp:positionV relativeFrom="page">
                <wp:posOffset>6605270</wp:posOffset>
              </wp:positionV>
              <wp:extent cx="485775" cy="203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85775" cy="203200"/>
                      </a:xfrm>
                      <a:prstGeom prst="rect">
                        <a:avLst/>
                      </a:prstGeom>
                      <a:noFill/>
                      <a:ln>
                        <a:noFill/>
                      </a:ln>
                    </wps:spPr>
                    <wps:txbx>
                      <w:txbxContent>
                        <w:p w14:paraId="4841B16C">
                          <w:pPr>
                            <w:spacing w:before="0" w:line="312" w:lineRule="exact"/>
                            <w:ind w:left="20" w:right="0" w:firstLine="0"/>
                            <w:jc w:val="left"/>
                            <w:rPr>
                              <w:rFonts w:ascii="Times New Roman"/>
                              <w:sz w:val="28"/>
                            </w:rPr>
                          </w:pPr>
                          <w:r>
                            <w:rPr>
                              <w:rFonts w:ascii="Times New Roman"/>
                              <w:w w:val="145"/>
                              <w:sz w:val="28"/>
                            </w:rPr>
                            <w:t xml:space="preserve">- </w:t>
                          </w:r>
                          <w:r>
                            <w:fldChar w:fldCharType="begin"/>
                          </w:r>
                          <w:r>
                            <w:rPr>
                              <w:rFonts w:ascii="Times New Roman"/>
                              <w:w w:val="120"/>
                              <w:sz w:val="28"/>
                            </w:rPr>
                            <w:instrText xml:space="preserve"> PAGE </w:instrText>
                          </w:r>
                          <w:r>
                            <w:fldChar w:fldCharType="separate"/>
                          </w:r>
                          <w:r>
                            <w:t>12</w:t>
                          </w:r>
                          <w:r>
                            <w:fldChar w:fldCharType="end"/>
                          </w:r>
                          <w:r>
                            <w:rPr>
                              <w:rFonts w:ascii="Times New Roman"/>
                              <w:spacing w:val="-65"/>
                              <w:w w:val="120"/>
                              <w:sz w:val="28"/>
                            </w:rPr>
                            <w:t xml:space="preserve"> </w:t>
                          </w:r>
                          <w:r>
                            <w:rPr>
                              <w:rFonts w:ascii="Times New Roman"/>
                              <w:w w:val="145"/>
                              <w:sz w:val="28"/>
                            </w:rPr>
                            <w:t>-</w:t>
                          </w:r>
                        </w:p>
                      </w:txbxContent>
                    </wps:txbx>
                    <wps:bodyPr lIns="0" tIns="0" rIns="0" bIns="0" upright="1"/>
                  </wps:wsp>
                </a:graphicData>
              </a:graphic>
            </wp:anchor>
          </w:drawing>
        </mc:Choice>
        <mc:Fallback>
          <w:pict>
            <v:shape id="_x0000_s1026" o:spid="_x0000_s1026" o:spt="202" type="#_x0000_t202" style="position:absolute;left:0pt;margin-left:69.75pt;margin-top:520.1pt;height:16pt;width:38.25pt;mso-position-horizontal-relative:page;mso-position-vertical-relative:page;z-index:-251656192;mso-width-relative:page;mso-height-relative:page;" filled="f" stroked="f" coordsize="21600,21600" o:gfxdata="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tg8H9oAAAANAQAADwAAAAAAAAABACAAAAAiAAAAZHJzL2Rvd25yZXYueG1sUEsB&#10;AhQAFAAAAAgAh07iQKX5U2y6AQAAcQMAAA4AAAAAAAAAAQAgAAAAKQEAAGRycy9lMm9Eb2MueG1s&#10;UEsFBgAAAAAGAAYAWQEAAFUFAAAAAA==&#10;">
              <v:fill on="f" focussize="0,0"/>
              <v:stroke on="f"/>
              <v:imagedata o:title=""/>
              <o:lock v:ext="edit" aspectratio="f"/>
              <v:textbox inset="0mm,0mm,0mm,0mm">
                <w:txbxContent>
                  <w:p w14:paraId="4841B16C">
                    <w:pPr>
                      <w:spacing w:before="0" w:line="312" w:lineRule="exact"/>
                      <w:ind w:left="20" w:right="0" w:firstLine="0"/>
                      <w:jc w:val="left"/>
                      <w:rPr>
                        <w:rFonts w:ascii="Times New Roman"/>
                        <w:sz w:val="28"/>
                      </w:rPr>
                    </w:pPr>
                    <w:r>
                      <w:rPr>
                        <w:rFonts w:ascii="Times New Roman"/>
                        <w:w w:val="145"/>
                        <w:sz w:val="28"/>
                      </w:rPr>
                      <w:t xml:space="preserve">- </w:t>
                    </w:r>
                    <w:r>
                      <w:fldChar w:fldCharType="begin"/>
                    </w:r>
                    <w:r>
                      <w:rPr>
                        <w:rFonts w:ascii="Times New Roman"/>
                        <w:w w:val="120"/>
                        <w:sz w:val="28"/>
                      </w:rPr>
                      <w:instrText xml:space="preserve"> PAGE </w:instrText>
                    </w:r>
                    <w:r>
                      <w:fldChar w:fldCharType="separate"/>
                    </w:r>
                    <w:r>
                      <w:t>12</w:t>
                    </w:r>
                    <w:r>
                      <w:fldChar w:fldCharType="end"/>
                    </w:r>
                    <w:r>
                      <w:rPr>
                        <w:rFonts w:ascii="Times New Roman"/>
                        <w:spacing w:val="-65"/>
                        <w:w w:val="120"/>
                        <w:sz w:val="28"/>
                      </w:rPr>
                      <w:t xml:space="preserve"> </w:t>
                    </w:r>
                    <w:r>
                      <w:rPr>
                        <w:rFonts w:ascii="Times New Roman"/>
                        <w:w w:val="145"/>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3BEB"/>
    <w:multiLevelType w:val="singleLevel"/>
    <w:tmpl w:val="8CA03B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WNlZDI2ZDdhNTkwOWFlNDAxODg4MGIzYTNkYzcifQ=="/>
  </w:docVars>
  <w:rsids>
    <w:rsidRoot w:val="75695AB4"/>
    <w:rsid w:val="000162E5"/>
    <w:rsid w:val="00061321"/>
    <w:rsid w:val="000A7B8B"/>
    <w:rsid w:val="001E18B2"/>
    <w:rsid w:val="002A7316"/>
    <w:rsid w:val="002B2E28"/>
    <w:rsid w:val="002D5BA8"/>
    <w:rsid w:val="002E254D"/>
    <w:rsid w:val="00355B56"/>
    <w:rsid w:val="00482B40"/>
    <w:rsid w:val="004A1FEE"/>
    <w:rsid w:val="005204B1"/>
    <w:rsid w:val="00574611"/>
    <w:rsid w:val="007A218D"/>
    <w:rsid w:val="007A6176"/>
    <w:rsid w:val="007F08D2"/>
    <w:rsid w:val="009967F1"/>
    <w:rsid w:val="009B5BD5"/>
    <w:rsid w:val="00A446A2"/>
    <w:rsid w:val="00A44D8B"/>
    <w:rsid w:val="00AC10C2"/>
    <w:rsid w:val="00B52F54"/>
    <w:rsid w:val="00C1578E"/>
    <w:rsid w:val="00C21683"/>
    <w:rsid w:val="00C73976"/>
    <w:rsid w:val="00CC2DEE"/>
    <w:rsid w:val="00CE340E"/>
    <w:rsid w:val="00D4326F"/>
    <w:rsid w:val="00D84AE7"/>
    <w:rsid w:val="00DF3432"/>
    <w:rsid w:val="00E745FA"/>
    <w:rsid w:val="00E74714"/>
    <w:rsid w:val="00E90264"/>
    <w:rsid w:val="00EC702E"/>
    <w:rsid w:val="00EE2539"/>
    <w:rsid w:val="00EF2482"/>
    <w:rsid w:val="00FD2E43"/>
    <w:rsid w:val="00FD79B2"/>
    <w:rsid w:val="02181973"/>
    <w:rsid w:val="031800B1"/>
    <w:rsid w:val="048225C7"/>
    <w:rsid w:val="05FA7C0E"/>
    <w:rsid w:val="064E40B2"/>
    <w:rsid w:val="07FF3AA7"/>
    <w:rsid w:val="081C07E2"/>
    <w:rsid w:val="089C2780"/>
    <w:rsid w:val="08A56755"/>
    <w:rsid w:val="0ADB1EFC"/>
    <w:rsid w:val="0B963088"/>
    <w:rsid w:val="0C646532"/>
    <w:rsid w:val="0D887ACA"/>
    <w:rsid w:val="0DA55445"/>
    <w:rsid w:val="0DA6333C"/>
    <w:rsid w:val="0E5A627C"/>
    <w:rsid w:val="0EB379F3"/>
    <w:rsid w:val="0EFF3C89"/>
    <w:rsid w:val="0F560CF6"/>
    <w:rsid w:val="100F6948"/>
    <w:rsid w:val="10163376"/>
    <w:rsid w:val="11AB1672"/>
    <w:rsid w:val="126637EB"/>
    <w:rsid w:val="1331714B"/>
    <w:rsid w:val="1538458B"/>
    <w:rsid w:val="158943B1"/>
    <w:rsid w:val="15CD4F7D"/>
    <w:rsid w:val="165B6A56"/>
    <w:rsid w:val="174F70BF"/>
    <w:rsid w:val="1787767E"/>
    <w:rsid w:val="17A17079"/>
    <w:rsid w:val="17A2797E"/>
    <w:rsid w:val="18DA758B"/>
    <w:rsid w:val="194D231D"/>
    <w:rsid w:val="1A581D02"/>
    <w:rsid w:val="1A651CED"/>
    <w:rsid w:val="1B3A4D29"/>
    <w:rsid w:val="1B79398C"/>
    <w:rsid w:val="1B914D66"/>
    <w:rsid w:val="1E142693"/>
    <w:rsid w:val="1E2D5D39"/>
    <w:rsid w:val="1E372A92"/>
    <w:rsid w:val="1E7C5AB1"/>
    <w:rsid w:val="1F595DC8"/>
    <w:rsid w:val="20C63D0E"/>
    <w:rsid w:val="21FC002D"/>
    <w:rsid w:val="22E93214"/>
    <w:rsid w:val="23F67449"/>
    <w:rsid w:val="2543314E"/>
    <w:rsid w:val="256A70B8"/>
    <w:rsid w:val="25ED0935"/>
    <w:rsid w:val="26403BC8"/>
    <w:rsid w:val="26461F07"/>
    <w:rsid w:val="26552377"/>
    <w:rsid w:val="27542FE7"/>
    <w:rsid w:val="28376EC2"/>
    <w:rsid w:val="288566F6"/>
    <w:rsid w:val="28D42480"/>
    <w:rsid w:val="29987850"/>
    <w:rsid w:val="2A2967B0"/>
    <w:rsid w:val="2BA750C0"/>
    <w:rsid w:val="2C713AB4"/>
    <w:rsid w:val="2CBC19E4"/>
    <w:rsid w:val="2E8C3C33"/>
    <w:rsid w:val="2EB05A7F"/>
    <w:rsid w:val="2EC902FF"/>
    <w:rsid w:val="2EF4531E"/>
    <w:rsid w:val="307A4FFC"/>
    <w:rsid w:val="31C76A1A"/>
    <w:rsid w:val="31E40C7D"/>
    <w:rsid w:val="32771731"/>
    <w:rsid w:val="33F158EE"/>
    <w:rsid w:val="34122B9B"/>
    <w:rsid w:val="341978A8"/>
    <w:rsid w:val="3479760B"/>
    <w:rsid w:val="3570782E"/>
    <w:rsid w:val="35893A8D"/>
    <w:rsid w:val="359D741F"/>
    <w:rsid w:val="35AE48DC"/>
    <w:rsid w:val="36A64C86"/>
    <w:rsid w:val="384B4B7F"/>
    <w:rsid w:val="38C13263"/>
    <w:rsid w:val="38EB2F2F"/>
    <w:rsid w:val="3A233BEC"/>
    <w:rsid w:val="3A3277AF"/>
    <w:rsid w:val="3A53002F"/>
    <w:rsid w:val="3BB86D4F"/>
    <w:rsid w:val="3EE720FA"/>
    <w:rsid w:val="3F34410E"/>
    <w:rsid w:val="41453A1C"/>
    <w:rsid w:val="41CA5978"/>
    <w:rsid w:val="42353BD0"/>
    <w:rsid w:val="424C731E"/>
    <w:rsid w:val="42A10AC8"/>
    <w:rsid w:val="437737FF"/>
    <w:rsid w:val="438600CE"/>
    <w:rsid w:val="451801AE"/>
    <w:rsid w:val="45554B03"/>
    <w:rsid w:val="45A54AE0"/>
    <w:rsid w:val="45E85E4D"/>
    <w:rsid w:val="45FD5611"/>
    <w:rsid w:val="471825FE"/>
    <w:rsid w:val="47882A6A"/>
    <w:rsid w:val="47AB3FD8"/>
    <w:rsid w:val="48162FF4"/>
    <w:rsid w:val="4A146E07"/>
    <w:rsid w:val="4A1C5B14"/>
    <w:rsid w:val="4AD04226"/>
    <w:rsid w:val="4CB01046"/>
    <w:rsid w:val="4D1E5130"/>
    <w:rsid w:val="4D610614"/>
    <w:rsid w:val="4D763148"/>
    <w:rsid w:val="4E2F4656"/>
    <w:rsid w:val="4FB709CD"/>
    <w:rsid w:val="4FE97231"/>
    <w:rsid w:val="509E6BFA"/>
    <w:rsid w:val="50B4575D"/>
    <w:rsid w:val="50B975D8"/>
    <w:rsid w:val="50C05BC4"/>
    <w:rsid w:val="51965A03"/>
    <w:rsid w:val="5245080D"/>
    <w:rsid w:val="539878FA"/>
    <w:rsid w:val="53C81C8A"/>
    <w:rsid w:val="541C6E0A"/>
    <w:rsid w:val="542E4C6D"/>
    <w:rsid w:val="55351E5B"/>
    <w:rsid w:val="55F25F84"/>
    <w:rsid w:val="56464A92"/>
    <w:rsid w:val="56D82E44"/>
    <w:rsid w:val="57715BCB"/>
    <w:rsid w:val="57D93ACA"/>
    <w:rsid w:val="582653EF"/>
    <w:rsid w:val="58697DF8"/>
    <w:rsid w:val="59B368E2"/>
    <w:rsid w:val="5A2B5DD6"/>
    <w:rsid w:val="5A9C7111"/>
    <w:rsid w:val="5B771524"/>
    <w:rsid w:val="5E7C50A1"/>
    <w:rsid w:val="5F375171"/>
    <w:rsid w:val="5FA34DEE"/>
    <w:rsid w:val="6036278C"/>
    <w:rsid w:val="60472D9A"/>
    <w:rsid w:val="606E539C"/>
    <w:rsid w:val="60FB2D39"/>
    <w:rsid w:val="61191ECF"/>
    <w:rsid w:val="62944C99"/>
    <w:rsid w:val="635F2F97"/>
    <w:rsid w:val="63D51407"/>
    <w:rsid w:val="640062FE"/>
    <w:rsid w:val="64C16C53"/>
    <w:rsid w:val="658D324C"/>
    <w:rsid w:val="65A03C86"/>
    <w:rsid w:val="65B771FC"/>
    <w:rsid w:val="65CD3425"/>
    <w:rsid w:val="672D39CE"/>
    <w:rsid w:val="67CB13DC"/>
    <w:rsid w:val="6868749D"/>
    <w:rsid w:val="689D6CC8"/>
    <w:rsid w:val="68D44FCC"/>
    <w:rsid w:val="68E32517"/>
    <w:rsid w:val="6A9557B2"/>
    <w:rsid w:val="6B513BDC"/>
    <w:rsid w:val="6D3F0494"/>
    <w:rsid w:val="6D5C266D"/>
    <w:rsid w:val="6DC22321"/>
    <w:rsid w:val="6E3628AD"/>
    <w:rsid w:val="6F5E2385"/>
    <w:rsid w:val="70623CB1"/>
    <w:rsid w:val="70C428E7"/>
    <w:rsid w:val="710B26DD"/>
    <w:rsid w:val="715E7A1C"/>
    <w:rsid w:val="72A33E3A"/>
    <w:rsid w:val="7391146F"/>
    <w:rsid w:val="73FE676A"/>
    <w:rsid w:val="74723B0C"/>
    <w:rsid w:val="7499091E"/>
    <w:rsid w:val="74B47D89"/>
    <w:rsid w:val="75695AB4"/>
    <w:rsid w:val="75AC53E0"/>
    <w:rsid w:val="76322E49"/>
    <w:rsid w:val="770C2360"/>
    <w:rsid w:val="785B3D17"/>
    <w:rsid w:val="7B4D6C3B"/>
    <w:rsid w:val="7C5E48F4"/>
    <w:rsid w:val="7C9421F7"/>
    <w:rsid w:val="7CAA6A43"/>
    <w:rsid w:val="7CFF70CA"/>
    <w:rsid w:val="7D1E0454"/>
    <w:rsid w:val="7E492C79"/>
    <w:rsid w:val="7EBE2D4D"/>
    <w:rsid w:val="7F4D0390"/>
    <w:rsid w:val="7F4E6F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9"/>
    <w:pPr>
      <w:keepNext/>
      <w:keepLines/>
      <w:spacing w:line="576" w:lineRule="auto"/>
      <w:outlineLvl w:val="0"/>
    </w:pPr>
    <w:rPr>
      <w:b/>
      <w:bCs/>
      <w:kern w:val="44"/>
      <w:sz w:val="44"/>
      <w:szCs w:val="44"/>
    </w:rPr>
  </w:style>
  <w:style w:type="paragraph" w:styleId="3">
    <w:name w:val="heading 2"/>
    <w:basedOn w:val="1"/>
    <w:next w:val="1"/>
    <w:link w:val="30"/>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32"/>
      <w:szCs w:val="32"/>
    </w:rPr>
  </w:style>
  <w:style w:type="paragraph" w:styleId="6">
    <w:name w:val="Body Text Indent"/>
    <w:basedOn w:val="1"/>
    <w:next w:val="7"/>
    <w:qFormat/>
    <w:uiPriority w:val="99"/>
    <w:pPr>
      <w:ind w:left="420" w:leftChars="200"/>
    </w:pPr>
  </w:style>
  <w:style w:type="paragraph" w:styleId="7">
    <w:name w:val="List 4"/>
    <w:next w:val="8"/>
    <w:qFormat/>
    <w:uiPriority w:val="0"/>
    <w:pPr>
      <w:spacing w:after="120" w:line="360" w:lineRule="auto"/>
      <w:ind w:left="2520" w:firstLine="3736"/>
    </w:pPr>
    <w:rPr>
      <w:rFonts w:ascii="Times New Roman" w:hAnsi="Times New Roman" w:eastAsia="宋体" w:cs="Times New Roman"/>
      <w:lang w:val="en-US" w:eastAsia="zh-CN" w:bidi="ar-SA"/>
    </w:rPr>
  </w:style>
  <w:style w:type="paragraph" w:customStyle="1" w:styleId="8">
    <w:name w:val="Mat. titre haut de page"/>
    <w:next w:val="9"/>
    <w:qFormat/>
    <w:uiPriority w:val="0"/>
    <w:pPr>
      <w:widowControl w:val="0"/>
      <w:spacing w:before="1" w:after="1"/>
      <w:ind w:left="284" w:right="1" w:firstLine="6372"/>
    </w:pPr>
    <w:rPr>
      <w:rFonts w:ascii="Times New Roman" w:hAnsi="Times New Roman" w:eastAsia="宋体" w:cs="Times New Roman"/>
      <w:lang w:val="en-US" w:eastAsia="zh-CN" w:bidi="ar-SA"/>
    </w:rPr>
  </w:style>
  <w:style w:type="paragraph" w:styleId="9">
    <w:name w:val="Body Text 2"/>
    <w:basedOn w:val="2"/>
    <w:next w:val="10"/>
    <w:qFormat/>
    <w:uiPriority w:val="99"/>
    <w:pPr>
      <w:spacing w:line="480" w:lineRule="auto"/>
    </w:pPr>
  </w:style>
  <w:style w:type="paragraph" w:styleId="10">
    <w:name w:val="List Continue 2"/>
    <w:basedOn w:val="2"/>
    <w:next w:val="1"/>
    <w:qFormat/>
    <w:uiPriority w:val="0"/>
    <w:pPr>
      <w:widowControl/>
      <w:spacing w:after="120" w:line="360" w:lineRule="auto"/>
      <w:ind w:left="840" w:firstLine="2048"/>
    </w:pPr>
  </w:style>
  <w:style w:type="paragraph" w:styleId="11">
    <w:name w:val="Plain Text"/>
    <w:basedOn w:val="1"/>
    <w:qFormat/>
    <w:uiPriority w:val="0"/>
    <w:rPr>
      <w:rFonts w:ascii="宋体" w:hAnsi="Courier New" w:cs="Courier New"/>
      <w:szCs w:val="21"/>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2"/>
    <w:next w:val="1"/>
    <w:semiHidden/>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2"/>
    <w:basedOn w:val="6"/>
    <w:next w:val="17"/>
    <w:qFormat/>
    <w:uiPriority w:val="0"/>
    <w:pPr>
      <w:autoSpaceDE w:val="0"/>
      <w:autoSpaceDN w:val="0"/>
      <w:adjustRightInd w:val="0"/>
      <w:ind w:firstLine="420"/>
      <w:jc w:val="left"/>
    </w:pPr>
    <w:rPr>
      <w:rFonts w:eastAsia="宋体" w:cs="Times New Roman"/>
      <w:kern w:val="0"/>
    </w:rPr>
  </w:style>
  <w:style w:type="paragraph" w:customStyle="1" w:styleId="17">
    <w:name w:val="CM16"/>
    <w:next w:val="18"/>
    <w:qFormat/>
    <w:uiPriority w:val="0"/>
    <w:pPr>
      <w:widowControl w:val="0"/>
      <w:autoSpaceDE w:val="0"/>
      <w:autoSpaceDN w:val="0"/>
      <w:spacing w:after="208"/>
      <w:ind w:firstLine="5632"/>
    </w:pPr>
    <w:rPr>
      <w:rFonts w:ascii="Times New Roman" w:hAnsi="Times New Roman" w:eastAsia="宋体" w:cs="Times New Roman"/>
      <w:lang w:val="en-US" w:eastAsia="zh-CN" w:bidi="ar-SA"/>
    </w:rPr>
  </w:style>
  <w:style w:type="paragraph" w:customStyle="1" w:styleId="18">
    <w:name w:val="sleftnavsub"/>
    <w:basedOn w:val="2"/>
    <w:next w:val="19"/>
    <w:qFormat/>
    <w:uiPriority w:val="0"/>
    <w:pPr>
      <w:widowControl/>
      <w:spacing w:before="280" w:after="280" w:line="240" w:lineRule="atLeast"/>
      <w:ind w:firstLine="5120"/>
    </w:pPr>
  </w:style>
  <w:style w:type="paragraph" w:customStyle="1" w:styleId="19">
    <w:name w:val="正文文本缩进1"/>
    <w:basedOn w:val="2"/>
    <w:next w:val="14"/>
    <w:qFormat/>
    <w:uiPriority w:val="0"/>
    <w:pPr>
      <w:widowControl/>
      <w:ind w:left="360" w:firstLine="2664"/>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800080"/>
      <w:u w:val="single"/>
    </w:rPr>
  </w:style>
  <w:style w:type="character" w:styleId="25">
    <w:name w:val="Hyperlink"/>
    <w:basedOn w:val="22"/>
    <w:qFormat/>
    <w:uiPriority w:val="0"/>
    <w:rPr>
      <w:color w:val="0000FF"/>
      <w:u w:val="single"/>
    </w:rPr>
  </w:style>
  <w:style w:type="paragraph" w:customStyle="1" w:styleId="26">
    <w:name w:val="列出段落1"/>
    <w:basedOn w:val="1"/>
    <w:qFormat/>
    <w:uiPriority w:val="0"/>
    <w:pPr>
      <w:ind w:firstLine="420" w:firstLineChars="200"/>
    </w:pPr>
    <w:rPr>
      <w:szCs w:val="20"/>
    </w:rPr>
  </w:style>
  <w:style w:type="character" w:customStyle="1" w:styleId="27">
    <w:name w:val="正文文本 (8) + 6.5 pt"/>
    <w:basedOn w:val="28"/>
    <w:qFormat/>
    <w:uiPriority w:val="0"/>
    <w:rPr>
      <w:i/>
      <w:iCs/>
      <w:color w:val="000000"/>
      <w:w w:val="100"/>
      <w:position w:val="0"/>
      <w:sz w:val="13"/>
      <w:szCs w:val="13"/>
      <w:lang w:val="zh-TW" w:eastAsia="zh-TW" w:bidi="zh-TW"/>
    </w:rPr>
  </w:style>
  <w:style w:type="character" w:customStyle="1" w:styleId="28">
    <w:name w:val="正文文本 (8)_"/>
    <w:basedOn w:val="22"/>
    <w:link w:val="29"/>
    <w:qFormat/>
    <w:uiPriority w:val="0"/>
    <w:rPr>
      <w:rFonts w:ascii="MingLiU" w:hAnsi="MingLiU" w:eastAsia="MingLiU" w:cs="MingLiU"/>
      <w:spacing w:val="10"/>
      <w:kern w:val="0"/>
      <w:sz w:val="14"/>
      <w:szCs w:val="14"/>
    </w:rPr>
  </w:style>
  <w:style w:type="paragraph" w:customStyle="1" w:styleId="29">
    <w:name w:val="正文文本 (8)"/>
    <w:basedOn w:val="1"/>
    <w:link w:val="28"/>
    <w:qFormat/>
    <w:uiPriority w:val="0"/>
    <w:pPr>
      <w:shd w:val="clear" w:color="auto" w:fill="FFFFFF"/>
      <w:spacing w:line="322" w:lineRule="exact"/>
      <w:ind w:firstLine="520"/>
      <w:jc w:val="left"/>
    </w:pPr>
    <w:rPr>
      <w:rFonts w:ascii="MingLiU" w:hAnsi="MingLiU" w:eastAsia="MingLiU" w:cs="MingLiU"/>
      <w:spacing w:val="10"/>
      <w:kern w:val="0"/>
      <w:sz w:val="14"/>
      <w:szCs w:val="14"/>
    </w:rPr>
  </w:style>
  <w:style w:type="character" w:customStyle="1" w:styleId="30">
    <w:name w:val="标题 2 Char"/>
    <w:link w:val="3"/>
    <w:qFormat/>
    <w:uiPriority w:val="0"/>
    <w:rPr>
      <w:rFonts w:ascii="Arial" w:hAnsi="Arial" w:eastAsia="黑体"/>
      <w:b/>
      <w:sz w:val="32"/>
    </w:rPr>
  </w:style>
  <w:style w:type="character" w:customStyle="1" w:styleId="31">
    <w:name w:val="标题 1 Char"/>
    <w:basedOn w:val="22"/>
    <w:link w:val="2"/>
    <w:qFormat/>
    <w:locked/>
    <w:uiPriority w:val="99"/>
    <w:rPr>
      <w:b/>
      <w:bCs/>
      <w:kern w:val="44"/>
      <w:sz w:val="44"/>
      <w:szCs w:val="44"/>
    </w:rPr>
  </w:style>
  <w:style w:type="paragraph" w:customStyle="1" w:styleId="32">
    <w:name w:val="正文文本 (6)"/>
    <w:basedOn w:val="1"/>
    <w:qFormat/>
    <w:uiPriority w:val="0"/>
    <w:pPr>
      <w:shd w:val="clear" w:color="auto" w:fill="FFFFFF"/>
      <w:spacing w:line="216" w:lineRule="exact"/>
      <w:ind w:hanging="140"/>
      <w:jc w:val="distribute"/>
    </w:pPr>
    <w:rPr>
      <w:rFonts w:ascii="MingLiU" w:hAnsi="MingLiU" w:eastAsia="MingLiU" w:cs="MingLiU"/>
      <w:i/>
      <w:iCs/>
      <w:spacing w:val="10"/>
      <w:kern w:val="0"/>
      <w:sz w:val="13"/>
      <w:szCs w:val="13"/>
    </w:rPr>
  </w:style>
  <w:style w:type="paragraph" w:customStyle="1" w:styleId="33">
    <w:name w:val="正文文本 (12)"/>
    <w:basedOn w:val="1"/>
    <w:qFormat/>
    <w:uiPriority w:val="0"/>
    <w:pPr>
      <w:shd w:val="clear" w:color="auto" w:fill="FFFFFF"/>
      <w:spacing w:line="230" w:lineRule="exact"/>
      <w:ind w:firstLine="80"/>
      <w:jc w:val="left"/>
    </w:pPr>
    <w:rPr>
      <w:rFonts w:ascii="MingLiU" w:hAnsi="MingLiU" w:eastAsia="MingLiU" w:cs="MingLiU"/>
      <w:spacing w:val="10"/>
      <w:kern w:val="0"/>
      <w:sz w:val="13"/>
      <w:szCs w:val="13"/>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WPSOffice手动目录 3"/>
    <w:qFormat/>
    <w:uiPriority w:val="0"/>
    <w:pPr>
      <w:ind w:leftChars="400"/>
    </w:pPr>
    <w:rPr>
      <w:rFonts w:ascii="Times New Roman" w:hAnsi="Times New Roman" w:eastAsia="宋体" w:cs="Times New Roman"/>
      <w:sz w:val="20"/>
      <w:szCs w:val="20"/>
    </w:rPr>
  </w:style>
  <w:style w:type="paragraph" w:customStyle="1" w:styleId="38">
    <w:name w:val="Table Paragraph"/>
    <w:basedOn w:val="1"/>
    <w:qFormat/>
    <w:uiPriority w:val="1"/>
    <w:rPr>
      <w:rFonts w:ascii="宋体" w:hAnsi="宋体" w:eastAsia="宋体" w:cs="宋体"/>
    </w:rPr>
  </w:style>
  <w:style w:type="character" w:customStyle="1" w:styleId="39">
    <w:name w:val="font11"/>
    <w:basedOn w:val="22"/>
    <w:qFormat/>
    <w:uiPriority w:val="0"/>
    <w:rPr>
      <w:rFonts w:hint="eastAsia" w:ascii="宋体" w:hAnsi="宋体" w:eastAsia="宋体" w:cs="宋体"/>
      <w:color w:val="000000"/>
      <w:sz w:val="28"/>
      <w:szCs w:val="28"/>
      <w:u w:val="none"/>
    </w:rPr>
  </w:style>
  <w:style w:type="character" w:customStyle="1" w:styleId="40">
    <w:name w:val="font31"/>
    <w:basedOn w:val="22"/>
    <w:qFormat/>
    <w:uiPriority w:val="0"/>
    <w:rPr>
      <w:rFonts w:hint="default" w:ascii="Times New Roman" w:hAnsi="Times New Roman" w:cs="Times New Roman"/>
      <w:color w:val="000000"/>
      <w:sz w:val="28"/>
      <w:szCs w:val="28"/>
      <w:u w:val="none"/>
    </w:rPr>
  </w:style>
  <w:style w:type="character" w:customStyle="1" w:styleId="41">
    <w:name w:val="font41"/>
    <w:basedOn w:val="22"/>
    <w:qFormat/>
    <w:uiPriority w:val="0"/>
    <w:rPr>
      <w:rFonts w:hint="default" w:ascii="仿宋_GB2312" w:eastAsia="仿宋_GB2312" w:cs="仿宋_GB2312"/>
      <w:color w:val="000000"/>
      <w:sz w:val="20"/>
      <w:szCs w:val="20"/>
      <w:u w:val="none"/>
    </w:rPr>
  </w:style>
  <w:style w:type="character" w:customStyle="1" w:styleId="42">
    <w:name w:val="font21"/>
    <w:basedOn w:val="22"/>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15909</Words>
  <Characters>16861</Characters>
  <Lines>115</Lines>
  <Paragraphs>32</Paragraphs>
  <TotalTime>0</TotalTime>
  <ScaleCrop>false</ScaleCrop>
  <LinksUpToDate>false</LinksUpToDate>
  <CharactersWithSpaces>17180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2020-02-19T07:32:00Z</dcterms:created>
  <dc:creator>醒了</dc:creator>
  <cp:lastModifiedBy>灯火阑珊°</cp:lastModifiedBy>
  <cp:lastPrinted>2026-01-30T01:55:00Z</cp:lastPrinted>
  <dcterms:modified xsi:type="dcterms:W3CDTF">2026-01-30T06:46:58Z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66171412CF924E6995FBCDCA6AD384C5</vt:lpwstr>
  </property>
  <property fmtid="{D5CDD505-2E9C-101B-9397-08002B2CF9AE}" pid="4" name="KSOTemplateDocerSaveRecord">
    <vt:lpwstr>eyJoZGlkIjoiZGY0MGU5MmY2YTkxOTc5MGU4ZGQ5ODIyNDBmZmQ1YWQiLCJ1c2VySWQiOiI1NDQ5NzcyOTkifQ==</vt:lpwstr>
  </property>
</Properties>
</file>