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7C6BA">
      <w:pPr>
        <w:spacing w:line="600" w:lineRule="exact"/>
        <w:jc w:val="center"/>
        <w:rPr>
          <w:rFonts w:hint="eastAsia" w:ascii="宋体" w:hAnsi="宋体" w:eastAsia="宋体" w:cs="宋体"/>
          <w:sz w:val="44"/>
          <w:szCs w:val="44"/>
          <w:highlight w:val="none"/>
        </w:rPr>
      </w:pPr>
      <w:bookmarkStart w:id="41" w:name="_GoBack"/>
    </w:p>
    <w:p w14:paraId="3EADA0A0">
      <w:pPr>
        <w:pStyle w:val="16"/>
        <w:rPr>
          <w:rFonts w:hint="eastAsia" w:ascii="宋体" w:hAnsi="宋体" w:eastAsia="宋体" w:cs="宋体"/>
          <w:sz w:val="44"/>
          <w:szCs w:val="44"/>
          <w:highlight w:val="none"/>
        </w:rPr>
      </w:pPr>
    </w:p>
    <w:p w14:paraId="40DAAB82">
      <w:pPr>
        <w:spacing w:line="600" w:lineRule="exact"/>
        <w:jc w:val="center"/>
        <w:outlineLvl w:val="0"/>
        <w:rPr>
          <w:rFonts w:hint="eastAsia" w:ascii="宋体" w:hAnsi="宋体" w:eastAsia="宋体" w:cs="宋体"/>
          <w:sz w:val="44"/>
          <w:szCs w:val="44"/>
          <w:highlight w:val="none"/>
        </w:rPr>
      </w:pPr>
      <w:bookmarkStart w:id="0" w:name="_Toc2539"/>
      <w:r>
        <w:rPr>
          <w:rFonts w:hint="eastAsia" w:ascii="宋体" w:hAnsi="宋体" w:eastAsia="宋体" w:cs="宋体"/>
          <w:sz w:val="44"/>
          <w:szCs w:val="44"/>
          <w:highlight w:val="none"/>
        </w:rPr>
        <w:t>公开竞争性遴选政策性农业保险承保机构</w:t>
      </w:r>
      <w:bookmarkEnd w:id="0"/>
    </w:p>
    <w:p w14:paraId="461F0F12">
      <w:pPr>
        <w:pStyle w:val="9"/>
        <w:spacing w:line="600" w:lineRule="exact"/>
        <w:rPr>
          <w:rFonts w:hint="eastAsia" w:ascii="宋体" w:hAnsi="宋体" w:eastAsia="宋体" w:cs="宋体"/>
          <w:highlight w:val="none"/>
        </w:rPr>
      </w:pPr>
    </w:p>
    <w:p w14:paraId="477B219E">
      <w:pPr>
        <w:pStyle w:val="9"/>
        <w:spacing w:line="600" w:lineRule="exact"/>
        <w:rPr>
          <w:rFonts w:hint="eastAsia" w:ascii="宋体" w:hAnsi="宋体" w:eastAsia="宋体" w:cs="宋体"/>
          <w:highlight w:val="none"/>
        </w:rPr>
      </w:pPr>
    </w:p>
    <w:p w14:paraId="4E96FFBB">
      <w:pPr>
        <w:pStyle w:val="9"/>
        <w:spacing w:line="600" w:lineRule="exact"/>
        <w:rPr>
          <w:rFonts w:hint="eastAsia" w:ascii="宋体" w:hAnsi="宋体" w:eastAsia="宋体" w:cs="宋体"/>
          <w:highlight w:val="none"/>
        </w:rPr>
      </w:pPr>
    </w:p>
    <w:p w14:paraId="31643E5C">
      <w:pPr>
        <w:spacing w:line="1600" w:lineRule="exact"/>
        <w:jc w:val="center"/>
        <w:rPr>
          <w:rFonts w:hint="eastAsia" w:ascii="宋体" w:hAnsi="宋体" w:eastAsia="宋体" w:cs="宋体"/>
          <w:sz w:val="110"/>
          <w:szCs w:val="110"/>
          <w:highlight w:val="none"/>
        </w:rPr>
      </w:pPr>
      <w:r>
        <w:rPr>
          <w:rFonts w:hint="eastAsia" w:ascii="宋体" w:hAnsi="宋体" w:eastAsia="宋体" w:cs="宋体"/>
          <w:sz w:val="110"/>
          <w:szCs w:val="110"/>
          <w:highlight w:val="none"/>
        </w:rPr>
        <w:t>遴 选 文 件</w:t>
      </w:r>
    </w:p>
    <w:p w14:paraId="1A5572D2">
      <w:pPr>
        <w:spacing w:line="600" w:lineRule="exact"/>
        <w:rPr>
          <w:rFonts w:hint="eastAsia" w:ascii="宋体" w:hAnsi="宋体" w:eastAsia="宋体" w:cs="宋体"/>
          <w:sz w:val="44"/>
          <w:szCs w:val="44"/>
          <w:highlight w:val="none"/>
        </w:rPr>
      </w:pPr>
    </w:p>
    <w:p w14:paraId="0C3D2445">
      <w:pPr>
        <w:pStyle w:val="16"/>
        <w:rPr>
          <w:rFonts w:hint="eastAsia" w:ascii="宋体" w:hAnsi="宋体" w:eastAsia="宋体" w:cs="宋体"/>
          <w:highlight w:val="none"/>
        </w:rPr>
      </w:pPr>
    </w:p>
    <w:p w14:paraId="75E18C7B">
      <w:pPr>
        <w:pStyle w:val="16"/>
        <w:rPr>
          <w:rFonts w:hint="eastAsia" w:ascii="宋体" w:hAnsi="宋体" w:eastAsia="宋体" w:cs="宋体"/>
          <w:highlight w:val="none"/>
        </w:rPr>
      </w:pPr>
    </w:p>
    <w:p w14:paraId="7FDEAD5F">
      <w:pPr>
        <w:spacing w:line="600" w:lineRule="exact"/>
        <w:rPr>
          <w:rFonts w:hint="eastAsia" w:ascii="宋体" w:hAnsi="宋体" w:eastAsia="宋体" w:cs="宋体"/>
          <w:sz w:val="44"/>
          <w:szCs w:val="44"/>
          <w:highlight w:val="none"/>
        </w:rPr>
      </w:pPr>
    </w:p>
    <w:p w14:paraId="6F20D8FD">
      <w:pPr>
        <w:spacing w:line="600" w:lineRule="exact"/>
        <w:ind w:left="2440" w:leftChars="400" w:hanging="1600" w:hangingChars="500"/>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项目名称：</w:t>
      </w:r>
      <w:r>
        <w:rPr>
          <w:rFonts w:hint="eastAsia" w:ascii="宋体" w:hAnsi="宋体" w:cs="宋体"/>
          <w:sz w:val="32"/>
          <w:szCs w:val="32"/>
          <w:highlight w:val="none"/>
          <w:lang w:eastAsia="zh-CN"/>
        </w:rPr>
        <w:t>怀化市市本级及鹤城区2026—2028年政策性农业保险承保机构项目</w:t>
      </w:r>
    </w:p>
    <w:p w14:paraId="1F0D5F65">
      <w:pPr>
        <w:spacing w:line="600" w:lineRule="exact"/>
        <w:ind w:left="840" w:leftChars="400"/>
        <w:rPr>
          <w:rFonts w:hint="eastAsia"/>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怀化市农业农村局</w:t>
      </w:r>
    </w:p>
    <w:p w14:paraId="7796ADF8">
      <w:pPr>
        <w:spacing w:line="600" w:lineRule="exact"/>
        <w:rPr>
          <w:rFonts w:hint="eastAsia" w:ascii="宋体" w:hAnsi="宋体" w:eastAsia="宋体" w:cs="宋体"/>
          <w:sz w:val="32"/>
          <w:szCs w:val="32"/>
          <w:highlight w:val="none"/>
        </w:rPr>
      </w:pPr>
    </w:p>
    <w:p w14:paraId="64CD69D9">
      <w:pPr>
        <w:spacing w:line="600" w:lineRule="exact"/>
        <w:rPr>
          <w:rFonts w:hint="eastAsia" w:ascii="宋体" w:hAnsi="宋体" w:eastAsia="宋体" w:cs="宋体"/>
          <w:sz w:val="32"/>
          <w:szCs w:val="32"/>
          <w:highlight w:val="none"/>
        </w:rPr>
      </w:pPr>
    </w:p>
    <w:p w14:paraId="3DC16720">
      <w:pPr>
        <w:pStyle w:val="16"/>
        <w:rPr>
          <w:rFonts w:hint="eastAsia" w:ascii="宋体" w:hAnsi="宋体" w:eastAsia="宋体" w:cs="宋体"/>
          <w:sz w:val="32"/>
          <w:szCs w:val="32"/>
          <w:highlight w:val="none"/>
        </w:rPr>
      </w:pPr>
    </w:p>
    <w:p w14:paraId="122C56F4">
      <w:pPr>
        <w:pStyle w:val="16"/>
        <w:rPr>
          <w:rFonts w:hint="eastAsia" w:ascii="宋体" w:hAnsi="宋体" w:eastAsia="宋体" w:cs="宋体"/>
          <w:sz w:val="32"/>
          <w:szCs w:val="32"/>
          <w:highlight w:val="none"/>
        </w:rPr>
      </w:pPr>
    </w:p>
    <w:p w14:paraId="29EF84FD">
      <w:pPr>
        <w:spacing w:line="60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二0二</w:t>
      </w:r>
      <w:r>
        <w:rPr>
          <w:rFonts w:hint="eastAsia" w:ascii="宋体" w:hAnsi="宋体" w:cs="宋体"/>
          <w:sz w:val="32"/>
          <w:szCs w:val="32"/>
          <w:highlight w:val="none"/>
          <w:lang w:eastAsia="zh-CN"/>
        </w:rPr>
        <w:t>六</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rPr>
        <w:t>月</w:t>
      </w:r>
    </w:p>
    <w:p w14:paraId="7553D31A">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D7609B">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24EFFD">
      <w:pPr>
        <w:pStyle w:val="9"/>
        <w:spacing w:line="600" w:lineRule="exact"/>
        <w:jc w:val="center"/>
        <w:rPr>
          <w:rFonts w:hint="eastAsia" w:ascii="宋体" w:hAnsi="宋体" w:eastAsia="宋体" w:cs="宋体"/>
          <w:b/>
          <w:bCs/>
          <w:sz w:val="44"/>
          <w:szCs w:val="44"/>
          <w:highlight w:val="none"/>
        </w:rPr>
      </w:pPr>
    </w:p>
    <w:sdt>
      <w:sdtPr>
        <w:rPr>
          <w:rFonts w:ascii="宋体" w:hAnsi="宋体" w:eastAsia="宋体" w:cs="Times New Roman"/>
          <w:b/>
          <w:bCs/>
          <w:kern w:val="2"/>
          <w:sz w:val="44"/>
          <w:szCs w:val="44"/>
          <w:highlight w:val="none"/>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highlight w:val="none"/>
          <w:lang w:val="en-US" w:eastAsia="zh-CN" w:bidi="ar-SA"/>
        </w:rPr>
      </w:sdtEndPr>
      <w:sdtContent>
        <w:p w14:paraId="3D3977F4">
          <w:pPr>
            <w:spacing w:before="0" w:beforeLines="0" w:after="0" w:afterLines="0" w:line="240" w:lineRule="auto"/>
            <w:ind w:left="0" w:leftChars="0" w:right="0" w:rightChars="0" w:firstLine="0" w:firstLineChars="0"/>
            <w:jc w:val="center"/>
            <w:rPr>
              <w:b/>
              <w:bCs/>
              <w:sz w:val="44"/>
              <w:szCs w:val="44"/>
              <w:highlight w:val="none"/>
            </w:rPr>
          </w:pPr>
          <w:r>
            <w:rPr>
              <w:rFonts w:ascii="宋体" w:hAnsi="宋体" w:eastAsia="宋体"/>
              <w:b/>
              <w:bCs/>
              <w:sz w:val="44"/>
              <w:szCs w:val="44"/>
              <w:highlight w:val="none"/>
            </w:rPr>
            <w:t>目</w:t>
          </w:r>
          <w:r>
            <w:rPr>
              <w:rFonts w:hint="eastAsia" w:ascii="宋体" w:hAnsi="宋体"/>
              <w:b/>
              <w:bCs/>
              <w:sz w:val="44"/>
              <w:szCs w:val="44"/>
              <w:highlight w:val="none"/>
              <w:lang w:val="en-US" w:eastAsia="zh-CN"/>
            </w:rPr>
            <w:t xml:space="preserve"> </w:t>
          </w:r>
          <w:r>
            <w:rPr>
              <w:rFonts w:ascii="宋体" w:hAnsi="宋体" w:eastAsia="宋体"/>
              <w:b/>
              <w:bCs/>
              <w:sz w:val="44"/>
              <w:szCs w:val="44"/>
              <w:highlight w:val="none"/>
            </w:rPr>
            <w:t>录</w:t>
          </w:r>
        </w:p>
        <w:p w14:paraId="638FAF80">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"1-3" \h \u </w:instrText>
          </w:r>
          <w:r>
            <w:rPr>
              <w:rFonts w:hint="eastAsia" w:ascii="宋体" w:hAnsi="宋体" w:eastAsia="宋体" w:cs="宋体"/>
              <w:b/>
              <w:bCs/>
              <w:sz w:val="28"/>
              <w:szCs w:val="28"/>
              <w:highlight w:val="none"/>
            </w:rPr>
            <w:fldChar w:fldCharType="separate"/>
          </w:r>
        </w:p>
        <w:p w14:paraId="37E3C49C">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_Toc23780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遴选邀请</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_Toc23780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1B4AB4F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_Toc26056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　遴选须知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_Toc26056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4D72567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_Toc31532 </w:instrText>
          </w:r>
          <w:r>
            <w:rPr>
              <w:rFonts w:hint="eastAsia" w:ascii="宋体" w:hAnsi="宋体" w:eastAsia="宋体" w:cs="宋体"/>
              <w:b/>
              <w:bCs/>
              <w:sz w:val="28"/>
              <w:szCs w:val="28"/>
              <w:highlight w:val="none"/>
            </w:rPr>
            <w:fldChar w:fldCharType="separate"/>
          </w:r>
          <w:r>
            <w:rPr>
              <w:rFonts w:hint="eastAsia"/>
              <w:b/>
              <w:bCs/>
              <w:sz w:val="28"/>
              <w:szCs w:val="28"/>
              <w:highlight w:val="none"/>
            </w:rPr>
            <w:t>第三章　合同格式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_Toc31532 \h </w:instrText>
          </w:r>
          <w:r>
            <w:rPr>
              <w:b/>
              <w:bCs/>
              <w:sz w:val="28"/>
              <w:szCs w:val="28"/>
              <w:highlight w:val="none"/>
            </w:rPr>
            <w:fldChar w:fldCharType="separate"/>
          </w:r>
          <w:r>
            <w:rPr>
              <w:b/>
              <w:bCs/>
              <w:sz w:val="28"/>
              <w:szCs w:val="28"/>
              <w:highlight w:val="none"/>
            </w:rPr>
            <w:t>20</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6252AD50">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_Toc10861 </w:instrText>
          </w:r>
          <w:r>
            <w:rPr>
              <w:rFonts w:hint="eastAsia" w:ascii="宋体" w:hAnsi="宋体" w:eastAsia="宋体" w:cs="宋体"/>
              <w:b/>
              <w:bCs/>
              <w:sz w:val="28"/>
              <w:szCs w:val="28"/>
              <w:highlight w:val="none"/>
            </w:rPr>
            <w:fldChar w:fldCharType="separate"/>
          </w:r>
          <w:r>
            <w:rPr>
              <w:rFonts w:hint="eastAsia"/>
              <w:b/>
              <w:bCs/>
              <w:sz w:val="28"/>
              <w:szCs w:val="28"/>
              <w:highlight w:val="none"/>
            </w:rPr>
            <w:t>第四章　遴选响应文件组成</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_Toc10861 \h </w:instrText>
          </w:r>
          <w:r>
            <w:rPr>
              <w:b/>
              <w:bCs/>
              <w:sz w:val="28"/>
              <w:szCs w:val="28"/>
              <w:highlight w:val="none"/>
            </w:rPr>
            <w:fldChar w:fldCharType="separate"/>
          </w:r>
          <w:r>
            <w:rPr>
              <w:b/>
              <w:bCs/>
              <w:sz w:val="28"/>
              <w:szCs w:val="28"/>
              <w:highlight w:val="none"/>
            </w:rPr>
            <w:t>21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3AE1E36D">
          <w:pPr>
            <w:spacing w:before="156" w:beforeLines="50" w:after="156" w:afterLines="50" w:line="480" w:lineRule="auto"/>
            <w:rPr>
              <w:rFonts w:hint="eastAsia" w:ascii="宋体" w:hAnsi="宋体" w:eastAsia="宋体" w:cs="宋体"/>
              <w:sz w:val="44"/>
              <w:szCs w:val="44"/>
              <w:highlight w:val="none"/>
            </w:rPr>
          </w:pPr>
          <w:r>
            <w:rPr>
              <w:rFonts w:hint="eastAsia" w:ascii="宋体" w:hAnsi="宋体" w:eastAsia="宋体" w:cs="宋体"/>
              <w:b/>
              <w:bCs/>
              <w:sz w:val="28"/>
              <w:szCs w:val="28"/>
              <w:highlight w:val="none"/>
            </w:rPr>
            <w:fldChar w:fldCharType="end"/>
          </w:r>
        </w:p>
      </w:sdtContent>
    </w:sdt>
    <w:p w14:paraId="655408AF">
      <w:pPr>
        <w:spacing w:before="156" w:beforeLines="50" w:after="156" w:afterLines="50"/>
        <w:rPr>
          <w:rFonts w:hint="eastAsia" w:ascii="宋体" w:hAnsi="宋体" w:eastAsia="宋体" w:cs="宋体"/>
          <w:sz w:val="44"/>
          <w:szCs w:val="44"/>
          <w:highlight w:val="none"/>
        </w:rPr>
      </w:pPr>
    </w:p>
    <w:p w14:paraId="6BF5768C">
      <w:pPr>
        <w:spacing w:before="156" w:beforeLines="50" w:after="156" w:afterLines="50"/>
        <w:rPr>
          <w:rFonts w:hint="eastAsia" w:ascii="宋体" w:hAnsi="宋体" w:eastAsia="宋体" w:cs="宋体"/>
          <w:sz w:val="44"/>
          <w:szCs w:val="44"/>
          <w:highlight w:val="none"/>
        </w:rPr>
      </w:pPr>
    </w:p>
    <w:p w14:paraId="10E373F9">
      <w:pPr>
        <w:spacing w:before="156" w:beforeLines="50" w:after="156" w:afterLines="50"/>
        <w:rPr>
          <w:rFonts w:hint="eastAsia" w:ascii="宋体" w:hAnsi="宋体" w:eastAsia="宋体" w:cs="宋体"/>
          <w:sz w:val="44"/>
          <w:szCs w:val="44"/>
          <w:highlight w:val="none"/>
        </w:rPr>
      </w:pPr>
    </w:p>
    <w:p w14:paraId="66E2BF71">
      <w:pPr>
        <w:spacing w:before="156" w:beforeLines="50" w:after="156" w:afterLines="50"/>
        <w:rPr>
          <w:rFonts w:hint="eastAsia" w:ascii="宋体" w:hAnsi="宋体" w:eastAsia="宋体" w:cs="宋体"/>
          <w:sz w:val="44"/>
          <w:szCs w:val="44"/>
          <w:highlight w:val="none"/>
        </w:rPr>
      </w:pPr>
    </w:p>
    <w:p w14:paraId="6AB9E692">
      <w:pPr>
        <w:spacing w:before="156" w:beforeLines="50" w:after="156" w:afterLines="50"/>
        <w:rPr>
          <w:rFonts w:hint="eastAsia" w:ascii="宋体" w:hAnsi="宋体" w:eastAsia="宋体" w:cs="宋体"/>
          <w:sz w:val="44"/>
          <w:szCs w:val="44"/>
          <w:highlight w:val="none"/>
        </w:rPr>
      </w:pPr>
    </w:p>
    <w:p w14:paraId="33FC4D8F">
      <w:pPr>
        <w:spacing w:before="156" w:beforeLines="50" w:after="156" w:afterLines="50"/>
        <w:rPr>
          <w:rFonts w:hint="eastAsia" w:ascii="宋体" w:hAnsi="宋体" w:eastAsia="宋体" w:cs="宋体"/>
          <w:sz w:val="44"/>
          <w:szCs w:val="44"/>
          <w:highlight w:val="none"/>
        </w:rPr>
      </w:pPr>
    </w:p>
    <w:p w14:paraId="61C82905">
      <w:pPr>
        <w:spacing w:before="156" w:beforeLines="50" w:after="156" w:afterLines="50"/>
        <w:rPr>
          <w:rFonts w:hint="eastAsia" w:ascii="宋体" w:hAnsi="宋体" w:eastAsia="宋体" w:cs="宋体"/>
          <w:sz w:val="44"/>
          <w:szCs w:val="44"/>
          <w:highlight w:val="none"/>
        </w:rPr>
      </w:pPr>
    </w:p>
    <w:p w14:paraId="1C1204C7">
      <w:pPr>
        <w:spacing w:before="156" w:beforeLines="50" w:after="156" w:afterLines="50"/>
        <w:rPr>
          <w:rFonts w:hint="eastAsia" w:ascii="宋体" w:hAnsi="宋体" w:eastAsia="宋体" w:cs="宋体"/>
          <w:sz w:val="44"/>
          <w:szCs w:val="44"/>
          <w:highlight w:val="none"/>
        </w:rPr>
        <w:sectPr>
          <w:pgSz w:w="11906" w:h="16838"/>
          <w:pgMar w:top="1701" w:right="1587" w:bottom="1701" w:left="1587" w:header="851" w:footer="1417" w:gutter="0"/>
          <w:pgBorders>
            <w:top w:val="none" w:sz="0" w:space="0"/>
            <w:left w:val="none" w:sz="0" w:space="0"/>
            <w:bottom w:val="none" w:sz="0" w:space="0"/>
            <w:right w:val="none" w:sz="0" w:space="0"/>
          </w:pgBorders>
          <w:cols w:space="720" w:num="1"/>
          <w:docGrid w:type="lines" w:linePitch="312" w:charSpace="0"/>
        </w:sectPr>
      </w:pPr>
    </w:p>
    <w:p w14:paraId="4E681A19">
      <w:pPr>
        <w:pStyle w:val="3"/>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left="0" w:leftChars="0" w:firstLine="0" w:firstLineChars="0"/>
        <w:jc w:val="center"/>
        <w:outlineLvl w:val="0"/>
        <w:rPr>
          <w:rFonts w:hint="eastAsia" w:ascii="宋体" w:hAnsi="宋体" w:eastAsia="宋体" w:cs="宋体"/>
          <w:snapToGrid w:val="0"/>
          <w:spacing w:val="0"/>
          <w:kern w:val="0"/>
          <w:sz w:val="36"/>
          <w:szCs w:val="36"/>
          <w:highlight w:val="none"/>
        </w:rPr>
      </w:pPr>
      <w:bookmarkStart w:id="1" w:name="_Toc23780"/>
      <w:bookmarkStart w:id="2" w:name="遴选邀请"/>
      <w:bookmarkStart w:id="3" w:name="_遴选邀请"/>
      <w:r>
        <w:rPr>
          <w:rFonts w:hint="eastAsia" w:ascii="宋体" w:hAnsi="宋体" w:eastAsia="宋体" w:cs="宋体"/>
          <w:snapToGrid w:val="0"/>
          <w:spacing w:val="0"/>
          <w:kern w:val="0"/>
          <w:sz w:val="36"/>
          <w:szCs w:val="36"/>
          <w:highlight w:val="none"/>
        </w:rPr>
        <w:t>第一章　遴选邀请</w:t>
      </w:r>
      <w:bookmarkEnd w:id="1"/>
      <w:bookmarkEnd w:id="2"/>
    </w:p>
    <w:bookmarkEnd w:id="3"/>
    <w:p w14:paraId="3AB37A49">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lang w:eastAsia="zh-CN"/>
        </w:rPr>
      </w:pPr>
      <w:bookmarkStart w:id="4" w:name="_Toc14271"/>
      <w:r>
        <w:rPr>
          <w:rFonts w:hint="eastAsia" w:ascii="宋体" w:hAnsi="宋体" w:eastAsia="宋体" w:cs="宋体"/>
          <w:snapToGrid w:val="0"/>
          <w:spacing w:val="0"/>
          <w:kern w:val="0"/>
          <w:sz w:val="30"/>
          <w:szCs w:val="30"/>
          <w:highlight w:val="none"/>
          <w:u w:val="single"/>
          <w:lang w:eastAsia="zh-CN"/>
        </w:rPr>
        <w:t>湖南擎峰项目管理咨询有限公司</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eastAsia="宋体" w:cs="宋体"/>
          <w:snapToGrid w:val="0"/>
          <w:spacing w:val="0"/>
          <w:kern w:val="0"/>
          <w:sz w:val="30"/>
          <w:szCs w:val="30"/>
          <w:highlight w:val="none"/>
          <w:lang w:eastAsia="zh-CN"/>
        </w:rPr>
        <w:t>受</w:t>
      </w:r>
      <w:r>
        <w:rPr>
          <w:rFonts w:hint="eastAsia" w:ascii="宋体" w:hAnsi="宋体" w:eastAsia="宋体" w:cs="宋体"/>
          <w:snapToGrid w:val="0"/>
          <w:spacing w:val="0"/>
          <w:kern w:val="0"/>
          <w:sz w:val="30"/>
          <w:szCs w:val="30"/>
          <w:highlight w:val="none"/>
          <w:lang w:val="en-US" w:eastAsia="zh-CN"/>
        </w:rPr>
        <w:t xml:space="preserve"> </w:t>
      </w:r>
      <w:r>
        <w:rPr>
          <w:rFonts w:hint="eastAsia" w:ascii="宋体" w:hAnsi="宋体" w:eastAsia="宋体" w:cs="宋体"/>
          <w:i w:val="0"/>
          <w:iCs w:val="0"/>
          <w:snapToGrid w:val="0"/>
          <w:spacing w:val="0"/>
          <w:kern w:val="0"/>
          <w:sz w:val="30"/>
          <w:szCs w:val="30"/>
          <w:highlight w:val="none"/>
          <w:u w:val="single"/>
          <w:lang w:val="en-US" w:eastAsia="zh-CN"/>
        </w:rPr>
        <w:t>怀化市财政局和</w:t>
      </w:r>
      <w:r>
        <w:rPr>
          <w:rFonts w:hint="eastAsia" w:ascii="宋体" w:hAnsi="宋体" w:eastAsia="宋体" w:cs="宋体"/>
          <w:snapToGrid w:val="0"/>
          <w:spacing w:val="0"/>
          <w:kern w:val="0"/>
          <w:sz w:val="30"/>
          <w:szCs w:val="30"/>
          <w:highlight w:val="none"/>
          <w:u w:val="single"/>
          <w:shd w:val="clear" w:color="auto" w:fill="FFFFFF"/>
          <w:lang w:val="en-US" w:eastAsia="zh-CN"/>
        </w:rPr>
        <w:t xml:space="preserve">怀化市农业农村局 </w:t>
      </w:r>
      <w:r>
        <w:rPr>
          <w:rFonts w:hint="eastAsia" w:ascii="宋体" w:hAnsi="宋体" w:eastAsia="宋体" w:cs="宋体"/>
          <w:snapToGrid w:val="0"/>
          <w:spacing w:val="0"/>
          <w:kern w:val="0"/>
          <w:sz w:val="30"/>
          <w:szCs w:val="30"/>
          <w:highlight w:val="none"/>
          <w:lang w:eastAsia="zh-CN"/>
        </w:rPr>
        <w:t>的委托，根据湘财金【2026】4号文件的通知要求，对</w:t>
      </w:r>
      <w:r>
        <w:rPr>
          <w:rFonts w:hint="eastAsia" w:ascii="宋体" w:hAnsi="宋体" w:eastAsia="宋体" w:cs="宋体"/>
          <w:snapToGrid w:val="0"/>
          <w:spacing w:val="0"/>
          <w:kern w:val="0"/>
          <w:sz w:val="30"/>
          <w:szCs w:val="30"/>
          <w:highlight w:val="none"/>
          <w:u w:val="single"/>
          <w:lang w:eastAsia="zh-CN"/>
        </w:rPr>
        <w:t> 怀化市</w:t>
      </w:r>
      <w:r>
        <w:rPr>
          <w:rFonts w:hint="eastAsia" w:ascii="宋体" w:hAnsi="宋体" w:cs="宋体"/>
          <w:snapToGrid w:val="0"/>
          <w:spacing w:val="0"/>
          <w:kern w:val="0"/>
          <w:sz w:val="30"/>
          <w:szCs w:val="30"/>
          <w:highlight w:val="none"/>
          <w:u w:val="single"/>
          <w:lang w:eastAsia="zh-CN"/>
        </w:rPr>
        <w:t>市本级及鹤城区</w:t>
      </w:r>
      <w:r>
        <w:rPr>
          <w:rFonts w:hint="eastAsia" w:ascii="宋体" w:hAnsi="宋体" w:eastAsia="宋体" w:cs="宋体"/>
          <w:snapToGrid w:val="0"/>
          <w:spacing w:val="0"/>
          <w:kern w:val="0"/>
          <w:sz w:val="30"/>
          <w:szCs w:val="30"/>
          <w:highlight w:val="none"/>
          <w:u w:val="single"/>
          <w:lang w:eastAsia="zh-CN"/>
        </w:rPr>
        <w:t>2026—2028年政策性农业保险承保机构项目 </w:t>
      </w:r>
      <w:r>
        <w:rPr>
          <w:rFonts w:hint="eastAsia" w:ascii="宋体" w:hAnsi="宋体" w:eastAsia="宋体" w:cs="宋体"/>
          <w:snapToGrid w:val="0"/>
          <w:spacing w:val="0"/>
          <w:kern w:val="0"/>
          <w:sz w:val="30"/>
          <w:szCs w:val="30"/>
          <w:highlight w:val="none"/>
          <w:lang w:eastAsia="zh-CN"/>
        </w:rPr>
        <w:t>进行公开竞争性遴选，现采用发布公告方式（在财政部门指定的媒体：</w:t>
      </w:r>
      <w:r>
        <w:rPr>
          <w:rFonts w:hint="eastAsia" w:ascii="宋体" w:hAnsi="宋体" w:eastAsia="宋体" w:cs="宋体"/>
          <w:snapToGrid w:val="0"/>
          <w:spacing w:val="0"/>
          <w:kern w:val="0"/>
          <w:sz w:val="30"/>
          <w:szCs w:val="30"/>
          <w:highlight w:val="none"/>
          <w:lang w:val="en-US" w:eastAsia="zh-CN"/>
        </w:rPr>
        <w:t>怀化市财政局官网</w:t>
      </w:r>
      <w:r>
        <w:rPr>
          <w:rFonts w:hint="eastAsia" w:ascii="宋体" w:hAnsi="宋体" w:eastAsia="宋体" w:cs="宋体"/>
          <w:snapToGrid w:val="0"/>
          <w:spacing w:val="0"/>
          <w:kern w:val="0"/>
          <w:sz w:val="30"/>
          <w:szCs w:val="30"/>
          <w:highlight w:val="none"/>
          <w:lang w:eastAsia="zh-CN"/>
        </w:rPr>
        <w:t>，网址：</w:t>
      </w:r>
      <w:r>
        <w:rPr>
          <w:rFonts w:hint="eastAsia" w:ascii="宋体" w:hAnsi="宋体" w:eastAsia="宋体" w:cs="宋体"/>
          <w:i w:val="0"/>
          <w:iCs w:val="0"/>
          <w:snapToGrid w:val="0"/>
          <w:color w:val="auto"/>
          <w:spacing w:val="0"/>
          <w:kern w:val="0"/>
          <w:sz w:val="30"/>
          <w:szCs w:val="30"/>
          <w:highlight w:val="none"/>
          <w:u w:val="none"/>
          <w:lang w:eastAsia="zh-CN"/>
        </w:rPr>
        <w:fldChar w:fldCharType="begin"/>
      </w:r>
      <w:r>
        <w:rPr>
          <w:rFonts w:hint="eastAsia" w:ascii="宋体" w:hAnsi="宋体" w:eastAsia="宋体" w:cs="宋体"/>
          <w:i w:val="0"/>
          <w:iCs w:val="0"/>
          <w:snapToGrid w:val="0"/>
          <w:color w:val="auto"/>
          <w:spacing w:val="0"/>
          <w:kern w:val="0"/>
          <w:sz w:val="30"/>
          <w:szCs w:val="30"/>
          <w:highlight w:val="none"/>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snapToGrid w:val="0"/>
          <w:color w:val="auto"/>
          <w:spacing w:val="0"/>
          <w:kern w:val="0"/>
          <w:sz w:val="30"/>
          <w:szCs w:val="30"/>
          <w:highlight w:val="none"/>
          <w:u w:val="none"/>
          <w:lang w:eastAsia="zh-CN"/>
        </w:rPr>
        <w:fldChar w:fldCharType="separate"/>
      </w:r>
      <w:r>
        <w:rPr>
          <w:rStyle w:val="25"/>
          <w:rFonts w:hint="eastAsia" w:ascii="宋体" w:hAnsi="宋体" w:eastAsia="宋体" w:cs="宋体"/>
          <w:i w:val="0"/>
          <w:iCs w:val="0"/>
          <w:snapToGrid w:val="0"/>
          <w:color w:val="auto"/>
          <w:spacing w:val="0"/>
          <w:kern w:val="0"/>
          <w:sz w:val="30"/>
          <w:szCs w:val="30"/>
          <w:highlight w:val="none"/>
          <w:u w:val="none"/>
          <w:lang w:eastAsia="zh-CN"/>
        </w:rPr>
        <w:t>https://www.huaihua.gov.cn/czj/），邀请符合资格条件的申请人参与公开竞争性遴选。</w:t>
      </w:r>
      <w:r>
        <w:rPr>
          <w:rFonts w:hint="eastAsia" w:ascii="宋体" w:hAnsi="宋体" w:eastAsia="宋体" w:cs="宋体"/>
          <w:i w:val="0"/>
          <w:iCs w:val="0"/>
          <w:snapToGrid w:val="0"/>
          <w:color w:val="auto"/>
          <w:spacing w:val="0"/>
          <w:kern w:val="0"/>
          <w:sz w:val="30"/>
          <w:szCs w:val="30"/>
          <w:highlight w:val="none"/>
          <w:u w:val="none"/>
          <w:lang w:eastAsia="zh-CN"/>
        </w:rPr>
        <w:fldChar w:fldCharType="end"/>
      </w:r>
    </w:p>
    <w:p w14:paraId="231C500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一、遴选项目基本概况</w:t>
      </w:r>
      <w:bookmarkEnd w:id="4"/>
    </w:p>
    <w:p w14:paraId="08395A53">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1、遴选项目名称：</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怀化市</w:t>
      </w:r>
      <w:r>
        <w:rPr>
          <w:rFonts w:hint="eastAsia" w:cs="宋体"/>
          <w:b w:val="0"/>
          <w:bCs w:val="0"/>
          <w:snapToGrid w:val="0"/>
          <w:color w:val="auto"/>
          <w:spacing w:val="0"/>
          <w:kern w:val="0"/>
          <w:sz w:val="30"/>
          <w:szCs w:val="30"/>
          <w:highlight w:val="none"/>
          <w:u w:val="single"/>
          <w:shd w:val="clear" w:color="auto" w:fill="FFFFFF"/>
          <w:lang w:val="en-US" w:eastAsia="zh-CN"/>
        </w:rPr>
        <w:t>市本级及鹤城区</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2026—2028年政策性农业保险承保机构项目</w:t>
      </w:r>
    </w:p>
    <w:p w14:paraId="1B3C885F">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2、遴选方式：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公开竞争性遴选</w:t>
      </w:r>
    </w:p>
    <w:p w14:paraId="0352211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3、中选方式：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综合评分法</w:t>
      </w:r>
    </w:p>
    <w:p w14:paraId="43FC765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4、遴选项目预算</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14"/>
        <w:gridCol w:w="3469"/>
        <w:gridCol w:w="1955"/>
        <w:gridCol w:w="2118"/>
      </w:tblGrid>
      <w:tr w14:paraId="6D8D0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71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DF7D64">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包/品目号</w:t>
            </w:r>
          </w:p>
        </w:tc>
        <w:tc>
          <w:tcPr>
            <w:tcW w:w="34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D1B4DB">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标的名称</w:t>
            </w:r>
          </w:p>
        </w:tc>
        <w:tc>
          <w:tcPr>
            <w:tcW w:w="19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77066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数量</w:t>
            </w:r>
          </w:p>
          <w:p w14:paraId="523EFF0F">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（单位：项）</w:t>
            </w:r>
          </w:p>
        </w:tc>
        <w:tc>
          <w:tcPr>
            <w:tcW w:w="21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5B0CF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预算（元）</w:t>
            </w:r>
          </w:p>
        </w:tc>
      </w:tr>
      <w:tr w14:paraId="175FF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7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EBFB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34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C8141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lang w:eastAsia="zh-CN"/>
              </w:rPr>
              <w:t>怀化市</w:t>
            </w:r>
            <w:r>
              <w:rPr>
                <w:rFonts w:hint="eastAsia" w:cs="宋体"/>
                <w:snapToGrid w:val="0"/>
                <w:spacing w:val="0"/>
                <w:kern w:val="0"/>
                <w:sz w:val="30"/>
                <w:szCs w:val="30"/>
                <w:highlight w:val="none"/>
                <w:lang w:eastAsia="zh-CN"/>
              </w:rPr>
              <w:t>市本级及鹤城区</w:t>
            </w:r>
            <w:r>
              <w:rPr>
                <w:rFonts w:hint="eastAsia" w:ascii="宋体" w:hAnsi="宋体" w:eastAsia="宋体" w:cs="宋体"/>
                <w:snapToGrid w:val="0"/>
                <w:spacing w:val="0"/>
                <w:kern w:val="0"/>
                <w:sz w:val="30"/>
                <w:szCs w:val="30"/>
                <w:highlight w:val="none"/>
                <w:lang w:eastAsia="zh-CN"/>
              </w:rPr>
              <w:t>2026—2028年政策性农业保险承保机构项目</w:t>
            </w:r>
          </w:p>
        </w:tc>
        <w:tc>
          <w:tcPr>
            <w:tcW w:w="19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47167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1</w:t>
            </w:r>
          </w:p>
        </w:tc>
        <w:tc>
          <w:tcPr>
            <w:tcW w:w="21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CB5B1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default" w:ascii="宋体" w:hAnsi="宋体" w:eastAsia="宋体" w:cs="宋体"/>
                <w:b w:val="0"/>
                <w:bCs w:val="0"/>
                <w:snapToGrid w:val="0"/>
                <w:spacing w:val="0"/>
                <w:kern w:val="0"/>
                <w:sz w:val="30"/>
                <w:szCs w:val="30"/>
                <w:highlight w:val="none"/>
                <w:lang w:val="en-US" w:eastAsia="zh-CN"/>
              </w:rPr>
            </w:pPr>
            <w:r>
              <w:rPr>
                <w:rFonts w:hint="eastAsia" w:cs="宋体"/>
                <w:b w:val="0"/>
                <w:bCs w:val="0"/>
                <w:i w:val="0"/>
                <w:iCs w:val="0"/>
                <w:snapToGrid w:val="0"/>
                <w:color w:val="000000"/>
                <w:spacing w:val="0"/>
                <w:kern w:val="0"/>
                <w:sz w:val="30"/>
                <w:szCs w:val="30"/>
                <w:highlight w:val="none"/>
                <w:u w:val="none"/>
                <w:lang w:val="en-US" w:eastAsia="zh-CN" w:bidi="ar"/>
              </w:rPr>
              <w:t>4720000.00</w:t>
            </w:r>
          </w:p>
        </w:tc>
      </w:tr>
    </w:tbl>
    <w:p w14:paraId="1C232D1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snapToGrid w:val="0"/>
          <w:color w:val="666666"/>
          <w:spacing w:val="0"/>
          <w:kern w:val="0"/>
          <w:sz w:val="30"/>
          <w:szCs w:val="30"/>
          <w:highlight w:val="none"/>
          <w:shd w:val="clear" w:color="auto" w:fill="FFFFFF"/>
        </w:rPr>
      </w:pPr>
      <w:r>
        <w:rPr>
          <w:rFonts w:hint="eastAsia" w:ascii="宋体" w:hAnsi="宋体" w:eastAsia="宋体" w:cs="宋体"/>
          <w:snapToGrid w:val="0"/>
          <w:color w:val="666666"/>
          <w:spacing w:val="0"/>
          <w:kern w:val="0"/>
          <w:sz w:val="30"/>
          <w:szCs w:val="30"/>
          <w:highlight w:val="none"/>
          <w:shd w:val="clear" w:color="auto" w:fill="FFFFFF"/>
        </w:rPr>
        <w:t> </w:t>
      </w:r>
    </w:p>
    <w:p w14:paraId="14DB77F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color w:val="666666"/>
          <w:spacing w:val="0"/>
          <w:kern w:val="0"/>
          <w:sz w:val="30"/>
          <w:szCs w:val="30"/>
          <w:highlight w:val="none"/>
          <w:shd w:val="clear" w:color="auto" w:fill="FFFFFF"/>
          <w:lang w:val="en-US" w:eastAsia="zh-CN"/>
        </w:rPr>
        <w:t xml:space="preserve"> </w:t>
      </w: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5、遴选项目分包设置</w:t>
      </w:r>
    </w:p>
    <w:tbl>
      <w:tblPr>
        <w:tblStyle w:val="20"/>
        <w:tblW w:w="9450" w:type="dxa"/>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176"/>
        <w:gridCol w:w="1848"/>
        <w:gridCol w:w="1824"/>
        <w:gridCol w:w="1176"/>
        <w:gridCol w:w="2754"/>
      </w:tblGrid>
      <w:tr w14:paraId="4758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nil"/>
              <w:right w:val="single" w:color="000000" w:sz="4" w:space="0"/>
            </w:tcBorders>
            <w:shd w:val="clear" w:color="auto" w:fill="auto"/>
            <w:vAlign w:val="center"/>
          </w:tcPr>
          <w:p w14:paraId="178BBFA7">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分包</w:t>
            </w:r>
          </w:p>
        </w:tc>
        <w:tc>
          <w:tcPr>
            <w:tcW w:w="1176" w:type="dxa"/>
            <w:tcBorders>
              <w:top w:val="single" w:color="000000" w:sz="4" w:space="0"/>
              <w:left w:val="single" w:color="000000" w:sz="4" w:space="0"/>
              <w:bottom w:val="nil"/>
              <w:right w:val="single" w:color="000000" w:sz="4" w:space="0"/>
            </w:tcBorders>
            <w:shd w:val="clear" w:color="auto" w:fill="auto"/>
            <w:vAlign w:val="center"/>
          </w:tcPr>
          <w:p w14:paraId="7F4C0D5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险种</w:t>
            </w:r>
          </w:p>
        </w:tc>
        <w:tc>
          <w:tcPr>
            <w:tcW w:w="1848" w:type="dxa"/>
            <w:tcBorders>
              <w:top w:val="single" w:color="000000" w:sz="4" w:space="0"/>
              <w:left w:val="single" w:color="000000" w:sz="4" w:space="0"/>
              <w:bottom w:val="nil"/>
              <w:right w:val="single" w:color="000000" w:sz="4" w:space="0"/>
            </w:tcBorders>
            <w:shd w:val="clear" w:color="auto" w:fill="auto"/>
            <w:vAlign w:val="center"/>
          </w:tcPr>
          <w:p w14:paraId="3FDB49C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lang w:val="en-US" w:eastAsia="zh-CN" w:bidi="ar"/>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保费金额</w:t>
            </w:r>
          </w:p>
          <w:p w14:paraId="695CD3DD">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FB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lang w:val="en-US" w:eastAsia="zh-CN" w:bidi="ar"/>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小计</w:t>
            </w:r>
          </w:p>
          <w:p w14:paraId="202CA53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57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占比</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69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lang w:val="en-US" w:eastAsia="zh-CN" w:bidi="ar"/>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行政区域</w:t>
            </w:r>
          </w:p>
        </w:tc>
      </w:tr>
      <w:tr w14:paraId="2DB1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8CBB">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包1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00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养殖、全险种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8DA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default"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2100000.00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EE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2100000.00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16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default"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44.49%</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BAC">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both"/>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黄金坳镇标包1</w:t>
            </w:r>
            <w:r>
              <w:rPr>
                <w:rFonts w:hint="eastAsia" w:ascii="宋体" w:hAnsi="宋体" w:cs="宋体"/>
                <w:snapToGrid w:val="0"/>
                <w:spacing w:val="0"/>
                <w:kern w:val="0"/>
                <w:sz w:val="30"/>
                <w:szCs w:val="30"/>
                <w:highlight w:val="none"/>
                <w:lang w:val="en-US" w:eastAsia="zh-CN" w:bidi="ar-SA"/>
              </w:rPr>
              <w:t>、迎丰街道标包4、城南街道标包6、城北街道标包7、盈口街道标包8</w:t>
            </w:r>
          </w:p>
        </w:tc>
      </w:tr>
      <w:tr w14:paraId="3CC2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E3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包2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F9A">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种植、</w:t>
            </w:r>
            <w:r>
              <w:rPr>
                <w:rFonts w:hint="eastAsia" w:ascii="宋体" w:hAnsi="宋体" w:cs="宋体"/>
                <w:snapToGrid w:val="0"/>
                <w:spacing w:val="0"/>
                <w:kern w:val="0"/>
                <w:sz w:val="30"/>
                <w:szCs w:val="30"/>
                <w:highlight w:val="none"/>
                <w:lang w:val="en-US" w:eastAsia="zh-CN" w:bidi="ar-SA"/>
              </w:rPr>
              <w:t>森林、全险种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237">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default"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1570000.00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E8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1570000.00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7E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default"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33.26%</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C0BF">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both"/>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黄金坳镇标包2</w:t>
            </w:r>
            <w:r>
              <w:rPr>
                <w:rFonts w:hint="eastAsia" w:ascii="宋体" w:hAnsi="宋体" w:cs="宋体"/>
                <w:snapToGrid w:val="0"/>
                <w:spacing w:val="0"/>
                <w:kern w:val="0"/>
                <w:sz w:val="30"/>
                <w:szCs w:val="30"/>
                <w:highlight w:val="none"/>
                <w:lang w:val="en-US" w:eastAsia="zh-CN" w:bidi="ar-SA"/>
              </w:rPr>
              <w:t>、黄金坳镇标包3、河西街道标包12、凉亭坳乡标包10</w:t>
            </w:r>
          </w:p>
        </w:tc>
      </w:tr>
      <w:tr w14:paraId="7FE2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1C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包3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6C0">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全险种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BFC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default"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1050000.00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CC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1050000.00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55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default" w:ascii="宋体" w:hAnsi="宋体" w:eastAsia="宋体" w:cs="宋体"/>
                <w:snapToGrid w:val="0"/>
                <w:spacing w:val="0"/>
                <w:kern w:val="0"/>
                <w:sz w:val="30"/>
                <w:szCs w:val="30"/>
                <w:highlight w:val="none"/>
                <w:lang w:val="en-US" w:eastAsia="zh-CN" w:bidi="ar-SA"/>
              </w:rPr>
            </w:pPr>
            <w:r>
              <w:rPr>
                <w:rFonts w:hint="eastAsia" w:ascii="宋体" w:hAnsi="宋体" w:cs="宋体"/>
                <w:snapToGrid w:val="0"/>
                <w:spacing w:val="0"/>
                <w:kern w:val="0"/>
                <w:sz w:val="30"/>
                <w:szCs w:val="30"/>
                <w:highlight w:val="none"/>
                <w:lang w:val="en-US" w:eastAsia="zh-CN" w:bidi="ar-SA"/>
              </w:rPr>
              <w:t>22.25%</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993">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both"/>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黄岩旅游度假区标包9</w:t>
            </w:r>
            <w:r>
              <w:rPr>
                <w:rFonts w:hint="eastAsia" w:ascii="宋体" w:hAnsi="宋体" w:cs="宋体"/>
                <w:snapToGrid w:val="0"/>
                <w:spacing w:val="0"/>
                <w:kern w:val="0"/>
                <w:sz w:val="30"/>
                <w:szCs w:val="30"/>
                <w:highlight w:val="none"/>
                <w:lang w:val="en-US" w:eastAsia="zh-CN" w:bidi="ar-SA"/>
              </w:rPr>
              <w:t>、坨院街道标包11、城中街道标包5</w:t>
            </w:r>
          </w:p>
        </w:tc>
      </w:tr>
    </w:tbl>
    <w:p w14:paraId="3FCF7630">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p>
    <w:p w14:paraId="77970275">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二、遴选项目的主要需求</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14"/>
        <w:gridCol w:w="3961"/>
        <w:gridCol w:w="1400"/>
        <w:gridCol w:w="1300"/>
        <w:gridCol w:w="1453"/>
      </w:tblGrid>
      <w:tr w14:paraId="79D82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14"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8AEE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包/品目号</w:t>
            </w:r>
          </w:p>
        </w:tc>
        <w:tc>
          <w:tcPr>
            <w:tcW w:w="3961"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026350A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标的物名称</w:t>
            </w:r>
          </w:p>
        </w:tc>
        <w:tc>
          <w:tcPr>
            <w:tcW w:w="4153"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3AE0344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标的主要需求</w:t>
            </w:r>
            <w:r>
              <w:rPr>
                <w:rFonts w:hint="eastAsia" w:ascii="宋体" w:hAnsi="宋体" w:eastAsia="宋体" w:cs="宋体"/>
                <w:snapToGrid w:val="0"/>
                <w:spacing w:val="0"/>
                <w:kern w:val="0"/>
                <w:sz w:val="30"/>
                <w:szCs w:val="30"/>
                <w:highlight w:val="none"/>
              </w:rPr>
              <w:t> </w:t>
            </w:r>
          </w:p>
        </w:tc>
      </w:tr>
      <w:tr w14:paraId="409A3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14"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167C4">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3961"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5DBD9">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140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483BB78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技术</w:t>
            </w:r>
          </w:p>
        </w:tc>
        <w:tc>
          <w:tcPr>
            <w:tcW w:w="1300"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0E8B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服务</w:t>
            </w:r>
          </w:p>
        </w:tc>
        <w:tc>
          <w:tcPr>
            <w:tcW w:w="1453"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54A50FF0">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合同条款</w:t>
            </w:r>
          </w:p>
        </w:tc>
      </w:tr>
      <w:tr w14:paraId="45366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14"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FA6006">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3961"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79A73D9">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6"/>
                <w:kern w:val="0"/>
                <w:sz w:val="30"/>
                <w:szCs w:val="30"/>
                <w:highlight w:val="none"/>
                <w:lang w:eastAsia="zh-CN"/>
              </w:rPr>
              <w:t>怀化市</w:t>
            </w:r>
            <w:r>
              <w:rPr>
                <w:rFonts w:hint="eastAsia" w:cs="宋体"/>
                <w:snapToGrid w:val="0"/>
                <w:spacing w:val="-6"/>
                <w:kern w:val="0"/>
                <w:sz w:val="30"/>
                <w:szCs w:val="30"/>
                <w:highlight w:val="none"/>
                <w:lang w:eastAsia="zh-CN"/>
              </w:rPr>
              <w:t>市本级及鹤城区</w:t>
            </w:r>
            <w:r>
              <w:rPr>
                <w:rFonts w:hint="eastAsia" w:ascii="宋体" w:hAnsi="宋体" w:eastAsia="宋体" w:cs="宋体"/>
                <w:snapToGrid w:val="0"/>
                <w:spacing w:val="-6"/>
                <w:kern w:val="0"/>
                <w:sz w:val="30"/>
                <w:szCs w:val="30"/>
                <w:highlight w:val="none"/>
                <w:lang w:eastAsia="zh-CN"/>
              </w:rPr>
              <w:t>2026—2028年政策性农业保险承保机构项目</w:t>
            </w:r>
          </w:p>
        </w:tc>
        <w:tc>
          <w:tcPr>
            <w:tcW w:w="4153"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37F791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具体详细内容详见遴选方案。 </w:t>
            </w:r>
          </w:p>
        </w:tc>
      </w:tr>
      <w:tr w14:paraId="08690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557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2C859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竞争性遴选项目可能实质性变动内容</w:t>
            </w:r>
          </w:p>
        </w:tc>
        <w:tc>
          <w:tcPr>
            <w:tcW w:w="1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83739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1CE8263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3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FA58C7">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54688B3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4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90E7A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692B8DE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r>
    </w:tbl>
    <w:p w14:paraId="0B93D6E2">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snapToGrid w:val="0"/>
          <w:color w:val="666666"/>
          <w:spacing w:val="0"/>
          <w:kern w:val="0"/>
          <w:sz w:val="30"/>
          <w:szCs w:val="30"/>
          <w:highlight w:val="none"/>
        </w:rPr>
      </w:pPr>
      <w:r>
        <w:rPr>
          <w:rFonts w:hint="eastAsia" w:ascii="宋体" w:hAnsi="宋体" w:eastAsia="宋体" w:cs="宋体"/>
          <w:snapToGrid w:val="0"/>
          <w:color w:val="666666"/>
          <w:spacing w:val="0"/>
          <w:kern w:val="0"/>
          <w:sz w:val="30"/>
          <w:szCs w:val="30"/>
          <w:highlight w:val="none"/>
          <w:shd w:val="clear" w:color="auto" w:fill="FFFFFF"/>
        </w:rPr>
        <w:t> </w:t>
      </w:r>
    </w:p>
    <w:p w14:paraId="6486C56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rPr>
      </w:pPr>
      <w:bookmarkStart w:id="5" w:name="_Toc22729"/>
      <w:bookmarkStart w:id="6" w:name="_Toc19640"/>
      <w:r>
        <w:rPr>
          <w:rFonts w:hint="eastAsia" w:ascii="宋体" w:hAnsi="宋体" w:eastAsia="宋体" w:cs="宋体"/>
          <w:b/>
          <w:bCs/>
          <w:snapToGrid w:val="0"/>
          <w:spacing w:val="0"/>
          <w:kern w:val="0"/>
          <w:sz w:val="30"/>
          <w:szCs w:val="30"/>
          <w:highlight w:val="none"/>
          <w:shd w:val="clear" w:color="auto" w:fill="FFFFFF"/>
        </w:rPr>
        <w:t>三、申请人资格条件：</w:t>
      </w:r>
      <w:bookmarkEnd w:id="5"/>
    </w:p>
    <w:p w14:paraId="31B4AAE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firstLine="301" w:firstLineChars="100"/>
        <w:jc w:val="left"/>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shd w:val="clear" w:color="auto" w:fill="FFFFFF"/>
        </w:rPr>
        <w:t>1、申请人需具备《湖南省财政厅</w:t>
      </w:r>
      <w:r>
        <w:rPr>
          <w:rFonts w:hint="eastAsia" w:ascii="宋体" w:hAnsi="宋体" w:eastAsia="宋体" w:cs="宋体"/>
          <w:b/>
          <w:bCs/>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bCs/>
          <w:snapToGrid w:val="0"/>
          <w:spacing w:val="0"/>
          <w:kern w:val="0"/>
          <w:sz w:val="30"/>
          <w:szCs w:val="30"/>
          <w:highlight w:val="none"/>
          <w:shd w:val="clear" w:color="auto" w:fill="FFFFFF"/>
        </w:rPr>
        <w:t>关于印发〈公开竞争性遴选政策性农业保险承保机构实施办法）的通知》（</w:t>
      </w:r>
      <w:r>
        <w:rPr>
          <w:rFonts w:hint="eastAsia" w:ascii="宋体" w:hAnsi="宋体" w:eastAsia="宋体" w:cs="宋体"/>
          <w:b/>
          <w:bCs/>
          <w:snapToGrid w:val="0"/>
          <w:spacing w:val="0"/>
          <w:kern w:val="0"/>
          <w:sz w:val="30"/>
          <w:szCs w:val="30"/>
          <w:highlight w:val="none"/>
          <w:shd w:val="clear" w:color="auto" w:fill="FFFFFF"/>
          <w:lang w:eastAsia="zh-CN"/>
        </w:rPr>
        <w:t>湘财金【2026】4号</w:t>
      </w:r>
      <w:r>
        <w:rPr>
          <w:rFonts w:hint="eastAsia" w:ascii="宋体" w:hAnsi="宋体" w:eastAsia="宋体" w:cs="宋体"/>
          <w:b/>
          <w:bCs/>
          <w:snapToGrid w:val="0"/>
          <w:spacing w:val="0"/>
          <w:kern w:val="0"/>
          <w:sz w:val="30"/>
          <w:szCs w:val="30"/>
          <w:highlight w:val="none"/>
          <w:shd w:val="clear" w:color="auto" w:fill="FFFFFF"/>
        </w:rPr>
        <w:t>）规定的基本资格条件：</w:t>
      </w:r>
    </w:p>
    <w:p w14:paraId="2CC3A589">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42BA230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（2）具有完善的农业保险大灾风险分散机制；</w:t>
      </w:r>
    </w:p>
    <w:p w14:paraId="1DF1B9BD">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（3）具有完善的基层服务网络；</w:t>
      </w:r>
    </w:p>
    <w:p w14:paraId="3AC9A1C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30D4BB0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7B70A26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357A23E9">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A45FDDF">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（8）财政部门规定的其他条件。</w:t>
      </w:r>
    </w:p>
    <w:p w14:paraId="30CE8A5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301" w:firstLineChars="1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bCs/>
          <w:snapToGrid w:val="0"/>
          <w:spacing w:val="0"/>
          <w:kern w:val="0"/>
          <w:sz w:val="30"/>
          <w:szCs w:val="30"/>
          <w:highlight w:val="none"/>
          <w:shd w:val="clear" w:color="auto" w:fill="FFFFFF"/>
          <w:lang w:val="en-US" w:eastAsia="zh-CN" w:bidi="ar-SA"/>
        </w:rPr>
        <w:t>2、存在以下情况的保险机构不得参加遴选：</w:t>
      </w:r>
    </w:p>
    <w:p w14:paraId="4FA34B0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3B92A5C">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②以销售网点、“三农”保险服务网点等非市县级分支机构申请的，区级分支机构申请市州本级及所辖区遴选的，市级及以上分支机构申请省直管县市遴选的；</w:t>
      </w:r>
    </w:p>
    <w:p w14:paraId="7F82D32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bookmarkStart w:id="7" w:name="_Toc32172"/>
    </w:p>
    <w:p w14:paraId="24874109">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left"/>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b/>
          <w:bCs/>
          <w:snapToGrid w:val="0"/>
          <w:spacing w:val="0"/>
          <w:kern w:val="0"/>
          <w:sz w:val="30"/>
          <w:szCs w:val="30"/>
          <w:highlight w:val="none"/>
          <w:shd w:val="clear" w:fill="FFFFFF"/>
          <w:lang w:val="en-US" w:eastAsia="zh-CN" w:bidi="ar-SA"/>
        </w:rPr>
        <w:t>四、</w:t>
      </w:r>
      <w:r>
        <w:rPr>
          <w:rFonts w:hint="eastAsia" w:ascii="宋体" w:hAnsi="宋体" w:eastAsia="宋体" w:cs="宋体"/>
          <w:b/>
          <w:bCs/>
          <w:snapToGrid w:val="0"/>
          <w:spacing w:val="0"/>
          <w:kern w:val="0"/>
          <w:sz w:val="30"/>
          <w:szCs w:val="30"/>
          <w:highlight w:val="none"/>
          <w:shd w:val="clear" w:color="auto" w:fill="FFFFFF"/>
          <w:lang w:eastAsia="zh-CN"/>
        </w:rPr>
        <w:t>选定数量</w:t>
      </w:r>
    </w:p>
    <w:p w14:paraId="3778D03C">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w:t>
      </w:r>
      <w:r>
        <w:rPr>
          <w:rFonts w:hint="eastAsia" w:ascii="宋体" w:hAnsi="宋体" w:cs="宋体"/>
          <w:snapToGrid w:val="0"/>
          <w:spacing w:val="0"/>
          <w:kern w:val="0"/>
          <w:sz w:val="30"/>
          <w:szCs w:val="30"/>
          <w:highlight w:val="none"/>
          <w:u w:val="single"/>
          <w:lang w:eastAsia="zh-CN"/>
        </w:rPr>
        <w:t>市本级及鹤城区</w:t>
      </w:r>
      <w:r>
        <w:rPr>
          <w:rFonts w:hint="eastAsia" w:ascii="宋体" w:hAnsi="宋体" w:eastAsia="宋体" w:cs="宋体"/>
          <w:snapToGrid w:val="0"/>
          <w:spacing w:val="0"/>
          <w:kern w:val="0"/>
          <w:sz w:val="30"/>
          <w:szCs w:val="30"/>
          <w:highlight w:val="none"/>
          <w:u w:val="single"/>
          <w:lang w:eastAsia="zh-CN"/>
        </w:rPr>
        <w:t>2026—2028年政策性农业保险承保机构项目</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val="en-US" w:eastAsia="zh-CN"/>
        </w:rPr>
        <w:t>家，</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 1 家得分最高且具备农业保险实施能力的机构作为后备机构。</w:t>
      </w:r>
    </w:p>
    <w:bookmarkEnd w:id="7"/>
    <w:p w14:paraId="66E050BE">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textAlignment w:val="auto"/>
        <w:rPr>
          <w:rFonts w:hint="eastAsia" w:ascii="宋体" w:hAnsi="宋体" w:cs="宋体"/>
          <w:snapToGrid w:val="0"/>
          <w:color w:val="000000"/>
          <w:spacing w:val="0"/>
          <w:kern w:val="0"/>
          <w:sz w:val="30"/>
          <w:szCs w:val="30"/>
          <w:highlight w:val="none"/>
          <w:lang w:val="en-US" w:eastAsia="zh-CN" w:bidi="ar"/>
        </w:rPr>
      </w:pPr>
      <w:r>
        <w:rPr>
          <w:rFonts w:hint="eastAsia" w:ascii="宋体" w:hAnsi="宋体" w:cs="宋体"/>
          <w:snapToGrid w:val="0"/>
          <w:color w:val="000000"/>
          <w:spacing w:val="0"/>
          <w:kern w:val="0"/>
          <w:sz w:val="30"/>
          <w:szCs w:val="30"/>
          <w:highlight w:val="none"/>
          <w:lang w:val="en-US" w:eastAsia="zh-CN" w:bidi="ar"/>
        </w:rPr>
        <w:t>遴选对象为保险公司市州级分支机构，不接受省级及以上分支机构报名。</w:t>
      </w:r>
    </w:p>
    <w:p w14:paraId="1F089B72">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line="500" w:lineRule="exact"/>
        <w:ind w:left="0" w:leftChars="0" w:firstLine="602" w:firstLineChars="200"/>
        <w:jc w:val="left"/>
        <w:textAlignment w:val="auto"/>
        <w:rPr>
          <w:rFonts w:hint="eastAsia" w:ascii="宋体" w:hAnsi="宋体" w:eastAsia="宋体" w:cs="宋体"/>
          <w:b/>
          <w:bCs/>
          <w:snapToGrid w:val="0"/>
          <w:color w:val="000000"/>
          <w:spacing w:val="0"/>
          <w:kern w:val="0"/>
          <w:sz w:val="30"/>
          <w:szCs w:val="30"/>
          <w:highlight w:val="none"/>
          <w:lang w:val="en-US" w:eastAsia="zh-CN" w:bidi="ar"/>
        </w:rPr>
      </w:pPr>
      <w:r>
        <w:rPr>
          <w:rFonts w:hint="eastAsia" w:ascii="宋体" w:hAnsi="宋体" w:eastAsia="宋体" w:cs="宋体"/>
          <w:b/>
          <w:bCs/>
          <w:snapToGrid w:val="0"/>
          <w:color w:val="000000"/>
          <w:spacing w:val="0"/>
          <w:kern w:val="0"/>
          <w:sz w:val="30"/>
          <w:szCs w:val="30"/>
          <w:highlight w:val="none"/>
          <w:lang w:val="en-US" w:eastAsia="zh-CN" w:bidi="ar"/>
        </w:rPr>
        <w:t>五、获取遴选文件的时间、地点、方式及遴选文件售价</w:t>
      </w:r>
    </w:p>
    <w:p w14:paraId="67B93333">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50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1、获取遴选文件的时间：从</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01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30 </w:t>
      </w:r>
      <w:r>
        <w:rPr>
          <w:rFonts w:hint="eastAsia" w:ascii="宋体" w:hAnsi="宋体" w:eastAsia="宋体" w:cs="宋体"/>
          <w:b w:val="0"/>
          <w:bCs w:val="0"/>
          <w:snapToGrid w:val="0"/>
          <w:color w:val="auto"/>
          <w:spacing w:val="0"/>
          <w:kern w:val="0"/>
          <w:sz w:val="30"/>
          <w:szCs w:val="30"/>
          <w:highlight w:val="none"/>
        </w:rPr>
        <w:t>日至</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02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06 </w:t>
      </w:r>
      <w:r>
        <w:rPr>
          <w:rFonts w:hint="eastAsia" w:ascii="宋体" w:hAnsi="宋体" w:eastAsia="宋体" w:cs="宋体"/>
          <w:b w:val="0"/>
          <w:bCs w:val="0"/>
          <w:snapToGrid w:val="0"/>
          <w:color w:val="auto"/>
          <w:spacing w:val="0"/>
          <w:kern w:val="0"/>
          <w:sz w:val="30"/>
          <w:szCs w:val="30"/>
          <w:highlight w:val="none"/>
        </w:rPr>
        <w:t>日</w:t>
      </w:r>
      <w:r>
        <w:rPr>
          <w:rFonts w:hint="eastAsia" w:ascii="宋体" w:hAnsi="宋体" w:eastAsia="宋体" w:cs="宋体"/>
          <w:b w:val="0"/>
          <w:bCs w:val="0"/>
          <w:snapToGrid w:val="0"/>
          <w:kern w:val="0"/>
          <w:sz w:val="30"/>
          <w:szCs w:val="30"/>
          <w:highlight w:val="none"/>
          <w:lang w:val="en-US" w:eastAsia="zh-CN" w:bidi="ar"/>
        </w:rPr>
        <w:t>，每天9:00—12:00,14:30—17:00(北京时间,节假日休息)。</w:t>
      </w:r>
    </w:p>
    <w:p w14:paraId="72F46B36">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50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2、获取遴选文件的地点：</w:t>
      </w:r>
      <w:r>
        <w:rPr>
          <w:rFonts w:hint="eastAsia" w:ascii="宋体" w:hAnsi="宋体" w:eastAsia="宋体" w:cs="宋体"/>
          <w:b w:val="0"/>
          <w:bCs w:val="0"/>
          <w:snapToGrid w:val="0"/>
          <w:color w:val="auto"/>
          <w:spacing w:val="0"/>
          <w:kern w:val="0"/>
          <w:sz w:val="30"/>
          <w:szCs w:val="30"/>
          <w:highlight w:val="none"/>
          <w:u w:val="single"/>
          <w:lang w:eastAsia="zh-CN"/>
        </w:rPr>
        <w:t>湖南擎峰项目管理咨询有限公司</w:t>
      </w:r>
      <w:r>
        <w:rPr>
          <w:rFonts w:hint="eastAsia" w:ascii="宋体" w:hAnsi="宋体" w:eastAsia="宋体" w:cs="宋体"/>
          <w:b w:val="0"/>
          <w:bCs w:val="0"/>
          <w:snapToGrid w:val="0"/>
          <w:color w:val="auto"/>
          <w:spacing w:val="0"/>
          <w:kern w:val="0"/>
          <w:sz w:val="30"/>
          <w:szCs w:val="30"/>
          <w:highlight w:val="none"/>
          <w:u w:val="single"/>
          <w:lang w:val="en-US" w:eastAsia="zh-CN"/>
        </w:rPr>
        <w:t>（湖南省怀化市鹤城区本业大道华桥集团B栋1638室）</w:t>
      </w:r>
      <w:r>
        <w:rPr>
          <w:rFonts w:hint="eastAsia" w:ascii="宋体" w:hAnsi="宋体" w:eastAsia="宋体" w:cs="宋体"/>
          <w:b w:val="0"/>
          <w:bCs w:val="0"/>
          <w:snapToGrid w:val="0"/>
          <w:kern w:val="0"/>
          <w:sz w:val="30"/>
          <w:szCs w:val="30"/>
          <w:highlight w:val="none"/>
          <w:lang w:val="en-US" w:eastAsia="zh-CN" w:bidi="ar"/>
        </w:rPr>
        <w:t>。</w:t>
      </w:r>
    </w:p>
    <w:p w14:paraId="71A7B27D">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50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3、获取方式：现场报名,购买领取采购文件，</w:t>
      </w:r>
      <w:r>
        <w:rPr>
          <w:rFonts w:hint="eastAsia" w:ascii="宋体" w:hAnsi="宋体" w:eastAsia="宋体" w:cs="宋体"/>
          <w:b w:val="0"/>
          <w:bCs w:val="0"/>
          <w:snapToGrid w:val="0"/>
          <w:spacing w:val="0"/>
          <w:kern w:val="0"/>
          <w:sz w:val="30"/>
          <w:szCs w:val="30"/>
          <w:highlight w:val="none"/>
          <w:shd w:val="clear" w:color="auto" w:fill="FFFFFF"/>
          <w:lang w:val="en-US" w:eastAsia="zh-CN"/>
        </w:rPr>
        <w:t>此遴选文件售价人民币：400元整，现金支付，售后一概不退。</w:t>
      </w:r>
    </w:p>
    <w:p w14:paraId="04764BD4">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4、获取遴选文件的方式：</w:t>
      </w:r>
      <w:r>
        <w:rPr>
          <w:rFonts w:hint="eastAsia" w:ascii="宋体" w:hAnsi="宋体" w:cs="宋体"/>
          <w:b w:val="0"/>
          <w:bCs w:val="0"/>
          <w:i w:val="0"/>
          <w:iCs w:val="0"/>
          <w:caps w:val="0"/>
          <w:snapToGrid w:val="0"/>
          <w:color w:val="000000"/>
          <w:spacing w:val="0"/>
          <w:kern w:val="0"/>
          <w:sz w:val="30"/>
          <w:szCs w:val="30"/>
          <w:highlight w:val="none"/>
          <w:lang w:val="en-US" w:eastAsia="zh-CN" w:bidi="ar"/>
        </w:rPr>
        <w:t>由分支机构负责人或授权委托人</w:t>
      </w: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携带以下材料：</w:t>
      </w:r>
    </w:p>
    <w:p w14:paraId="067EA71C">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 w:val="0"/>
          <w:bCs w:val="0"/>
          <w:snapToGrid w:val="0"/>
          <w:kern w:val="0"/>
          <w:sz w:val="30"/>
          <w:szCs w:val="30"/>
          <w:highlight w:val="none"/>
          <w:lang w:val="en-US" w:eastAsia="zh-CN" w:bidi="ar"/>
        </w:rPr>
      </w:pPr>
      <w:r>
        <w:rPr>
          <w:rFonts w:hint="eastAsia" w:ascii="宋体" w:hAnsi="宋体" w:eastAsia="宋体" w:cs="宋体"/>
          <w:b w:val="0"/>
          <w:bCs w:val="0"/>
          <w:snapToGrid w:val="0"/>
          <w:kern w:val="0"/>
          <w:sz w:val="30"/>
          <w:szCs w:val="30"/>
          <w:highlight w:val="none"/>
          <w:lang w:val="en-US" w:eastAsia="zh-CN" w:bidi="ar"/>
        </w:rPr>
        <w:t>①</w:t>
      </w:r>
      <w:r>
        <w:rPr>
          <w:rFonts w:hint="eastAsia" w:ascii="宋体" w:hAnsi="宋体" w:cs="宋体"/>
          <w:b w:val="0"/>
          <w:bCs w:val="0"/>
          <w:snapToGrid w:val="0"/>
          <w:kern w:val="0"/>
          <w:sz w:val="30"/>
          <w:szCs w:val="30"/>
          <w:highlight w:val="none"/>
          <w:lang w:val="en-US" w:eastAsia="zh-CN" w:bidi="ar"/>
        </w:rPr>
        <w:t>分支机构负责人资格证明书或授权委托书（须附有相应人员的身份证复印件）；</w:t>
      </w:r>
    </w:p>
    <w:p w14:paraId="05E27AD1">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②营业执照；</w:t>
      </w:r>
    </w:p>
    <w:p w14:paraId="4D9FD115">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③符合申请人资格条件证明材料复印件或者情况说明。</w:t>
      </w:r>
    </w:p>
    <w:p w14:paraId="35A31F1C">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301" w:firstLineChars="100"/>
        <w:jc w:val="left"/>
        <w:textAlignment w:val="auto"/>
        <w:rPr>
          <w:rFonts w:hint="eastAsia" w:ascii="宋体" w:hAnsi="宋体" w:eastAsia="宋体" w:cs="宋体"/>
          <w:b/>
          <w:snapToGrid w:val="0"/>
          <w:color w:val="auto"/>
          <w:spacing w:val="0"/>
          <w:kern w:val="0"/>
          <w:sz w:val="30"/>
          <w:szCs w:val="30"/>
          <w:highlight w:val="none"/>
          <w:lang w:eastAsia="zh-CN"/>
        </w:rPr>
      </w:pPr>
      <w:r>
        <w:rPr>
          <w:rFonts w:hint="eastAsia" w:ascii="宋体" w:hAnsi="宋体" w:eastAsia="宋体" w:cs="宋体"/>
          <w:b/>
          <w:bCs w:val="0"/>
          <w:snapToGrid w:val="0"/>
          <w:kern w:val="0"/>
          <w:sz w:val="30"/>
          <w:szCs w:val="30"/>
          <w:highlight w:val="none"/>
          <w:lang w:val="en-US" w:eastAsia="zh-CN" w:bidi="ar"/>
        </w:rPr>
        <w:t>注：提供上述证明文件复印件二套</w:t>
      </w:r>
      <w:r>
        <w:rPr>
          <w:rFonts w:hint="eastAsia" w:ascii="宋体" w:hAnsi="宋体" w:cs="宋体"/>
          <w:b/>
          <w:bCs w:val="0"/>
          <w:snapToGrid w:val="0"/>
          <w:kern w:val="0"/>
          <w:sz w:val="30"/>
          <w:szCs w:val="30"/>
          <w:highlight w:val="none"/>
          <w:lang w:val="en-US" w:eastAsia="zh-CN" w:bidi="ar"/>
        </w:rPr>
        <w:t>，</w:t>
      </w:r>
      <w:r>
        <w:rPr>
          <w:rFonts w:hint="eastAsia" w:ascii="宋体" w:hAnsi="宋体" w:eastAsia="宋体" w:cs="宋体"/>
          <w:b/>
          <w:bCs w:val="0"/>
          <w:snapToGrid w:val="0"/>
          <w:kern w:val="0"/>
          <w:sz w:val="30"/>
          <w:szCs w:val="30"/>
          <w:highlight w:val="none"/>
          <w:lang w:val="en-US" w:eastAsia="zh-CN" w:bidi="ar"/>
        </w:rPr>
        <w:t>胶装成册签署完整</w:t>
      </w:r>
      <w:r>
        <w:rPr>
          <w:rFonts w:hint="eastAsia" w:ascii="宋体" w:hAnsi="宋体" w:cs="宋体"/>
          <w:b/>
          <w:bCs w:val="0"/>
          <w:snapToGrid w:val="0"/>
          <w:kern w:val="0"/>
          <w:sz w:val="30"/>
          <w:szCs w:val="30"/>
          <w:highlight w:val="none"/>
          <w:lang w:val="en-US" w:eastAsia="zh-CN" w:bidi="ar"/>
        </w:rPr>
        <w:t>并加盖公章</w:t>
      </w:r>
      <w:r>
        <w:rPr>
          <w:rFonts w:hint="eastAsia" w:ascii="宋体" w:hAnsi="宋体" w:eastAsia="宋体" w:cs="宋体"/>
          <w:b/>
          <w:bCs w:val="0"/>
          <w:snapToGrid w:val="0"/>
          <w:kern w:val="0"/>
          <w:sz w:val="30"/>
          <w:szCs w:val="30"/>
          <w:highlight w:val="none"/>
          <w:lang w:val="en-US" w:eastAsia="zh-CN" w:bidi="ar"/>
        </w:rPr>
        <w:t>，未按要求提供的不予受理。</w:t>
      </w:r>
    </w:p>
    <w:p w14:paraId="33565282">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left"/>
        <w:rPr>
          <w:rFonts w:hint="eastAsia" w:ascii="宋体" w:hAnsi="宋体" w:eastAsia="宋体" w:cs="宋体"/>
          <w:b/>
          <w:snapToGrid w:val="0"/>
          <w:color w:val="auto"/>
          <w:spacing w:val="0"/>
          <w:kern w:val="0"/>
          <w:sz w:val="30"/>
          <w:szCs w:val="30"/>
          <w:highlight w:val="none"/>
        </w:rPr>
      </w:pPr>
      <w:r>
        <w:rPr>
          <w:rFonts w:hint="eastAsia" w:ascii="宋体" w:hAnsi="宋体" w:eastAsia="宋体" w:cs="宋体"/>
          <w:b/>
          <w:snapToGrid w:val="0"/>
          <w:color w:val="auto"/>
          <w:spacing w:val="0"/>
          <w:kern w:val="0"/>
          <w:sz w:val="30"/>
          <w:szCs w:val="30"/>
          <w:highlight w:val="none"/>
          <w:lang w:eastAsia="zh-CN"/>
        </w:rPr>
        <w:t>六</w:t>
      </w:r>
      <w:r>
        <w:rPr>
          <w:rFonts w:hint="eastAsia" w:ascii="宋体" w:hAnsi="宋体" w:eastAsia="宋体" w:cs="宋体"/>
          <w:b/>
          <w:snapToGrid w:val="0"/>
          <w:color w:val="auto"/>
          <w:spacing w:val="0"/>
          <w:kern w:val="0"/>
          <w:sz w:val="30"/>
          <w:szCs w:val="30"/>
          <w:highlight w:val="none"/>
        </w:rPr>
        <w:t>、</w:t>
      </w:r>
      <w:r>
        <w:rPr>
          <w:rFonts w:hint="eastAsia" w:ascii="宋体" w:hAnsi="宋体" w:eastAsia="宋体" w:cs="宋体"/>
          <w:b/>
          <w:snapToGrid w:val="0"/>
          <w:color w:val="auto"/>
          <w:spacing w:val="0"/>
          <w:kern w:val="0"/>
          <w:sz w:val="30"/>
          <w:szCs w:val="30"/>
          <w:highlight w:val="none"/>
          <w:lang w:eastAsia="zh-CN"/>
        </w:rPr>
        <w:t>应选</w:t>
      </w:r>
      <w:r>
        <w:rPr>
          <w:rFonts w:hint="eastAsia" w:ascii="宋体" w:hAnsi="宋体" w:eastAsia="宋体" w:cs="宋体"/>
          <w:b/>
          <w:snapToGrid w:val="0"/>
          <w:color w:val="auto"/>
          <w:spacing w:val="0"/>
          <w:kern w:val="0"/>
          <w:sz w:val="30"/>
          <w:szCs w:val="30"/>
          <w:highlight w:val="none"/>
        </w:rPr>
        <w:t>截止时间、开标时间及地点</w:t>
      </w:r>
    </w:p>
    <w:p w14:paraId="58D92ADF">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1、提交</w:t>
      </w:r>
      <w:r>
        <w:rPr>
          <w:rFonts w:hint="eastAsia" w:ascii="宋体" w:hAnsi="宋体" w:eastAsia="宋体" w:cs="宋体"/>
          <w:snapToGrid w:val="0"/>
          <w:color w:val="auto"/>
          <w:spacing w:val="0"/>
          <w:kern w:val="0"/>
          <w:sz w:val="30"/>
          <w:szCs w:val="30"/>
          <w:highlight w:val="none"/>
          <w:lang w:eastAsia="zh-CN"/>
        </w:rPr>
        <w:t>应选</w:t>
      </w:r>
      <w:r>
        <w:rPr>
          <w:rFonts w:hint="eastAsia" w:ascii="宋体" w:hAnsi="宋体" w:eastAsia="宋体" w:cs="宋体"/>
          <w:snapToGrid w:val="0"/>
          <w:color w:val="auto"/>
          <w:spacing w:val="0"/>
          <w:kern w:val="0"/>
          <w:sz w:val="30"/>
          <w:szCs w:val="30"/>
          <w:highlight w:val="none"/>
        </w:rPr>
        <w:t>文件的截止时间：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11</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14</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5C847F73">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2、</w:t>
      </w:r>
      <w:r>
        <w:rPr>
          <w:rFonts w:hint="eastAsia" w:ascii="宋体" w:hAnsi="宋体" w:eastAsia="宋体" w:cs="宋体"/>
          <w:snapToGrid w:val="0"/>
          <w:color w:val="auto"/>
          <w:spacing w:val="0"/>
          <w:kern w:val="0"/>
          <w:sz w:val="30"/>
          <w:szCs w:val="30"/>
          <w:highlight w:val="none"/>
          <w:lang w:eastAsia="zh-CN"/>
        </w:rPr>
        <w:t>会议</w:t>
      </w:r>
      <w:r>
        <w:rPr>
          <w:rFonts w:hint="eastAsia" w:ascii="宋体" w:hAnsi="宋体" w:eastAsia="宋体" w:cs="宋体"/>
          <w:snapToGrid w:val="0"/>
          <w:color w:val="auto"/>
          <w:spacing w:val="0"/>
          <w:kern w:val="0"/>
          <w:sz w:val="30"/>
          <w:szCs w:val="30"/>
          <w:highlight w:val="none"/>
        </w:rPr>
        <w:t>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021AC546">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3、开标时间：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11</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14</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1A6F2607">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color w:val="auto"/>
          <w:spacing w:val="0"/>
          <w:kern w:val="0"/>
          <w:sz w:val="30"/>
          <w:szCs w:val="30"/>
          <w:highlight w:val="none"/>
          <w:u w:val="single"/>
          <w:lang w:val="en-US" w:eastAsia="zh-CN"/>
        </w:rPr>
      </w:pPr>
      <w:r>
        <w:rPr>
          <w:rFonts w:hint="eastAsia" w:ascii="宋体" w:hAnsi="宋体" w:eastAsia="宋体" w:cs="宋体"/>
          <w:snapToGrid w:val="0"/>
          <w:color w:val="auto"/>
          <w:spacing w:val="0"/>
          <w:kern w:val="0"/>
          <w:sz w:val="30"/>
          <w:szCs w:val="30"/>
          <w:highlight w:val="none"/>
        </w:rPr>
        <w:t>4、开标地点：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6C3E0D70">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rPr>
        <w:t>逾期送达的或者未送达指定地点的申请文件将拒绝接收。</w:t>
      </w:r>
    </w:p>
    <w:p w14:paraId="64A58D5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七、其他</w:t>
      </w:r>
    </w:p>
    <w:p w14:paraId="22A38AC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rPr>
        <w:t>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napToGrid w:val="0"/>
          <w:spacing w:val="0"/>
          <w:kern w:val="0"/>
          <w:sz w:val="30"/>
          <w:szCs w:val="30"/>
          <w:highlight w:val="none"/>
          <w:shd w:val="clear" w:color="auto" w:fill="FFFFFF"/>
          <w:lang w:val="en-US" w:eastAsia="zh-CN"/>
        </w:rPr>
        <w:t>湖南擎峰项目管理咨询有限公司（湖南省怀化市鹤城区本业大道华桥集团B栋1638室）</w:t>
      </w:r>
      <w:r>
        <w:rPr>
          <w:rFonts w:hint="eastAsia" w:ascii="宋体" w:hAnsi="宋体" w:eastAsia="宋体" w:cs="宋体"/>
          <w:snapToGrid w:val="0"/>
          <w:spacing w:val="0"/>
          <w:kern w:val="0"/>
          <w:sz w:val="30"/>
          <w:szCs w:val="30"/>
          <w:highlight w:val="none"/>
          <w:shd w:val="clear" w:color="auto" w:fill="FFFFFF"/>
        </w:rPr>
        <w:t>现场提交质疑书，我公司不接受邮件或快递形式所递交的质疑文件。</w:t>
      </w:r>
      <w:bookmarkEnd w:id="6"/>
    </w:p>
    <w:p w14:paraId="4D5D889A">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rPr>
      </w:pPr>
      <w:r>
        <w:rPr>
          <w:rFonts w:hint="eastAsia" w:ascii="宋体" w:hAnsi="宋体" w:eastAsia="宋体" w:cs="宋体"/>
          <w:b/>
          <w:bCs/>
          <w:snapToGrid w:val="0"/>
          <w:spacing w:val="0"/>
          <w:kern w:val="0"/>
          <w:sz w:val="30"/>
          <w:szCs w:val="30"/>
          <w:highlight w:val="none"/>
          <w:shd w:val="clear" w:color="auto" w:fill="FFFFFF"/>
          <w:lang w:eastAsia="zh-CN"/>
        </w:rPr>
        <w:t>八</w:t>
      </w:r>
      <w:r>
        <w:rPr>
          <w:rFonts w:hint="eastAsia" w:ascii="宋体" w:hAnsi="宋体" w:eastAsia="宋体" w:cs="宋体"/>
          <w:b/>
          <w:bCs/>
          <w:snapToGrid w:val="0"/>
          <w:spacing w:val="0"/>
          <w:kern w:val="0"/>
          <w:sz w:val="30"/>
          <w:szCs w:val="30"/>
          <w:highlight w:val="none"/>
          <w:shd w:val="clear" w:color="auto" w:fill="FFFFFF"/>
        </w:rPr>
        <w:t>、遴选</w:t>
      </w:r>
      <w:r>
        <w:rPr>
          <w:rFonts w:hint="eastAsia" w:ascii="宋体" w:hAnsi="宋体" w:eastAsia="宋体" w:cs="宋体"/>
          <w:b/>
          <w:bCs/>
          <w:snapToGrid w:val="0"/>
          <w:spacing w:val="0"/>
          <w:kern w:val="0"/>
          <w:sz w:val="30"/>
          <w:szCs w:val="30"/>
          <w:highlight w:val="none"/>
          <w:shd w:val="clear" w:color="auto" w:fill="FFFFFF"/>
          <w:lang w:val="en-US" w:eastAsia="zh-CN"/>
        </w:rPr>
        <w:t>人、采购代理机构的名称、地址和联系方法</w:t>
      </w:r>
    </w:p>
    <w:p w14:paraId="37E2AFB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2" w:firstLineChars="20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1、</w:t>
      </w:r>
      <w:r>
        <w:rPr>
          <w:rFonts w:hint="eastAsia" w:ascii="宋体" w:hAnsi="宋体" w:eastAsia="宋体" w:cs="宋体"/>
          <w:b/>
          <w:bCs/>
          <w:snapToGrid w:val="0"/>
          <w:spacing w:val="0"/>
          <w:kern w:val="0"/>
          <w:sz w:val="30"/>
          <w:szCs w:val="30"/>
          <w:highlight w:val="none"/>
          <w:shd w:val="clear" w:color="auto" w:fill="FFFFFF"/>
        </w:rPr>
        <w:t>遴选人</w:t>
      </w:r>
      <w:r>
        <w:rPr>
          <w:rFonts w:hint="eastAsia" w:ascii="宋体" w:hAnsi="宋体" w:eastAsia="宋体" w:cs="宋体"/>
          <w:b/>
          <w:bCs/>
          <w:snapToGrid w:val="0"/>
          <w:spacing w:val="0"/>
          <w:kern w:val="0"/>
          <w:sz w:val="30"/>
          <w:szCs w:val="30"/>
          <w:highlight w:val="none"/>
          <w:shd w:val="clear" w:color="auto" w:fill="FFFFFF"/>
          <w:lang w:eastAsia="zh-CN"/>
        </w:rPr>
        <w:t>联系方式</w:t>
      </w:r>
    </w:p>
    <w:p w14:paraId="5E9911D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遴选人：</w:t>
      </w:r>
      <w:r>
        <w:rPr>
          <w:rFonts w:hint="eastAsia" w:ascii="宋体" w:hAnsi="宋体" w:eastAsia="宋体" w:cs="宋体"/>
          <w:snapToGrid w:val="0"/>
          <w:spacing w:val="0"/>
          <w:kern w:val="0"/>
          <w:sz w:val="30"/>
          <w:szCs w:val="30"/>
          <w:highlight w:val="none"/>
          <w:shd w:val="clear" w:color="auto" w:fill="FFFFFF"/>
          <w:lang w:val="en-US" w:eastAsia="zh-CN"/>
        </w:rPr>
        <w:t>怀化市</w:t>
      </w:r>
      <w:r>
        <w:rPr>
          <w:rFonts w:hint="eastAsia" w:ascii="宋体" w:hAnsi="宋体" w:eastAsia="宋体" w:cs="宋体"/>
          <w:snapToGrid w:val="0"/>
          <w:spacing w:val="0"/>
          <w:kern w:val="0"/>
          <w:sz w:val="30"/>
          <w:szCs w:val="30"/>
          <w:highlight w:val="none"/>
          <w:shd w:val="clear" w:color="auto" w:fill="FFFFFF"/>
        </w:rPr>
        <w:t>财政局</w:t>
      </w: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怀化市农业农村局</w:t>
      </w:r>
    </w:p>
    <w:p w14:paraId="2E369F6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val="en-US" w:eastAsia="zh-CN"/>
        </w:rPr>
        <w:t>（2）联系人：</w:t>
      </w:r>
      <w:r>
        <w:rPr>
          <w:rFonts w:hint="eastAsia" w:cs="宋体"/>
          <w:snapToGrid w:val="0"/>
          <w:spacing w:val="0"/>
          <w:kern w:val="0"/>
          <w:sz w:val="30"/>
          <w:szCs w:val="30"/>
          <w:highlight w:val="none"/>
          <w:shd w:val="clear" w:color="auto" w:fill="FFFFFF"/>
          <w:lang w:val="en-US" w:eastAsia="zh-CN"/>
        </w:rPr>
        <w:t>谢先生、孙先生</w:t>
      </w:r>
    </w:p>
    <w:p w14:paraId="606DD46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default"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val="en-US" w:eastAsia="zh-CN"/>
        </w:rPr>
        <w:t>（3）电  话：0745-2218002</w:t>
      </w:r>
    </w:p>
    <w:p w14:paraId="4BA1CBC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spacing w:val="0"/>
          <w:kern w:val="0"/>
          <w:sz w:val="30"/>
          <w:szCs w:val="30"/>
          <w:highlight w:val="none"/>
          <w:shd w:val="clear" w:color="auto" w:fill="FFFFFF"/>
        </w:rPr>
        <w:t>地  址：</w:t>
      </w:r>
      <w:r>
        <w:rPr>
          <w:rFonts w:hint="eastAsia" w:cs="宋体"/>
          <w:snapToGrid w:val="0"/>
          <w:spacing w:val="0"/>
          <w:kern w:val="0"/>
          <w:sz w:val="30"/>
          <w:szCs w:val="30"/>
          <w:highlight w:val="none"/>
          <w:shd w:val="clear" w:color="auto" w:fill="FFFFFF"/>
          <w:lang w:eastAsia="zh-CN"/>
        </w:rPr>
        <w:t>怀化市市民服务中心A栋12楼1231室</w:t>
      </w:r>
    </w:p>
    <w:p w14:paraId="4211044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2" w:firstLineChars="200"/>
        <w:jc w:val="left"/>
        <w:rPr>
          <w:rFonts w:hint="eastAsia" w:ascii="宋体" w:hAnsi="宋体" w:eastAsia="宋体" w:cs="宋体"/>
          <w:b/>
          <w:bCs/>
          <w:snapToGrid w:val="0"/>
          <w:color w:val="auto"/>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2、</w:t>
      </w:r>
      <w:r>
        <w:rPr>
          <w:rFonts w:hint="eastAsia" w:ascii="宋体" w:hAnsi="宋体" w:eastAsia="宋体" w:cs="宋体"/>
          <w:b/>
          <w:bCs/>
          <w:snapToGrid w:val="0"/>
          <w:spacing w:val="0"/>
          <w:kern w:val="0"/>
          <w:sz w:val="30"/>
          <w:szCs w:val="30"/>
          <w:highlight w:val="none"/>
          <w:shd w:val="clear" w:color="auto" w:fill="FFFFFF"/>
          <w:lang w:eastAsia="zh-CN"/>
        </w:rPr>
        <w:t>代理机构联系方式</w:t>
      </w:r>
    </w:p>
    <w:p w14:paraId="285C895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代理机构名称：</w:t>
      </w:r>
      <w:r>
        <w:rPr>
          <w:rFonts w:hint="eastAsia" w:ascii="宋体" w:hAnsi="宋体" w:eastAsia="宋体" w:cs="宋体"/>
          <w:snapToGrid w:val="0"/>
          <w:spacing w:val="0"/>
          <w:kern w:val="0"/>
          <w:sz w:val="30"/>
          <w:szCs w:val="30"/>
          <w:highlight w:val="none"/>
          <w:shd w:val="clear" w:color="auto" w:fill="FFFFFF"/>
          <w:lang w:eastAsia="zh-CN"/>
        </w:rPr>
        <w:t>湖南擎峰项目管理咨询有限公司</w:t>
      </w:r>
    </w:p>
    <w:p w14:paraId="10FEA54B">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联系人：</w:t>
      </w:r>
      <w:r>
        <w:rPr>
          <w:rFonts w:hint="eastAsia" w:ascii="宋体" w:hAnsi="宋体" w:eastAsia="宋体" w:cs="宋体"/>
          <w:snapToGrid w:val="0"/>
          <w:spacing w:val="0"/>
          <w:kern w:val="0"/>
          <w:sz w:val="30"/>
          <w:szCs w:val="30"/>
          <w:highlight w:val="none"/>
          <w:shd w:val="clear" w:color="auto" w:fill="FFFFFF"/>
          <w:lang w:eastAsia="zh-CN"/>
        </w:rPr>
        <w:t>阳先生</w:t>
      </w:r>
    </w:p>
    <w:p w14:paraId="78EA6EA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电</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话：</w:t>
      </w:r>
      <w:r>
        <w:rPr>
          <w:rFonts w:hint="eastAsia" w:ascii="宋体" w:hAnsi="宋体" w:eastAsia="宋体" w:cs="宋体"/>
          <w:snapToGrid w:val="0"/>
          <w:spacing w:val="0"/>
          <w:kern w:val="0"/>
          <w:sz w:val="30"/>
          <w:szCs w:val="30"/>
          <w:highlight w:val="none"/>
          <w:shd w:val="clear" w:color="auto" w:fill="FFFFFF"/>
          <w:lang w:val="en-US" w:eastAsia="zh-CN"/>
        </w:rPr>
        <w:t>18569685833</w:t>
      </w:r>
    </w:p>
    <w:p w14:paraId="077C5716">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地</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址：</w:t>
      </w:r>
      <w:r>
        <w:rPr>
          <w:rFonts w:hint="eastAsia" w:ascii="宋体" w:hAnsi="宋体" w:eastAsia="宋体" w:cs="宋体"/>
          <w:snapToGrid w:val="0"/>
          <w:spacing w:val="0"/>
          <w:kern w:val="0"/>
          <w:sz w:val="30"/>
          <w:szCs w:val="30"/>
          <w:highlight w:val="none"/>
          <w:shd w:val="clear" w:color="auto" w:fill="FFFFFF"/>
          <w:lang w:eastAsia="zh-CN"/>
        </w:rPr>
        <w:t>湖南省怀化市鹤城区本业大道华桥集团B栋1638室</w:t>
      </w:r>
    </w:p>
    <w:p w14:paraId="67A9AE12">
      <w:pPr>
        <w:spacing w:line="600" w:lineRule="exact"/>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bookmarkStart w:id="8" w:name="遴选须知"/>
    </w:p>
    <w:p w14:paraId="580A0E06">
      <w:pPr>
        <w:pStyle w:val="3"/>
        <w:bidi w:val="0"/>
        <w:jc w:val="center"/>
        <w:outlineLvl w:val="0"/>
        <w:rPr>
          <w:rFonts w:hint="eastAsia" w:ascii="宋体" w:hAnsi="宋体" w:eastAsia="宋体" w:cs="宋体"/>
          <w:sz w:val="36"/>
          <w:szCs w:val="36"/>
          <w:highlight w:val="none"/>
        </w:rPr>
      </w:pPr>
      <w:bookmarkStart w:id="9" w:name="_Toc26056"/>
      <w:r>
        <w:rPr>
          <w:rFonts w:hint="eastAsia" w:ascii="宋体" w:hAnsi="宋体" w:eastAsia="宋体" w:cs="宋体"/>
          <w:sz w:val="36"/>
          <w:szCs w:val="36"/>
          <w:highlight w:val="none"/>
        </w:rPr>
        <w:t>第二章　遴选须知</w:t>
      </w:r>
      <w:bookmarkEnd w:id="9"/>
    </w:p>
    <w:bookmarkEnd w:id="8"/>
    <w:p w14:paraId="2EED262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0" w:name="_Toc28161"/>
      <w:r>
        <w:rPr>
          <w:rFonts w:hint="eastAsia" w:ascii="宋体" w:hAnsi="宋体" w:eastAsia="宋体" w:cs="宋体"/>
          <w:b/>
          <w:bCs/>
          <w:color w:val="auto"/>
          <w:kern w:val="0"/>
          <w:sz w:val="30"/>
          <w:szCs w:val="30"/>
          <w:highlight w:val="none"/>
        </w:rPr>
        <w:t>一、遴选遵循的原则</w:t>
      </w:r>
      <w:bookmarkEnd w:id="10"/>
    </w:p>
    <w:p w14:paraId="7FA140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lang w:val="en-US" w:eastAsia="zh-CN"/>
        </w:rPr>
      </w:pPr>
      <w:bookmarkStart w:id="11" w:name="_Toc13511"/>
      <w:r>
        <w:rPr>
          <w:rFonts w:hint="eastAsia" w:ascii="宋体" w:hAnsi="宋体" w:eastAsia="宋体" w:cs="宋体"/>
          <w:color w:val="auto"/>
          <w:kern w:val="0"/>
          <w:sz w:val="30"/>
          <w:szCs w:val="30"/>
          <w:highlight w:val="none"/>
          <w:lang w:val="en-US" w:eastAsia="zh-CN"/>
        </w:rPr>
        <w:t>公开竞争性遴选工作遵循客观公正、适度竞争、诚实信用、违规淘汰原则，突出以承保机构服务能力、合规经营能力、风险管控能力、科技赋能能力为导向，以绩效评价结果为基础，以监督检查结果为依据，落实好财政部和省财政厅年度农业保险保费补贴整体绩效目标有关要求，切实提升农业保险服务质量。</w:t>
      </w:r>
    </w:p>
    <w:p w14:paraId="657CA8B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本项目</w:t>
      </w:r>
      <w:r>
        <w:rPr>
          <w:rFonts w:hint="eastAsia" w:ascii="宋体" w:hAnsi="宋体" w:cs="宋体"/>
          <w:color w:val="auto"/>
          <w:kern w:val="0"/>
          <w:sz w:val="30"/>
          <w:szCs w:val="30"/>
          <w:highlight w:val="none"/>
          <w:lang w:val="en-US" w:eastAsia="zh-CN"/>
        </w:rPr>
        <w:t>遴选对象为保险公司市州级分支机构，不接受省级及以上分支机构报名。</w:t>
      </w:r>
    </w:p>
    <w:p w14:paraId="2D622C8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二、遴选险种</w:t>
      </w:r>
      <w:bookmarkEnd w:id="11"/>
    </w:p>
    <w:p w14:paraId="181180A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rPr>
      </w:pPr>
      <w:r>
        <w:rPr>
          <w:rFonts w:hint="eastAsia" w:ascii="宋体" w:hAnsi="宋体" w:eastAsia="宋体" w:cs="宋体"/>
          <w:color w:val="auto"/>
          <w:kern w:val="0"/>
          <w:sz w:val="30"/>
          <w:szCs w:val="30"/>
          <w:highlight w:val="none"/>
        </w:rPr>
        <w:t>本次遴选在</w:t>
      </w:r>
      <w:r>
        <w:rPr>
          <w:rFonts w:hint="eastAsia" w:ascii="宋体" w:hAnsi="宋体" w:cs="宋体"/>
          <w:sz w:val="32"/>
          <w:szCs w:val="32"/>
          <w:highlight w:val="none"/>
          <w:lang w:eastAsia="zh-CN"/>
        </w:rPr>
        <w:t>怀化市</w:t>
      </w:r>
      <w:r>
        <w:rPr>
          <w:rFonts w:hint="eastAsia" w:ascii="宋体" w:hAnsi="宋体" w:cs="宋体"/>
          <w:color w:val="auto"/>
          <w:kern w:val="0"/>
          <w:sz w:val="30"/>
          <w:szCs w:val="30"/>
          <w:highlight w:val="none"/>
          <w:lang w:val="en-US" w:eastAsia="zh-CN"/>
        </w:rPr>
        <w:t>市本级及鹤城区</w:t>
      </w:r>
      <w:r>
        <w:rPr>
          <w:rFonts w:hint="eastAsia" w:ascii="宋体" w:hAnsi="宋体" w:eastAsia="宋体" w:cs="宋体"/>
          <w:color w:val="auto"/>
          <w:kern w:val="0"/>
          <w:sz w:val="30"/>
          <w:szCs w:val="30"/>
          <w:highlight w:val="none"/>
        </w:rPr>
        <w:t>内开展政策农业保险品种业务（不含省级共保）的承保机构。政策性农业保险品种</w:t>
      </w:r>
      <w:r>
        <w:rPr>
          <w:rFonts w:hint="eastAsia" w:ascii="宋体" w:hAnsi="宋体" w:eastAsia="宋体" w:cs="宋体"/>
          <w:color w:val="auto"/>
          <w:kern w:val="0"/>
          <w:sz w:val="30"/>
          <w:szCs w:val="30"/>
          <w:highlight w:val="none"/>
          <w:lang w:val="en-US" w:eastAsia="zh-CN"/>
        </w:rPr>
        <w:t>中央财政补贴的农业保险品种</w:t>
      </w:r>
      <w:r>
        <w:rPr>
          <w:rFonts w:hint="eastAsia" w:ascii="宋体" w:hAnsi="宋体" w:cs="宋体"/>
          <w:color w:val="auto"/>
          <w:kern w:val="0"/>
          <w:sz w:val="30"/>
          <w:szCs w:val="30"/>
          <w:highlight w:val="none"/>
          <w:lang w:val="en-US" w:eastAsia="zh-CN"/>
        </w:rPr>
        <w:t>4</w:t>
      </w:r>
      <w:r>
        <w:rPr>
          <w:rFonts w:hint="eastAsia" w:ascii="宋体" w:hAnsi="宋体" w:eastAsia="宋体" w:cs="宋体"/>
          <w:color w:val="auto"/>
          <w:kern w:val="0"/>
          <w:sz w:val="30"/>
          <w:szCs w:val="30"/>
          <w:highlight w:val="none"/>
          <w:lang w:val="en-US" w:eastAsia="zh-CN"/>
        </w:rPr>
        <w:t>个</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养殖、全险种、种植</w:t>
      </w:r>
      <w:r>
        <w:rPr>
          <w:rFonts w:hint="eastAsia" w:ascii="宋体" w:hAnsi="宋体" w:cs="宋体"/>
          <w:color w:val="auto"/>
          <w:kern w:val="0"/>
          <w:sz w:val="30"/>
          <w:szCs w:val="30"/>
          <w:highlight w:val="none"/>
          <w:lang w:val="en-US" w:eastAsia="zh-CN"/>
        </w:rPr>
        <w:t>、森林</w:t>
      </w:r>
      <w:r>
        <w:rPr>
          <w:rFonts w:hint="eastAsia" w:ascii="宋体" w:hAnsi="宋体" w:eastAsia="宋体" w:cs="宋体"/>
          <w:color w:val="auto"/>
          <w:kern w:val="0"/>
          <w:sz w:val="30"/>
          <w:szCs w:val="30"/>
          <w:highlight w:val="none"/>
        </w:rPr>
        <w:t>。</w:t>
      </w:r>
      <w:r>
        <w:rPr>
          <w:rFonts w:hint="eastAsia" w:ascii="宋体" w:hAnsi="宋体" w:eastAsia="宋体" w:cs="宋体"/>
          <w:kern w:val="0"/>
          <w:sz w:val="30"/>
          <w:szCs w:val="30"/>
          <w:highlight w:val="none"/>
          <w:lang w:val="en-US" w:eastAsia="zh-CN"/>
        </w:rPr>
        <w:t>标包具体情况见附件1。</w:t>
      </w:r>
    </w:p>
    <w:p w14:paraId="6599BDC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2" w:name="_Toc29974"/>
      <w:bookmarkStart w:id="13" w:name="_Toc13008"/>
      <w:r>
        <w:rPr>
          <w:rFonts w:hint="eastAsia" w:ascii="宋体" w:hAnsi="宋体" w:eastAsia="宋体" w:cs="宋体"/>
          <w:b/>
          <w:bCs/>
          <w:color w:val="auto"/>
          <w:kern w:val="0"/>
          <w:sz w:val="30"/>
          <w:szCs w:val="30"/>
          <w:highlight w:val="none"/>
        </w:rPr>
        <w:t>三、申请人资格条件</w:t>
      </w:r>
      <w:bookmarkEnd w:id="12"/>
    </w:p>
    <w:p w14:paraId="4C5B368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firstLine="600" w:firstLineChars="200"/>
        <w:jc w:val="left"/>
        <w:textAlignment w:val="auto"/>
        <w:rPr>
          <w:rFonts w:hint="eastAsia" w:ascii="宋体" w:hAnsi="宋体" w:eastAsia="宋体" w:cs="宋体"/>
          <w:b w:val="0"/>
          <w:bCs w:val="0"/>
          <w:snapToGrid w:val="0"/>
          <w:spacing w:val="0"/>
          <w:kern w:val="0"/>
          <w:sz w:val="30"/>
          <w:szCs w:val="30"/>
          <w:highlight w:val="none"/>
        </w:rPr>
      </w:pPr>
      <w:r>
        <w:rPr>
          <w:rFonts w:hint="eastAsia" w:ascii="宋体" w:hAnsi="宋体" w:eastAsia="宋体" w:cs="宋体"/>
          <w:b w:val="0"/>
          <w:bCs w:val="0"/>
          <w:snapToGrid w:val="0"/>
          <w:spacing w:val="0"/>
          <w:kern w:val="0"/>
          <w:sz w:val="30"/>
          <w:szCs w:val="30"/>
          <w:highlight w:val="none"/>
          <w:shd w:val="clear" w:color="auto" w:fill="FFFFFF"/>
        </w:rPr>
        <w:t>1、申请人需具备《湖南省财政厅</w:t>
      </w:r>
      <w:r>
        <w:rPr>
          <w:rFonts w:hint="eastAsia" w:ascii="宋体" w:hAnsi="宋体" w:eastAsia="宋体" w:cs="宋体"/>
          <w:b w:val="0"/>
          <w:bCs w:val="0"/>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val="0"/>
          <w:bCs w:val="0"/>
          <w:snapToGrid w:val="0"/>
          <w:spacing w:val="0"/>
          <w:kern w:val="0"/>
          <w:sz w:val="30"/>
          <w:szCs w:val="30"/>
          <w:highlight w:val="none"/>
          <w:shd w:val="clear" w:color="auto" w:fill="FFFFFF"/>
        </w:rPr>
        <w:t>关于印发〈公开竞争性遴选政策性农业保险承保机构实施办法）的通知》（</w:t>
      </w:r>
      <w:r>
        <w:rPr>
          <w:rFonts w:hint="eastAsia" w:cs="宋体"/>
          <w:b w:val="0"/>
          <w:bCs w:val="0"/>
          <w:snapToGrid w:val="0"/>
          <w:spacing w:val="0"/>
          <w:kern w:val="0"/>
          <w:sz w:val="30"/>
          <w:szCs w:val="30"/>
          <w:highlight w:val="none"/>
          <w:shd w:val="clear" w:color="auto" w:fill="FFFFFF"/>
          <w:lang w:eastAsia="zh-CN"/>
        </w:rPr>
        <w:t>湘财金【2026】4号</w:t>
      </w:r>
      <w:r>
        <w:rPr>
          <w:rFonts w:hint="eastAsia" w:ascii="宋体" w:hAnsi="宋体" w:eastAsia="宋体" w:cs="宋体"/>
          <w:b w:val="0"/>
          <w:bCs w:val="0"/>
          <w:snapToGrid w:val="0"/>
          <w:spacing w:val="0"/>
          <w:kern w:val="0"/>
          <w:sz w:val="30"/>
          <w:szCs w:val="30"/>
          <w:highlight w:val="none"/>
          <w:shd w:val="clear" w:color="auto" w:fill="FFFFFF"/>
        </w:rPr>
        <w:t>）规定的基本资格条件：</w:t>
      </w:r>
    </w:p>
    <w:p w14:paraId="0B709B1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7882234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（2）具有完善的农业保险大灾风险分散机制；</w:t>
      </w:r>
    </w:p>
    <w:p w14:paraId="6795E81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（3）具有完善的基层服务网络；</w:t>
      </w:r>
    </w:p>
    <w:p w14:paraId="08F52A5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77CFA7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3D9967A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4F0E2BD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65D121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（8）财政部门规定的其他条件。</w:t>
      </w:r>
    </w:p>
    <w:p w14:paraId="017C584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2、存在以下情况的保险机构不得参加遴选：</w:t>
      </w:r>
    </w:p>
    <w:p w14:paraId="5AF675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BBA4A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②以销售</w:t>
      </w:r>
      <w:r>
        <w:rPr>
          <w:rFonts w:hint="eastAsia" w:ascii="宋体" w:hAnsi="宋体" w:eastAsia="宋体" w:cs="宋体"/>
          <w:snapToGrid w:val="0"/>
          <w:spacing w:val="0"/>
          <w:kern w:val="0"/>
          <w:sz w:val="30"/>
          <w:szCs w:val="30"/>
          <w:highlight w:val="none"/>
          <w:shd w:val="clear" w:color="auto" w:fill="FFFFFF"/>
          <w:lang w:val="en-US" w:eastAsia="zh-CN" w:bidi="ar-SA"/>
        </w:rPr>
        <w:t>网点、“三农”保险服务网点等非市县级分支机构申请的，区级分支机构申请市州本级及所辖区遴选的，市级及以上分支机构申请省直管县市遴选的；</w:t>
      </w:r>
    </w:p>
    <w:p w14:paraId="082D5FD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p>
    <w:p w14:paraId="77C6976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四、选定数量及选包原则</w:t>
      </w:r>
      <w:bookmarkEnd w:id="13"/>
    </w:p>
    <w:p w14:paraId="5310E8EA">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bookmarkStart w:id="14" w:name="_Toc10232"/>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w:t>
      </w:r>
      <w:r>
        <w:rPr>
          <w:rFonts w:hint="eastAsia" w:ascii="宋体" w:hAnsi="宋体" w:cs="宋体"/>
          <w:snapToGrid w:val="0"/>
          <w:spacing w:val="0"/>
          <w:kern w:val="0"/>
          <w:sz w:val="30"/>
          <w:szCs w:val="30"/>
          <w:highlight w:val="none"/>
          <w:u w:val="single"/>
          <w:lang w:eastAsia="zh-CN"/>
        </w:rPr>
        <w:t>市本级及鹤城区</w:t>
      </w:r>
      <w:r>
        <w:rPr>
          <w:rFonts w:hint="eastAsia" w:ascii="宋体" w:hAnsi="宋体" w:eastAsia="宋体" w:cs="宋体"/>
          <w:snapToGrid w:val="0"/>
          <w:spacing w:val="0"/>
          <w:kern w:val="0"/>
          <w:sz w:val="30"/>
          <w:szCs w:val="30"/>
          <w:highlight w:val="none"/>
          <w:u w:val="single"/>
          <w:lang w:eastAsia="zh-CN"/>
        </w:rPr>
        <w:t>2026—2028年政策性农业保险承保机构项目</w:t>
      </w:r>
      <w:r>
        <w:rPr>
          <w:rFonts w:hint="eastAsia" w:ascii="宋体" w:hAnsi="宋体"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val="en-US" w:eastAsia="zh-CN"/>
        </w:rPr>
        <w:t>家，</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根据湘财金[2026]4号文的规定，所有遴选区域在中选机构之外，按照本办法遴选1家得分最高且具备农业保险实施能力的机构作为后备机构。</w:t>
      </w:r>
    </w:p>
    <w:p w14:paraId="0A4BDB9A">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outlineLvl w:val="1"/>
        <w:rPr>
          <w:rFonts w:hint="eastAsia" w:ascii="宋体" w:hAnsi="宋体" w:cs="宋体"/>
          <w:snapToGrid w:val="0"/>
          <w:color w:val="000000"/>
          <w:spacing w:val="0"/>
          <w:kern w:val="0"/>
          <w:sz w:val="30"/>
          <w:szCs w:val="30"/>
          <w:highlight w:val="none"/>
          <w:lang w:val="en-US" w:eastAsia="zh-CN" w:bidi="ar"/>
        </w:rPr>
      </w:pPr>
      <w:r>
        <w:rPr>
          <w:rFonts w:hint="eastAsia" w:ascii="宋体" w:hAnsi="宋体" w:cs="宋体"/>
          <w:snapToGrid w:val="0"/>
          <w:color w:val="000000"/>
          <w:spacing w:val="0"/>
          <w:kern w:val="0"/>
          <w:sz w:val="30"/>
          <w:szCs w:val="30"/>
          <w:highlight w:val="none"/>
          <w:lang w:val="en-US" w:eastAsia="zh-CN" w:bidi="ar"/>
        </w:rPr>
        <w:t>遴选对象为保险公司市州级分支机构，不接受省级及以上分支机构报名。</w:t>
      </w:r>
    </w:p>
    <w:p w14:paraId="49A40A9F">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2"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b/>
          <w:bCs/>
          <w:color w:val="auto"/>
          <w:kern w:val="0"/>
          <w:sz w:val="30"/>
          <w:szCs w:val="30"/>
          <w:highlight w:val="none"/>
          <w:lang w:val="en-US" w:eastAsia="zh-CN" w:bidi="ar-SA"/>
        </w:rPr>
        <w:t>五、服务期限的险种变化</w:t>
      </w:r>
      <w:bookmarkEnd w:id="14"/>
    </w:p>
    <w:p w14:paraId="5168D5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5" w:name="_Toc18148"/>
      <w:r>
        <w:rPr>
          <w:rFonts w:hint="eastAsia" w:ascii="宋体" w:hAnsi="宋体" w:eastAsia="宋体" w:cs="宋体"/>
          <w:kern w:val="0"/>
          <w:sz w:val="30"/>
          <w:szCs w:val="30"/>
          <w:highlight w:val="none"/>
        </w:rPr>
        <w:t>服务期限内各品种政策发生调整，仍由原中选承保机构承保。服务期内由于政策变化或当地产业发展需要出现新品种，参照</w:t>
      </w:r>
      <w:r>
        <w:rPr>
          <w:rFonts w:hint="eastAsia" w:ascii="宋体" w:hAnsi="宋体" w:eastAsia="宋体" w:cs="宋体"/>
          <w:kern w:val="0"/>
          <w:sz w:val="30"/>
          <w:szCs w:val="30"/>
          <w:highlight w:val="none"/>
          <w:lang w:eastAsia="zh-CN"/>
        </w:rPr>
        <w:t>湘财金【2026】4号</w:t>
      </w:r>
      <w:r>
        <w:rPr>
          <w:rFonts w:hint="eastAsia" w:ascii="宋体" w:hAnsi="宋体" w:eastAsia="宋体" w:cs="宋体"/>
          <w:kern w:val="0"/>
          <w:sz w:val="30"/>
          <w:szCs w:val="30"/>
          <w:highlight w:val="none"/>
        </w:rPr>
        <w:t>第</w:t>
      </w:r>
      <w:r>
        <w:rPr>
          <w:rFonts w:hint="eastAsia" w:ascii="宋体" w:hAnsi="宋体" w:eastAsia="宋体" w:cs="宋体"/>
          <w:kern w:val="0"/>
          <w:sz w:val="30"/>
          <w:szCs w:val="30"/>
          <w:highlight w:val="none"/>
          <w:lang w:val="en-US" w:eastAsia="zh-CN"/>
        </w:rPr>
        <w:t>十四</w:t>
      </w:r>
      <w:r>
        <w:rPr>
          <w:rFonts w:hint="eastAsia" w:ascii="宋体" w:hAnsi="宋体" w:eastAsia="宋体" w:cs="宋体"/>
          <w:kern w:val="0"/>
          <w:sz w:val="30"/>
          <w:szCs w:val="30"/>
          <w:highlight w:val="none"/>
        </w:rPr>
        <w:t>条规定确定承保机构，服务期限与该地区已遴选品种的剩余服务期限保持一致，下一轮遴选与其他品种一并开展。</w:t>
      </w:r>
    </w:p>
    <w:p w14:paraId="7584DFC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六、遴选小组</w:t>
      </w:r>
      <w:bookmarkEnd w:id="15"/>
    </w:p>
    <w:p w14:paraId="5747601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6" w:name="_Toc21796"/>
      <w:r>
        <w:rPr>
          <w:rFonts w:hint="eastAsia" w:ascii="宋体" w:hAnsi="宋体" w:eastAsia="宋体" w:cs="宋体"/>
          <w:kern w:val="0"/>
          <w:sz w:val="30"/>
          <w:szCs w:val="30"/>
          <w:highlight w:val="none"/>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518BD34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七、遴选评审标准</w:t>
      </w:r>
      <w:bookmarkEnd w:id="16"/>
    </w:p>
    <w:p w14:paraId="35965B7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评审按百分制计分，由省级评分指标和县级评分指标</w:t>
      </w:r>
      <w:r>
        <w:rPr>
          <w:rFonts w:hint="eastAsia" w:ascii="宋体" w:hAnsi="宋体" w:eastAsia="宋体" w:cs="宋体"/>
          <w:kern w:val="0"/>
          <w:sz w:val="30"/>
          <w:szCs w:val="30"/>
          <w:highlight w:val="none"/>
          <w:lang w:val="en-US" w:eastAsia="zh-CN"/>
        </w:rPr>
        <w:t>组成</w:t>
      </w:r>
      <w:r>
        <w:rPr>
          <w:rFonts w:hint="eastAsia" w:ascii="宋体" w:hAnsi="宋体" w:eastAsia="宋体" w:cs="宋体"/>
          <w:kern w:val="0"/>
          <w:sz w:val="30"/>
          <w:szCs w:val="30"/>
          <w:highlight w:val="none"/>
        </w:rPr>
        <w:t>。</w:t>
      </w:r>
    </w:p>
    <w:p w14:paraId="726E7C7E">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其中省级指标（</w:t>
      </w:r>
      <w:r>
        <w:rPr>
          <w:rFonts w:hint="default" w:ascii="宋体" w:hAnsi="宋体" w:eastAsia="宋体" w:cs="宋体"/>
          <w:color w:val="auto"/>
          <w:kern w:val="0"/>
          <w:sz w:val="30"/>
          <w:szCs w:val="30"/>
          <w:highlight w:val="none"/>
          <w:lang w:val="en-US" w:eastAsia="zh-CN"/>
        </w:rPr>
        <w:t>80</w:t>
      </w:r>
      <w:r>
        <w:rPr>
          <w:rFonts w:hint="eastAsia" w:ascii="宋体" w:hAnsi="宋体" w:eastAsia="宋体" w:cs="宋体"/>
          <w:color w:val="auto"/>
          <w:kern w:val="0"/>
          <w:sz w:val="30"/>
          <w:szCs w:val="30"/>
          <w:highlight w:val="none"/>
          <w:lang w:val="en-US" w:eastAsia="zh-CN"/>
        </w:rPr>
        <w:t>分）包括服务能力（</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分）、服务业绩（</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分）、合规经营及风险管控能力（</w:t>
      </w:r>
      <w:r>
        <w:rPr>
          <w:rFonts w:hint="default" w:ascii="宋体" w:hAnsi="宋体" w:eastAsia="宋体" w:cs="宋体"/>
          <w:color w:val="auto"/>
          <w:kern w:val="0"/>
          <w:sz w:val="30"/>
          <w:szCs w:val="30"/>
          <w:highlight w:val="none"/>
          <w:lang w:val="en-US" w:eastAsia="zh-CN"/>
        </w:rPr>
        <w:t>20</w:t>
      </w:r>
      <w:r>
        <w:rPr>
          <w:rFonts w:hint="eastAsia" w:ascii="宋体" w:hAnsi="宋体" w:eastAsia="宋体" w:cs="宋体"/>
          <w:color w:val="auto"/>
          <w:kern w:val="0"/>
          <w:sz w:val="30"/>
          <w:szCs w:val="30"/>
          <w:highlight w:val="none"/>
          <w:lang w:val="en-US" w:eastAsia="zh-CN"/>
        </w:rPr>
        <w:t>分）三项（具体指标及评分细则详见附件</w:t>
      </w:r>
      <w:r>
        <w:rPr>
          <w:rFonts w:hint="eastAsia" w:ascii="宋体" w:hAnsi="宋体" w:cs="宋体"/>
          <w:color w:val="auto"/>
          <w:kern w:val="0"/>
          <w:sz w:val="30"/>
          <w:szCs w:val="30"/>
          <w:highlight w:val="none"/>
          <w:lang w:val="en-US" w:eastAsia="zh-CN"/>
        </w:rPr>
        <w:t>2</w:t>
      </w:r>
      <w:r>
        <w:rPr>
          <w:rFonts w:hint="eastAsia" w:ascii="宋体" w:hAnsi="宋体" w:eastAsia="宋体" w:cs="宋体"/>
          <w:color w:val="auto"/>
          <w:kern w:val="0"/>
          <w:sz w:val="30"/>
          <w:szCs w:val="30"/>
          <w:highlight w:val="none"/>
          <w:lang w:val="en-US" w:eastAsia="zh-CN"/>
        </w:rPr>
        <w:t>）</w:t>
      </w:r>
      <w:r>
        <w:rPr>
          <w:rFonts w:hint="eastAsia" w:ascii="宋体" w:hAnsi="宋体" w:eastAsia="宋体" w:cs="宋体"/>
          <w:color w:val="auto"/>
          <w:kern w:val="0"/>
          <w:sz w:val="30"/>
          <w:szCs w:val="30"/>
          <w:highlight w:val="none"/>
        </w:rPr>
        <w:t>；</w:t>
      </w:r>
    </w:p>
    <w:p w14:paraId="0DEE6EF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cs="宋体"/>
          <w:kern w:val="0"/>
          <w:sz w:val="30"/>
          <w:szCs w:val="30"/>
          <w:highlight w:val="none"/>
          <w:lang w:val="en-US" w:eastAsia="zh-CN"/>
        </w:rPr>
      </w:pPr>
      <w:r>
        <w:rPr>
          <w:rFonts w:hint="eastAsia" w:ascii="宋体" w:hAnsi="宋体" w:cs="宋体"/>
          <w:kern w:val="0"/>
          <w:sz w:val="30"/>
          <w:szCs w:val="30"/>
          <w:highlight w:val="none"/>
          <w:lang w:val="en-US" w:eastAsia="zh-CN"/>
        </w:rPr>
        <w:t>县级自主设置指标一级指标分值为20分，二级指标从八个方面进行设置分别为：农业保险绩效、农户助贷工作、乡村振兴、农村金融贡献、地方特色农业发展、</w:t>
      </w:r>
      <w:r>
        <w:rPr>
          <w:rFonts w:hint="default" w:ascii="宋体" w:hAnsi="宋体" w:cs="宋体"/>
          <w:kern w:val="0"/>
          <w:sz w:val="30"/>
          <w:szCs w:val="30"/>
          <w:highlight w:val="none"/>
          <w:lang w:val="en-US" w:eastAsia="zh-CN"/>
        </w:rPr>
        <w:t>农业保险宣传</w:t>
      </w:r>
      <w:r>
        <w:rPr>
          <w:rFonts w:hint="eastAsia" w:ascii="宋体" w:hAnsi="宋体" w:cs="宋体"/>
          <w:kern w:val="0"/>
          <w:sz w:val="30"/>
          <w:szCs w:val="30"/>
          <w:highlight w:val="none"/>
          <w:lang w:val="en-US" w:eastAsia="zh-CN"/>
        </w:rPr>
        <w:t>、服务方案、响应文件制作。（具体分值及要求见附件3）</w:t>
      </w:r>
    </w:p>
    <w:p w14:paraId="3BBD2D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17" w:name="_Toc30408"/>
      <w:bookmarkStart w:id="18" w:name="_Toc32290"/>
      <w:r>
        <w:rPr>
          <w:rFonts w:hint="eastAsia" w:ascii="宋体" w:hAnsi="宋体" w:eastAsia="宋体" w:cs="宋体"/>
          <w:b/>
          <w:bCs/>
          <w:color w:val="auto"/>
          <w:kern w:val="0"/>
          <w:sz w:val="30"/>
          <w:szCs w:val="30"/>
          <w:highlight w:val="none"/>
          <w:lang w:val="en-US" w:eastAsia="zh-CN" w:bidi="ar-SA"/>
        </w:rPr>
        <w:t>八、评审方法</w:t>
      </w:r>
      <w:bookmarkEnd w:id="17"/>
    </w:p>
    <w:p w14:paraId="172AFA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9" w:name="_Toc17510"/>
      <w:r>
        <w:rPr>
          <w:rFonts w:hint="eastAsia" w:ascii="宋体" w:hAnsi="宋体" w:eastAsia="宋体" w:cs="宋体"/>
          <w:kern w:val="0"/>
          <w:sz w:val="30"/>
          <w:szCs w:val="30"/>
          <w:highlight w:val="none"/>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65F83F2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九、遴选响应文件的编制及要求</w:t>
      </w:r>
      <w:bookmarkEnd w:id="19"/>
    </w:p>
    <w:p w14:paraId="36E5B0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0" w:name="_Toc15583"/>
      <w:r>
        <w:rPr>
          <w:rFonts w:hint="eastAsia" w:ascii="宋体" w:hAnsi="宋体" w:eastAsia="宋体" w:cs="宋体"/>
          <w:kern w:val="0"/>
          <w:sz w:val="30"/>
          <w:szCs w:val="30"/>
          <w:highlight w:val="none"/>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78811E4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申请人响应文件的有效期为90日，从提交响应文件截止时间之日起计算。在此期间内响应文件对申请人具有法律效力。</w:t>
      </w:r>
    </w:p>
    <w:p w14:paraId="69E38D4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申请人响应文件的正本和副本应装订成册，正本一份、副本</w:t>
      </w:r>
      <w:r>
        <w:rPr>
          <w:rFonts w:hint="eastAsia" w:ascii="宋体" w:hAnsi="宋体" w:cs="宋体"/>
          <w:kern w:val="0"/>
          <w:sz w:val="30"/>
          <w:szCs w:val="30"/>
          <w:highlight w:val="none"/>
          <w:lang w:val="en-US" w:eastAsia="zh-CN"/>
        </w:rPr>
        <w:t>四</w:t>
      </w:r>
      <w:r>
        <w:rPr>
          <w:rFonts w:hint="eastAsia" w:ascii="宋体" w:hAnsi="宋体" w:eastAsia="宋体" w:cs="宋体"/>
          <w:kern w:val="0"/>
          <w:sz w:val="30"/>
          <w:szCs w:val="30"/>
          <w:highlight w:val="none"/>
        </w:rPr>
        <w:t>份、电子文件一份。正本和副本的封面上应标记“正本”或“副本”字样；当正本和副本有差异时，以正本为准。</w:t>
      </w:r>
    </w:p>
    <w:p w14:paraId="168BD06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十、遴选响应文件的递交、补充、修改或者撤回</w:t>
      </w:r>
      <w:bookmarkEnd w:id="20"/>
    </w:p>
    <w:p w14:paraId="22A9EFE1">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申请人按照遴选邀请中规定的时间、方式递交遴选响应文件，截止时间后不得补充、修改或者撤回。</w:t>
      </w:r>
    </w:p>
    <w:p w14:paraId="70943BF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1" w:name="_Toc1194"/>
      <w:r>
        <w:rPr>
          <w:rFonts w:hint="eastAsia" w:ascii="宋体" w:hAnsi="宋体" w:eastAsia="宋体" w:cs="宋体"/>
          <w:b/>
          <w:bCs/>
          <w:color w:val="auto"/>
          <w:kern w:val="0"/>
          <w:sz w:val="30"/>
          <w:szCs w:val="30"/>
          <w:highlight w:val="none"/>
          <w:lang w:val="en-US" w:eastAsia="zh-CN" w:bidi="ar-SA"/>
        </w:rPr>
        <w:t>十一、评审程序</w:t>
      </w:r>
      <w:bookmarkEnd w:id="21"/>
    </w:p>
    <w:p w14:paraId="0681034F">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评审程序由遴选小组负责完成，包括遴选响应文件资格性、符合性审查、评审计分以及按得分由高到低排序。</w:t>
      </w:r>
    </w:p>
    <w:p w14:paraId="4B9F4E03">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kern w:val="0"/>
          <w:sz w:val="30"/>
          <w:szCs w:val="30"/>
          <w:highlight w:val="none"/>
        </w:rPr>
        <w:t>资格性审查指对申请人响应文件的资格证明文件进行审查，以确定是否具备参加遴选资格条件。</w:t>
      </w:r>
    </w:p>
    <w:p w14:paraId="43D012B7">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符合性审查指对申请人响应文件有效性、完整性和响应程度进行审查，以确定是否对遴选文件的实质性响应要求作出响应。</w:t>
      </w:r>
    </w:p>
    <w:p w14:paraId="34C0CF06">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实质性响应指申请人响应文件与遴选文件要求的所有条款相符，没有偏离。实质性响应与否应由遴选小组认定，非实质性响应的申请人响应文件将不予评审计分。</w:t>
      </w:r>
    </w:p>
    <w:p w14:paraId="0D4EB49C">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遴选小组依据遴选评审标准，采用综合评分法计算申请人的得分。</w:t>
      </w:r>
    </w:p>
    <w:p w14:paraId="51A1AEE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2" w:name="_Toc23064"/>
      <w:r>
        <w:rPr>
          <w:rFonts w:hint="eastAsia" w:ascii="宋体" w:hAnsi="宋体" w:eastAsia="宋体" w:cs="宋体"/>
          <w:b/>
          <w:bCs/>
          <w:color w:val="auto"/>
          <w:kern w:val="0"/>
          <w:sz w:val="30"/>
          <w:szCs w:val="30"/>
          <w:highlight w:val="none"/>
          <w:lang w:val="en-US" w:eastAsia="zh-CN" w:bidi="ar-SA"/>
        </w:rPr>
        <w:t>十二、中选承保机构确定</w:t>
      </w:r>
      <w:bookmarkEnd w:id="22"/>
    </w:p>
    <w:p w14:paraId="4C4E482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color w:val="auto"/>
          <w:kern w:val="0"/>
          <w:sz w:val="30"/>
          <w:szCs w:val="30"/>
          <w:highlight w:val="none"/>
        </w:rPr>
      </w:pPr>
      <w:bookmarkStart w:id="23" w:name="_Toc21006"/>
      <w:r>
        <w:rPr>
          <w:rFonts w:hint="eastAsia" w:ascii="宋体" w:hAnsi="宋体" w:eastAsia="宋体" w:cs="宋体"/>
          <w:color w:val="auto"/>
          <w:kern w:val="0"/>
          <w:sz w:val="30"/>
          <w:szCs w:val="30"/>
          <w:highlight w:val="none"/>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3家时，符合遴选条件的申请人即可中选。</w:t>
      </w:r>
    </w:p>
    <w:p w14:paraId="3F640A0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十三、放弃中选或转包</w:t>
      </w:r>
      <w:bookmarkEnd w:id="23"/>
    </w:p>
    <w:p w14:paraId="0588BBA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4" w:name="_Toc17756"/>
      <w:r>
        <w:rPr>
          <w:rFonts w:hint="eastAsia" w:ascii="宋体" w:hAnsi="宋体" w:eastAsia="宋体" w:cs="宋体"/>
          <w:kern w:val="0"/>
          <w:sz w:val="30"/>
          <w:szCs w:val="30"/>
          <w:highlight w:val="none"/>
          <w:lang w:val="en-US" w:eastAsia="zh-CN"/>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和后备承保机构按本办法规定的选包规则依次补选。</w:t>
      </w:r>
    </w:p>
    <w:p w14:paraId="354209C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十四、合同签订及履约管理</w:t>
      </w:r>
      <w:bookmarkEnd w:id="24"/>
    </w:p>
    <w:p w14:paraId="426A42F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cs="宋体"/>
          <w:kern w:val="0"/>
          <w:sz w:val="30"/>
          <w:szCs w:val="30"/>
          <w:highlight w:val="none"/>
          <w:lang w:val="en-US" w:eastAsia="zh-CN"/>
        </w:rPr>
      </w:pPr>
      <w:bookmarkStart w:id="25" w:name="_Toc19986"/>
      <w:r>
        <w:rPr>
          <w:rFonts w:hint="eastAsia" w:ascii="宋体" w:hAnsi="宋体" w:eastAsia="宋体" w:cs="宋体"/>
          <w:kern w:val="0"/>
          <w:sz w:val="30"/>
          <w:szCs w:val="30"/>
          <w:highlight w:val="none"/>
          <w:lang w:val="en-US" w:eastAsia="zh-CN"/>
        </w:rPr>
        <w:t>市州、省直管县市财政局、农业农村局应当自中选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r>
        <w:rPr>
          <w:rFonts w:hint="eastAsia" w:ascii="宋体" w:hAnsi="宋体" w:cs="宋体"/>
          <w:kern w:val="0"/>
          <w:sz w:val="30"/>
          <w:szCs w:val="30"/>
          <w:highlight w:val="none"/>
          <w:lang w:val="en-US" w:eastAsia="zh-CN"/>
        </w:rPr>
        <w:t>。</w:t>
      </w:r>
    </w:p>
    <w:p w14:paraId="220279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中选承保机构在遴选区域承保服务期限为3年。在服务期限内，如存在以下情形的，取消中选承保机构在该区域剩余服务期限内的承保资格：</w:t>
      </w:r>
    </w:p>
    <w:p w14:paraId="159825F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1、在服务期限内连续两年绩效评价在70分以以下或单次绩效评价在60分以下的；</w:t>
      </w:r>
    </w:p>
    <w:p w14:paraId="67221838">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2、承保机构被财政等相关管理部门处罚停止农业保险补贴或业务的；</w:t>
      </w:r>
    </w:p>
    <w:p w14:paraId="7D575ED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3、承保机构及其所属省级分公司、总公司因农业保险业务受到金融监管部门重大行政处罚的（重大行政处罚标准以金融监管部门认定为准）；</w:t>
      </w:r>
    </w:p>
    <w:p w14:paraId="0D243BC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4、承保机构及其负责人因农业保险严重违规被移送纪检监察及司法部门并受到处理的；</w:t>
      </w:r>
    </w:p>
    <w:p w14:paraId="0894A7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5、以违规引税等不正当手段获得中选资格的；</w:t>
      </w:r>
    </w:p>
    <w:p w14:paraId="60874C1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6、承保机构因农业保险违规行为引发重大舆情的；</w:t>
      </w:r>
    </w:p>
    <w:p w14:paraId="6D43D3A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7、中央和我省其他农业保险相关政策文件规定应取消承保资格的情形。</w:t>
      </w:r>
    </w:p>
    <w:p w14:paraId="3112299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lang w:val="en-US" w:eastAsia="zh-CN" w:bidi="ar-SA"/>
        </w:rPr>
        <w:t>取消资格后该承保机构负责的业务，以标包为单位由后备承保机构、其他中选承保机构依次选包承接，服务期限为原中选承保机构的剩余服务期限，相关情况应及时报省财政厅、省农业农村厅备案。</w:t>
      </w:r>
    </w:p>
    <w:p w14:paraId="4F57E9B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十五、特殊情形</w:t>
      </w:r>
      <w:bookmarkEnd w:id="25"/>
    </w:p>
    <w:p w14:paraId="543735B7">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如有特殊情况，向省财政厅报告并经批准后再开展遴选工作。</w:t>
      </w:r>
    </w:p>
    <w:p w14:paraId="0D1378D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6" w:name="_Toc28538"/>
      <w:r>
        <w:rPr>
          <w:rFonts w:hint="eastAsia" w:ascii="宋体" w:hAnsi="宋体" w:eastAsia="宋体" w:cs="宋体"/>
          <w:b/>
          <w:bCs/>
          <w:color w:val="auto"/>
          <w:kern w:val="0"/>
          <w:sz w:val="30"/>
          <w:szCs w:val="30"/>
          <w:highlight w:val="none"/>
          <w:lang w:val="en-US" w:eastAsia="zh-CN" w:bidi="ar-SA"/>
        </w:rPr>
        <w:t>十六、保密及串通行为</w:t>
      </w:r>
      <w:bookmarkEnd w:id="26"/>
    </w:p>
    <w:p w14:paraId="2AE8444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遴选小组成员以及其他与评审工作有关人员不得泄露遴选过程中获悉的国家秘密、商业秘密。</w:t>
      </w:r>
    </w:p>
    <w:p w14:paraId="63A68CA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95965E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7" w:name="_Toc28247"/>
      <w:r>
        <w:rPr>
          <w:rFonts w:hint="eastAsia" w:ascii="宋体" w:hAnsi="宋体" w:eastAsia="宋体" w:cs="宋体"/>
          <w:b/>
          <w:bCs/>
          <w:color w:val="auto"/>
          <w:kern w:val="0"/>
          <w:sz w:val="30"/>
          <w:szCs w:val="30"/>
          <w:highlight w:val="none"/>
          <w:lang w:val="en-US" w:eastAsia="zh-CN" w:bidi="ar-SA"/>
        </w:rPr>
        <w:t>十七、遴选监督</w:t>
      </w:r>
      <w:bookmarkEnd w:id="27"/>
    </w:p>
    <w:p w14:paraId="4A7C089B">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怀化市财政局机关纪委和怀化市农业农村局机关纪委</w:t>
      </w:r>
      <w:r>
        <w:rPr>
          <w:rFonts w:hint="eastAsia" w:ascii="宋体" w:hAnsi="宋体" w:eastAsia="宋体" w:cs="宋体"/>
          <w:color w:val="auto"/>
          <w:kern w:val="0"/>
          <w:sz w:val="30"/>
          <w:szCs w:val="30"/>
          <w:highlight w:val="none"/>
        </w:rPr>
        <w:t>将对本次遴选工作全过程监督。欢迎社会各界检举、揭发本次遴选中的各种违法、违纪行为。</w:t>
      </w:r>
    </w:p>
    <w:p w14:paraId="2D938D6D">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电话：</w:t>
      </w:r>
      <w:r>
        <w:rPr>
          <w:rFonts w:hint="eastAsia" w:ascii="宋体" w:hAnsi="宋体" w:eastAsia="宋体" w:cs="宋体"/>
          <w:kern w:val="0"/>
          <w:sz w:val="30"/>
          <w:szCs w:val="30"/>
          <w:highlight w:val="none"/>
        </w:rPr>
        <w:t>0745-2</w:t>
      </w:r>
      <w:r>
        <w:rPr>
          <w:rFonts w:hint="eastAsia" w:ascii="宋体" w:hAnsi="宋体" w:eastAsia="宋体" w:cs="宋体"/>
          <w:kern w:val="0"/>
          <w:sz w:val="30"/>
          <w:szCs w:val="30"/>
          <w:highlight w:val="none"/>
          <w:lang w:val="en-US" w:eastAsia="zh-CN"/>
        </w:rPr>
        <w:t>725227     0745-2331026</w:t>
      </w:r>
      <w:r>
        <w:rPr>
          <w:rFonts w:hint="eastAsia" w:ascii="宋体" w:hAnsi="宋体" w:eastAsia="宋体" w:cs="宋体"/>
          <w:color w:val="auto"/>
          <w:kern w:val="0"/>
          <w:sz w:val="30"/>
          <w:szCs w:val="30"/>
          <w:highlight w:val="none"/>
        </w:rPr>
        <w:t>。</w:t>
      </w:r>
    </w:p>
    <w:p w14:paraId="1156A93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8" w:name="_Toc18295"/>
      <w:r>
        <w:rPr>
          <w:rFonts w:hint="eastAsia" w:ascii="宋体" w:hAnsi="宋体" w:eastAsia="宋体" w:cs="宋体"/>
          <w:b/>
          <w:bCs/>
          <w:color w:val="auto"/>
          <w:kern w:val="0"/>
          <w:sz w:val="30"/>
          <w:szCs w:val="30"/>
          <w:highlight w:val="none"/>
          <w:lang w:val="en-US" w:eastAsia="zh-CN" w:bidi="ar-SA"/>
        </w:rPr>
        <w:t>十八、评分标准</w:t>
      </w:r>
      <w:bookmarkEnd w:id="28"/>
    </w:p>
    <w:p w14:paraId="3FE28127">
      <w:pPr>
        <w:pStyle w:val="4"/>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firstLine="600" w:firstLineChars="200"/>
        <w:jc w:val="left"/>
        <w:textAlignment w:val="auto"/>
        <w:rPr>
          <w:rFonts w:hint="eastAsia" w:ascii="宋体" w:hAnsi="宋体" w:eastAsia="宋体" w:cs="宋体"/>
          <w:b w:val="0"/>
          <w:color w:val="auto"/>
          <w:kern w:val="0"/>
          <w:sz w:val="30"/>
          <w:szCs w:val="30"/>
          <w:highlight w:val="none"/>
          <w:lang w:val="en-US" w:eastAsia="zh-CN" w:bidi="ar-SA"/>
        </w:rPr>
      </w:pPr>
      <w:r>
        <w:rPr>
          <w:rFonts w:hint="eastAsia" w:ascii="宋体" w:hAnsi="宋体" w:eastAsia="宋体" w:cs="宋体"/>
          <w:b w:val="0"/>
          <w:color w:val="auto"/>
          <w:kern w:val="0"/>
          <w:sz w:val="30"/>
          <w:szCs w:val="30"/>
          <w:highlight w:val="none"/>
          <w:lang w:val="en-US" w:eastAsia="zh-CN" w:bidi="ar-SA"/>
        </w:rPr>
        <w:t>具体指标详见附件2《公开竞争性遴选政策性农业保险承保机构评审标准（省级）》与附件3《公开竞争性遴选政策性农业保险承保机构评审标准（县级）》</w:t>
      </w:r>
    </w:p>
    <w:p w14:paraId="30C9D9D4">
      <w:pPr>
        <w:pStyle w:val="4"/>
        <w:bidi w:val="0"/>
        <w:rPr>
          <w:rFonts w:hint="eastAsia" w:ascii="宋体" w:hAnsi="宋体" w:eastAsia="宋体" w:cs="宋体"/>
          <w:sz w:val="24"/>
          <w:szCs w:val="24"/>
          <w:highlight w:val="none"/>
        </w:rPr>
        <w:sectPr>
          <w:footerReference r:id="rId3" w:type="default"/>
          <w:pgSz w:w="11906" w:h="16838"/>
          <w:pgMar w:top="1701" w:right="1279"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7F85BC8A">
      <w:pPr>
        <w:pStyle w:val="4"/>
        <w:keepNext/>
        <w:keepLines/>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附件1</w:t>
      </w:r>
      <w:bookmarkEnd w:id="18"/>
      <w:r>
        <w:rPr>
          <w:rFonts w:hint="eastAsia" w:ascii="宋体" w:hAnsi="宋体" w:cs="宋体"/>
          <w:sz w:val="24"/>
          <w:szCs w:val="24"/>
          <w:highlight w:val="none"/>
          <w:lang w:eastAsia="zh-CN"/>
        </w:rPr>
        <w:t>：</w:t>
      </w:r>
    </w:p>
    <w:p w14:paraId="07B247B4">
      <w:pPr>
        <w:pStyle w:val="4"/>
        <w:keepNext/>
        <w:keepLines/>
        <w:pageBreakBefore w:val="0"/>
        <w:widowControl w:val="0"/>
        <w:kinsoku/>
        <w:wordWrap/>
        <w:overflowPunct/>
        <w:topLinePunct w:val="0"/>
        <w:autoSpaceDE/>
        <w:autoSpaceDN/>
        <w:bidi w:val="0"/>
        <w:adjustRightInd w:val="0"/>
        <w:snapToGrid w:val="0"/>
        <w:spacing w:before="0" w:after="0" w:line="240" w:lineRule="auto"/>
        <w:jc w:val="right"/>
        <w:textAlignment w:val="auto"/>
        <w:rPr>
          <w:rFonts w:hint="eastAsia" w:ascii="宋体" w:hAnsi="宋体" w:eastAsia="宋体" w:cs="宋体"/>
          <w:highlight w:val="none"/>
        </w:rPr>
      </w:pPr>
      <w:r>
        <w:rPr>
          <w:rFonts w:hint="eastAsia" w:ascii="宋体" w:hAnsi="宋体" w:cs="宋体"/>
          <w:sz w:val="24"/>
          <w:szCs w:val="24"/>
          <w:highlight w:val="none"/>
          <w:lang w:eastAsia="zh-CN"/>
        </w:rPr>
        <w:t>金额（元）</w:t>
      </w:r>
    </w:p>
    <w:p w14:paraId="7D5F3E7C">
      <w:pPr>
        <w:pStyle w:val="17"/>
        <w:rPr>
          <w:rFonts w:hint="eastAsia"/>
          <w:highlight w:val="none"/>
        </w:rPr>
      </w:pPr>
    </w:p>
    <w:tbl>
      <w:tblPr>
        <w:tblStyle w:val="20"/>
        <w:tblW w:w="9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1252"/>
        <w:gridCol w:w="1611"/>
        <w:gridCol w:w="1749"/>
        <w:gridCol w:w="1217"/>
        <w:gridCol w:w="2363"/>
      </w:tblGrid>
      <w:tr w14:paraId="17BC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F64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项目包</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C65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险种类别</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13C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小计（元）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AAB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保费金额</w:t>
            </w:r>
          </w:p>
          <w:p w14:paraId="19A9E5C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F58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占比</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F4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行政区域</w:t>
            </w:r>
          </w:p>
        </w:tc>
      </w:tr>
      <w:tr w14:paraId="071F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09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包1</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06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养殖</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05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1610000.00 </w:t>
            </w:r>
          </w:p>
        </w:tc>
        <w:tc>
          <w:tcPr>
            <w:tcW w:w="1749" w:type="dxa"/>
            <w:vMerge w:val="restart"/>
            <w:tcBorders>
              <w:top w:val="single" w:color="000000" w:sz="4" w:space="0"/>
              <w:left w:val="single" w:color="000000" w:sz="4" w:space="0"/>
              <w:right w:val="single" w:color="000000" w:sz="4" w:space="0"/>
            </w:tcBorders>
            <w:shd w:val="clear" w:color="auto" w:fill="auto"/>
            <w:noWrap/>
            <w:vAlign w:val="center"/>
          </w:tcPr>
          <w:p w14:paraId="4B3FBB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2100000.00</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
          <w:p w14:paraId="61DDCB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44.49%</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92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黄金坳镇标包1</w:t>
            </w:r>
          </w:p>
        </w:tc>
      </w:tr>
      <w:tr w14:paraId="3A46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FE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8F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52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80000.00 </w:t>
            </w:r>
          </w:p>
        </w:tc>
        <w:tc>
          <w:tcPr>
            <w:tcW w:w="1749" w:type="dxa"/>
            <w:vMerge w:val="continue"/>
            <w:tcBorders>
              <w:left w:val="single" w:color="000000" w:sz="4" w:space="0"/>
              <w:right w:val="single" w:color="000000" w:sz="4" w:space="0"/>
            </w:tcBorders>
            <w:shd w:val="clear" w:color="auto" w:fill="auto"/>
            <w:noWrap/>
            <w:vAlign w:val="center"/>
          </w:tcPr>
          <w:p w14:paraId="469017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right w:val="single" w:color="000000" w:sz="4" w:space="0"/>
            </w:tcBorders>
            <w:shd w:val="clear" w:color="auto" w:fill="auto"/>
            <w:noWrap/>
            <w:vAlign w:val="center"/>
          </w:tcPr>
          <w:p w14:paraId="481F5D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FC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迎丰街道标包4</w:t>
            </w:r>
          </w:p>
        </w:tc>
      </w:tr>
      <w:tr w14:paraId="1CE8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C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E3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DB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90000.00 </w:t>
            </w:r>
          </w:p>
        </w:tc>
        <w:tc>
          <w:tcPr>
            <w:tcW w:w="1749" w:type="dxa"/>
            <w:vMerge w:val="continue"/>
            <w:tcBorders>
              <w:left w:val="single" w:color="000000" w:sz="4" w:space="0"/>
              <w:right w:val="single" w:color="000000" w:sz="4" w:space="0"/>
            </w:tcBorders>
            <w:shd w:val="clear" w:color="auto" w:fill="auto"/>
            <w:noWrap/>
            <w:vAlign w:val="center"/>
          </w:tcPr>
          <w:p w14:paraId="544C31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right w:val="single" w:color="000000" w:sz="4" w:space="0"/>
            </w:tcBorders>
            <w:shd w:val="clear" w:color="auto" w:fill="auto"/>
            <w:noWrap/>
            <w:vAlign w:val="center"/>
          </w:tcPr>
          <w:p w14:paraId="0ACD7F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E7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城南街道标包6</w:t>
            </w:r>
          </w:p>
        </w:tc>
      </w:tr>
      <w:tr w14:paraId="0B15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38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3D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72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20000.00 </w:t>
            </w:r>
          </w:p>
        </w:tc>
        <w:tc>
          <w:tcPr>
            <w:tcW w:w="1749" w:type="dxa"/>
            <w:vMerge w:val="continue"/>
            <w:tcBorders>
              <w:left w:val="single" w:color="000000" w:sz="4" w:space="0"/>
              <w:right w:val="single" w:color="000000" w:sz="4" w:space="0"/>
            </w:tcBorders>
            <w:shd w:val="clear" w:color="auto" w:fill="auto"/>
            <w:noWrap/>
            <w:vAlign w:val="center"/>
          </w:tcPr>
          <w:p w14:paraId="7B1E92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right w:val="single" w:color="000000" w:sz="4" w:space="0"/>
            </w:tcBorders>
            <w:shd w:val="clear" w:color="auto" w:fill="auto"/>
            <w:noWrap/>
            <w:vAlign w:val="center"/>
          </w:tcPr>
          <w:p w14:paraId="12E5BB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1B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城北街道标包7</w:t>
            </w:r>
          </w:p>
        </w:tc>
      </w:tr>
      <w:tr w14:paraId="1F4F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17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E2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25A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300000.00 </w:t>
            </w:r>
          </w:p>
        </w:tc>
        <w:tc>
          <w:tcPr>
            <w:tcW w:w="1749" w:type="dxa"/>
            <w:vMerge w:val="continue"/>
            <w:tcBorders>
              <w:left w:val="single" w:color="000000" w:sz="4" w:space="0"/>
              <w:bottom w:val="single" w:color="000000" w:sz="4" w:space="0"/>
              <w:right w:val="single" w:color="000000" w:sz="4" w:space="0"/>
            </w:tcBorders>
            <w:shd w:val="clear" w:color="auto" w:fill="auto"/>
            <w:noWrap/>
            <w:vAlign w:val="center"/>
          </w:tcPr>
          <w:p w14:paraId="0EE172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
          <w:p w14:paraId="2D6F30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47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盈口街道标包8</w:t>
            </w:r>
          </w:p>
        </w:tc>
      </w:tr>
      <w:tr w14:paraId="7565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BE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8A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种植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71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590000.00 </w:t>
            </w:r>
          </w:p>
        </w:tc>
        <w:tc>
          <w:tcPr>
            <w:tcW w:w="1749" w:type="dxa"/>
            <w:vMerge w:val="restart"/>
            <w:tcBorders>
              <w:top w:val="single" w:color="000000" w:sz="4" w:space="0"/>
              <w:left w:val="single" w:color="000000" w:sz="4" w:space="0"/>
              <w:right w:val="single" w:color="000000" w:sz="4" w:space="0"/>
            </w:tcBorders>
            <w:shd w:val="clear" w:color="auto" w:fill="auto"/>
            <w:noWrap/>
            <w:vAlign w:val="center"/>
          </w:tcPr>
          <w:p w14:paraId="4BE4D3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1570000.00</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
          <w:p w14:paraId="44BA07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33.26%</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44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黄金坳镇标包2</w:t>
            </w:r>
          </w:p>
        </w:tc>
      </w:tr>
      <w:tr w14:paraId="49E1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90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CC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森林</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53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200000.00  </w:t>
            </w:r>
          </w:p>
        </w:tc>
        <w:tc>
          <w:tcPr>
            <w:tcW w:w="1749" w:type="dxa"/>
            <w:vMerge w:val="continue"/>
            <w:tcBorders>
              <w:left w:val="single" w:color="000000" w:sz="4" w:space="0"/>
              <w:right w:val="single" w:color="000000" w:sz="4" w:space="0"/>
            </w:tcBorders>
            <w:shd w:val="clear" w:color="auto" w:fill="auto"/>
            <w:noWrap/>
            <w:vAlign w:val="center"/>
          </w:tcPr>
          <w:p w14:paraId="1EB768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right w:val="single" w:color="000000" w:sz="4" w:space="0"/>
            </w:tcBorders>
            <w:shd w:val="clear" w:color="auto" w:fill="auto"/>
            <w:noWrap/>
            <w:vAlign w:val="center"/>
          </w:tcPr>
          <w:p w14:paraId="50743B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67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黄金坳镇标包3</w:t>
            </w:r>
          </w:p>
        </w:tc>
      </w:tr>
      <w:tr w14:paraId="35F9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B6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B0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06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280000.00  </w:t>
            </w:r>
          </w:p>
        </w:tc>
        <w:tc>
          <w:tcPr>
            <w:tcW w:w="1749" w:type="dxa"/>
            <w:vMerge w:val="continue"/>
            <w:tcBorders>
              <w:left w:val="single" w:color="000000" w:sz="4" w:space="0"/>
              <w:right w:val="single" w:color="000000" w:sz="4" w:space="0"/>
            </w:tcBorders>
            <w:shd w:val="clear" w:color="auto" w:fill="auto"/>
            <w:noWrap/>
            <w:vAlign w:val="center"/>
          </w:tcPr>
          <w:p w14:paraId="2FDEC3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right w:val="single" w:color="000000" w:sz="4" w:space="0"/>
            </w:tcBorders>
            <w:shd w:val="clear" w:color="auto" w:fill="auto"/>
            <w:noWrap/>
            <w:vAlign w:val="center"/>
          </w:tcPr>
          <w:p w14:paraId="112262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5F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河西街道标包12</w:t>
            </w:r>
          </w:p>
        </w:tc>
      </w:tr>
      <w:tr w14:paraId="5127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A7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86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F4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500000.00  </w:t>
            </w:r>
          </w:p>
        </w:tc>
        <w:tc>
          <w:tcPr>
            <w:tcW w:w="1749" w:type="dxa"/>
            <w:vMerge w:val="continue"/>
            <w:tcBorders>
              <w:left w:val="single" w:color="000000" w:sz="4" w:space="0"/>
              <w:bottom w:val="single" w:color="000000" w:sz="4" w:space="0"/>
              <w:right w:val="single" w:color="000000" w:sz="4" w:space="0"/>
            </w:tcBorders>
            <w:shd w:val="clear" w:color="auto" w:fill="auto"/>
            <w:noWrap/>
            <w:vAlign w:val="center"/>
          </w:tcPr>
          <w:p w14:paraId="7D85FA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
          <w:p w14:paraId="27C6E6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6A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凉亭坳乡标包10</w:t>
            </w:r>
          </w:p>
        </w:tc>
      </w:tr>
      <w:tr w14:paraId="6F0E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3D7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包3</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1C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A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270000.00  </w:t>
            </w:r>
          </w:p>
        </w:tc>
        <w:tc>
          <w:tcPr>
            <w:tcW w:w="1749" w:type="dxa"/>
            <w:vMerge w:val="restart"/>
            <w:tcBorders>
              <w:top w:val="single" w:color="000000" w:sz="4" w:space="0"/>
              <w:left w:val="single" w:color="000000" w:sz="4" w:space="0"/>
              <w:right w:val="single" w:color="000000" w:sz="4" w:space="0"/>
            </w:tcBorders>
            <w:shd w:val="clear" w:color="auto" w:fill="auto"/>
            <w:noWrap/>
            <w:vAlign w:val="center"/>
          </w:tcPr>
          <w:p w14:paraId="641939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1050000.00</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
          <w:p w14:paraId="10DFA5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22.25%</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54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黄岩旅游度假区标包9</w:t>
            </w:r>
          </w:p>
        </w:tc>
      </w:tr>
      <w:tr w14:paraId="0CA6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A7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97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33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680000.00  </w:t>
            </w:r>
          </w:p>
        </w:tc>
        <w:tc>
          <w:tcPr>
            <w:tcW w:w="1749" w:type="dxa"/>
            <w:vMerge w:val="continue"/>
            <w:tcBorders>
              <w:left w:val="single" w:color="000000" w:sz="4" w:space="0"/>
              <w:right w:val="single" w:color="000000" w:sz="4" w:space="0"/>
            </w:tcBorders>
            <w:shd w:val="clear" w:color="auto" w:fill="auto"/>
            <w:noWrap/>
            <w:vAlign w:val="center"/>
          </w:tcPr>
          <w:p w14:paraId="1D25DB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right w:val="single" w:color="000000" w:sz="4" w:space="0"/>
            </w:tcBorders>
            <w:shd w:val="clear" w:color="auto" w:fill="auto"/>
            <w:noWrap/>
            <w:vAlign w:val="center"/>
          </w:tcPr>
          <w:p w14:paraId="5D9754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57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坨院街道标包11</w:t>
            </w:r>
          </w:p>
        </w:tc>
      </w:tr>
      <w:tr w14:paraId="609F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8C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4F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全险种</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99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100000.00  </w:t>
            </w:r>
          </w:p>
        </w:tc>
        <w:tc>
          <w:tcPr>
            <w:tcW w:w="1749" w:type="dxa"/>
            <w:vMerge w:val="continue"/>
            <w:tcBorders>
              <w:left w:val="single" w:color="000000" w:sz="4" w:space="0"/>
              <w:bottom w:val="single" w:color="000000" w:sz="4" w:space="0"/>
              <w:right w:val="single" w:color="000000" w:sz="4" w:space="0"/>
            </w:tcBorders>
            <w:shd w:val="clear" w:color="auto" w:fill="auto"/>
            <w:noWrap/>
            <w:vAlign w:val="center"/>
          </w:tcPr>
          <w:p w14:paraId="4633CA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
          <w:p w14:paraId="72D2DC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02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城中街道标包5</w:t>
            </w:r>
          </w:p>
        </w:tc>
      </w:tr>
    </w:tbl>
    <w:p w14:paraId="420DC1FF">
      <w:pPr>
        <w:pStyle w:val="18"/>
        <w:rPr>
          <w:rFonts w:hint="eastAsia"/>
          <w:highlight w:val="none"/>
        </w:rPr>
        <w:sectPr>
          <w:pgSz w:w="11906" w:h="16838"/>
          <w:pgMar w:top="1701" w:right="1134"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50FBACC3">
      <w:pPr>
        <w:pStyle w:val="4"/>
        <w:keepNext/>
        <w:keepLines/>
        <w:pageBreakBefore w:val="0"/>
        <w:widowControl w:val="0"/>
        <w:kinsoku/>
        <w:wordWrap/>
        <w:overflowPunct/>
        <w:topLinePunct w:val="0"/>
        <w:autoSpaceDE/>
        <w:autoSpaceDN/>
        <w:bidi w:val="0"/>
        <w:adjustRightInd w:val="0"/>
        <w:snapToGrid w:val="0"/>
        <w:spacing w:before="0" w:after="0" w:line="413" w:lineRule="auto"/>
        <w:textAlignment w:val="auto"/>
        <w:rPr>
          <w:rFonts w:hint="eastAsia" w:ascii="宋体" w:hAnsi="宋体" w:eastAsia="宋体" w:cs="宋体"/>
          <w:b/>
          <w:sz w:val="24"/>
          <w:szCs w:val="24"/>
          <w:highlight w:val="none"/>
        </w:rPr>
      </w:pPr>
      <w:bookmarkStart w:id="29" w:name="_Toc2672"/>
      <w:bookmarkStart w:id="30" w:name="OLE_LINK1"/>
      <w:r>
        <w:rPr>
          <w:rFonts w:hint="eastAsia" w:ascii="宋体" w:hAnsi="宋体" w:eastAsia="宋体" w:cs="宋体"/>
          <w:b/>
          <w:sz w:val="24"/>
          <w:szCs w:val="24"/>
          <w:highlight w:val="none"/>
        </w:rPr>
        <w:t>附件2</w:t>
      </w:r>
      <w:bookmarkEnd w:id="29"/>
    </w:p>
    <w:p w14:paraId="47A41413">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highlight w:val="none"/>
        </w:rPr>
      </w:pPr>
      <w:r>
        <w:rPr>
          <w:rFonts w:hint="eastAsia" w:ascii="宋体" w:hAnsi="宋体" w:eastAsia="宋体" w:cs="宋体"/>
          <w:b/>
          <w:bCs/>
          <w:color w:val="000000"/>
          <w:kern w:val="0"/>
          <w:sz w:val="32"/>
          <w:szCs w:val="32"/>
          <w:highlight w:val="none"/>
        </w:rPr>
        <w:t>政策性农业保险承保机构公开竞争性遴选评审省级指标及评分规则（省级）</w:t>
      </w: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5E0E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0D4B2F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7E8A43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1439340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747A2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3DB2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10F5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18EB49E6">
            <w:pPr>
              <w:pStyle w:val="38"/>
              <w:keepNext w:val="0"/>
              <w:keepLines w:val="0"/>
              <w:pageBreakBefore w:val="0"/>
              <w:widowControl w:val="0"/>
              <w:tabs>
                <w:tab w:val="left" w:pos="427"/>
                <w:tab w:val="left" w:pos="847"/>
                <w:tab w:val="left" w:pos="1267"/>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CBD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2" w:type="dxa"/>
            <w:vMerge w:val="restart"/>
            <w:vAlign w:val="center"/>
          </w:tcPr>
          <w:p w14:paraId="7860FB5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3BE73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能力</w:t>
            </w:r>
          </w:p>
          <w:p w14:paraId="53EF03B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4320172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市县机构设置</w:t>
            </w:r>
          </w:p>
          <w:p w14:paraId="52D0981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89B5FB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32BC93F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遴选区域为市州本级及所辖区的，参加遴选的承保机构得分=2分+设立区支公司/所辖区个数×2分+设立区营销服务部/所辖区个数×1分，最高分不超过4分。</w:t>
            </w:r>
          </w:p>
          <w:p w14:paraId="0BC3D74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遴选区域为省直管县市的，设立县级分支公司的计4分，设立县级营销服务部的计1分，最高分不超过4分。</w:t>
            </w:r>
          </w:p>
        </w:tc>
        <w:tc>
          <w:tcPr>
            <w:tcW w:w="6836" w:type="dxa"/>
            <w:vAlign w:val="center"/>
          </w:tcPr>
          <w:p w14:paraId="65DEA1C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级分支公司、县级营销服务部为经金融监管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14:paraId="551D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722" w:type="dxa"/>
            <w:vMerge w:val="continue"/>
            <w:vAlign w:val="center"/>
          </w:tcPr>
          <w:p w14:paraId="7433A5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restart"/>
            <w:vAlign w:val="center"/>
          </w:tcPr>
          <w:p w14:paraId="52A31B1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基层</w:t>
            </w:r>
          </w:p>
          <w:p w14:paraId="6A312BD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53E545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体系</w:t>
            </w:r>
          </w:p>
          <w:p w14:paraId="4312E61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6分</w:t>
            </w:r>
          </w:p>
        </w:tc>
        <w:tc>
          <w:tcPr>
            <w:tcW w:w="858" w:type="dxa"/>
            <w:vMerge w:val="restart"/>
            <w:vAlign w:val="center"/>
          </w:tcPr>
          <w:p w14:paraId="36BB00B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w:t>
            </w:r>
          </w:p>
        </w:tc>
        <w:tc>
          <w:tcPr>
            <w:tcW w:w="6051" w:type="dxa"/>
            <w:vAlign w:val="center"/>
          </w:tcPr>
          <w:p w14:paraId="0A3C1E8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设有乡镇营销服务部或农业保险办公室。乡镇营销服务部据实计算，乡镇农业保险办公室按1×80%计算，同时设置乡镇营销服务部和农业保险办公室的，只计算乡镇营销服务部的得分。以遴选区域开展农业保险的行政区划乡镇数量为评审基准值（服务机构总数不超过乡镇数，超出遴选区域行政区划数量不纳入计算），参加遴选的承保机构按照下列公式计算：</w:t>
            </w:r>
          </w:p>
          <w:p w14:paraId="6AF8480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得分=（参加遴选的承保机构乡镇营销服务部数量+乡镇农业保险办公室数量×80%）/评审基准值×6分。</w:t>
            </w:r>
          </w:p>
        </w:tc>
        <w:tc>
          <w:tcPr>
            <w:tcW w:w="6836" w:type="dxa"/>
            <w:vMerge w:val="restart"/>
            <w:vAlign w:val="center"/>
          </w:tcPr>
          <w:p w14:paraId="14CC5C8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营销服务部为经金融监管部门批准的财产保险公司自有五级分支机构（含经监管部门批筹的，不含同一集团内的相互代理）,需提供经营许可证复印件、工商行政管理机关核发的营业执照复印件，并加盖参加遴选的承保机构公章。乡镇农业保险办公室以2024年12月31日前已经设立好的机构为准，需提供乡镇及以上人民政府或农业保险工作小组出具的参加遴选的承保机构与该乡镇合作的文件、协议等相关证明复印件加盖证明出具单位公章，提供办公现场实景照片。各公司不得突击、虚假挂牌，如提供虚假材料，则中选资格作废。</w:t>
            </w:r>
          </w:p>
        </w:tc>
      </w:tr>
      <w:tr w14:paraId="40F8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22" w:type="dxa"/>
            <w:vMerge w:val="continue"/>
            <w:vAlign w:val="center"/>
          </w:tcPr>
          <w:p w14:paraId="718B74D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5A57999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正式</w:t>
            </w:r>
          </w:p>
          <w:p w14:paraId="00FC14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305CDDD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79F272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2608F4C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Align w:val="center"/>
          </w:tcPr>
          <w:p w14:paraId="2C926EC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有专业农险人员，正式编制人员按实计算，劳务派遣人员按50%折算。以参加遴选的承保机构专业农险人员最多数量（若实际人数大于按遴选区域2024年度农业保险中央品种保费规模、400万元匹配1人测算值，余数向上取整，超出人数不纳入计算）为评审基准值，达到基准值的承保机构计满分。未达到基准值的承保机构该项</w:t>
            </w:r>
          </w:p>
          <w:p w14:paraId="3DA0F1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得分=参加遴选的承保机构专业农险人员数量/评审基准值×5分。</w:t>
            </w:r>
          </w:p>
          <w:p w14:paraId="34810CA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中央品种指中央财政给予补贴的水稻、水稻制种、玉米、棉花、油菜、大豆、能繁母猪、育肥猪、奶牛、公益林、商品林等11个品种，下同。</w:t>
            </w:r>
          </w:p>
        </w:tc>
        <w:tc>
          <w:tcPr>
            <w:tcW w:w="6836" w:type="dxa"/>
            <w:vAlign w:val="center"/>
          </w:tcPr>
          <w:p w14:paraId="2DDD01F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专业农险人员为参加遴选的承保机构市/县级分支机构专职从事农业保险的正式员工和劳务派遣人员。需提供加盖参加遴选的承保机构省公司公章的专业农险人员名单，2024年12月31日前承保机构与员工签订的正式劳动合同及人社部门提供的社保缴纳证明。以上信息与实际情况不符，则中选资格作废。</w:t>
            </w:r>
          </w:p>
          <w:p w14:paraId="4A9BAB7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遴选区域2024年度农业保险中央品种保费规模以财政部门提供的结算数据为准。</w:t>
            </w:r>
          </w:p>
        </w:tc>
      </w:tr>
    </w:tbl>
    <w:p w14:paraId="371C936D">
      <w:pPr>
        <w:spacing w:after="0"/>
        <w:rPr>
          <w:rFonts w:hint="eastAsia" w:ascii="仿宋" w:hAnsi="仿宋" w:eastAsia="仿宋" w:cs="仿宋"/>
          <w:sz w:val="24"/>
          <w:szCs w:val="24"/>
          <w:highlight w:val="none"/>
        </w:rPr>
        <w:sectPr>
          <w:footerReference r:id="rId4" w:type="default"/>
          <w:footerReference r:id="rId5" w:type="even"/>
          <w:pgSz w:w="16840" w:h="11910" w:orient="landscape"/>
          <w:pgMar w:top="850" w:right="1134" w:bottom="850" w:left="850" w:header="0" w:footer="1283" w:gutter="0"/>
          <w:pgBorders>
            <w:top w:val="none" w:sz="0" w:space="0"/>
            <w:left w:val="none" w:sz="0" w:space="0"/>
            <w:bottom w:val="none" w:sz="0" w:space="0"/>
            <w:right w:val="none" w:sz="0" w:space="0"/>
          </w:pgBorders>
          <w:pgNumType w:start="12"/>
          <w:cols w:space="0" w:num="1"/>
          <w:rtlGutter w:val="0"/>
          <w:docGrid w:linePitch="0" w:charSpace="0"/>
        </w:sectPr>
      </w:pPr>
    </w:p>
    <w:p w14:paraId="3E2B6AD0">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884"/>
        <w:gridCol w:w="737"/>
        <w:gridCol w:w="6051"/>
        <w:gridCol w:w="6836"/>
      </w:tblGrid>
      <w:tr w14:paraId="7765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7C99A8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4FE085B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84" w:type="dxa"/>
            <w:vAlign w:val="center"/>
          </w:tcPr>
          <w:p w14:paraId="3EF8CB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E58F4C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37" w:type="dxa"/>
            <w:vAlign w:val="center"/>
          </w:tcPr>
          <w:p w14:paraId="3E5381F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09F9506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06EAF2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01F7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0" w:hRule="atLeast"/>
        </w:trPr>
        <w:tc>
          <w:tcPr>
            <w:tcW w:w="722" w:type="dxa"/>
            <w:vMerge w:val="restart"/>
            <w:vAlign w:val="center"/>
          </w:tcPr>
          <w:p w14:paraId="58E335E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22308B2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884" w:type="dxa"/>
            <w:vAlign w:val="center"/>
          </w:tcPr>
          <w:p w14:paraId="3DF5B89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兼职</w:t>
            </w:r>
          </w:p>
          <w:p w14:paraId="461C20E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0B5A8DF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CB8C9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1分</w:t>
            </w:r>
          </w:p>
        </w:tc>
        <w:tc>
          <w:tcPr>
            <w:tcW w:w="737" w:type="dxa"/>
            <w:vAlign w:val="center"/>
          </w:tcPr>
          <w:p w14:paraId="219A87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795872C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乡镇、村农业保险专（兼）干、协保员人数达标标准根据该承保机构在遴选区域的2024年度农业保险中央品种保费规模，按种植险及林业等承保规模/200万元，养殖险承保规模/150万元确定，余数向上取整，未达标的不计分。在达标的基础上，以参加遴选的承保机构兼职人员最多数量（若实际人数大于遴选区域上年政策性农业保险保费规模，按种植险及林业等承保规模/200万元，养殖险承保规模/150万元测算值，超出人数不纳入计算）为评审基准值，达到基准值的承保机构计满分。未达到基准值的承保机构该项</w:t>
            </w:r>
          </w:p>
          <w:p w14:paraId="3FF7241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得分=参加遴选的承保机构乡镇农业保险专（兼）干、协保员数量/评审基准值×1分。</w:t>
            </w:r>
          </w:p>
        </w:tc>
        <w:tc>
          <w:tcPr>
            <w:tcW w:w="6836" w:type="dxa"/>
            <w:vAlign w:val="center"/>
          </w:tcPr>
          <w:p w14:paraId="169E56A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村农业保险专（兼）干、协保员为参加遴选的承保机构在遴选区域选聘的乡镇、村级兼职农业保险服务人员。需提供加盖参加遴选的承保机构公章的乡镇、村农业保险专（兼）干、协保员名单（包括姓名、身份证号码、电话号码、年工资额或工作经费、防疫激励费用等）,并提供2024年12月31日前签订的委托代办协议，乡镇政府、村支两委或县级农业保险工作小组相关证明文件复印件并加盖证明出具单位公章。以上信息与实际情况不符或弄虚作假的，则中选资格作废。</w:t>
            </w:r>
          </w:p>
          <w:p w14:paraId="3B13067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遴选区域的2024年度农业保险中央品种保费规模以财政部门提供的结算数据为准。</w:t>
            </w:r>
          </w:p>
        </w:tc>
      </w:tr>
      <w:tr w14:paraId="6E5F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722" w:type="dxa"/>
            <w:vMerge w:val="continue"/>
            <w:vAlign w:val="center"/>
          </w:tcPr>
          <w:p w14:paraId="74EB6FA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p>
        </w:tc>
        <w:tc>
          <w:tcPr>
            <w:tcW w:w="884" w:type="dxa"/>
            <w:vAlign w:val="center"/>
          </w:tcPr>
          <w:p w14:paraId="31244A3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车辆</w:t>
            </w:r>
          </w:p>
          <w:p w14:paraId="0CFF458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5B8AE7E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737" w:type="dxa"/>
            <w:vAlign w:val="center"/>
          </w:tcPr>
          <w:p w14:paraId="3F515BA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0FB55B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在遴选区域配备农业保险工作车辆配备4台及以上的计2分，配备3台的计1.7分，配备2台的计1.4分，配备1台的计1分，未配备的不计分。（车辆数量大于专业农险人员数量的，超出数量不纳入计算）</w:t>
            </w:r>
          </w:p>
        </w:tc>
        <w:tc>
          <w:tcPr>
            <w:tcW w:w="6836" w:type="dxa"/>
            <w:vAlign w:val="center"/>
          </w:tcPr>
          <w:p w14:paraId="009723D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工作车辆要求喷有“三农服务”或“理赔查勘”类似字样，行驶证所有人为参加遴选的承保机构或其省、市级机构。需提供加盖参加遴选的承保机构省公司公章的农业保险工作车辆清单（含车牌号码、行驶证等信息，并附车辆照片和行驶证复印件）。不同遴选区域重复使用同一台车辆信息，则认定为虚假，涉及的遴选区域参加遴选的承保机构的中选资格作废。</w:t>
            </w:r>
          </w:p>
        </w:tc>
      </w:tr>
    </w:tbl>
    <w:p w14:paraId="399F90EC">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4A7FF0F2">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06"/>
        <w:gridCol w:w="6881"/>
      </w:tblGrid>
      <w:tr w14:paraId="4D89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416B86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0EDD7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132D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0A83675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226062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06" w:type="dxa"/>
            <w:vAlign w:val="center"/>
          </w:tcPr>
          <w:p w14:paraId="06999B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81" w:type="dxa"/>
            <w:vAlign w:val="center"/>
          </w:tcPr>
          <w:p w14:paraId="6624629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E78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2" w:hRule="atLeast"/>
        </w:trPr>
        <w:tc>
          <w:tcPr>
            <w:tcW w:w="722" w:type="dxa"/>
            <w:vAlign w:val="center"/>
          </w:tcPr>
          <w:p w14:paraId="7C9D225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4CCA88F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722E585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科技</w:t>
            </w:r>
          </w:p>
          <w:p w14:paraId="39EDF30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赋能</w:t>
            </w:r>
          </w:p>
          <w:p w14:paraId="66B933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12分</w:t>
            </w:r>
          </w:p>
        </w:tc>
        <w:tc>
          <w:tcPr>
            <w:tcW w:w="858" w:type="dxa"/>
            <w:vAlign w:val="center"/>
          </w:tcPr>
          <w:p w14:paraId="79FCFA9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w:t>
            </w:r>
          </w:p>
        </w:tc>
        <w:tc>
          <w:tcPr>
            <w:tcW w:w="6006" w:type="dxa"/>
            <w:vAlign w:val="center"/>
          </w:tcPr>
          <w:p w14:paraId="1792E195">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内配备农业保险所需的无人机（1.5分）、AI智能点数工具（1.5分）、线上化投保理赔全流程服务（1分）、风险减量管理服务（2分）、客户信息真实性校验工具（2分）、高精度勾图能力（2分）、卫星遥感及3S技术（2分）。</w:t>
            </w:r>
          </w:p>
        </w:tc>
        <w:tc>
          <w:tcPr>
            <w:tcW w:w="6881" w:type="dxa"/>
            <w:vAlign w:val="center"/>
          </w:tcPr>
          <w:p w14:paraId="2B9CBDE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1.每个遴选区域至少配备1台无人机，计0.5分；具备常态化作业能力，计1分。（由参加遴选的承保机构提供设备归属证明资料、功能说明和在遴选区域所在市州的应用案例，应用时间应在2025年9月30日前，下同）</w:t>
            </w:r>
          </w:p>
          <w:p w14:paraId="4977EB8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2.AI智能点数工具配备到人，计0.5分；有遴选区域内养殖场的实际应用案例，计1分。（由参加遴选的承保机构提供设备归属证明资料、功能说明和在遴选区域所在市州的应用案例）</w:t>
            </w:r>
          </w:p>
          <w:p w14:paraId="3D02C79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3.线上化投保理赔全流程服务须支持农险投保理赔信息采集及录入、告知、公示、缴费、出单、支付等全流程线上化，计1分。（需提供农险线上化APP截图、流程操作截图）</w:t>
            </w:r>
          </w:p>
          <w:p w14:paraId="7309E520">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4.风险减量管理服务，建立的气象、地质、病虫害等各类灾害预警防治平台计1分，常态化应用计1分。（需提供相关APP、系统截图，技术服务证明材料、在遴选区域所在市州的应用案例）</w:t>
            </w:r>
          </w:p>
          <w:p w14:paraId="4DEF2838">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5.客户信息真实性校验需能实现投保人身份证件、银行卡实名校验功能，计1分。（需提供服务证明材料、检测流程截图）</w:t>
            </w:r>
          </w:p>
          <w:p w14:paraId="2E7E729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6.高精度勾图能力主要是指农险地块信息建设能力，能做到一人一地的得2分；仅能按保单勾画地图,无法对应到人的得1分；无法勾图的不得分。（需提供勾图系统功能介绍、勾图界面截图）</w:t>
            </w:r>
          </w:p>
          <w:p w14:paraId="3659C95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7.卫星遥感及3S技术需满足位置定位、面积检测、作物识别、灾害识别等功能，每项功能计0.5分。（需提供技术服务证明材料、检测流程截图）</w:t>
            </w:r>
          </w:p>
        </w:tc>
      </w:tr>
      <w:tr w14:paraId="5E64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6" w:hRule="atLeast"/>
        </w:trPr>
        <w:tc>
          <w:tcPr>
            <w:tcW w:w="722" w:type="dxa"/>
            <w:vAlign w:val="center"/>
          </w:tcPr>
          <w:p w14:paraId="066583E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5DDAEEE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288AC54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基础信息质量</w:t>
            </w:r>
          </w:p>
          <w:p w14:paraId="4872177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858" w:type="dxa"/>
            <w:vAlign w:val="center"/>
          </w:tcPr>
          <w:p w14:paraId="78B6B69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06" w:type="dxa"/>
            <w:vAlign w:val="center"/>
          </w:tcPr>
          <w:p w14:paraId="09C698C2">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集体投保身份准确率：参选机构所属省公司全省范围内中央品种保单级身份证号去重，再按照身份证规则统计符合身份证号，集体投保身份准确率=符合编码规则农户户次/集体投保农户总户次。以参加遴选的承保机构准确率最高值为评审基准值，该承保机构得满分。其他参加遴选的承保机构按照下列公式计算：</w:t>
            </w:r>
          </w:p>
          <w:p w14:paraId="27C37A6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得分=其他参加遴选的集体投保身份准确率/评审基准值×2分。</w:t>
            </w:r>
          </w:p>
        </w:tc>
        <w:tc>
          <w:tcPr>
            <w:tcW w:w="6881" w:type="dxa"/>
            <w:vAlign w:val="center"/>
          </w:tcPr>
          <w:p w14:paraId="72B8A6C3">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按该指标值取2025年7月1日-12月31日数据，以金融监管部门提供为准。</w:t>
            </w:r>
          </w:p>
        </w:tc>
      </w:tr>
    </w:tbl>
    <w:p w14:paraId="0818BBE4">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7ECDC157">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1F83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3549363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5246FC6F">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B68B50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C44106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965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2327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2FD72FF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010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9" w:hRule="atLeast"/>
        </w:trPr>
        <w:tc>
          <w:tcPr>
            <w:tcW w:w="722" w:type="dxa"/>
            <w:vMerge w:val="restart"/>
            <w:vAlign w:val="center"/>
          </w:tcPr>
          <w:p w14:paraId="27D4AA6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p w14:paraId="78AA271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75518CC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 分</w:t>
            </w:r>
          </w:p>
        </w:tc>
        <w:tc>
          <w:tcPr>
            <w:tcW w:w="763" w:type="dxa"/>
            <w:vMerge w:val="restart"/>
            <w:vAlign w:val="center"/>
          </w:tcPr>
          <w:p w14:paraId="642160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历史理赔情况</w:t>
            </w:r>
          </w:p>
          <w:p w14:paraId="443F71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 分</w:t>
            </w:r>
          </w:p>
        </w:tc>
        <w:tc>
          <w:tcPr>
            <w:tcW w:w="858" w:type="dxa"/>
            <w:vMerge w:val="restart"/>
            <w:vAlign w:val="center"/>
          </w:tcPr>
          <w:p w14:paraId="6D2118F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10</w:t>
            </w:r>
          </w:p>
        </w:tc>
        <w:tc>
          <w:tcPr>
            <w:tcW w:w="6051" w:type="dxa"/>
            <w:vMerge w:val="restart"/>
            <w:vAlign w:val="center"/>
          </w:tcPr>
          <w:p w14:paraId="78B0157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平均已决赔付率。根据参加遴选的承保机构 2022-2024 年省级公司和遴选区域分支机构农业保险中央品种的平均已决赔付率计算得出，平均已决赔付率=（参加遴选的承保机构省级公司平均已决赔付率+遴选区域分支机构平均已决赔付率）/2,当省级公司的平均已决赔付率超出 80%时，只按 80%纳入计算；当遴选区域分支机构的平均已决赔付率超出 100%时，只按 100%纳入计算。以参加遴选的承保机构平均已决赔付率最高值为评审基准值，该承保机构得满分。其他参加遴选的承保机构按照下列公式计算：</w:t>
            </w:r>
          </w:p>
          <w:p w14:paraId="2DB0C85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得分=其他参加遴选的承保机构平均已决赔付率/评审基准值×10 分。</w:t>
            </w:r>
          </w:p>
        </w:tc>
        <w:tc>
          <w:tcPr>
            <w:tcW w:w="6836" w:type="dxa"/>
            <w:vMerge w:val="restart"/>
            <w:vAlign w:val="center"/>
          </w:tcPr>
          <w:p w14:paraId="4AC6F9B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 年农业保险中央品种平均已决赔付率=2022-2024 年已决赔款/2022-2024 年保费收入。若参加遴选的承保机构在遴选区域未开展中央品种业务，而其省级公司开展过业务，则按省级公司该指标认定；若其省级公司未开展过政策性农业保险业务，则省级公司和遴选区域分支机构均按总公司该指标认定。保费与赔款均不包括省级共保品种。需提供参加遴选的承保机构会计报表“已决赔款、保费收入”相关科目页面复印件并加盖参加遴选的承保机构公章，通过湖南省农业保险综合管理平台数据进行比对核实。</w:t>
            </w:r>
          </w:p>
          <w:p w14:paraId="66BFC3D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省级公司数据是指省级公司归口的全省数据，下同。</w:t>
            </w:r>
          </w:p>
        </w:tc>
      </w:tr>
      <w:tr w14:paraId="623C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2" w:type="dxa"/>
            <w:vMerge w:val="continue"/>
            <w:vAlign w:val="center"/>
          </w:tcPr>
          <w:p w14:paraId="0C57CC3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14089C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Merge w:val="restart"/>
            <w:vAlign w:val="center"/>
          </w:tcPr>
          <w:p w14:paraId="2597B7A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Merge w:val="restart"/>
            <w:vAlign w:val="center"/>
          </w:tcPr>
          <w:p w14:paraId="30B6B45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p>
          <w:p w14:paraId="1E67153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平均结案率。根据参加遴选的承保机构省级公司和遴选区域分支机构 2022-2024 年的农业保险中央品种平均结案率计算得出。遴选区域分支机构年度农业保险结案率 85%以下，当年结案率按 0计算。以参加遴选的承保机构结案率最高值为评审基准值，该承保机构得满分。其他参加遴选的承保机构按照下列公式计算：</w:t>
            </w:r>
          </w:p>
          <w:p w14:paraId="55E20B1F">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得分=其他参加遴选的承保机构农业保险结案率/评审基准值×4 分。</w:t>
            </w:r>
          </w:p>
        </w:tc>
        <w:tc>
          <w:tcPr>
            <w:tcW w:w="6836" w:type="dxa"/>
            <w:vMerge w:val="restart"/>
            <w:vAlign w:val="center"/>
          </w:tcPr>
          <w:p w14:paraId="1C272029">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年度农业保险结案率=年度已决赔款/（年度已决赔款+期末未决赔款）,即参加遴选的承保机构接到报案后，已经按规定程序确定理赔的案件金额占所有报案预计可能赔付的金额比例。遴选区域分支机构年度农业保险结案率 85%以下，当年结案率按 0 计算。年度平均结案率=（参加遴选的承保机构省级公司农业保险结案率+遴选区域分支机构农业保险结案率）/2， 2022-2024 年的平均结案率为 3 年的算数平均。若参加遴选的承保机构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会计报表“已决赔款、未决赔款”相关科目页面复印件并加盖参加遴选的承保机构公章，通过湖南省农业保险综合管理平台数据进行比对核实。</w:t>
            </w:r>
          </w:p>
        </w:tc>
      </w:tr>
      <w:tr w14:paraId="1B2A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2" w:type="dxa"/>
            <w:vMerge w:val="continue"/>
            <w:vAlign w:val="center"/>
          </w:tcPr>
          <w:p w14:paraId="267574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9158FE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1761B8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410C2CC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养殖险案均立案结案周期：案件从立案到结案的平均时间（单位：天）。以参加遴选的承保机构 2022-2024 年的案均立案结案周期最优值为评审基准值，该承保机构得满分。其他参加遴选的承保机构按照下列公式计算：</w:t>
            </w:r>
          </w:p>
          <w:p w14:paraId="27931967">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得分=评审基准值/其他参加遴选的承保机构标准化养殖险案均立案结案周期×2 分。</w:t>
            </w:r>
          </w:p>
        </w:tc>
        <w:tc>
          <w:tcPr>
            <w:tcW w:w="6836" w:type="dxa"/>
            <w:vAlign w:val="center"/>
          </w:tcPr>
          <w:p w14:paraId="6F5E125D">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 2022-2024 年湖南省农业保险综合管理平台数据为准。若参加遴选的承保机构上年在遴选区域未开展业务，而其省级公司开展过政策性农业保险业务，则按省级公司该指标认定。</w:t>
            </w:r>
          </w:p>
        </w:tc>
      </w:tr>
    </w:tbl>
    <w:p w14:paraId="1AD2E8BA">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6CF6A088">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39E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DECD46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96616B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2E60A2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503F25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615984">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E9724FE">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39CD09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EDE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restart"/>
            <w:vAlign w:val="center"/>
          </w:tcPr>
          <w:p w14:paraId="5EDD07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4F5D6C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Merge w:val="restart"/>
            <w:vAlign w:val="center"/>
          </w:tcPr>
          <w:p w14:paraId="2D318AD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w:t>
            </w:r>
          </w:p>
          <w:p w14:paraId="14EE14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理赔</w:t>
            </w:r>
          </w:p>
          <w:p w14:paraId="047291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情况</w:t>
            </w:r>
          </w:p>
          <w:p w14:paraId="490D97B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19分</w:t>
            </w:r>
          </w:p>
        </w:tc>
        <w:tc>
          <w:tcPr>
            <w:tcW w:w="858" w:type="dxa"/>
            <w:vMerge w:val="restart"/>
            <w:vAlign w:val="center"/>
          </w:tcPr>
          <w:p w14:paraId="700D1B9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A7DC4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种植险案均立案结案周期：案件从立案到结案的平均时间（单位：天）。以参加遴选的承保机构2022-2024年案均立案结案周期最优值为评审基准值，该承保机构得满分。其他参加遴选的承保机构按照下列公式计算：</w:t>
            </w:r>
          </w:p>
          <w:p w14:paraId="28B4238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得分=评审基准值/其他参加遴选的承保机构种植险案均立案结案周期×2分。</w:t>
            </w:r>
          </w:p>
        </w:tc>
        <w:tc>
          <w:tcPr>
            <w:tcW w:w="6836" w:type="dxa"/>
            <w:vAlign w:val="center"/>
          </w:tcPr>
          <w:p w14:paraId="7A200836">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2380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BACC2C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0455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5DD08E2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494555EE">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森林险案均立案结案周期：案件从立案到结案的平均时间（单位：天）。以参加遴选的承保机构2022-2024年案均立案结案周期最优值为评审基准值，该承保机构得满分。其他参加遴选的承保机构按照下列公式计算：</w:t>
            </w:r>
          </w:p>
          <w:p w14:paraId="12ADB729">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得分=评审基准值/其他参加遴选的承保机构森林险案均立案结案周期×1分。</w:t>
            </w:r>
          </w:p>
        </w:tc>
        <w:tc>
          <w:tcPr>
            <w:tcW w:w="6836" w:type="dxa"/>
            <w:vAlign w:val="center"/>
          </w:tcPr>
          <w:p w14:paraId="55B03E5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1A18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16E6538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138F703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w:t>
            </w:r>
          </w:p>
          <w:p w14:paraId="79B342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业绩</w:t>
            </w:r>
          </w:p>
          <w:p w14:paraId="60FDDB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6A1D9D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4BC697DF">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包括政策性和商业性种植险、养殖险、森林险）的承保业绩。以参加遴选的承保机构2022-2024年遴选区域农业保险年平均保费收入（按实际开展业务年限计算）最多的为评审基准值，该承保机构得满分。其他参加遴选的承保机构按照下列公式计算：</w:t>
            </w:r>
          </w:p>
          <w:p w14:paraId="31D36B7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得分=其他参加遴选的承保机构2022-2024年遴选区域农业保险年平均保费收入/评审基准值×4分。</w:t>
            </w:r>
          </w:p>
        </w:tc>
        <w:tc>
          <w:tcPr>
            <w:tcW w:w="6836" w:type="dxa"/>
            <w:vAlign w:val="center"/>
          </w:tcPr>
          <w:p w14:paraId="40F2DB1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承保业绩由参加遴选的承保机构提供经金融监管部门或保险行业协会认定的相关证明文件，并加盖证明出具单位公章。</w:t>
            </w:r>
          </w:p>
        </w:tc>
      </w:tr>
      <w:tr w14:paraId="6EC4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747454FD">
            <w:pPr>
              <w:jc w:val="center"/>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53BB90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49E2252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经验</w:t>
            </w:r>
          </w:p>
          <w:p w14:paraId="232C0DF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62CC6F1C">
            <w:pPr>
              <w:pStyle w:val="38"/>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1B20D7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年期间参加遴选的承保机构总公司系统内其它省分公司获得（直辖市、自治区、新疆生产建设兵团）农业保险遴选业务承保资格并开展业务的，承保区域覆盖省份＞20个（含）以上计2分，承保区域覆盖省份15个（含）-20个（不含）计1.5分，承保区域覆盖省份10个（含）-15个（不含）计1分，承保区域覆盖省份5个（含）-10个（不含）计0.5分，承保区域覆盖省份5个以下计0分。同一省份（直辖市、自治区、新疆生产建设兵团）下辖机构于2022-2024年多次农业保险遴选中选的，只计算1次。</w:t>
            </w:r>
          </w:p>
        </w:tc>
        <w:tc>
          <w:tcPr>
            <w:tcW w:w="6836" w:type="dxa"/>
            <w:vAlign w:val="center"/>
          </w:tcPr>
          <w:p w14:paraId="3350E0B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遴选业务承保资格覆盖省份（直辖市、自治区）根据相应地区遴选中标合同复印件（提供合同首页及盖章，可证明开展了相关业务即可，无需提供全部合同）核定。</w:t>
            </w:r>
          </w:p>
        </w:tc>
      </w:tr>
      <w:tr w14:paraId="39C3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56BA8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AD5D5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表彰</w:t>
            </w:r>
          </w:p>
          <w:p w14:paraId="6E9A54F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及试</w:t>
            </w:r>
          </w:p>
          <w:p w14:paraId="252C218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点</w:t>
            </w:r>
          </w:p>
          <w:p w14:paraId="200F1D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Align w:val="center"/>
          </w:tcPr>
          <w:p w14:paraId="12FB419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Align w:val="center"/>
          </w:tcPr>
          <w:p w14:paraId="133AB9E5">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获得奖励表彰和项目试点的情况。参加遴选的承保机构省级公司2022-2024年获得省级（含）以上有关财政、农业农村、金融管理及监管等部门在农业保险工作方面的表彰，以及参加遴选的承保机构在遴选区域承担省级（含）以上职能部门农业保险试点项目或任务的。每一项计1分，最高分不超过3分。</w:t>
            </w:r>
          </w:p>
        </w:tc>
        <w:tc>
          <w:tcPr>
            <w:tcW w:w="6836" w:type="dxa"/>
            <w:vAlign w:val="center"/>
          </w:tcPr>
          <w:p w14:paraId="3DFDA1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参加遴选的承保机构需提供2022-2024年受表彰的证明材料复印件、试点项目或任务的证明材料复印件并加盖参加遴选的承保机构公章。如提供虚假材料，则中选资格作废。</w:t>
            </w:r>
          </w:p>
        </w:tc>
      </w:tr>
    </w:tbl>
    <w:p w14:paraId="3955F9E2">
      <w:pPr>
        <w:spacing w:after="0" w:line="278" w:lineRule="auto"/>
        <w:jc w:val="both"/>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43DD120A">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0EA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0B0CDE1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6AA569C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E18CFB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531D119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BD968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19DC4AA">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6A4529B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51E4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0" w:hRule="atLeast"/>
        </w:trPr>
        <w:tc>
          <w:tcPr>
            <w:tcW w:w="722" w:type="dxa"/>
            <w:vMerge w:val="restart"/>
            <w:vAlign w:val="center"/>
          </w:tcPr>
          <w:p w14:paraId="2D2D239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合规</w:t>
            </w:r>
          </w:p>
          <w:p w14:paraId="2C2BBD6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经营</w:t>
            </w:r>
          </w:p>
          <w:p w14:paraId="18EB8CD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及风险管控能力</w:t>
            </w:r>
          </w:p>
          <w:p w14:paraId="1E8C41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20分</w:t>
            </w:r>
          </w:p>
        </w:tc>
        <w:tc>
          <w:tcPr>
            <w:tcW w:w="763" w:type="dxa"/>
            <w:vAlign w:val="center"/>
          </w:tcPr>
          <w:p w14:paraId="61ABE0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w:t>
            </w:r>
          </w:p>
          <w:p w14:paraId="39BD7B1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费用</w:t>
            </w:r>
          </w:p>
          <w:p w14:paraId="040658E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率</w:t>
            </w:r>
          </w:p>
          <w:p w14:paraId="462C240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3分</w:t>
            </w:r>
          </w:p>
        </w:tc>
        <w:tc>
          <w:tcPr>
            <w:tcW w:w="858" w:type="dxa"/>
            <w:vAlign w:val="center"/>
          </w:tcPr>
          <w:p w14:paraId="5A05770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w:t>
            </w:r>
          </w:p>
        </w:tc>
        <w:tc>
          <w:tcPr>
            <w:tcW w:w="6051" w:type="dxa"/>
            <w:vAlign w:val="center"/>
          </w:tcPr>
          <w:p w14:paraId="74EEB5F7">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参加遴选的承保机构省级分公司2022-2024年农业保险平均综合费用率15%（含）以下计3分，15%-17.5%（含）计2分，17.5%-20%（含）计1分，20%以上不计分。</w:t>
            </w:r>
          </w:p>
        </w:tc>
        <w:tc>
          <w:tcPr>
            <w:tcW w:w="6836" w:type="dxa"/>
            <w:vAlign w:val="center"/>
          </w:tcPr>
          <w:p w14:paraId="479EC03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费用率=（业务及管理费用+手续费及佣金支出+分保费用+营业税金及附加-摊回分保费用）/（本年自留保费-提取未到期责任准备金）。由参加遴选的承保机构提供省级公司农业保险综合费用率相关财务指标证明材料，并加盖公章。</w:t>
            </w:r>
          </w:p>
        </w:tc>
      </w:tr>
      <w:tr w14:paraId="2EF4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0" w:hRule="atLeast"/>
        </w:trPr>
        <w:tc>
          <w:tcPr>
            <w:tcW w:w="722" w:type="dxa"/>
            <w:vMerge w:val="continue"/>
            <w:vAlign w:val="center"/>
          </w:tcPr>
          <w:p w14:paraId="04D6B1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44AAE2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监管</w:t>
            </w:r>
          </w:p>
          <w:p w14:paraId="797F992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检查</w:t>
            </w:r>
          </w:p>
          <w:p w14:paraId="4A7B6B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及处</w:t>
            </w:r>
          </w:p>
          <w:p w14:paraId="4167797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罚</w:t>
            </w:r>
          </w:p>
          <w:p w14:paraId="588FA4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588503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Merge w:val="restart"/>
            <w:vAlign w:val="center"/>
          </w:tcPr>
          <w:p w14:paraId="49F022D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参加遴选的承保机构2022-2024年期间开展的农业保险业务，被财政、审计和金融监管部门检查发现虚假承保、虚假理赔问题的，每项扣1分，扣完为止。</w:t>
            </w:r>
          </w:p>
        </w:tc>
        <w:tc>
          <w:tcPr>
            <w:tcW w:w="6836" w:type="dxa"/>
            <w:vMerge w:val="restart"/>
            <w:vAlign w:val="center"/>
          </w:tcPr>
          <w:p w14:paraId="0A87C7AC">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违规问题以检查报告、审计报告、处罚文件以及监管通报等为准，同一违规事实或负面事件不重复扣分。如隐瞒不报或少报，则中选资格作废。违规问题以报告或文件下达的时间为准。</w:t>
            </w:r>
          </w:p>
        </w:tc>
      </w:tr>
      <w:tr w14:paraId="0651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50" w:hRule="atLeast"/>
        </w:trPr>
        <w:tc>
          <w:tcPr>
            <w:tcW w:w="722" w:type="dxa"/>
            <w:vMerge w:val="continue"/>
            <w:vAlign w:val="center"/>
          </w:tcPr>
          <w:p w14:paraId="2A60CC1D">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restart"/>
            <w:vAlign w:val="center"/>
          </w:tcPr>
          <w:p w14:paraId="0D35CA8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6067B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对象</w:t>
            </w:r>
          </w:p>
          <w:p w14:paraId="6AC0C52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满意</w:t>
            </w:r>
          </w:p>
          <w:p w14:paraId="7441FEF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度</w:t>
            </w:r>
          </w:p>
          <w:p w14:paraId="4ACDCB6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Merge w:val="restart"/>
            <w:vAlign w:val="center"/>
          </w:tcPr>
          <w:p w14:paraId="469C1009">
            <w:pPr>
              <w:pStyle w:val="38"/>
              <w:spacing w:before="162"/>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Merge w:val="restart"/>
            <w:vAlign w:val="center"/>
          </w:tcPr>
          <w:p w14:paraId="526BDDEB">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1、参加遴选的承保机构所属省级分公司消费者权益保护监管评价情况。按评价情况打分，一级的计1分；二级A计0.8分，二级B计0.6分，二级C计0.4分；三、四级不计分。</w:t>
            </w:r>
          </w:p>
        </w:tc>
        <w:tc>
          <w:tcPr>
            <w:tcW w:w="6836" w:type="dxa"/>
            <w:vMerge w:val="restart"/>
            <w:vAlign w:val="center"/>
          </w:tcPr>
          <w:p w14:paraId="3E4EFE3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参加遴选的承保机构需提供2024年度经金融监管部门评定的消费者权益保护监管评价证明材料，并加盖公章。</w:t>
            </w:r>
          </w:p>
        </w:tc>
      </w:tr>
      <w:tr w14:paraId="7EA0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0" w:hRule="atLeast"/>
        </w:trPr>
        <w:tc>
          <w:tcPr>
            <w:tcW w:w="722" w:type="dxa"/>
            <w:vMerge w:val="continue"/>
            <w:vAlign w:val="center"/>
          </w:tcPr>
          <w:p w14:paraId="56537712">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continue"/>
            <w:vAlign w:val="center"/>
          </w:tcPr>
          <w:p w14:paraId="677A12D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858" w:type="dxa"/>
            <w:vMerge w:val="continue"/>
            <w:vAlign w:val="center"/>
          </w:tcPr>
          <w:p w14:paraId="532A8E39">
            <w:pPr>
              <w:jc w:val="center"/>
              <w:rPr>
                <w:rFonts w:hint="eastAsia" w:ascii="仿宋" w:hAnsi="仿宋" w:eastAsia="仿宋" w:cs="仿宋"/>
                <w:snapToGrid w:val="0"/>
                <w:spacing w:val="0"/>
                <w:kern w:val="0"/>
                <w:sz w:val="24"/>
                <w:szCs w:val="24"/>
                <w:highlight w:val="none"/>
                <w:lang w:val="en-US" w:eastAsia="zh-CN" w:bidi="ar-SA"/>
              </w:rPr>
            </w:pPr>
          </w:p>
        </w:tc>
        <w:tc>
          <w:tcPr>
            <w:tcW w:w="6051" w:type="dxa"/>
            <w:vAlign w:val="center"/>
          </w:tcPr>
          <w:p w14:paraId="05A1936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2、服务对象满意度，按省财政厅委托开展的2023和2024年度电话回访满意度评价结果，每年分值1分，总计2分，从高到低排名，第一名得1分，按0.2分依次递减，减完为止。</w:t>
            </w:r>
          </w:p>
        </w:tc>
        <w:tc>
          <w:tcPr>
            <w:tcW w:w="6836" w:type="dxa"/>
            <w:vAlign w:val="center"/>
          </w:tcPr>
          <w:p w14:paraId="1263646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以省财政厅委托第三方开展的电话回访报告为依据。</w:t>
            </w:r>
          </w:p>
        </w:tc>
      </w:tr>
      <w:tr w14:paraId="1D4C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10" w:hRule="atLeast"/>
        </w:trPr>
        <w:tc>
          <w:tcPr>
            <w:tcW w:w="722" w:type="dxa"/>
            <w:vMerge w:val="continue"/>
            <w:vAlign w:val="center"/>
          </w:tcPr>
          <w:p w14:paraId="4A17544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E3C10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偿付</w:t>
            </w:r>
          </w:p>
          <w:p w14:paraId="4E80881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能力</w:t>
            </w:r>
          </w:p>
          <w:p w14:paraId="54C6D8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充足</w:t>
            </w:r>
          </w:p>
          <w:p w14:paraId="1C98FE8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率</w:t>
            </w:r>
          </w:p>
          <w:p w14:paraId="108EBAB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18B5E30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23CCD6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偿付能力充足率总计2分，其中</w:t>
            </w:r>
          </w:p>
          <w:p w14:paraId="27A54DA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参加遴选的承保机构所属总公司2024年度综合偿付能力充足率230%（含）以上的计满分1分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p w14:paraId="74B9E7E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参加遴选的承保机构所属总公司最近一期综合偿付能力充足率230%（含）以上的计满分1分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tc>
        <w:tc>
          <w:tcPr>
            <w:tcW w:w="6836" w:type="dxa"/>
            <w:vAlign w:val="center"/>
          </w:tcPr>
          <w:p w14:paraId="6BAD851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偿付能力充足率=保险公司的实际资本/最低资本，需提供参加遴选的承保公司总公司2024年度经审计的会计报表和最近一期会计报表中“偿付能力报告含偿付能力充足率”相关页面复印件并加盖参加遴选的承保机构公章，其中2024年度报表应经审计。</w:t>
            </w:r>
          </w:p>
        </w:tc>
      </w:tr>
    </w:tbl>
    <w:p w14:paraId="134E429E">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048704FE">
      <w:pPr>
        <w:pStyle w:val="5"/>
        <w:spacing w:before="5"/>
        <w:rPr>
          <w:rFonts w:hint="eastAsia" w:ascii="仿宋" w:hAnsi="仿宋" w:eastAsia="仿宋" w:cs="仿宋"/>
          <w:sz w:val="24"/>
          <w:szCs w:val="24"/>
          <w:highlight w:val="none"/>
        </w:rPr>
      </w:pPr>
    </w:p>
    <w:tbl>
      <w:tblPr>
        <w:tblStyle w:val="20"/>
        <w:tblW w:w="1523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740"/>
        <w:gridCol w:w="820"/>
        <w:gridCol w:w="6120"/>
        <w:gridCol w:w="6820"/>
      </w:tblGrid>
      <w:tr w14:paraId="23FB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36" w:type="dxa"/>
            <w:vAlign w:val="center"/>
          </w:tcPr>
          <w:p w14:paraId="1589A4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446267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40" w:type="dxa"/>
            <w:vAlign w:val="center"/>
          </w:tcPr>
          <w:p w14:paraId="1E51797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8150AD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20" w:type="dxa"/>
            <w:vAlign w:val="center"/>
          </w:tcPr>
          <w:p w14:paraId="75843D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120" w:type="dxa"/>
            <w:vAlign w:val="center"/>
          </w:tcPr>
          <w:p w14:paraId="6E05C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20" w:type="dxa"/>
            <w:vAlign w:val="center"/>
          </w:tcPr>
          <w:p w14:paraId="23251FD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1F7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trPr>
        <w:tc>
          <w:tcPr>
            <w:tcW w:w="736" w:type="dxa"/>
            <w:vMerge w:val="restart"/>
            <w:vAlign w:val="center"/>
          </w:tcPr>
          <w:p w14:paraId="0A6C5D8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合规经营及风险管控能力</w:t>
            </w:r>
          </w:p>
          <w:p w14:paraId="6FD1D6A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20 分</w:t>
            </w:r>
          </w:p>
        </w:tc>
        <w:tc>
          <w:tcPr>
            <w:tcW w:w="740" w:type="dxa"/>
            <w:vAlign w:val="center"/>
          </w:tcPr>
          <w:p w14:paraId="08D9F49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风险综合评级</w:t>
            </w:r>
          </w:p>
          <w:p w14:paraId="0E961A0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4C1A45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2EF595A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风险综合评级总计2分，其中</w:t>
            </w:r>
          </w:p>
          <w:p w14:paraId="146F425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参加遴选的承保机构所属总公司2024年度风险综合评级达到A级的计1分，B级的计0.5分，C、D级不计分。</w:t>
            </w:r>
          </w:p>
          <w:p w14:paraId="754865B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参加遴选的承保机构所属总公司最近一期风险综合评级达到A级的计1分，B级的计0.5分，C、D级不计分。</w:t>
            </w:r>
          </w:p>
        </w:tc>
        <w:tc>
          <w:tcPr>
            <w:tcW w:w="6820" w:type="dxa"/>
            <w:vAlign w:val="center"/>
          </w:tcPr>
          <w:p w14:paraId="582DDD6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参加遴选的承保机构需提供2024年度和最近一期经金融监管部门评定的风险综合评级证明材料，并加盖公章。</w:t>
            </w:r>
          </w:p>
        </w:tc>
      </w:tr>
      <w:tr w14:paraId="6247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736" w:type="dxa"/>
            <w:vMerge w:val="continue"/>
            <w:vAlign w:val="center"/>
          </w:tcPr>
          <w:p w14:paraId="69D97E36">
            <w:pPr>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40" w:type="dxa"/>
            <w:vAlign w:val="center"/>
          </w:tcPr>
          <w:p w14:paraId="293B929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大灾准备金</w:t>
            </w:r>
          </w:p>
          <w:p w14:paraId="58D450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33A17CD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6F0FB1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参加遴选的承保机构所属省级公司2022-2024年期间按规定足额提取农业保险大灾准备金计1分，未足额提取或未提取不得分；</w:t>
            </w:r>
          </w:p>
          <w:p w14:paraId="1C582D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规范使用计1分，未按规范使用不得分。未开展政策性农业保险业务的承保机构计1分。</w:t>
            </w:r>
          </w:p>
        </w:tc>
        <w:tc>
          <w:tcPr>
            <w:tcW w:w="6820" w:type="dxa"/>
            <w:vAlign w:val="center"/>
          </w:tcPr>
          <w:p w14:paraId="6AF453D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参加遴选的承保机构需提供省级公司2022-2024年农业保险大灾准备金提取证明材料，并加盖公章。</w:t>
            </w:r>
          </w:p>
        </w:tc>
      </w:tr>
      <w:tr w14:paraId="24BF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6" w:type="dxa"/>
            <w:vMerge w:val="continue"/>
            <w:vAlign w:val="center"/>
          </w:tcPr>
          <w:p w14:paraId="480B60B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740" w:type="dxa"/>
            <w:vAlign w:val="center"/>
          </w:tcPr>
          <w:p w14:paraId="18114DC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管理</w:t>
            </w:r>
          </w:p>
          <w:p w14:paraId="372D0E5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制度</w:t>
            </w:r>
          </w:p>
          <w:p w14:paraId="3825C94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20" w:type="dxa"/>
            <w:vAlign w:val="center"/>
          </w:tcPr>
          <w:p w14:paraId="44BCFFB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w:t>
            </w:r>
          </w:p>
        </w:tc>
        <w:tc>
          <w:tcPr>
            <w:tcW w:w="6120" w:type="dxa"/>
            <w:vAlign w:val="center"/>
          </w:tcPr>
          <w:p w14:paraId="4B3E472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农业保险工作相关制度。对内控合规制度、承保查勘理赔制度、客户服务制度、风险控制制度等相关规章制度进行综合评价，优计3分，良计2分，一般计1分，差不计分。</w:t>
            </w:r>
          </w:p>
        </w:tc>
        <w:tc>
          <w:tcPr>
            <w:tcW w:w="6820" w:type="dxa"/>
            <w:vAlign w:val="center"/>
          </w:tcPr>
          <w:p w14:paraId="4A9746A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以参加遴选的承保机构提供的制度汇编文本为评分依据。</w:t>
            </w:r>
          </w:p>
        </w:tc>
      </w:tr>
      <w:bookmarkEnd w:id="30"/>
    </w:tbl>
    <w:p w14:paraId="5CD8FD6D">
      <w:pPr>
        <w:spacing w:line="600" w:lineRule="exac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注：1、参加市本级及所辖区</w:t>
      </w:r>
      <w:r>
        <w:rPr>
          <w:rFonts w:hint="eastAsia" w:ascii="宋体" w:hAnsi="宋体" w:eastAsia="宋体" w:cs="宋体"/>
          <w:spacing w:val="-1"/>
          <w:sz w:val="24"/>
          <w:szCs w:val="24"/>
          <w:highlight w:val="none"/>
        </w:rPr>
        <w:t>遴</w:t>
      </w:r>
      <w:r>
        <w:rPr>
          <w:rFonts w:hint="eastAsia" w:ascii="宋体" w:hAnsi="宋体" w:eastAsia="宋体" w:cs="宋体"/>
          <w:b w:val="0"/>
          <w:bCs w:val="0"/>
          <w:sz w:val="24"/>
          <w:szCs w:val="24"/>
          <w:highlight w:val="none"/>
        </w:rPr>
        <w:t>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p>
    <w:p w14:paraId="6B2CA442">
      <w:pPr>
        <w:spacing w:line="600" w:lineRule="exact"/>
        <w:ind w:firstLine="480" w:firstLineChars="200"/>
        <w:outlineLvl w:val="2"/>
        <w:rPr>
          <w:rFonts w:hint="eastAsia" w:ascii="宋体" w:hAnsi="宋体" w:eastAsia="宋体" w:cs="宋体"/>
          <w:sz w:val="24"/>
          <w:szCs w:val="24"/>
          <w:highlight w:val="none"/>
        </w:rPr>
      </w:pPr>
      <w:bookmarkStart w:id="31" w:name="_Toc12615"/>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bookmarkEnd w:id="31"/>
    </w:p>
    <w:p w14:paraId="5C589793">
      <w:pPr>
        <w:pStyle w:val="16"/>
        <w:rPr>
          <w:rFonts w:hint="eastAsia" w:ascii="宋体" w:hAnsi="宋体" w:eastAsia="宋体" w:cs="宋体"/>
          <w:sz w:val="24"/>
          <w:szCs w:val="24"/>
          <w:highlight w:val="none"/>
        </w:rPr>
      </w:pPr>
    </w:p>
    <w:p w14:paraId="13EC8CCF">
      <w:pPr>
        <w:pStyle w:val="4"/>
        <w:bidi w:val="0"/>
        <w:spacing w:line="240" w:lineRule="auto"/>
        <w:outlineLvl w:val="0"/>
        <w:rPr>
          <w:rFonts w:hint="eastAsia" w:ascii="宋体" w:hAnsi="宋体" w:eastAsia="宋体" w:cs="宋体"/>
          <w:b/>
          <w:sz w:val="24"/>
          <w:szCs w:val="24"/>
          <w:highlight w:val="none"/>
        </w:rPr>
        <w:sectPr>
          <w:pgSz w:w="16837" w:h="11905" w:orient="landscape"/>
          <w:pgMar w:top="850" w:right="1134" w:bottom="850"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bookmarkStart w:id="32" w:name="_Toc876"/>
    </w:p>
    <w:p w14:paraId="42F791BA">
      <w:pPr>
        <w:pStyle w:val="4"/>
        <w:bidi w:val="0"/>
        <w:spacing w:line="240" w:lineRule="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附件3</w:t>
      </w:r>
      <w:bookmarkEnd w:id="32"/>
    </w:p>
    <w:p w14:paraId="180842B6">
      <w:pPr>
        <w:pStyle w:val="33"/>
        <w:shd w:val="clear" w:color="auto" w:fill="auto"/>
        <w:spacing w:line="240" w:lineRule="auto"/>
        <w:ind w:firstLine="0"/>
        <w:jc w:val="center"/>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公开竞争性遴选政策性农业保险承保机构评审标准（县级）</w:t>
      </w:r>
    </w:p>
    <w:tbl>
      <w:tblPr>
        <w:tblStyle w:val="20"/>
        <w:tblW w:w="14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789"/>
        <w:gridCol w:w="839"/>
        <w:gridCol w:w="960"/>
        <w:gridCol w:w="6579"/>
        <w:gridCol w:w="5180"/>
      </w:tblGrid>
      <w:tr w14:paraId="243B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840">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lang w:val="en-US" w:eastAsia="zh-CN" w:bidi="ar"/>
              </w:rPr>
            </w:pPr>
            <w:r>
              <w:rPr>
                <w:rFonts w:hint="eastAsia" w:ascii="仿宋" w:hAnsi="仿宋" w:eastAsia="仿宋" w:cs="仿宋"/>
                <w:b/>
                <w:bCs/>
                <w:i w:val="0"/>
                <w:iCs w:val="0"/>
                <w:snapToGrid w:val="0"/>
                <w:color w:val="auto"/>
                <w:kern w:val="0"/>
                <w:sz w:val="24"/>
                <w:szCs w:val="24"/>
                <w:highlight w:val="none"/>
                <w:u w:val="none"/>
                <w:lang w:val="en-US" w:eastAsia="zh-CN" w:bidi="ar"/>
              </w:rPr>
              <w:t>序号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1AF">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lang w:val="en-US" w:eastAsia="zh-CN" w:bidi="ar"/>
              </w:rPr>
            </w:pPr>
            <w:r>
              <w:rPr>
                <w:rFonts w:hint="eastAsia" w:ascii="仿宋" w:hAnsi="仿宋" w:eastAsia="仿宋" w:cs="仿宋"/>
                <w:b/>
                <w:bCs/>
                <w:i w:val="0"/>
                <w:iCs w:val="0"/>
                <w:snapToGrid w:val="0"/>
                <w:color w:val="auto"/>
                <w:kern w:val="0"/>
                <w:sz w:val="24"/>
                <w:szCs w:val="24"/>
                <w:highlight w:val="none"/>
                <w:u w:val="none"/>
                <w:lang w:val="en-US" w:eastAsia="zh-CN" w:bidi="ar"/>
              </w:rPr>
              <w:t>一级指标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205BBEE7">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lang w:val="en-US" w:eastAsia="zh-CN" w:bidi="ar"/>
              </w:rPr>
            </w:pPr>
            <w:r>
              <w:rPr>
                <w:rFonts w:hint="eastAsia" w:ascii="仿宋" w:hAnsi="仿宋" w:eastAsia="仿宋" w:cs="仿宋"/>
                <w:b/>
                <w:bCs/>
                <w:i w:val="0"/>
                <w:iCs w:val="0"/>
                <w:snapToGrid w:val="0"/>
                <w:color w:val="auto"/>
                <w:kern w:val="0"/>
                <w:sz w:val="24"/>
                <w:szCs w:val="24"/>
                <w:highlight w:val="none"/>
                <w:u w:val="none"/>
                <w:lang w:val="en-US" w:eastAsia="zh-CN" w:bidi="ar"/>
              </w:rPr>
              <w:t>二级</w:t>
            </w:r>
          </w:p>
          <w:p w14:paraId="26794F10">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lang w:val="en-US" w:eastAsia="zh-CN" w:bidi="ar"/>
              </w:rPr>
            </w:pPr>
            <w:r>
              <w:rPr>
                <w:rFonts w:hint="eastAsia" w:ascii="仿宋" w:hAnsi="仿宋" w:eastAsia="仿宋" w:cs="仿宋"/>
                <w:b/>
                <w:bCs/>
                <w:i w:val="0"/>
                <w:iCs w:val="0"/>
                <w:snapToGrid w:val="0"/>
                <w:color w:val="auto"/>
                <w:kern w:val="0"/>
                <w:sz w:val="24"/>
                <w:szCs w:val="24"/>
                <w:highlight w:val="none"/>
                <w:u w:val="none"/>
                <w:lang w:val="en-US" w:eastAsia="zh-CN" w:bidi="ar"/>
              </w:rPr>
              <w:t>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C8B2ADC">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lang w:val="en-US" w:eastAsia="zh-CN" w:bidi="ar"/>
              </w:rPr>
            </w:pPr>
            <w:r>
              <w:rPr>
                <w:rFonts w:hint="eastAsia" w:ascii="仿宋" w:hAnsi="仿宋" w:eastAsia="仿宋" w:cs="仿宋"/>
                <w:b/>
                <w:bCs/>
                <w:i w:val="0"/>
                <w:iCs w:val="0"/>
                <w:snapToGrid w:val="0"/>
                <w:color w:val="auto"/>
                <w:kern w:val="0"/>
                <w:sz w:val="24"/>
                <w:szCs w:val="24"/>
                <w:highlight w:val="none"/>
                <w:u w:val="none"/>
                <w:lang w:val="en-US" w:eastAsia="zh-CN" w:bidi="ar"/>
              </w:rPr>
              <w:t>分值</w:t>
            </w:r>
          </w:p>
          <w:p w14:paraId="7843CBFB">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lang w:val="en-US" w:eastAsia="zh-CN" w:bidi="ar"/>
              </w:rPr>
            </w:pPr>
            <w:r>
              <w:rPr>
                <w:rFonts w:hint="eastAsia" w:ascii="仿宋" w:hAnsi="仿宋" w:eastAsia="仿宋" w:cs="仿宋"/>
                <w:b/>
                <w:bCs/>
                <w:i w:val="0"/>
                <w:iCs w:val="0"/>
                <w:snapToGrid w:val="0"/>
                <w:color w:val="auto"/>
                <w:kern w:val="0"/>
                <w:sz w:val="24"/>
                <w:szCs w:val="24"/>
                <w:highlight w:val="none"/>
                <w:u w:val="none"/>
                <w:lang w:val="en-US" w:eastAsia="zh-CN" w:bidi="ar"/>
              </w:rPr>
              <w:t>（分）</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top"/>
          </w:tcPr>
          <w:p w14:paraId="5DBA056A">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lang w:val="en-US" w:eastAsia="zh-CN" w:bidi="ar"/>
              </w:rPr>
            </w:pPr>
            <w:r>
              <w:rPr>
                <w:rFonts w:hint="eastAsia" w:ascii="仿宋" w:hAnsi="仿宋" w:eastAsia="仿宋" w:cs="仿宋"/>
                <w:b/>
                <w:bCs/>
                <w:i w:val="0"/>
                <w:iCs w:val="0"/>
                <w:snapToGrid w:val="0"/>
                <w:color w:val="auto"/>
                <w:kern w:val="0"/>
                <w:sz w:val="24"/>
                <w:szCs w:val="24"/>
                <w:highlight w:val="none"/>
                <w:u w:val="none"/>
                <w:lang w:val="en-US" w:eastAsia="zh-CN" w:bidi="ar"/>
              </w:rPr>
              <w:t>评 分 标 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top"/>
          </w:tcPr>
          <w:p w14:paraId="6C457168">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lang w:val="en-US" w:eastAsia="zh-CN" w:bidi="ar"/>
              </w:rPr>
            </w:pPr>
            <w:r>
              <w:rPr>
                <w:rFonts w:hint="eastAsia" w:ascii="仿宋" w:hAnsi="仿宋" w:eastAsia="仿宋" w:cs="仿宋"/>
                <w:b/>
                <w:bCs/>
                <w:i w:val="0"/>
                <w:iCs w:val="0"/>
                <w:snapToGrid w:val="0"/>
                <w:color w:val="auto"/>
                <w:kern w:val="0"/>
                <w:sz w:val="24"/>
                <w:szCs w:val="24"/>
                <w:highlight w:val="none"/>
                <w:u w:val="none"/>
                <w:lang w:val="en-US" w:eastAsia="zh-CN" w:bidi="ar"/>
              </w:rPr>
              <w:t>评  分  说  明</w:t>
            </w:r>
          </w:p>
        </w:tc>
      </w:tr>
      <w:tr w14:paraId="3387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BA9">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c>
          <w:tcPr>
            <w:tcW w:w="789" w:type="dxa"/>
            <w:vMerge w:val="restart"/>
            <w:tcBorders>
              <w:top w:val="single" w:color="000000" w:sz="4" w:space="0"/>
              <w:left w:val="single" w:color="000000" w:sz="4" w:space="0"/>
              <w:right w:val="single" w:color="000000" w:sz="4" w:space="0"/>
            </w:tcBorders>
            <w:shd w:val="clear" w:color="auto" w:fill="auto"/>
            <w:vAlign w:val="center"/>
          </w:tcPr>
          <w:p w14:paraId="65F39642">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怀化市本级设置自主指标</w:t>
            </w:r>
          </w:p>
          <w:p w14:paraId="23912E7B">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20分</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8B5">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农业保险绩效评价结果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FFC4">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5</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FE3">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以参加遴选的承保机构在遴选区域内的2022-2024年度政策性农业保险承保机构工作绩效评价结果三年的平均分进行排名计分（第一名得5分，第二名得4分，第三名得3分，依此类推）。</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A11">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参加遴选的机构2022—2024年度政策性农业保险承保机构绩效得分，需提供区财政局认定的相关文件并加盖参加遴选的承保机构公章。</w:t>
            </w:r>
          </w:p>
        </w:tc>
      </w:tr>
      <w:tr w14:paraId="08FA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C5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c>
          <w:tcPr>
            <w:tcW w:w="789" w:type="dxa"/>
            <w:vMerge w:val="continue"/>
            <w:tcBorders>
              <w:left w:val="single" w:color="000000" w:sz="4" w:space="0"/>
              <w:right w:val="single" w:color="000000" w:sz="4" w:space="0"/>
            </w:tcBorders>
            <w:shd w:val="clear" w:color="auto" w:fill="auto"/>
            <w:vAlign w:val="center"/>
          </w:tcPr>
          <w:p w14:paraId="78728BB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A46">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农户助贷工作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99F">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1.5</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6F8">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参加遴选的承保机构及上级公司在2022-2024年度开展“以保促贷”等方式与金融机构签订合作协议并成功发放贷款的得1.5分；与金融机构签订合作协议未发放贷款的得1分。未提供相关资料的不得分。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862">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参加遴选的承保机构应提供相关佐证材料，如合作协议、贷款合同、授信额度截图，并加盖参加遴选的承保机构公章。</w:t>
            </w:r>
          </w:p>
        </w:tc>
      </w:tr>
      <w:tr w14:paraId="6FA4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FF6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w:t>
            </w:r>
          </w:p>
        </w:tc>
        <w:tc>
          <w:tcPr>
            <w:tcW w:w="789" w:type="dxa"/>
            <w:vMerge w:val="continue"/>
            <w:tcBorders>
              <w:left w:val="single" w:color="000000" w:sz="4" w:space="0"/>
              <w:right w:val="single" w:color="000000" w:sz="4" w:space="0"/>
            </w:tcBorders>
            <w:shd w:val="clear" w:color="auto" w:fill="auto"/>
            <w:vAlign w:val="center"/>
          </w:tcPr>
          <w:p w14:paraId="44D3DC32">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3AED">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乡村振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FE6">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2FD">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以参加遴选的承保机构在2022-2024年度在全市范围内有乡村振兴点且有资金扶持的得1.5分，没有的不得分；以参加遴选的承保机构在2022—2024年对遴选区域受益农户人次为评分标准，赔偿受益农户人数最多的第一名得1.5分，第二名的得1分，第三名得0.5分，第四名及以后不得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260">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参加遴选的承保机构提供相关文件，并加盖参加遴选的承保机构公章。</w:t>
            </w:r>
          </w:p>
        </w:tc>
      </w:tr>
      <w:tr w14:paraId="749A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1ED">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4</w:t>
            </w:r>
          </w:p>
        </w:tc>
        <w:tc>
          <w:tcPr>
            <w:tcW w:w="789" w:type="dxa"/>
            <w:vMerge w:val="continue"/>
            <w:tcBorders>
              <w:left w:val="single" w:color="000000" w:sz="4" w:space="0"/>
              <w:right w:val="single" w:color="000000" w:sz="4" w:space="0"/>
            </w:tcBorders>
            <w:shd w:val="clear" w:color="auto" w:fill="auto"/>
            <w:vAlign w:val="center"/>
          </w:tcPr>
          <w:p w14:paraId="597E6353">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4E68">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农村金融贡献程度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5CE3">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1B96">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参加遴选的承保机构在2022年-2024年遴选区域的中央险种保险平均覆盖率（承保数量）排名计分，第一名得3分，第二名得2分，第三名得1分，第四名不得分。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73F">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鹤城区财政局提供承保基础数据，同时参加遴选的承保机构提供相关承保清单等资料，并加盖参加遴选的承保机构公章。</w:t>
            </w:r>
          </w:p>
        </w:tc>
      </w:tr>
      <w:tr w14:paraId="0DFC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6AC">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5</w:t>
            </w:r>
          </w:p>
        </w:tc>
        <w:tc>
          <w:tcPr>
            <w:tcW w:w="789" w:type="dxa"/>
            <w:vMerge w:val="continue"/>
            <w:tcBorders>
              <w:left w:val="single" w:color="000000" w:sz="4" w:space="0"/>
              <w:right w:val="single" w:color="000000" w:sz="4" w:space="0"/>
            </w:tcBorders>
            <w:shd w:val="clear" w:color="auto" w:fill="auto"/>
            <w:vAlign w:val="center"/>
          </w:tcPr>
          <w:p w14:paraId="73051B2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EF78">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地方特色农业发展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3DC">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30C">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在2022-2024年度开展地方特色农业保险项目的得1.5分，无承保特色险种不得分。在2022-2024年度帮助种、养、林农在农业生产中减少损失并帮忙农户灾后稳定农业生产，对保障农民收入有贡献的按照已结案理赔总额排名计分（每年理赔总额第一得1.5分，理赔总额第二得1分，理赔总额第三得0.5分，第四名及以后不得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7F64">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鹤城区财政局提供2022—2024年区级特色农业保险承保清单，同时遴选的承保机构提供历年理赔数据及相关资料文件，并加盖参加遴选的承保机构公章。</w:t>
            </w:r>
          </w:p>
        </w:tc>
      </w:tr>
      <w:tr w14:paraId="0884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8375">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c>
          <w:tcPr>
            <w:tcW w:w="789" w:type="dxa"/>
            <w:vMerge w:val="continue"/>
            <w:tcBorders>
              <w:left w:val="single" w:color="000000" w:sz="4" w:space="0"/>
              <w:right w:val="single" w:color="000000" w:sz="4" w:space="0"/>
            </w:tcBorders>
            <w:shd w:val="clear" w:color="auto" w:fill="auto"/>
            <w:vAlign w:val="center"/>
          </w:tcPr>
          <w:p w14:paraId="48B0C85F">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AD1B">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default" w:ascii="仿宋" w:hAnsi="仿宋" w:eastAsia="仿宋" w:cs="仿宋"/>
                <w:i w:val="0"/>
                <w:iCs w:val="0"/>
                <w:snapToGrid w:val="0"/>
                <w:color w:val="auto"/>
                <w:kern w:val="0"/>
                <w:sz w:val="24"/>
                <w:szCs w:val="24"/>
                <w:highlight w:val="none"/>
                <w:u w:val="none"/>
                <w:lang w:val="en-US" w:eastAsia="zh-CN" w:bidi="ar"/>
              </w:rPr>
              <w:t>农业保险宣传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5DF">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2.5</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2FE8">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r>
              <w:rPr>
                <w:rFonts w:hint="default" w:ascii="仿宋" w:hAnsi="仿宋" w:eastAsia="仿宋" w:cs="仿宋"/>
                <w:i w:val="0"/>
                <w:iCs w:val="0"/>
                <w:snapToGrid w:val="0"/>
                <w:color w:val="auto"/>
                <w:kern w:val="0"/>
                <w:sz w:val="24"/>
                <w:szCs w:val="24"/>
                <w:highlight w:val="none"/>
                <w:u w:val="none"/>
                <w:lang w:val="en-US" w:eastAsia="zh-CN" w:bidi="ar"/>
              </w:rPr>
              <w:t>各承保机构必须制作简单通俗易懂的农业保险宣传单发放至每个投保农户。</w:t>
            </w:r>
          </w:p>
          <w:p w14:paraId="5DE4AD83">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r>
              <w:rPr>
                <w:rFonts w:hint="default" w:ascii="仿宋" w:hAnsi="仿宋" w:eastAsia="仿宋" w:cs="仿宋"/>
                <w:i w:val="0"/>
                <w:iCs w:val="0"/>
                <w:snapToGrid w:val="0"/>
                <w:color w:val="auto"/>
                <w:kern w:val="0"/>
                <w:sz w:val="24"/>
                <w:szCs w:val="24"/>
                <w:highlight w:val="none"/>
                <w:u w:val="none"/>
                <w:lang w:val="en-US" w:eastAsia="zh-CN" w:bidi="ar"/>
              </w:rPr>
              <w:t>各承保机构必须将投保须知、承保流程、理赔流程、联系人、业务咨询电话和省县两级监督电话等信息张贴至乡镇、村委会等场所。</w:t>
            </w:r>
          </w:p>
          <w:p w14:paraId="2438CC66">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w:t>
            </w:r>
            <w:r>
              <w:rPr>
                <w:rFonts w:hint="default" w:ascii="仿宋" w:hAnsi="仿宋" w:eastAsia="仿宋" w:cs="仿宋"/>
                <w:i w:val="0"/>
                <w:iCs w:val="0"/>
                <w:snapToGrid w:val="0"/>
                <w:color w:val="auto"/>
                <w:kern w:val="0"/>
                <w:sz w:val="24"/>
                <w:szCs w:val="24"/>
                <w:highlight w:val="none"/>
                <w:u w:val="none"/>
                <w:lang w:val="en-US" w:eastAsia="zh-CN" w:bidi="ar"/>
              </w:rPr>
              <w:t>各承保机构每年要开展1次集中宣传活动。</w:t>
            </w:r>
          </w:p>
          <w:p w14:paraId="22761136">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4.</w:t>
            </w:r>
            <w:r>
              <w:rPr>
                <w:rFonts w:hint="default" w:ascii="仿宋" w:hAnsi="仿宋" w:eastAsia="仿宋" w:cs="仿宋"/>
                <w:i w:val="0"/>
                <w:iCs w:val="0"/>
                <w:snapToGrid w:val="0"/>
                <w:color w:val="auto"/>
                <w:kern w:val="0"/>
                <w:sz w:val="24"/>
                <w:szCs w:val="24"/>
                <w:highlight w:val="none"/>
                <w:u w:val="none"/>
                <w:lang w:val="en-US" w:eastAsia="zh-CN" w:bidi="ar"/>
              </w:rPr>
              <w:t>每年组织专（兼）干、协保员培训2次及以上。</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0CA1">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r>
              <w:rPr>
                <w:rFonts w:hint="default" w:ascii="仿宋" w:hAnsi="仿宋" w:eastAsia="仿宋" w:cs="仿宋"/>
                <w:i w:val="0"/>
                <w:iCs w:val="0"/>
                <w:snapToGrid w:val="0"/>
                <w:color w:val="auto"/>
                <w:kern w:val="0"/>
                <w:sz w:val="24"/>
                <w:szCs w:val="24"/>
                <w:highlight w:val="none"/>
                <w:u w:val="none"/>
                <w:lang w:val="en-US" w:eastAsia="zh-CN" w:bidi="ar"/>
              </w:rPr>
              <w:t>各承保机构</w:t>
            </w:r>
            <w:r>
              <w:rPr>
                <w:rFonts w:hint="eastAsia" w:ascii="仿宋" w:hAnsi="仿宋" w:eastAsia="仿宋" w:cs="仿宋"/>
                <w:i w:val="0"/>
                <w:iCs w:val="0"/>
                <w:snapToGrid w:val="0"/>
                <w:color w:val="auto"/>
                <w:kern w:val="0"/>
                <w:sz w:val="24"/>
                <w:szCs w:val="24"/>
                <w:highlight w:val="none"/>
                <w:u w:val="none"/>
                <w:lang w:val="en-US" w:eastAsia="zh-CN" w:bidi="ar"/>
              </w:rPr>
              <w:t>未提供</w:t>
            </w:r>
            <w:r>
              <w:rPr>
                <w:rFonts w:hint="default" w:ascii="仿宋" w:hAnsi="仿宋" w:eastAsia="仿宋" w:cs="仿宋"/>
                <w:i w:val="0"/>
                <w:iCs w:val="0"/>
                <w:snapToGrid w:val="0"/>
                <w:color w:val="auto"/>
                <w:kern w:val="0"/>
                <w:sz w:val="24"/>
                <w:szCs w:val="24"/>
                <w:highlight w:val="none"/>
                <w:u w:val="none"/>
                <w:lang w:val="en-US" w:eastAsia="zh-CN" w:bidi="ar"/>
              </w:rPr>
              <w:t>宣传单</w:t>
            </w:r>
            <w:r>
              <w:rPr>
                <w:rFonts w:hint="eastAsia" w:ascii="仿宋" w:hAnsi="仿宋" w:eastAsia="仿宋" w:cs="仿宋"/>
                <w:i w:val="0"/>
                <w:iCs w:val="0"/>
                <w:snapToGrid w:val="0"/>
                <w:color w:val="auto"/>
                <w:kern w:val="0"/>
                <w:sz w:val="24"/>
                <w:szCs w:val="24"/>
                <w:highlight w:val="none"/>
                <w:u w:val="none"/>
                <w:lang w:val="en-US" w:eastAsia="zh-CN" w:bidi="ar"/>
              </w:rPr>
              <w:t>的印刷件和前往乡镇和村开展发放工作资料的扣</w:t>
            </w:r>
            <w:r>
              <w:rPr>
                <w:rFonts w:hint="default" w:ascii="仿宋" w:hAnsi="仿宋" w:eastAsia="仿宋" w:cs="仿宋"/>
                <w:i w:val="0"/>
                <w:iCs w:val="0"/>
                <w:snapToGrid w:val="0"/>
                <w:color w:val="auto"/>
                <w:kern w:val="0"/>
                <w:sz w:val="24"/>
                <w:szCs w:val="24"/>
                <w:highlight w:val="none"/>
                <w:u w:val="none"/>
                <w:lang w:val="en-US" w:eastAsia="zh-CN" w:bidi="ar"/>
              </w:rPr>
              <w:t>0.5分。</w:t>
            </w:r>
          </w:p>
          <w:p w14:paraId="669E6E2D">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r>
              <w:rPr>
                <w:rFonts w:hint="default" w:ascii="仿宋" w:hAnsi="仿宋" w:eastAsia="仿宋" w:cs="仿宋"/>
                <w:i w:val="0"/>
                <w:iCs w:val="0"/>
                <w:snapToGrid w:val="0"/>
                <w:color w:val="auto"/>
                <w:kern w:val="0"/>
                <w:sz w:val="24"/>
                <w:szCs w:val="24"/>
                <w:highlight w:val="none"/>
                <w:u w:val="none"/>
                <w:lang w:val="en-US" w:eastAsia="zh-CN" w:bidi="ar"/>
              </w:rPr>
              <w:t>各承保机构未将投保须知、承保流程、理赔流程、联系人、业务咨询电话和省县两级监督电话，以及各险种对应的承保机构名称、全国客服电话及区县服务电话等信息张贴至乡镇、村委会等场所，每少1个乡镇扣</w:t>
            </w:r>
            <w:r>
              <w:rPr>
                <w:rFonts w:hint="eastAsia" w:ascii="仿宋" w:hAnsi="仿宋" w:eastAsia="仿宋" w:cs="仿宋"/>
                <w:i w:val="0"/>
                <w:iCs w:val="0"/>
                <w:snapToGrid w:val="0"/>
                <w:color w:val="auto"/>
                <w:kern w:val="0"/>
                <w:sz w:val="24"/>
                <w:szCs w:val="24"/>
                <w:highlight w:val="none"/>
                <w:u w:val="none"/>
                <w:lang w:val="en-US" w:eastAsia="zh-CN" w:bidi="ar"/>
              </w:rPr>
              <w:t>0.5</w:t>
            </w:r>
            <w:r>
              <w:rPr>
                <w:rFonts w:hint="default" w:ascii="仿宋" w:hAnsi="仿宋" w:eastAsia="仿宋" w:cs="仿宋"/>
                <w:i w:val="0"/>
                <w:iCs w:val="0"/>
                <w:snapToGrid w:val="0"/>
                <w:color w:val="auto"/>
                <w:kern w:val="0"/>
                <w:sz w:val="24"/>
                <w:szCs w:val="24"/>
                <w:highlight w:val="none"/>
                <w:u w:val="none"/>
                <w:lang w:val="en-US" w:eastAsia="zh-CN" w:bidi="ar"/>
              </w:rPr>
              <w:t>分，每少</w:t>
            </w:r>
            <w:r>
              <w:rPr>
                <w:rFonts w:hint="eastAsia" w:ascii="仿宋" w:hAnsi="仿宋" w:eastAsia="仿宋" w:cs="仿宋"/>
                <w:i w:val="0"/>
                <w:iCs w:val="0"/>
                <w:snapToGrid w:val="0"/>
                <w:color w:val="auto"/>
                <w:kern w:val="0"/>
                <w:sz w:val="24"/>
                <w:szCs w:val="24"/>
                <w:highlight w:val="none"/>
                <w:u w:val="none"/>
                <w:lang w:val="en-US" w:eastAsia="zh-CN" w:bidi="ar"/>
              </w:rPr>
              <w:t>1</w:t>
            </w:r>
            <w:r>
              <w:rPr>
                <w:rFonts w:hint="default" w:ascii="仿宋" w:hAnsi="仿宋" w:eastAsia="仿宋" w:cs="仿宋"/>
                <w:i w:val="0"/>
                <w:iCs w:val="0"/>
                <w:snapToGrid w:val="0"/>
                <w:color w:val="auto"/>
                <w:kern w:val="0"/>
                <w:sz w:val="24"/>
                <w:szCs w:val="24"/>
                <w:highlight w:val="none"/>
                <w:u w:val="none"/>
                <w:lang w:val="en-US" w:eastAsia="zh-CN" w:bidi="ar"/>
              </w:rPr>
              <w:t>个村扣0.5分。</w:t>
            </w:r>
          </w:p>
          <w:p w14:paraId="74518EF4">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w:t>
            </w:r>
            <w:r>
              <w:rPr>
                <w:rFonts w:hint="default" w:ascii="仿宋" w:hAnsi="仿宋" w:eastAsia="仿宋" w:cs="仿宋"/>
                <w:i w:val="0"/>
                <w:iCs w:val="0"/>
                <w:snapToGrid w:val="0"/>
                <w:color w:val="auto"/>
                <w:kern w:val="0"/>
                <w:sz w:val="24"/>
                <w:szCs w:val="24"/>
                <w:highlight w:val="none"/>
                <w:u w:val="none"/>
                <w:lang w:val="en-US" w:eastAsia="zh-CN" w:bidi="ar"/>
              </w:rPr>
              <w:t>未开展集中宣传活动的承保机构扣</w:t>
            </w:r>
            <w:r>
              <w:rPr>
                <w:rFonts w:hint="eastAsia" w:ascii="仿宋" w:hAnsi="仿宋" w:eastAsia="仿宋" w:cs="仿宋"/>
                <w:i w:val="0"/>
                <w:iCs w:val="0"/>
                <w:snapToGrid w:val="0"/>
                <w:color w:val="auto"/>
                <w:kern w:val="0"/>
                <w:sz w:val="24"/>
                <w:szCs w:val="24"/>
                <w:highlight w:val="none"/>
                <w:u w:val="none"/>
                <w:lang w:val="en-US" w:eastAsia="zh-CN" w:bidi="ar"/>
              </w:rPr>
              <w:t>0.5</w:t>
            </w:r>
            <w:r>
              <w:rPr>
                <w:rFonts w:hint="default" w:ascii="仿宋" w:hAnsi="仿宋" w:eastAsia="仿宋" w:cs="仿宋"/>
                <w:i w:val="0"/>
                <w:iCs w:val="0"/>
                <w:snapToGrid w:val="0"/>
                <w:color w:val="auto"/>
                <w:kern w:val="0"/>
                <w:sz w:val="24"/>
                <w:szCs w:val="24"/>
                <w:highlight w:val="none"/>
                <w:u w:val="none"/>
                <w:lang w:val="en-US" w:eastAsia="zh-CN" w:bidi="ar"/>
              </w:rPr>
              <w:t>分。</w:t>
            </w:r>
          </w:p>
          <w:p w14:paraId="564659CB">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4.</w:t>
            </w:r>
            <w:r>
              <w:rPr>
                <w:rFonts w:hint="default" w:ascii="仿宋" w:hAnsi="仿宋" w:eastAsia="仿宋" w:cs="仿宋"/>
                <w:i w:val="0"/>
                <w:iCs w:val="0"/>
                <w:snapToGrid w:val="0"/>
                <w:color w:val="auto"/>
                <w:kern w:val="0"/>
                <w:sz w:val="24"/>
                <w:szCs w:val="24"/>
                <w:highlight w:val="none"/>
                <w:u w:val="none"/>
                <w:lang w:val="en-US" w:eastAsia="zh-CN" w:bidi="ar"/>
              </w:rPr>
              <w:t>未开展集中培训的，每缺少1次，扣</w:t>
            </w:r>
            <w:r>
              <w:rPr>
                <w:rFonts w:hint="eastAsia" w:ascii="仿宋" w:hAnsi="仿宋" w:eastAsia="仿宋" w:cs="仿宋"/>
                <w:i w:val="0"/>
                <w:iCs w:val="0"/>
                <w:snapToGrid w:val="0"/>
                <w:color w:val="auto"/>
                <w:kern w:val="0"/>
                <w:sz w:val="24"/>
                <w:szCs w:val="24"/>
                <w:highlight w:val="none"/>
                <w:u w:val="none"/>
                <w:lang w:val="en-US" w:eastAsia="zh-CN" w:bidi="ar"/>
              </w:rPr>
              <w:t>0.5</w:t>
            </w:r>
            <w:r>
              <w:rPr>
                <w:rFonts w:hint="default" w:ascii="仿宋" w:hAnsi="仿宋" w:eastAsia="仿宋" w:cs="仿宋"/>
                <w:i w:val="0"/>
                <w:iCs w:val="0"/>
                <w:snapToGrid w:val="0"/>
                <w:color w:val="auto"/>
                <w:kern w:val="0"/>
                <w:sz w:val="24"/>
                <w:szCs w:val="24"/>
                <w:highlight w:val="none"/>
                <w:u w:val="none"/>
                <w:lang w:val="en-US" w:eastAsia="zh-CN" w:bidi="ar"/>
              </w:rPr>
              <w:t>分。</w:t>
            </w:r>
          </w:p>
          <w:p w14:paraId="1C8DAA9E">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default" w:ascii="仿宋" w:hAnsi="仿宋" w:eastAsia="仿宋" w:cs="仿宋"/>
                <w:i w:val="0"/>
                <w:iCs w:val="0"/>
                <w:snapToGrid w:val="0"/>
                <w:color w:val="auto"/>
                <w:kern w:val="0"/>
                <w:sz w:val="24"/>
                <w:szCs w:val="24"/>
                <w:highlight w:val="none"/>
                <w:u w:val="none"/>
                <w:lang w:val="en-US" w:eastAsia="zh-CN" w:bidi="ar"/>
              </w:rPr>
              <w:t>本项</w:t>
            </w:r>
            <w:r>
              <w:rPr>
                <w:rFonts w:hint="eastAsia" w:ascii="仿宋" w:hAnsi="仿宋" w:eastAsia="仿宋" w:cs="仿宋"/>
                <w:i w:val="0"/>
                <w:iCs w:val="0"/>
                <w:snapToGrid w:val="0"/>
                <w:color w:val="auto"/>
                <w:kern w:val="0"/>
                <w:sz w:val="24"/>
                <w:szCs w:val="24"/>
                <w:highlight w:val="none"/>
                <w:u w:val="none"/>
                <w:lang w:val="en-US" w:eastAsia="zh-CN" w:bidi="ar"/>
              </w:rPr>
              <w:t>宣传是指参加遴选的承保机构在各自承保范围内的乡镇（街道）开展相关宣传工作，</w:t>
            </w:r>
            <w:r>
              <w:rPr>
                <w:rFonts w:hint="default" w:ascii="仿宋" w:hAnsi="仿宋" w:eastAsia="仿宋" w:cs="仿宋"/>
                <w:i w:val="0"/>
                <w:iCs w:val="0"/>
                <w:snapToGrid w:val="0"/>
                <w:color w:val="auto"/>
                <w:kern w:val="0"/>
                <w:sz w:val="24"/>
                <w:szCs w:val="24"/>
                <w:highlight w:val="none"/>
                <w:u w:val="none"/>
                <w:lang w:val="en-US" w:eastAsia="zh-CN" w:bidi="ar"/>
              </w:rPr>
              <w:t>以1-</w:t>
            </w:r>
            <w:r>
              <w:rPr>
                <w:rFonts w:hint="eastAsia" w:ascii="仿宋" w:hAnsi="仿宋" w:eastAsia="仿宋" w:cs="仿宋"/>
                <w:i w:val="0"/>
                <w:iCs w:val="0"/>
                <w:snapToGrid w:val="0"/>
                <w:color w:val="auto"/>
                <w:kern w:val="0"/>
                <w:sz w:val="24"/>
                <w:szCs w:val="24"/>
                <w:highlight w:val="none"/>
                <w:u w:val="none"/>
                <w:lang w:val="en-US" w:eastAsia="zh-CN" w:bidi="ar"/>
              </w:rPr>
              <w:t>4</w:t>
            </w:r>
            <w:r>
              <w:rPr>
                <w:rFonts w:hint="default" w:ascii="仿宋" w:hAnsi="仿宋" w:eastAsia="仿宋" w:cs="仿宋"/>
                <w:i w:val="0"/>
                <w:iCs w:val="0"/>
                <w:snapToGrid w:val="0"/>
                <w:color w:val="auto"/>
                <w:kern w:val="0"/>
                <w:sz w:val="24"/>
                <w:szCs w:val="24"/>
                <w:highlight w:val="none"/>
                <w:u w:val="none"/>
                <w:lang w:val="en-US" w:eastAsia="zh-CN" w:bidi="ar"/>
              </w:rPr>
              <w:t>项累计扣分后加总为最后得分。</w:t>
            </w:r>
            <w:r>
              <w:rPr>
                <w:rFonts w:hint="eastAsia" w:ascii="仿宋" w:hAnsi="仿宋" w:eastAsia="仿宋" w:cs="仿宋"/>
                <w:i w:val="0"/>
                <w:iCs w:val="0"/>
                <w:snapToGrid w:val="0"/>
                <w:color w:val="auto"/>
                <w:kern w:val="0"/>
                <w:sz w:val="24"/>
                <w:szCs w:val="24"/>
                <w:highlight w:val="none"/>
                <w:u w:val="none"/>
                <w:lang w:val="en-US" w:eastAsia="zh-CN" w:bidi="ar"/>
              </w:rPr>
              <w:t>以提供</w:t>
            </w:r>
            <w:r>
              <w:rPr>
                <w:rFonts w:hint="default" w:ascii="仿宋" w:hAnsi="仿宋" w:eastAsia="仿宋" w:cs="仿宋"/>
                <w:i w:val="0"/>
                <w:iCs w:val="0"/>
                <w:snapToGrid w:val="0"/>
                <w:color w:val="auto"/>
                <w:kern w:val="0"/>
                <w:sz w:val="24"/>
                <w:szCs w:val="24"/>
                <w:highlight w:val="none"/>
                <w:u w:val="none"/>
                <w:lang w:val="en-US" w:eastAsia="zh-CN" w:bidi="ar"/>
              </w:rPr>
              <w:t>宣传</w:t>
            </w:r>
            <w:r>
              <w:rPr>
                <w:rFonts w:hint="eastAsia" w:ascii="仿宋" w:hAnsi="仿宋" w:eastAsia="仿宋" w:cs="仿宋"/>
                <w:i w:val="0"/>
                <w:iCs w:val="0"/>
                <w:snapToGrid w:val="0"/>
                <w:color w:val="auto"/>
                <w:kern w:val="0"/>
                <w:sz w:val="24"/>
                <w:szCs w:val="24"/>
                <w:highlight w:val="none"/>
                <w:u w:val="none"/>
                <w:lang w:val="en-US" w:eastAsia="zh-CN" w:bidi="ar"/>
              </w:rPr>
              <w:t>单</w:t>
            </w:r>
            <w:r>
              <w:rPr>
                <w:rFonts w:hint="default" w:ascii="仿宋" w:hAnsi="仿宋" w:eastAsia="仿宋" w:cs="仿宋"/>
                <w:i w:val="0"/>
                <w:iCs w:val="0"/>
                <w:snapToGrid w:val="0"/>
                <w:color w:val="auto"/>
                <w:kern w:val="0"/>
                <w:sz w:val="24"/>
                <w:szCs w:val="24"/>
                <w:highlight w:val="none"/>
                <w:u w:val="none"/>
                <w:lang w:val="en-US" w:eastAsia="zh-CN" w:bidi="ar"/>
              </w:rPr>
              <w:t>和培训记录、签到表、课件、现场照片等佐证资料为准。</w:t>
            </w:r>
          </w:p>
        </w:tc>
      </w:tr>
      <w:tr w14:paraId="2283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149">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7</w:t>
            </w:r>
          </w:p>
        </w:tc>
        <w:tc>
          <w:tcPr>
            <w:tcW w:w="789" w:type="dxa"/>
            <w:vMerge w:val="continue"/>
            <w:tcBorders>
              <w:left w:val="single" w:color="000000" w:sz="4" w:space="0"/>
              <w:right w:val="single" w:color="000000" w:sz="4" w:space="0"/>
            </w:tcBorders>
            <w:shd w:val="clear" w:color="auto" w:fill="auto"/>
            <w:vAlign w:val="center"/>
          </w:tcPr>
          <w:p w14:paraId="78CEB76A">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3A77">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服务方案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3BA8">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ECEC">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承保、理赔服务方案。包括组织机构、人员配置、服务流程、资金安排、承保定损理赔办法条款、风控应急管理、响应时限安排等各方面内容的完整性、科学性、合理性、可行性进行综合比较后评分。优计1分，良计0.5分，差不计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5DB9">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以参加遴选的承保机构提供的资料文本为准，同时需提供对关键服务标准和服务响应时限的服务承诺书并加盖参加遴选的承保机构公章。承诺书包括但不限于遵守农业保险有关法律法规（特别是不进行虚假承保和虚假理赔）。</w:t>
            </w:r>
          </w:p>
        </w:tc>
      </w:tr>
      <w:tr w14:paraId="4DD6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CB80">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8</w:t>
            </w:r>
          </w:p>
        </w:tc>
        <w:tc>
          <w:tcPr>
            <w:tcW w:w="789" w:type="dxa"/>
            <w:vMerge w:val="continue"/>
            <w:tcBorders>
              <w:left w:val="single" w:color="000000" w:sz="4" w:space="0"/>
              <w:right w:val="single" w:color="000000" w:sz="4" w:space="0"/>
            </w:tcBorders>
            <w:shd w:val="clear" w:color="auto" w:fill="auto"/>
            <w:vAlign w:val="center"/>
          </w:tcPr>
          <w:p w14:paraId="07001AC4">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BD66">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响应文件制作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C3FD">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c>
          <w:tcPr>
            <w:tcW w:w="6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2B11">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响应文件全面响应遴选文件要求，编制完整、非活页装订，且有详细目录、连续页码、目录与有关材料装订顺序对应清晰、查阅方便得1分。2、编排杂乱无章、资料残缺不全、叙述模糊不清、前后不一致等，每处扣0.5分，扣完为止。</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EB29">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以参加遴选的承保机构提供的文件资料为准。</w:t>
            </w:r>
          </w:p>
        </w:tc>
      </w:tr>
    </w:tbl>
    <w:p w14:paraId="63207506">
      <w:pPr>
        <w:keepNext w:val="0"/>
        <w:keepLines w:val="0"/>
        <w:pageBreakBefore w:val="0"/>
        <w:widowControl w:val="0"/>
        <w:kinsoku/>
        <w:wordWrap w:val="0"/>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注：1、参加市本级及所辖区遴选的承保机构市级分支机构，人员、车辆、信息设备、历史理赔情况及历史业绩指标数据统计范围包合避选区域范围内的所有的市辖区分支机构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p>
    <w:p w14:paraId="489F61DF">
      <w:pPr>
        <w:pStyle w:val="16"/>
        <w:rPr>
          <w:rFonts w:hint="eastAsia" w:ascii="宋体" w:hAnsi="宋体" w:eastAsia="宋体" w:cs="宋体"/>
          <w:highlight w:val="none"/>
        </w:rPr>
        <w:sectPr>
          <w:pgSz w:w="16837" w:h="11905" w:orient="landscape"/>
          <w:pgMar w:top="850" w:right="1134" w:bottom="850"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p>
    <w:p w14:paraId="76CD697D">
      <w:pPr>
        <w:pStyle w:val="3"/>
        <w:bidi w:val="0"/>
        <w:jc w:val="center"/>
        <w:outlineLvl w:val="0"/>
        <w:rPr>
          <w:rFonts w:hint="eastAsia" w:ascii="宋体" w:hAnsi="宋体" w:eastAsia="宋体" w:cs="宋体"/>
          <w:highlight w:val="none"/>
        </w:rPr>
      </w:pPr>
      <w:bookmarkStart w:id="33" w:name="_Toc31532"/>
      <w:bookmarkStart w:id="34" w:name="合同格式"/>
      <w:r>
        <w:rPr>
          <w:rFonts w:hint="eastAsia" w:ascii="宋体" w:hAnsi="宋体" w:eastAsia="宋体" w:cs="宋体"/>
          <w:highlight w:val="none"/>
        </w:rPr>
        <w:t>第三章　合同格式</w:t>
      </w:r>
      <w:bookmarkEnd w:id="33"/>
    </w:p>
    <w:p w14:paraId="015321E9">
      <w:pPr>
        <w:pStyle w:val="6"/>
        <w:adjustRightInd w:val="0"/>
        <w:snapToGrid w:val="0"/>
        <w:spacing w:line="630" w:lineRule="exact"/>
        <w:ind w:left="0" w:leftChars="0"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由遴选区域财政部门和农业农村局</w:t>
      </w:r>
      <w:r>
        <w:rPr>
          <w:rFonts w:eastAsia="仿宋_GB2312"/>
          <w:color w:val="auto"/>
          <w:sz w:val="32"/>
          <w:szCs w:val="32"/>
          <w:highlight w:val="none"/>
        </w:rPr>
        <w:t>根据《中华人民共和国</w:t>
      </w:r>
      <w:r>
        <w:rPr>
          <w:rFonts w:hint="eastAsia" w:eastAsia="仿宋_GB2312"/>
          <w:color w:val="auto"/>
          <w:sz w:val="32"/>
          <w:szCs w:val="32"/>
          <w:highlight w:val="none"/>
          <w:lang w:val="en-US" w:eastAsia="zh-CN"/>
        </w:rPr>
        <w:t>民法典</w:t>
      </w:r>
      <w:r>
        <w:rPr>
          <w:rFonts w:eastAsia="仿宋_GB2312"/>
          <w:color w:val="auto"/>
          <w:sz w:val="32"/>
          <w:szCs w:val="32"/>
          <w:highlight w:val="none"/>
        </w:rPr>
        <w:t>》、《农业保险条例》</w:t>
      </w:r>
      <w:r>
        <w:rPr>
          <w:rFonts w:hint="eastAsia" w:eastAsia="仿宋_GB2312"/>
          <w:color w:val="auto"/>
          <w:sz w:val="32"/>
          <w:szCs w:val="32"/>
          <w:highlight w:val="none"/>
          <w:lang w:eastAsia="zh-CN"/>
        </w:rPr>
        <w:t>、</w:t>
      </w:r>
      <w:r>
        <w:rPr>
          <w:rFonts w:eastAsia="仿宋_GB2312"/>
          <w:color w:val="auto"/>
          <w:sz w:val="32"/>
          <w:szCs w:val="32"/>
          <w:highlight w:val="none"/>
        </w:rPr>
        <w:t>《中央财政农业保险保费补贴管理办法》</w:t>
      </w:r>
      <w:r>
        <w:rPr>
          <w:rFonts w:hint="eastAsia" w:eastAsia="仿宋_GB2312"/>
          <w:color w:val="auto"/>
          <w:sz w:val="32"/>
          <w:szCs w:val="32"/>
          <w:highlight w:val="none"/>
          <w:lang w:eastAsia="zh-CN"/>
        </w:rPr>
        <w:t>、《湖南省财政厅湖南省农业农村厅关于印发（公开竞争性遴选政策性农业保险承保机构实施办法）的通知》湘财金【2026】4号、</w:t>
      </w:r>
      <w:r>
        <w:rPr>
          <w:rFonts w:eastAsia="仿宋_GB2312"/>
          <w:color w:val="auto"/>
          <w:sz w:val="32"/>
          <w:szCs w:val="32"/>
          <w:highlight w:val="none"/>
        </w:rPr>
        <w:t>其他有关法律、法规、规章</w:t>
      </w:r>
      <w:r>
        <w:rPr>
          <w:rFonts w:hint="eastAsia" w:eastAsia="仿宋_GB2312"/>
          <w:color w:val="auto"/>
          <w:sz w:val="32"/>
          <w:szCs w:val="32"/>
          <w:highlight w:val="none"/>
          <w:lang w:val="en-US" w:eastAsia="zh-CN"/>
        </w:rPr>
        <w:t>以及中选承保机构响应文件和项目具体情况</w:t>
      </w:r>
      <w:r>
        <w:rPr>
          <w:rFonts w:eastAsia="仿宋_GB2312"/>
          <w:color w:val="auto"/>
          <w:sz w:val="32"/>
          <w:szCs w:val="32"/>
          <w:highlight w:val="none"/>
        </w:rPr>
        <w:t>，</w:t>
      </w:r>
      <w:r>
        <w:rPr>
          <w:rFonts w:hint="eastAsia" w:eastAsia="仿宋_GB2312"/>
          <w:color w:val="auto"/>
          <w:sz w:val="32"/>
          <w:szCs w:val="32"/>
          <w:highlight w:val="none"/>
          <w:lang w:val="en-US" w:eastAsia="zh-CN"/>
        </w:rPr>
        <w:t>与中选承保机构共同拟定合同文本。</w:t>
      </w:r>
    </w:p>
    <w:p w14:paraId="78AEEF88">
      <w:pPr>
        <w:spacing w:line="600" w:lineRule="exact"/>
        <w:jc w:val="center"/>
        <w:rPr>
          <w:rFonts w:hint="eastAsia" w:ascii="宋体" w:hAnsi="宋体" w:eastAsia="宋体" w:cs="宋体"/>
          <w:b/>
          <w:bCs/>
          <w:sz w:val="44"/>
          <w:szCs w:val="44"/>
          <w:highlight w:val="none"/>
        </w:rPr>
      </w:pPr>
    </w:p>
    <w:p w14:paraId="28064F4E">
      <w:pPr>
        <w:pStyle w:val="16"/>
        <w:rPr>
          <w:rFonts w:hint="eastAsia"/>
          <w:highlight w:val="none"/>
        </w:rPr>
        <w:sectPr>
          <w:pgSz w:w="11906" w:h="16838"/>
          <w:pgMar w:top="1701" w:right="1587" w:bottom="1701" w:left="1587" w:header="850" w:footer="1417" w:gutter="0"/>
          <w:pgBorders>
            <w:top w:val="none" w:sz="0" w:space="0"/>
            <w:left w:val="none" w:sz="0" w:space="0"/>
            <w:bottom w:val="none" w:sz="0" w:space="0"/>
            <w:right w:val="none" w:sz="0" w:space="0"/>
          </w:pgBorders>
          <w:pgNumType w:fmt="decimal"/>
          <w:cols w:space="720" w:num="1"/>
          <w:docGrid w:type="lines" w:linePitch="312" w:charSpace="0"/>
        </w:sectPr>
      </w:pPr>
    </w:p>
    <w:bookmarkEnd w:id="34"/>
    <w:p w14:paraId="1F865DBF">
      <w:pPr>
        <w:pStyle w:val="3"/>
        <w:bidi w:val="0"/>
        <w:jc w:val="center"/>
        <w:outlineLvl w:val="0"/>
        <w:rPr>
          <w:rFonts w:hint="eastAsia" w:ascii="宋体" w:hAnsi="宋体" w:eastAsia="宋体" w:cs="宋体"/>
          <w:highlight w:val="none"/>
        </w:rPr>
      </w:pPr>
      <w:bookmarkStart w:id="35" w:name="_Toc10861"/>
      <w:bookmarkStart w:id="36" w:name="遴选响应文件组成"/>
      <w:r>
        <w:rPr>
          <w:rFonts w:hint="eastAsia" w:ascii="宋体" w:hAnsi="宋体" w:eastAsia="宋体" w:cs="宋体"/>
          <w:highlight w:val="none"/>
        </w:rPr>
        <w:t>第四章　遴选响应文件组成</w:t>
      </w:r>
      <w:bookmarkEnd w:id="35"/>
    </w:p>
    <w:bookmarkEnd w:id="36"/>
    <w:p w14:paraId="48F4BA34">
      <w:pPr>
        <w:pStyle w:val="16"/>
        <w:spacing w:line="600" w:lineRule="exact"/>
        <w:rPr>
          <w:rFonts w:hint="eastAsia" w:ascii="宋体" w:hAnsi="宋体" w:eastAsia="宋体" w:cs="宋体"/>
          <w:highlight w:val="none"/>
        </w:rPr>
      </w:pPr>
    </w:p>
    <w:p w14:paraId="7FF5914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"一、遴选响应声明"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遴选响应声明</w:t>
      </w:r>
      <w:r>
        <w:rPr>
          <w:rFonts w:hint="eastAsia" w:ascii="宋体" w:hAnsi="宋体" w:eastAsia="宋体" w:cs="宋体"/>
          <w:sz w:val="32"/>
          <w:szCs w:val="32"/>
          <w:highlight w:val="none"/>
        </w:rPr>
        <w:fldChar w:fldCharType="end"/>
      </w:r>
    </w:p>
    <w:p w14:paraId="77A0D642">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"二、申请人资格证明文件"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申请人资格证明文</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t>件</w:t>
      </w:r>
    </w:p>
    <w:p w14:paraId="4D60141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三、与</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"三、评审标准相关内容" </w:instrText>
      </w:r>
      <w:r>
        <w:rPr>
          <w:rFonts w:hint="eastAsia" w:ascii="宋体" w:hAnsi="宋体" w:eastAsia="宋体" w:cs="宋体"/>
          <w:sz w:val="32"/>
          <w:szCs w:val="32"/>
          <w:highlight w:val="none"/>
        </w:rPr>
        <w:fldChar w:fldCharType="separate"/>
      </w:r>
      <w:r>
        <w:rPr>
          <w:rStyle w:val="25"/>
          <w:rFonts w:hint="eastAsia" w:ascii="宋体" w:hAnsi="宋体" w:eastAsia="宋体" w:cs="宋体"/>
          <w:color w:val="auto"/>
          <w:sz w:val="32"/>
          <w:szCs w:val="32"/>
          <w:highlight w:val="none"/>
          <w:u w:val="none"/>
        </w:rPr>
        <w:t>评审标准相关内容</w:t>
      </w:r>
      <w:r>
        <w:rPr>
          <w:rFonts w:hint="eastAsia" w:ascii="宋体" w:hAnsi="宋体" w:eastAsia="宋体" w:cs="宋体"/>
          <w:sz w:val="32"/>
          <w:szCs w:val="32"/>
          <w:highlight w:val="none"/>
        </w:rPr>
        <w:fldChar w:fldCharType="end"/>
      </w:r>
    </w:p>
    <w:p w14:paraId="795485CE">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"四、申请人认为需要提供的其它资料（包括长望浏宁）"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申请人认为需要提供的其它资料</w:t>
      </w:r>
      <w:r>
        <w:rPr>
          <w:rFonts w:hint="eastAsia" w:ascii="宋体" w:hAnsi="宋体" w:eastAsia="宋体" w:cs="宋体"/>
          <w:sz w:val="32"/>
          <w:szCs w:val="32"/>
          <w:highlight w:val="none"/>
        </w:rPr>
        <w:fldChar w:fldCharType="end"/>
      </w:r>
    </w:p>
    <w:p w14:paraId="067095A4">
      <w:pPr>
        <w:pStyle w:val="16"/>
        <w:spacing w:line="600" w:lineRule="exact"/>
        <w:rPr>
          <w:rFonts w:hint="eastAsia" w:ascii="宋体" w:hAnsi="宋体" w:eastAsia="宋体" w:cs="宋体"/>
          <w:highlight w:val="none"/>
        </w:rPr>
      </w:pPr>
    </w:p>
    <w:p w14:paraId="3361EC89">
      <w:pPr>
        <w:pStyle w:val="9"/>
        <w:ind w:firstLine="643" w:firstLineChars="200"/>
        <w:jc w:val="left"/>
        <w:rPr>
          <w:rFonts w:hint="eastAsia" w:ascii="宋体" w:hAnsi="宋体" w:eastAsia="宋体" w:cs="宋体"/>
          <w:sz w:val="32"/>
          <w:szCs w:val="32"/>
          <w:highlight w:val="none"/>
        </w:rPr>
      </w:pPr>
    </w:p>
    <w:p w14:paraId="042415FD">
      <w:pPr>
        <w:pStyle w:val="9"/>
        <w:rPr>
          <w:rFonts w:hint="eastAsia" w:ascii="宋体" w:hAnsi="宋体" w:eastAsia="宋体" w:cs="宋体"/>
          <w:b/>
          <w:bCs/>
          <w:sz w:val="44"/>
          <w:szCs w:val="44"/>
          <w:highlight w:val="none"/>
        </w:rPr>
      </w:pPr>
    </w:p>
    <w:p w14:paraId="1776D4FB">
      <w:pPr>
        <w:pStyle w:val="9"/>
        <w:rPr>
          <w:rFonts w:hint="eastAsia" w:ascii="宋体" w:hAnsi="宋体" w:eastAsia="宋体" w:cs="宋体"/>
          <w:sz w:val="24"/>
          <w:highlight w:val="none"/>
        </w:rPr>
      </w:pPr>
    </w:p>
    <w:p w14:paraId="6BEFF9C8">
      <w:pPr>
        <w:pStyle w:val="9"/>
        <w:rPr>
          <w:rFonts w:hint="eastAsia" w:ascii="宋体" w:hAnsi="宋体" w:eastAsia="宋体" w:cs="宋体"/>
          <w:sz w:val="24"/>
          <w:highlight w:val="none"/>
        </w:rPr>
      </w:pPr>
    </w:p>
    <w:p w14:paraId="075E2070">
      <w:pPr>
        <w:pStyle w:val="9"/>
        <w:rPr>
          <w:rFonts w:hint="eastAsia" w:ascii="宋体" w:hAnsi="宋体" w:eastAsia="宋体" w:cs="宋体"/>
          <w:sz w:val="24"/>
          <w:highlight w:val="none"/>
        </w:rPr>
      </w:pPr>
    </w:p>
    <w:p w14:paraId="0A72B82D">
      <w:pPr>
        <w:pStyle w:val="9"/>
        <w:rPr>
          <w:rFonts w:hint="eastAsia" w:ascii="宋体" w:hAnsi="宋体" w:eastAsia="宋体" w:cs="宋体"/>
          <w:sz w:val="24"/>
          <w:highlight w:val="none"/>
        </w:rPr>
      </w:pPr>
    </w:p>
    <w:p w14:paraId="29384589">
      <w:pPr>
        <w:pStyle w:val="9"/>
        <w:rPr>
          <w:rFonts w:hint="eastAsia" w:ascii="宋体" w:hAnsi="宋体" w:eastAsia="宋体" w:cs="宋体"/>
          <w:sz w:val="24"/>
          <w:highlight w:val="none"/>
        </w:rPr>
      </w:pPr>
    </w:p>
    <w:p w14:paraId="5E85BC69">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sz w:val="24"/>
          <w:highlight w:val="none"/>
        </w:rPr>
        <w:br w:type="page"/>
      </w:r>
      <w:bookmarkStart w:id="37" w:name="一、遴选响应声明"/>
      <w:r>
        <w:rPr>
          <w:rFonts w:hint="eastAsia" w:ascii="宋体" w:hAnsi="宋体" w:eastAsia="宋体" w:cs="宋体"/>
          <w:color w:val="auto"/>
          <w:sz w:val="44"/>
          <w:szCs w:val="44"/>
          <w:highlight w:val="none"/>
        </w:rPr>
        <w:t>一、遴选响应声明</w:t>
      </w:r>
    </w:p>
    <w:p w14:paraId="41FC0F80">
      <w:pPr>
        <w:spacing w:line="600" w:lineRule="exact"/>
        <w:jc w:val="center"/>
        <w:rPr>
          <w:rFonts w:hint="eastAsia" w:ascii="宋体" w:hAnsi="宋体" w:eastAsia="宋体" w:cs="宋体"/>
          <w:color w:val="auto"/>
          <w:sz w:val="44"/>
          <w:szCs w:val="44"/>
          <w:highlight w:val="none"/>
        </w:rPr>
      </w:pPr>
    </w:p>
    <w:bookmarkEnd w:id="37"/>
    <w:p w14:paraId="01BE3D15">
      <w:pPr>
        <w:adjustRightInd w:val="0"/>
        <w:snapToGrid w:val="0"/>
        <w:spacing w:line="6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致</w:t>
      </w:r>
      <w:r>
        <w:rPr>
          <w:rFonts w:hint="eastAsia" w:ascii="宋体" w:hAnsi="宋体" w:eastAsia="宋体" w:cs="宋体"/>
          <w:color w:val="auto"/>
          <w:sz w:val="32"/>
          <w:szCs w:val="32"/>
          <w:highlight w:val="none"/>
          <w:lang w:eastAsia="zh-CN"/>
        </w:rPr>
        <w:t>怀化市财政局、</w:t>
      </w:r>
      <w:r>
        <w:rPr>
          <w:rFonts w:hint="eastAsia" w:ascii="宋体" w:hAnsi="宋体" w:eastAsia="宋体" w:cs="宋体"/>
          <w:color w:val="auto"/>
          <w:sz w:val="32"/>
          <w:szCs w:val="32"/>
          <w:highlight w:val="none"/>
          <w:lang w:val="en-US" w:eastAsia="zh-CN"/>
        </w:rPr>
        <w:t>怀化市农业农村局</w:t>
      </w:r>
      <w:r>
        <w:rPr>
          <w:rFonts w:hint="eastAsia" w:ascii="宋体" w:hAnsi="宋体" w:eastAsia="宋体" w:cs="宋体"/>
          <w:color w:val="auto"/>
          <w:sz w:val="32"/>
          <w:szCs w:val="32"/>
          <w:highlight w:val="none"/>
        </w:rPr>
        <w:t>：</w:t>
      </w:r>
    </w:p>
    <w:p w14:paraId="6EBFA8A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我方已仔细研究了</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项目名称）的竞争性遴选文件的全部内容，知悉参加竞争性遴选的风险，我方承诺接受遴选文件的全部条款且无任何异议。</w:t>
      </w:r>
    </w:p>
    <w:p w14:paraId="4F049176">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一、我方同意在遴选文件中规定的提交响应文件截止时间起90日内（响应文件有效期）遵守本响应文件中的承诺且在此期限期满之前均具有法律约束力。</w:t>
      </w:r>
    </w:p>
    <w:p w14:paraId="01A659C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二、我方提交响应文件正本一份和副本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份，并保证响应文件提供的数据和资料全部内容真实、合法、准确和完整，我们对此负责，并愿承担由此引起的法律责任。</w:t>
      </w:r>
    </w:p>
    <w:p w14:paraId="7887A51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三、我方愿意向贵方提供任何与本项遴选有关的数据、情况和技术资料。若贵方需要，我方愿意提供我方作出的一切承诺的证明资料。</w:t>
      </w:r>
    </w:p>
    <w:p w14:paraId="42C06D1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四、我方愿意按遴选文件规定提交遴选响应文件。</w:t>
      </w:r>
    </w:p>
    <w:p w14:paraId="647A5DD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五、我方承诺遵守《农业保险条例》的有关规</w:t>
      </w:r>
      <w:r>
        <w:rPr>
          <w:rFonts w:hint="eastAsia" w:ascii="宋体" w:hAnsi="宋体" w:eastAsia="宋体" w:cs="宋体"/>
          <w:color w:val="auto"/>
          <w:spacing w:val="-6"/>
          <w:sz w:val="32"/>
          <w:szCs w:val="32"/>
          <w:highlight w:val="none"/>
        </w:rPr>
        <w:t>定，保证在获得中选资格后，按照遴选文件确定的事项签订承保合同，履行双方所签订的合同，并</w:t>
      </w:r>
      <w:r>
        <w:rPr>
          <w:rFonts w:hint="eastAsia" w:ascii="宋体" w:hAnsi="宋体" w:eastAsia="宋体" w:cs="宋体"/>
          <w:color w:val="auto"/>
          <w:sz w:val="32"/>
          <w:szCs w:val="32"/>
          <w:highlight w:val="none"/>
        </w:rPr>
        <w:t>承担合同规定的责任和义务。</w:t>
      </w:r>
    </w:p>
    <w:p w14:paraId="35445901">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六、我方在此声明： </w:t>
      </w:r>
    </w:p>
    <w:p w14:paraId="295842D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（一）我方与遴选人不存在隶属关系或者其他利害关系。</w:t>
      </w:r>
    </w:p>
    <w:p w14:paraId="1A7ABAEC">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（二）我方与参加本项目的其他申请人不存在直接控股、管理关系，或者与其他申请人负责人为同一人。</w:t>
      </w:r>
    </w:p>
    <w:p w14:paraId="4CE06D47">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（三）我方未为本项目前期准备提供设计或咨询服务。</w:t>
      </w:r>
    </w:p>
    <w:p w14:paraId="6EEA20E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（四）我方依法缴纳了各项税费及各项社会保障资金，没有偷税、漏税及欠缴行为。</w:t>
      </w:r>
    </w:p>
    <w:p w14:paraId="4FF0A4D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（五）我方在遴选响应文件有效期内没有存在下列重大违法记录：</w:t>
      </w:r>
    </w:p>
    <w:p w14:paraId="7C8F929A">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1、因农业保险业务被行政处罚；</w:t>
      </w:r>
    </w:p>
    <w:p w14:paraId="5112426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2、因农业保险绩效考评取消了财政补贴资格。</w:t>
      </w:r>
    </w:p>
    <w:p w14:paraId="21AB5F5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16C8E998">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附件：1、</w:t>
      </w:r>
      <w:r>
        <w:rPr>
          <w:rFonts w:hint="eastAsia" w:ascii="宋体" w:hAnsi="宋体" w:eastAsia="宋体" w:cs="宋体"/>
          <w:color w:val="auto"/>
          <w:sz w:val="32"/>
          <w:szCs w:val="32"/>
          <w:highlight w:val="none"/>
        </w:rPr>
        <w:t>申请人公司负责人身份证明</w:t>
      </w:r>
    </w:p>
    <w:p w14:paraId="630DF967">
      <w:pPr>
        <w:adjustRightInd w:val="0"/>
        <w:snapToGrid w:val="0"/>
        <w:spacing w:line="600" w:lineRule="exact"/>
        <w:ind w:firstLine="1600" w:firstLineChars="5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宋体" w:cs="宋体"/>
          <w:color w:val="auto"/>
          <w:sz w:val="32"/>
          <w:szCs w:val="32"/>
          <w:highlight w:val="none"/>
        </w:rPr>
        <w:t>、申请人公司负责人授权书</w:t>
      </w:r>
    </w:p>
    <w:p w14:paraId="3F96FC5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068F8FB9">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7D53D284">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2BDE632C">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r>
        <w:rPr>
          <w:rFonts w:hint="eastAsia" w:ascii="宋体" w:hAnsi="宋体" w:eastAsia="宋体" w:cs="宋体"/>
          <w:color w:val="auto"/>
          <w:sz w:val="32"/>
          <w:szCs w:val="32"/>
          <w:highlight w:val="none"/>
        </w:rPr>
        <w:tab/>
      </w:r>
    </w:p>
    <w:p w14:paraId="1ED10973">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6FE8F472">
      <w:pPr>
        <w:adjustRightInd w:val="0"/>
        <w:snapToGrid w:val="0"/>
        <w:spacing w:line="600" w:lineRule="exact"/>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31D7E6ED">
      <w:pPr>
        <w:spacing w:line="600" w:lineRule="exact"/>
        <w:jc w:val="center"/>
        <w:rPr>
          <w:rFonts w:hint="eastAsia" w:ascii="宋体" w:hAnsi="宋体" w:eastAsia="宋体" w:cs="宋体"/>
          <w:bCs/>
          <w:color w:val="auto"/>
          <w:sz w:val="44"/>
          <w:szCs w:val="44"/>
          <w:highlight w:val="none"/>
        </w:rPr>
      </w:pPr>
    </w:p>
    <w:p w14:paraId="4197D6F8">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申请人公司负责人身份证明</w:t>
      </w:r>
    </w:p>
    <w:p w14:paraId="48D28138">
      <w:pPr>
        <w:spacing w:line="600" w:lineRule="exact"/>
        <w:jc w:val="center"/>
        <w:rPr>
          <w:rFonts w:hint="eastAsia" w:ascii="宋体" w:hAnsi="宋体" w:eastAsia="宋体" w:cs="宋体"/>
          <w:bCs/>
          <w:color w:val="auto"/>
          <w:sz w:val="44"/>
          <w:szCs w:val="44"/>
          <w:highlight w:val="none"/>
        </w:rPr>
      </w:pPr>
    </w:p>
    <w:p w14:paraId="6DBB1A3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w:t>
      </w:r>
    </w:p>
    <w:p w14:paraId="3E49B943">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  册  号：</w:t>
      </w:r>
    </w:p>
    <w:p w14:paraId="16DF10AE">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w:t>
      </w:r>
      <w:r>
        <w:rPr>
          <w:rFonts w:hint="eastAsia" w:ascii="宋体" w:hAnsi="宋体" w:eastAsia="宋体" w:cs="宋体"/>
          <w:color w:val="auto"/>
          <w:spacing w:val="-20"/>
          <w:sz w:val="32"/>
          <w:szCs w:val="32"/>
          <w:highlight w:val="none"/>
        </w:rPr>
        <w:t xml:space="preserve"> 册 地 </w:t>
      </w:r>
      <w:r>
        <w:rPr>
          <w:rFonts w:hint="eastAsia" w:ascii="宋体" w:hAnsi="宋体" w:eastAsia="宋体" w:cs="宋体"/>
          <w:color w:val="auto"/>
          <w:sz w:val="32"/>
          <w:szCs w:val="32"/>
          <w:highlight w:val="none"/>
        </w:rPr>
        <w:t>址：</w:t>
      </w:r>
    </w:p>
    <w:p w14:paraId="59265998">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成 </w:t>
      </w:r>
      <w:r>
        <w:rPr>
          <w:rFonts w:hint="eastAsia" w:ascii="宋体" w:hAnsi="宋体" w:eastAsia="宋体" w:cs="宋体"/>
          <w:color w:val="auto"/>
          <w:spacing w:val="-20"/>
          <w:sz w:val="32"/>
          <w:szCs w:val="32"/>
          <w:highlight w:val="none"/>
        </w:rPr>
        <w:t xml:space="preserve">立 时 </w:t>
      </w:r>
      <w:r>
        <w:rPr>
          <w:rFonts w:hint="eastAsia" w:ascii="宋体" w:hAnsi="宋体" w:eastAsia="宋体" w:cs="宋体"/>
          <w:color w:val="auto"/>
          <w:sz w:val="32"/>
          <w:szCs w:val="32"/>
          <w:highlight w:val="none"/>
        </w:rPr>
        <w:t>间：     年   月   日</w:t>
      </w:r>
    </w:p>
    <w:p w14:paraId="04CDDD7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期 </w:t>
      </w:r>
      <w:r>
        <w:rPr>
          <w:rFonts w:hint="eastAsia" w:ascii="宋体" w:hAnsi="宋体" w:eastAsia="宋体" w:cs="宋体"/>
          <w:color w:val="auto"/>
          <w:sz w:val="32"/>
          <w:szCs w:val="32"/>
          <w:highlight w:val="none"/>
        </w:rPr>
        <w:t>限：</w:t>
      </w:r>
    </w:p>
    <w:p w14:paraId="4CBAB24C">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u w:val="singl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范 </w:t>
      </w:r>
      <w:r>
        <w:rPr>
          <w:rFonts w:hint="eastAsia" w:ascii="宋体" w:hAnsi="宋体" w:eastAsia="宋体" w:cs="宋体"/>
          <w:color w:val="auto"/>
          <w:sz w:val="32"/>
          <w:szCs w:val="32"/>
          <w:highlight w:val="none"/>
        </w:rPr>
        <w:t>围：</w:t>
      </w:r>
      <w:r>
        <w:rPr>
          <w:rFonts w:hint="eastAsia" w:ascii="宋体" w:hAnsi="宋体" w:eastAsia="宋体" w:cs="宋体"/>
          <w:color w:val="auto"/>
          <w:kern w:val="0"/>
          <w:sz w:val="32"/>
          <w:szCs w:val="32"/>
          <w:highlight w:val="none"/>
        </w:rPr>
        <w:t>主营：    ；    兼营：</w:t>
      </w:r>
    </w:p>
    <w:p w14:paraId="36B90E1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姓</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名：</w:t>
      </w:r>
      <w:r>
        <w:rPr>
          <w:rFonts w:hint="eastAsia" w:ascii="宋体" w:hAnsi="宋体" w:eastAsia="宋体" w:cs="宋体"/>
          <w:color w:val="auto"/>
          <w:kern w:val="0"/>
          <w:sz w:val="32"/>
          <w:szCs w:val="32"/>
          <w:highlight w:val="none"/>
        </w:rPr>
        <w:t xml:space="preserve"> </w:t>
      </w:r>
    </w:p>
    <w:p w14:paraId="1A21E84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性</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别：</w:t>
      </w:r>
    </w:p>
    <w:p w14:paraId="434394DA">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龄：</w:t>
      </w:r>
    </w:p>
    <w:p w14:paraId="4D7ACAD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名称）的公司负责人。</w:t>
      </w:r>
    </w:p>
    <w:p w14:paraId="183A0A67">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597B44B">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特此证明。</w:t>
      </w:r>
    </w:p>
    <w:p w14:paraId="63F710AD">
      <w:pPr>
        <w:pStyle w:val="16"/>
        <w:spacing w:line="600" w:lineRule="exact"/>
        <w:ind w:left="0" w:leftChars="0" w:firstLine="640" w:firstLineChars="200"/>
        <w:rPr>
          <w:rFonts w:hint="eastAsia" w:ascii="宋体" w:hAnsi="宋体" w:eastAsia="宋体" w:cs="宋体"/>
          <w:color w:val="auto"/>
          <w:sz w:val="32"/>
          <w:szCs w:val="32"/>
          <w:highlight w:val="none"/>
        </w:rPr>
      </w:pPr>
    </w:p>
    <w:p w14:paraId="20F1633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附：申请人公司负责人身份证复印件</w:t>
      </w:r>
    </w:p>
    <w:p w14:paraId="0A88CCAA">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3AE254D2">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  期：     年   月    日      </w:t>
      </w:r>
    </w:p>
    <w:p w14:paraId="301692A6">
      <w:pPr>
        <w:widowControl/>
        <w:spacing w:line="6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color w:val="auto"/>
          <w:sz w:val="32"/>
          <w:szCs w:val="32"/>
          <w:highlight w:val="none"/>
        </w:rPr>
        <w:t>附件2</w:t>
      </w:r>
    </w:p>
    <w:p w14:paraId="6645EDF0">
      <w:pPr>
        <w:spacing w:line="600" w:lineRule="exact"/>
        <w:jc w:val="center"/>
        <w:rPr>
          <w:rFonts w:hint="eastAsia" w:ascii="宋体" w:hAnsi="宋体" w:eastAsia="宋体" w:cs="宋体"/>
          <w:bCs/>
          <w:color w:val="auto"/>
          <w:sz w:val="44"/>
          <w:szCs w:val="44"/>
          <w:highlight w:val="none"/>
        </w:rPr>
      </w:pPr>
    </w:p>
    <w:p w14:paraId="13117521">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申请人公司负责人授权委托书</w:t>
      </w:r>
    </w:p>
    <w:p w14:paraId="77B3ADE6">
      <w:pPr>
        <w:adjustRightInd w:val="0"/>
        <w:snapToGrid w:val="0"/>
        <w:spacing w:line="600" w:lineRule="exact"/>
        <w:ind w:firstLine="643" w:firstLineChars="200"/>
        <w:jc w:val="center"/>
        <w:rPr>
          <w:rFonts w:hint="eastAsia" w:ascii="宋体" w:hAnsi="宋体" w:eastAsia="宋体" w:cs="宋体"/>
          <w:b/>
          <w:color w:val="auto"/>
          <w:sz w:val="32"/>
          <w:szCs w:val="32"/>
          <w:highlight w:val="none"/>
        </w:rPr>
      </w:pPr>
    </w:p>
    <w:p w14:paraId="08308DC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本人（姓名、职务）系（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名称）的申请人公司负责人，现授权（姓名、职务）为我方代理人。代理人根据授权，以我方名义：（1）签署、澄清、补正、修改、撤回、提交</w:t>
      </w:r>
      <w:r>
        <w:rPr>
          <w:rFonts w:hint="eastAsia" w:ascii="宋体" w:hAnsi="宋体" w:eastAsia="宋体" w:cs="宋体"/>
          <w:color w:val="auto"/>
          <w:kern w:val="0"/>
          <w:sz w:val="32"/>
          <w:szCs w:val="32"/>
          <w:highlight w:val="none"/>
          <w:lang w:val="en-US" w:eastAsia="zh-CN"/>
        </w:rPr>
        <w:t>应选</w:t>
      </w:r>
      <w:r>
        <w:rPr>
          <w:rFonts w:hint="eastAsia" w:ascii="宋体" w:hAnsi="宋体" w:eastAsia="宋体" w:cs="宋体"/>
          <w:color w:val="auto"/>
          <w:kern w:val="0"/>
          <w:sz w:val="32"/>
          <w:szCs w:val="32"/>
          <w:highlight w:val="none"/>
        </w:rPr>
        <w:t>文件；（2）签订合同和处理有关事宜，其法律后果由我方承担；（3）询问、质疑等相关事项，其法律后果由我方承担。</w:t>
      </w:r>
    </w:p>
    <w:p w14:paraId="6ECA9143">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8A56112">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委托期限：                </w:t>
      </w:r>
    </w:p>
    <w:p w14:paraId="2D75AA96">
      <w:pPr>
        <w:spacing w:line="600" w:lineRule="exact"/>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代理人无转委托权。</w:t>
      </w:r>
    </w:p>
    <w:p w14:paraId="38C6590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本授权书于     年     月     日签字生效，特此声明。</w:t>
      </w:r>
    </w:p>
    <w:p w14:paraId="69593D07">
      <w:pPr>
        <w:pStyle w:val="16"/>
        <w:spacing w:line="600" w:lineRule="exact"/>
        <w:ind w:left="0" w:leftChars="0" w:firstLine="640" w:firstLineChars="200"/>
        <w:rPr>
          <w:rFonts w:hint="eastAsia" w:ascii="宋体" w:hAnsi="宋体" w:eastAsia="宋体" w:cs="宋体"/>
          <w:color w:val="auto"/>
          <w:sz w:val="32"/>
          <w:szCs w:val="32"/>
          <w:highlight w:val="none"/>
        </w:rPr>
      </w:pPr>
    </w:p>
    <w:p w14:paraId="0F4A03A6">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附：委托代理人身份证复印件及申请人公司负责人身份证明</w:t>
      </w:r>
    </w:p>
    <w:p w14:paraId="5582B434">
      <w:pPr>
        <w:adjustRightInd w:val="0"/>
        <w:snapToGrid w:val="0"/>
        <w:spacing w:line="600" w:lineRule="exact"/>
        <w:ind w:firstLine="640" w:firstLineChars="200"/>
        <w:rPr>
          <w:rFonts w:hint="eastAsia" w:ascii="宋体" w:hAnsi="宋体" w:eastAsia="宋体" w:cs="宋体"/>
          <w:color w:val="auto"/>
          <w:sz w:val="32"/>
          <w:szCs w:val="32"/>
          <w:highlight w:val="none"/>
        </w:rPr>
      </w:pPr>
    </w:p>
    <w:p w14:paraId="260E4AD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p>
    <w:p w14:paraId="62A8152B">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委托代理人（签字）：</w:t>
      </w:r>
    </w:p>
    <w:p w14:paraId="018DD5C4">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7798EAE1">
      <w:pPr>
        <w:spacing w:line="556" w:lineRule="exact"/>
        <w:jc w:val="center"/>
        <w:rPr>
          <w:rFonts w:hint="eastAsia" w:ascii="宋体" w:hAnsi="宋体" w:eastAsia="宋体" w:cs="宋体"/>
          <w:bCs/>
          <w:color w:val="auto"/>
          <w:sz w:val="44"/>
          <w:szCs w:val="44"/>
          <w:highlight w:val="none"/>
        </w:rPr>
      </w:pPr>
      <w:bookmarkStart w:id="38" w:name="二、申请人资格证明文件"/>
    </w:p>
    <w:p w14:paraId="215566F3">
      <w:pPr>
        <w:pStyle w:val="16"/>
        <w:rPr>
          <w:rFonts w:hint="eastAsia" w:ascii="宋体" w:hAnsi="宋体" w:eastAsia="宋体" w:cs="宋体"/>
          <w:color w:val="auto"/>
          <w:highlight w:val="none"/>
        </w:rPr>
      </w:pPr>
    </w:p>
    <w:p w14:paraId="34BA380E">
      <w:pPr>
        <w:pStyle w:val="16"/>
        <w:rPr>
          <w:rFonts w:hint="eastAsia" w:ascii="宋体" w:hAnsi="宋体" w:eastAsia="宋体" w:cs="宋体"/>
          <w:color w:val="auto"/>
          <w:highlight w:val="none"/>
        </w:rPr>
      </w:pPr>
    </w:p>
    <w:p w14:paraId="61962681">
      <w:pPr>
        <w:spacing w:line="556"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二、申请人资格证明文件</w:t>
      </w:r>
    </w:p>
    <w:bookmarkEnd w:id="38"/>
    <w:p w14:paraId="7D29854F">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p>
    <w:p w14:paraId="3D19D0B6">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符合“第二章 遴选须知”中“三、申请人资格条件”的证明文件</w:t>
      </w:r>
    </w:p>
    <w:p w14:paraId="36AA1565">
      <w:pPr>
        <w:adjustRightInd w:val="0"/>
        <w:snapToGrid w:val="0"/>
        <w:spacing w:line="600" w:lineRule="exact"/>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2"/>
          <w:szCs w:val="32"/>
          <w:highlight w:val="none"/>
        </w:rPr>
        <w:t>申请人基本情况表</w:t>
      </w:r>
    </w:p>
    <w:tbl>
      <w:tblPr>
        <w:tblStyle w:val="20"/>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614B0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7614F300">
            <w:pPr>
              <w:topLinePunct/>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F08B36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076D1A55">
            <w:pPr>
              <w:topLinePunct/>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0BC04D48">
            <w:pPr>
              <w:topLinePunct/>
              <w:adjustRightInd w:val="0"/>
              <w:snapToGrid w:val="0"/>
              <w:jc w:val="center"/>
              <w:rPr>
                <w:rFonts w:hint="eastAsia" w:ascii="宋体" w:hAnsi="宋体" w:eastAsia="宋体" w:cs="宋体"/>
                <w:color w:val="auto"/>
                <w:szCs w:val="21"/>
                <w:highlight w:val="none"/>
              </w:rPr>
            </w:pPr>
          </w:p>
        </w:tc>
      </w:tr>
      <w:tr w14:paraId="3E32D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DFEF26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7898BD4">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E57F70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121101B3">
            <w:pPr>
              <w:topLinePunct/>
              <w:spacing w:line="440" w:lineRule="exact"/>
              <w:jc w:val="center"/>
              <w:rPr>
                <w:rFonts w:hint="eastAsia" w:ascii="宋体" w:hAnsi="宋体" w:eastAsia="宋体" w:cs="宋体"/>
                <w:color w:val="auto"/>
                <w:szCs w:val="21"/>
                <w:highlight w:val="none"/>
              </w:rPr>
            </w:pPr>
          </w:p>
        </w:tc>
      </w:tr>
      <w:tr w14:paraId="03981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457FEE0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6722E02F">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1F36B7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7D439636">
            <w:pPr>
              <w:topLinePunct/>
              <w:spacing w:line="440" w:lineRule="exact"/>
              <w:jc w:val="center"/>
              <w:rPr>
                <w:rFonts w:hint="eastAsia" w:ascii="宋体" w:hAnsi="宋体" w:eastAsia="宋体" w:cs="宋体"/>
                <w:color w:val="auto"/>
                <w:szCs w:val="21"/>
                <w:highlight w:val="none"/>
              </w:rPr>
            </w:pPr>
          </w:p>
        </w:tc>
      </w:tr>
      <w:tr w14:paraId="39AA7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64927DA">
            <w:pPr>
              <w:topLinePunct/>
              <w:spacing w:line="440" w:lineRule="exact"/>
              <w:jc w:val="center"/>
              <w:rPr>
                <w:rFonts w:hint="eastAsia" w:ascii="宋体" w:hAnsi="宋体" w:eastAsia="宋体" w:cs="宋体"/>
                <w:color w:val="auto"/>
                <w:szCs w:val="21"/>
                <w:highlight w:val="none"/>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74BC027B">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5B0E22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34DE3B21">
            <w:pPr>
              <w:topLinePunct/>
              <w:spacing w:line="440" w:lineRule="exact"/>
              <w:jc w:val="center"/>
              <w:rPr>
                <w:rFonts w:hint="eastAsia" w:ascii="宋体" w:hAnsi="宋体" w:eastAsia="宋体" w:cs="宋体"/>
                <w:color w:val="auto"/>
                <w:szCs w:val="21"/>
                <w:highlight w:val="none"/>
              </w:rPr>
            </w:pPr>
          </w:p>
        </w:tc>
      </w:tr>
      <w:tr w14:paraId="1A76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725A02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FDD688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443DF8C6">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C29710A">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ABD93A0">
            <w:pPr>
              <w:topLinePunct/>
              <w:spacing w:line="440" w:lineRule="exact"/>
              <w:ind w:firstLine="105" w:firstLineChars="50"/>
              <w:jc w:val="center"/>
              <w:rPr>
                <w:rFonts w:hint="eastAsia" w:ascii="宋体" w:hAnsi="宋体" w:eastAsia="宋体" w:cs="宋体"/>
                <w:color w:val="auto"/>
                <w:szCs w:val="21"/>
                <w:highlight w:val="none"/>
              </w:rPr>
            </w:pPr>
          </w:p>
        </w:tc>
      </w:tr>
      <w:tr w14:paraId="5A6BF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C4B258F">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3AE113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69AC068">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41B3D1B6">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521FDF4">
            <w:pPr>
              <w:topLinePunct/>
              <w:spacing w:line="440" w:lineRule="exact"/>
              <w:ind w:firstLine="105" w:firstLineChars="50"/>
              <w:jc w:val="center"/>
              <w:rPr>
                <w:rFonts w:hint="eastAsia" w:ascii="宋体" w:hAnsi="宋体" w:eastAsia="宋体" w:cs="宋体"/>
                <w:color w:val="auto"/>
                <w:szCs w:val="21"/>
                <w:highlight w:val="none"/>
              </w:rPr>
            </w:pPr>
          </w:p>
        </w:tc>
      </w:tr>
      <w:tr w14:paraId="01A8C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9687A72">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656C3E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0741765">
            <w:pPr>
              <w:topLinePunct/>
              <w:spacing w:line="440" w:lineRule="exact"/>
              <w:ind w:firstLine="105" w:firstLineChars="50"/>
              <w:jc w:val="center"/>
              <w:rPr>
                <w:rFonts w:hint="eastAsia" w:ascii="宋体" w:hAnsi="宋体" w:eastAsia="宋体" w:cs="宋体"/>
                <w:color w:val="auto"/>
                <w:szCs w:val="21"/>
                <w:highlight w:val="none"/>
              </w:rPr>
            </w:pPr>
          </w:p>
        </w:tc>
      </w:tr>
      <w:tr w14:paraId="0741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9970A05">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85D6A6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D6E6B62">
            <w:pPr>
              <w:topLinePunct/>
              <w:spacing w:line="440" w:lineRule="exact"/>
              <w:ind w:firstLine="105" w:firstLineChars="50"/>
              <w:jc w:val="center"/>
              <w:rPr>
                <w:rFonts w:hint="eastAsia" w:ascii="宋体" w:hAnsi="宋体" w:eastAsia="宋体" w:cs="宋体"/>
                <w:color w:val="auto"/>
                <w:szCs w:val="21"/>
                <w:highlight w:val="none"/>
              </w:rPr>
            </w:pPr>
          </w:p>
        </w:tc>
      </w:tr>
      <w:tr w14:paraId="754F8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2E5AFD0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4407071">
            <w:pPr>
              <w:topLinePunct/>
              <w:spacing w:line="440" w:lineRule="exact"/>
              <w:jc w:val="center"/>
              <w:rPr>
                <w:rFonts w:hint="eastAsia" w:ascii="宋体" w:hAnsi="宋体" w:eastAsia="宋体" w:cs="宋体"/>
                <w:color w:val="auto"/>
                <w:szCs w:val="21"/>
                <w:highlight w:val="none"/>
              </w:rPr>
            </w:pPr>
          </w:p>
        </w:tc>
      </w:tr>
      <w:tr w14:paraId="582C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5ADA3A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AE7A74C">
            <w:pPr>
              <w:topLinePunct/>
              <w:spacing w:line="440" w:lineRule="exact"/>
              <w:jc w:val="center"/>
              <w:rPr>
                <w:rFonts w:hint="eastAsia" w:ascii="宋体" w:hAnsi="宋体" w:eastAsia="宋体" w:cs="宋体"/>
                <w:color w:val="auto"/>
                <w:szCs w:val="21"/>
                <w:highlight w:val="none"/>
              </w:rPr>
            </w:pPr>
          </w:p>
        </w:tc>
      </w:tr>
      <w:tr w14:paraId="0CAC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6DB537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0A483D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79D5FF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33FDA6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14:paraId="5BB28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B9CD2A7">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1D165E8">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19A68D9">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423F24A2">
            <w:pPr>
              <w:topLinePunct/>
              <w:spacing w:line="440" w:lineRule="exact"/>
              <w:jc w:val="center"/>
              <w:rPr>
                <w:rFonts w:hint="eastAsia" w:ascii="宋体" w:hAnsi="宋体" w:eastAsia="宋体" w:cs="宋体"/>
                <w:color w:val="auto"/>
                <w:szCs w:val="21"/>
                <w:highlight w:val="none"/>
              </w:rPr>
            </w:pPr>
          </w:p>
        </w:tc>
      </w:tr>
      <w:tr w14:paraId="0395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AADC62C">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2772D4BC">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66CB5AD">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D23508">
            <w:pPr>
              <w:topLinePunct/>
              <w:spacing w:line="440" w:lineRule="exact"/>
              <w:jc w:val="center"/>
              <w:rPr>
                <w:rFonts w:hint="eastAsia" w:ascii="宋体" w:hAnsi="宋体" w:eastAsia="宋体" w:cs="宋体"/>
                <w:color w:val="auto"/>
                <w:szCs w:val="21"/>
                <w:highlight w:val="none"/>
              </w:rPr>
            </w:pPr>
          </w:p>
        </w:tc>
      </w:tr>
      <w:tr w14:paraId="19928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0004795">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56052B1">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EAD577">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7E301DD">
            <w:pPr>
              <w:topLinePunct/>
              <w:spacing w:line="440" w:lineRule="exact"/>
              <w:jc w:val="center"/>
              <w:rPr>
                <w:rFonts w:hint="eastAsia" w:ascii="宋体" w:hAnsi="宋体" w:eastAsia="宋体" w:cs="宋体"/>
                <w:color w:val="auto"/>
                <w:szCs w:val="21"/>
                <w:highlight w:val="none"/>
              </w:rPr>
            </w:pPr>
          </w:p>
        </w:tc>
      </w:tr>
      <w:tr w14:paraId="3863D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609DD7F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79A6214E">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附《营业执照》（副本）复印件</w:t>
            </w:r>
          </w:p>
        </w:tc>
      </w:tr>
    </w:tbl>
    <w:p w14:paraId="12807989">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39" w:name="三、评审标准相关内容"/>
    </w:p>
    <w:p w14:paraId="40AE778B">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三、与评审标准相关内容</w:t>
      </w:r>
    </w:p>
    <w:p w14:paraId="3DE793DC">
      <w:pPr>
        <w:pStyle w:val="16"/>
        <w:rPr>
          <w:rFonts w:hint="eastAsia" w:ascii="宋体" w:hAnsi="宋体" w:eastAsia="宋体" w:cs="宋体"/>
          <w:color w:val="auto"/>
          <w:highlight w:val="none"/>
        </w:rPr>
      </w:pPr>
    </w:p>
    <w:bookmarkEnd w:id="39"/>
    <w:p w14:paraId="78C204D6">
      <w:pPr>
        <w:widowControl/>
        <w:numPr>
          <w:ilvl w:val="0"/>
          <w:numId w:val="1"/>
        </w:numPr>
        <w:spacing w:line="60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按《</w:t>
      </w:r>
      <w:r>
        <w:rPr>
          <w:rFonts w:hint="eastAsia" w:ascii="宋体" w:hAnsi="宋体" w:eastAsia="宋体" w:cs="宋体"/>
          <w:color w:val="auto"/>
          <w:kern w:val="0"/>
          <w:sz w:val="30"/>
          <w:szCs w:val="30"/>
          <w:highlight w:val="none"/>
        </w:rPr>
        <w:t>公开竞争性遴选政策性农业保险承保机构评审标准（省级）</w:t>
      </w:r>
      <w:r>
        <w:rPr>
          <w:rFonts w:hint="eastAsia" w:ascii="宋体" w:hAnsi="宋体" w:eastAsia="宋体" w:cs="宋体"/>
          <w:color w:val="auto"/>
          <w:sz w:val="30"/>
          <w:szCs w:val="30"/>
          <w:highlight w:val="none"/>
        </w:rPr>
        <w:t>》和《</w:t>
      </w:r>
      <w:r>
        <w:rPr>
          <w:rFonts w:hint="eastAsia" w:ascii="宋体" w:hAnsi="宋体" w:eastAsia="宋体" w:cs="宋体"/>
          <w:color w:val="auto"/>
          <w:kern w:val="0"/>
          <w:sz w:val="30"/>
          <w:szCs w:val="30"/>
          <w:highlight w:val="none"/>
        </w:rPr>
        <w:t>公开竞争性遴选政策性农业保险承保机构评审标准</w:t>
      </w:r>
      <w:r>
        <w:rPr>
          <w:rFonts w:hint="eastAsia" w:ascii="宋体" w:hAnsi="宋体" w:eastAsia="宋体" w:cs="宋体"/>
          <w:color w:val="auto"/>
          <w:sz w:val="30"/>
          <w:szCs w:val="30"/>
          <w:highlight w:val="none"/>
        </w:rPr>
        <w:t>（县级）》中的款项逐项列表列明，凡评分说明中要求提供的证明文件、支撑数据，须在项中相应栏目中出具，并按要求盖章、签字。</w:t>
      </w:r>
    </w:p>
    <w:p w14:paraId="7FB4479C">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2、其他指标项根据评审标准列明。</w:t>
      </w:r>
    </w:p>
    <w:p w14:paraId="1F55C7EE">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40" w:name="四、申请人认为需要提供的其它资料（包括长望浏宁）"/>
    </w:p>
    <w:p w14:paraId="3D6869E4">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四、申请人认为需要提供的其它资料</w:t>
      </w:r>
    </w:p>
    <w:bookmarkEnd w:id="40"/>
    <w:p w14:paraId="76A376E7">
      <w:pPr>
        <w:pStyle w:val="16"/>
        <w:spacing w:line="600" w:lineRule="exac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 xml:space="preserve">  </w:t>
      </w:r>
    </w:p>
    <w:p w14:paraId="716C4DF6">
      <w:pPr>
        <w:pStyle w:val="16"/>
        <w:spacing w:line="600" w:lineRule="exact"/>
        <w:ind w:left="0" w:leftChars="0" w:firstLine="600" w:firstLineChars="200"/>
        <w:rPr>
          <w:rFonts w:hint="eastAsia" w:ascii="宋体" w:hAnsi="宋体" w:eastAsia="宋体" w:cs="宋体"/>
          <w:color w:val="auto"/>
          <w:sz w:val="30"/>
          <w:szCs w:val="30"/>
          <w:highlight w:val="none"/>
        </w:rPr>
      </w:pPr>
    </w:p>
    <w:p w14:paraId="212F21E7">
      <w:pPr>
        <w:pStyle w:val="16"/>
        <w:spacing w:line="600" w:lineRule="exact"/>
        <w:ind w:left="0" w:leftChars="0" w:firstLine="600" w:firstLineChars="200"/>
        <w:rPr>
          <w:rFonts w:hint="eastAsia" w:ascii="宋体" w:hAnsi="宋体" w:eastAsia="宋体" w:cs="宋体"/>
          <w:color w:val="auto"/>
          <w:sz w:val="30"/>
          <w:szCs w:val="30"/>
          <w:highlight w:val="none"/>
        </w:rPr>
      </w:pPr>
    </w:p>
    <w:p w14:paraId="4F157905">
      <w:pPr>
        <w:pStyle w:val="16"/>
        <w:spacing w:line="600" w:lineRule="exact"/>
        <w:ind w:left="0" w:leftChars="0" w:firstLine="600" w:firstLineChars="200"/>
        <w:rPr>
          <w:rFonts w:hint="eastAsia" w:ascii="宋体" w:hAnsi="宋体" w:eastAsia="宋体" w:cs="宋体"/>
          <w:color w:val="auto"/>
          <w:sz w:val="30"/>
          <w:szCs w:val="30"/>
          <w:highlight w:val="none"/>
        </w:rPr>
      </w:pPr>
    </w:p>
    <w:p w14:paraId="1EB949B5">
      <w:pPr>
        <w:pStyle w:val="16"/>
        <w:spacing w:line="600" w:lineRule="exact"/>
        <w:ind w:left="0" w:leftChars="0" w:firstLine="600" w:firstLineChars="200"/>
        <w:rPr>
          <w:rFonts w:hint="eastAsia" w:ascii="宋体" w:hAnsi="宋体" w:eastAsia="宋体" w:cs="宋体"/>
          <w:color w:val="auto"/>
          <w:sz w:val="30"/>
          <w:szCs w:val="30"/>
          <w:highlight w:val="none"/>
        </w:rPr>
      </w:pPr>
    </w:p>
    <w:p w14:paraId="5AAFB86A">
      <w:pPr>
        <w:pStyle w:val="16"/>
        <w:spacing w:line="600" w:lineRule="exact"/>
        <w:ind w:left="0" w:leftChars="0" w:firstLine="600" w:firstLineChars="200"/>
        <w:rPr>
          <w:rFonts w:hint="eastAsia" w:ascii="宋体" w:hAnsi="宋体" w:eastAsia="宋体" w:cs="宋体"/>
          <w:color w:val="auto"/>
          <w:sz w:val="30"/>
          <w:szCs w:val="30"/>
          <w:highlight w:val="none"/>
        </w:rPr>
      </w:pPr>
    </w:p>
    <w:p w14:paraId="11BDDC6A">
      <w:pPr>
        <w:pStyle w:val="16"/>
        <w:spacing w:line="600" w:lineRule="exact"/>
        <w:ind w:left="0" w:leftChars="0" w:firstLine="600" w:firstLineChars="200"/>
        <w:rPr>
          <w:rFonts w:hint="eastAsia" w:ascii="宋体" w:hAnsi="宋体" w:eastAsia="宋体" w:cs="宋体"/>
          <w:color w:val="auto"/>
          <w:sz w:val="30"/>
          <w:szCs w:val="30"/>
          <w:highlight w:val="none"/>
        </w:rPr>
      </w:pPr>
    </w:p>
    <w:p w14:paraId="2EC50A0F">
      <w:pPr>
        <w:pStyle w:val="16"/>
        <w:spacing w:line="600" w:lineRule="exact"/>
        <w:ind w:left="0" w:leftChars="0" w:firstLine="600" w:firstLineChars="200"/>
        <w:rPr>
          <w:rFonts w:hint="eastAsia" w:ascii="宋体" w:hAnsi="宋体" w:eastAsia="宋体" w:cs="宋体"/>
          <w:color w:val="auto"/>
          <w:sz w:val="30"/>
          <w:szCs w:val="30"/>
          <w:highlight w:val="none"/>
        </w:rPr>
      </w:pPr>
    </w:p>
    <w:p w14:paraId="509321D7">
      <w:pPr>
        <w:pStyle w:val="16"/>
        <w:spacing w:line="600" w:lineRule="exact"/>
        <w:ind w:left="0" w:leftChars="0" w:firstLine="600" w:firstLineChars="200"/>
        <w:rPr>
          <w:rFonts w:hint="eastAsia" w:ascii="宋体" w:hAnsi="宋体" w:eastAsia="宋体" w:cs="宋体"/>
          <w:color w:val="auto"/>
          <w:sz w:val="30"/>
          <w:szCs w:val="30"/>
          <w:highlight w:val="none"/>
        </w:rPr>
      </w:pPr>
    </w:p>
    <w:p w14:paraId="73330751">
      <w:pPr>
        <w:pStyle w:val="16"/>
        <w:spacing w:line="600" w:lineRule="exact"/>
        <w:ind w:left="0" w:leftChars="0" w:firstLine="600" w:firstLineChars="200"/>
        <w:rPr>
          <w:rFonts w:hint="eastAsia" w:ascii="宋体" w:hAnsi="宋体" w:eastAsia="宋体" w:cs="宋体"/>
          <w:color w:val="auto"/>
          <w:sz w:val="30"/>
          <w:szCs w:val="30"/>
          <w:highlight w:val="none"/>
        </w:rPr>
      </w:pPr>
    </w:p>
    <w:p w14:paraId="496394DE">
      <w:pPr>
        <w:pStyle w:val="16"/>
        <w:spacing w:line="600" w:lineRule="exact"/>
        <w:ind w:left="0" w:leftChars="0" w:firstLine="600" w:firstLineChars="200"/>
        <w:rPr>
          <w:rFonts w:hint="eastAsia" w:ascii="宋体" w:hAnsi="宋体" w:eastAsia="宋体" w:cs="宋体"/>
          <w:color w:val="auto"/>
          <w:sz w:val="30"/>
          <w:szCs w:val="30"/>
          <w:highlight w:val="none"/>
        </w:rPr>
      </w:pPr>
    </w:p>
    <w:p w14:paraId="63E98674">
      <w:pPr>
        <w:pStyle w:val="16"/>
        <w:spacing w:line="600" w:lineRule="exact"/>
        <w:ind w:left="0" w:leftChars="0" w:firstLine="600" w:firstLineChars="200"/>
        <w:rPr>
          <w:rFonts w:hint="eastAsia" w:ascii="宋体" w:hAnsi="宋体" w:eastAsia="宋体" w:cs="宋体"/>
          <w:color w:val="auto"/>
          <w:sz w:val="30"/>
          <w:szCs w:val="30"/>
          <w:highlight w:val="none"/>
        </w:rPr>
      </w:pPr>
    </w:p>
    <w:p w14:paraId="6846C0CA">
      <w:pPr>
        <w:pStyle w:val="16"/>
        <w:spacing w:line="600" w:lineRule="exact"/>
        <w:ind w:left="0" w:leftChars="0" w:firstLine="600" w:firstLineChars="200"/>
        <w:rPr>
          <w:rFonts w:hint="eastAsia" w:ascii="宋体" w:hAnsi="宋体" w:eastAsia="宋体" w:cs="宋体"/>
          <w:color w:val="auto"/>
          <w:sz w:val="30"/>
          <w:szCs w:val="30"/>
          <w:highlight w:val="none"/>
        </w:rPr>
      </w:pPr>
    </w:p>
    <w:p w14:paraId="5F0D8856">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申请人（盖章）：</w:t>
      </w:r>
    </w:p>
    <w:p w14:paraId="6CD700F1">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申请人公司负责人或委托代理人（签字）：</w:t>
      </w:r>
    </w:p>
    <w:p w14:paraId="6E5B0129">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657B1E3F">
      <w:pPr>
        <w:pStyle w:val="16"/>
        <w:spacing w:line="600" w:lineRule="exact"/>
        <w:ind w:left="0" w:leftChars="0" w:firstLine="600" w:firstLineChars="200"/>
        <w:rPr>
          <w:rFonts w:hint="eastAsia" w:ascii="宋体" w:hAnsi="宋体" w:eastAsia="宋体" w:cs="宋体"/>
          <w:sz w:val="30"/>
          <w:szCs w:val="30"/>
          <w:highlight w:val="none"/>
        </w:rPr>
      </w:pPr>
    </w:p>
    <w:p w14:paraId="4392B0CA">
      <w:pPr>
        <w:pStyle w:val="16"/>
        <w:spacing w:line="600" w:lineRule="exact"/>
        <w:ind w:left="0" w:leftChars="0" w:firstLine="600" w:firstLineChars="200"/>
        <w:outlineLvl w:val="2"/>
        <w:rPr>
          <w:rFonts w:hint="eastAsia" w:ascii="宋体" w:hAnsi="宋体" w:eastAsia="宋体" w:cs="宋体"/>
          <w:sz w:val="30"/>
          <w:szCs w:val="30"/>
          <w:highlight w:val="none"/>
        </w:rPr>
      </w:pPr>
    </w:p>
    <w:bookmarkEnd w:id="41"/>
    <w:sectPr>
      <w:pgSz w:w="11906" w:h="16838"/>
      <w:pgMar w:top="1701" w:right="1587" w:bottom="1701" w:left="1587" w:header="851" w:footer="141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D1A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E6D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0E6D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5A6A">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9319895</wp:posOffset>
              </wp:positionH>
              <wp:positionV relativeFrom="page">
                <wp:posOffset>6605270</wp:posOffset>
              </wp:positionV>
              <wp:extent cx="48387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3870" cy="203200"/>
                      </a:xfrm>
                      <a:prstGeom prst="rect">
                        <a:avLst/>
                      </a:prstGeom>
                      <a:noFill/>
                      <a:ln>
                        <a:noFill/>
                      </a:ln>
                    </wps:spPr>
                    <wps:txbx>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733.85pt;margin-top:520.1pt;height:16pt;width:38.1pt;mso-position-horizontal-relative:page;mso-position-vertical-relative:page;z-index:-251656192;mso-width-relative:page;mso-height-relative:page;" filled="f" stroked="f" coordsize="21600,21600" o:gfxdata="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7ZQr9wAAAAPAQAADwAAAAAAAAABACAAAAAiAAAAZHJzL2Rvd25yZXYueG1sUEsB&#10;AhQAFAAAAAgAh07iQKM0yoO4AQAAcQMAAA4AAAAAAAAAAQAgAAAAKwEAAGRycy9lMm9Eb2MueG1s&#10;UEsFBgAAAAAGAAYAWQEAAFUFAAAAAA==&#10;">
              <v:fill on="f" focussize="0,0"/>
              <v:stroke on="f"/>
              <v:imagedata o:title=""/>
              <o:lock v:ext="edit" aspectratio="f"/>
              <v:textbox inset="0mm,0mm,0mm,0mm">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6110">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6605270</wp:posOffset>
              </wp:positionV>
              <wp:extent cx="485775" cy="203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5775" cy="203200"/>
                      </a:xfrm>
                      <a:prstGeom prst="rect">
                        <a:avLst/>
                      </a:prstGeom>
                      <a:noFill/>
                      <a:ln>
                        <a:noFill/>
                      </a:ln>
                    </wps:spPr>
                    <wps:txbx>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69.75pt;margin-top:520.1pt;height:16pt;width:38.25pt;mso-position-horizontal-relative:page;mso-position-vertical-relative:page;z-index:-251656192;mso-width-relative:page;mso-height-relative:page;" filled="f" stroked="f" coordsize="21600,21600" o:gfxdata="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tg8H9oAAAANAQAADwAAAAAAAAABACAAAAAiAAAAZHJzL2Rvd25yZXYueG1sUEsB&#10;AhQAFAAAAAgAh07iQKX5U2y6AQAAcQMAAA4AAAAAAAAAAQAgAAAAKQEAAGRycy9lMm9Eb2MueG1s&#10;UEsFBgAAAAAGAAYAWQEAAFUFAAAAAA==&#10;">
              <v:fill on="f" focussize="0,0"/>
              <v:stroke on="f"/>
              <v:imagedata o:title=""/>
              <o:lock v:ext="edit" aspectratio="f"/>
              <v:textbox inset="0mm,0mm,0mm,0mm">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C2DEE"/>
    <w:rsid w:val="00CE340E"/>
    <w:rsid w:val="00D4326F"/>
    <w:rsid w:val="00D84AE7"/>
    <w:rsid w:val="00DF3432"/>
    <w:rsid w:val="00E745FA"/>
    <w:rsid w:val="00E74714"/>
    <w:rsid w:val="00E90264"/>
    <w:rsid w:val="00EC702E"/>
    <w:rsid w:val="00EE2539"/>
    <w:rsid w:val="00EF2482"/>
    <w:rsid w:val="00FD2E43"/>
    <w:rsid w:val="00FD79B2"/>
    <w:rsid w:val="020066DE"/>
    <w:rsid w:val="02181973"/>
    <w:rsid w:val="031800B1"/>
    <w:rsid w:val="048225C7"/>
    <w:rsid w:val="05FA7C0E"/>
    <w:rsid w:val="064E40B2"/>
    <w:rsid w:val="07FF3AA7"/>
    <w:rsid w:val="081C07E2"/>
    <w:rsid w:val="089C2780"/>
    <w:rsid w:val="08A56755"/>
    <w:rsid w:val="0ADB1EFC"/>
    <w:rsid w:val="0B963088"/>
    <w:rsid w:val="0BC9121F"/>
    <w:rsid w:val="0C646532"/>
    <w:rsid w:val="0DA55445"/>
    <w:rsid w:val="0DA6333C"/>
    <w:rsid w:val="0E5A627C"/>
    <w:rsid w:val="0EB379F3"/>
    <w:rsid w:val="0EFF3C89"/>
    <w:rsid w:val="0F560CF6"/>
    <w:rsid w:val="100F6948"/>
    <w:rsid w:val="10163376"/>
    <w:rsid w:val="11AB1672"/>
    <w:rsid w:val="126637EB"/>
    <w:rsid w:val="1331714B"/>
    <w:rsid w:val="1538458B"/>
    <w:rsid w:val="158943B1"/>
    <w:rsid w:val="15CD4F7D"/>
    <w:rsid w:val="165B6A56"/>
    <w:rsid w:val="174F70BF"/>
    <w:rsid w:val="1787767E"/>
    <w:rsid w:val="17920977"/>
    <w:rsid w:val="17A17079"/>
    <w:rsid w:val="17A2797E"/>
    <w:rsid w:val="18DA758B"/>
    <w:rsid w:val="194D231D"/>
    <w:rsid w:val="19E54263"/>
    <w:rsid w:val="1A651CED"/>
    <w:rsid w:val="1B3A4D29"/>
    <w:rsid w:val="1B79398C"/>
    <w:rsid w:val="1B914D66"/>
    <w:rsid w:val="1E142693"/>
    <w:rsid w:val="1E2D5D39"/>
    <w:rsid w:val="1E372A92"/>
    <w:rsid w:val="1E7C5AB1"/>
    <w:rsid w:val="1F595DC8"/>
    <w:rsid w:val="20C63D0E"/>
    <w:rsid w:val="21FC002D"/>
    <w:rsid w:val="22E93214"/>
    <w:rsid w:val="23F67449"/>
    <w:rsid w:val="256A70B8"/>
    <w:rsid w:val="25ED0935"/>
    <w:rsid w:val="26403BC8"/>
    <w:rsid w:val="26461F07"/>
    <w:rsid w:val="26552377"/>
    <w:rsid w:val="271612E1"/>
    <w:rsid w:val="27542FE7"/>
    <w:rsid w:val="288566F6"/>
    <w:rsid w:val="28D42480"/>
    <w:rsid w:val="29987850"/>
    <w:rsid w:val="2A2967B0"/>
    <w:rsid w:val="2C713AB4"/>
    <w:rsid w:val="2CBC19E4"/>
    <w:rsid w:val="2E8C3C33"/>
    <w:rsid w:val="2EB05A7F"/>
    <w:rsid w:val="2EC902FF"/>
    <w:rsid w:val="2EF4531E"/>
    <w:rsid w:val="30223983"/>
    <w:rsid w:val="307A4FFC"/>
    <w:rsid w:val="31C76A1A"/>
    <w:rsid w:val="31E40C7D"/>
    <w:rsid w:val="32771731"/>
    <w:rsid w:val="33F158EE"/>
    <w:rsid w:val="34122B9B"/>
    <w:rsid w:val="341978A8"/>
    <w:rsid w:val="3479760B"/>
    <w:rsid w:val="34D32B0A"/>
    <w:rsid w:val="3570782E"/>
    <w:rsid w:val="35893A8D"/>
    <w:rsid w:val="359D741F"/>
    <w:rsid w:val="384B4B7F"/>
    <w:rsid w:val="38EB2F2F"/>
    <w:rsid w:val="39034BFF"/>
    <w:rsid w:val="3A233BEC"/>
    <w:rsid w:val="3A3277AF"/>
    <w:rsid w:val="3A53002F"/>
    <w:rsid w:val="3BB86D4F"/>
    <w:rsid w:val="3EE720FA"/>
    <w:rsid w:val="3EED47C8"/>
    <w:rsid w:val="3F34410E"/>
    <w:rsid w:val="41453A1C"/>
    <w:rsid w:val="41CA5978"/>
    <w:rsid w:val="42353BD0"/>
    <w:rsid w:val="424C731E"/>
    <w:rsid w:val="42A10AC8"/>
    <w:rsid w:val="437737FF"/>
    <w:rsid w:val="438600CE"/>
    <w:rsid w:val="44F3589B"/>
    <w:rsid w:val="451801AE"/>
    <w:rsid w:val="45554B03"/>
    <w:rsid w:val="45A54AE0"/>
    <w:rsid w:val="45E85E4D"/>
    <w:rsid w:val="45FD5611"/>
    <w:rsid w:val="471825FE"/>
    <w:rsid w:val="47882A6A"/>
    <w:rsid w:val="47AB3FD8"/>
    <w:rsid w:val="48162FF4"/>
    <w:rsid w:val="4A146E07"/>
    <w:rsid w:val="4A1C5B14"/>
    <w:rsid w:val="4A981FDE"/>
    <w:rsid w:val="4AD04226"/>
    <w:rsid w:val="4CB01046"/>
    <w:rsid w:val="4D1E5130"/>
    <w:rsid w:val="4D610614"/>
    <w:rsid w:val="4D763148"/>
    <w:rsid w:val="4E2F4656"/>
    <w:rsid w:val="4FB709CD"/>
    <w:rsid w:val="4FE97231"/>
    <w:rsid w:val="509E6BFA"/>
    <w:rsid w:val="50B4575D"/>
    <w:rsid w:val="50B975D8"/>
    <w:rsid w:val="50C05BC4"/>
    <w:rsid w:val="51965A03"/>
    <w:rsid w:val="5245080D"/>
    <w:rsid w:val="539878FA"/>
    <w:rsid w:val="53C81C8A"/>
    <w:rsid w:val="541C6E0A"/>
    <w:rsid w:val="542E4C6D"/>
    <w:rsid w:val="55351E5B"/>
    <w:rsid w:val="55F25F84"/>
    <w:rsid w:val="56464A92"/>
    <w:rsid w:val="56D82E44"/>
    <w:rsid w:val="57715BCB"/>
    <w:rsid w:val="57D93ACA"/>
    <w:rsid w:val="582653EF"/>
    <w:rsid w:val="58697DF8"/>
    <w:rsid w:val="5A2B5DD6"/>
    <w:rsid w:val="5A9C7111"/>
    <w:rsid w:val="5B771524"/>
    <w:rsid w:val="5E7C50A1"/>
    <w:rsid w:val="5EA818BE"/>
    <w:rsid w:val="5F375171"/>
    <w:rsid w:val="5FA34DEE"/>
    <w:rsid w:val="6036278C"/>
    <w:rsid w:val="60472D9A"/>
    <w:rsid w:val="606E539C"/>
    <w:rsid w:val="60FB2D39"/>
    <w:rsid w:val="61191ECF"/>
    <w:rsid w:val="62944C99"/>
    <w:rsid w:val="635F2F97"/>
    <w:rsid w:val="63D51407"/>
    <w:rsid w:val="640062FE"/>
    <w:rsid w:val="64C16C53"/>
    <w:rsid w:val="658D324C"/>
    <w:rsid w:val="65A03C86"/>
    <w:rsid w:val="65B771FC"/>
    <w:rsid w:val="65CD3425"/>
    <w:rsid w:val="672D39CE"/>
    <w:rsid w:val="67CB13DC"/>
    <w:rsid w:val="6868749D"/>
    <w:rsid w:val="6899107A"/>
    <w:rsid w:val="689D6CC8"/>
    <w:rsid w:val="68D44FCC"/>
    <w:rsid w:val="68E32517"/>
    <w:rsid w:val="6A9557B2"/>
    <w:rsid w:val="6B513BDC"/>
    <w:rsid w:val="6B88527E"/>
    <w:rsid w:val="6D3F0494"/>
    <w:rsid w:val="6DC22321"/>
    <w:rsid w:val="6E3628AD"/>
    <w:rsid w:val="6F5E2385"/>
    <w:rsid w:val="70623CB1"/>
    <w:rsid w:val="70C428E7"/>
    <w:rsid w:val="710B26DD"/>
    <w:rsid w:val="715E7A1C"/>
    <w:rsid w:val="71D636F6"/>
    <w:rsid w:val="72A33E3A"/>
    <w:rsid w:val="7391146F"/>
    <w:rsid w:val="73FE676A"/>
    <w:rsid w:val="74723B0C"/>
    <w:rsid w:val="7499091E"/>
    <w:rsid w:val="74B47D89"/>
    <w:rsid w:val="75695AB4"/>
    <w:rsid w:val="75AC53E0"/>
    <w:rsid w:val="76322E49"/>
    <w:rsid w:val="770C2360"/>
    <w:rsid w:val="785B3D17"/>
    <w:rsid w:val="79796A48"/>
    <w:rsid w:val="7B4D6C3B"/>
    <w:rsid w:val="7C5E48F4"/>
    <w:rsid w:val="7C9421F7"/>
    <w:rsid w:val="7CAA6A43"/>
    <w:rsid w:val="7CFF70CA"/>
    <w:rsid w:val="7D1E0454"/>
    <w:rsid w:val="7E492C79"/>
    <w:rsid w:val="7EBE2D4D"/>
    <w:rsid w:val="7F4E6F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spacing w:line="576" w:lineRule="auto"/>
      <w:outlineLvl w:val="0"/>
    </w:pPr>
    <w:rPr>
      <w:b/>
      <w:bCs/>
      <w:kern w:val="44"/>
      <w:sz w:val="44"/>
      <w:szCs w:val="44"/>
    </w:rPr>
  </w:style>
  <w:style w:type="paragraph" w:styleId="3">
    <w:name w:val="heading 2"/>
    <w:basedOn w:val="1"/>
    <w:next w:val="1"/>
    <w:link w:val="30"/>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Body Text Indent"/>
    <w:basedOn w:val="1"/>
    <w:next w:val="7"/>
    <w:qFormat/>
    <w:uiPriority w:val="99"/>
    <w:pPr>
      <w:ind w:left="420" w:leftChars="200"/>
    </w:pPr>
  </w:style>
  <w:style w:type="paragraph" w:styleId="7">
    <w:name w:val="List 4"/>
    <w:next w:val="8"/>
    <w:qFormat/>
    <w:uiPriority w:val="0"/>
    <w:pPr>
      <w:spacing w:after="120" w:line="360" w:lineRule="auto"/>
      <w:ind w:left="2520" w:firstLine="3736"/>
    </w:pPr>
    <w:rPr>
      <w:rFonts w:ascii="Times New Roman" w:hAnsi="Times New Roman" w:eastAsia="宋体" w:cs="Times New Roman"/>
      <w:lang w:val="en-US" w:eastAsia="zh-CN" w:bidi="ar-SA"/>
    </w:rPr>
  </w:style>
  <w:style w:type="paragraph" w:customStyle="1" w:styleId="8">
    <w:name w:val="Mat. titre haut de page"/>
    <w:next w:val="9"/>
    <w:qFormat/>
    <w:uiPriority w:val="0"/>
    <w:pPr>
      <w:widowControl w:val="0"/>
      <w:spacing w:before="1" w:after="1"/>
      <w:ind w:left="284" w:right="1" w:firstLine="6372"/>
    </w:pPr>
    <w:rPr>
      <w:rFonts w:ascii="Times New Roman" w:hAnsi="Times New Roman" w:eastAsia="宋体" w:cs="Times New Roman"/>
      <w:lang w:val="en-US" w:eastAsia="zh-CN" w:bidi="ar-SA"/>
    </w:rPr>
  </w:style>
  <w:style w:type="paragraph" w:styleId="9">
    <w:name w:val="Body Text 2"/>
    <w:basedOn w:val="2"/>
    <w:next w:val="10"/>
    <w:qFormat/>
    <w:uiPriority w:val="99"/>
    <w:pPr>
      <w:spacing w:line="480" w:lineRule="auto"/>
    </w:pPr>
  </w:style>
  <w:style w:type="paragraph" w:styleId="10">
    <w:name w:val="List Continue 2"/>
    <w:basedOn w:val="2"/>
    <w:next w:val="1"/>
    <w:qFormat/>
    <w:uiPriority w:val="0"/>
    <w:pPr>
      <w:widowControl/>
      <w:spacing w:after="120" w:line="360" w:lineRule="auto"/>
      <w:ind w:left="840" w:firstLine="2048"/>
    </w:pPr>
  </w:style>
  <w:style w:type="paragraph" w:styleId="11">
    <w:name w:val="Plain Text"/>
    <w:basedOn w:val="1"/>
    <w:qFormat/>
    <w:uiPriority w:val="0"/>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2"/>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6"/>
    <w:next w:val="17"/>
    <w:qFormat/>
    <w:uiPriority w:val="0"/>
    <w:pPr>
      <w:autoSpaceDE w:val="0"/>
      <w:autoSpaceDN w:val="0"/>
      <w:adjustRightInd w:val="0"/>
      <w:ind w:firstLine="420"/>
      <w:jc w:val="left"/>
    </w:pPr>
    <w:rPr>
      <w:rFonts w:eastAsia="宋体" w:cs="Times New Roman"/>
      <w:kern w:val="0"/>
    </w:rPr>
  </w:style>
  <w:style w:type="paragraph" w:customStyle="1" w:styleId="17">
    <w:name w:val="CM16"/>
    <w:next w:val="18"/>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8">
    <w:name w:val="sleftnavsub"/>
    <w:basedOn w:val="2"/>
    <w:next w:val="19"/>
    <w:qFormat/>
    <w:uiPriority w:val="0"/>
    <w:pPr>
      <w:widowControl/>
      <w:spacing w:before="280" w:after="280" w:line="240" w:lineRule="atLeast"/>
      <w:ind w:firstLine="5120"/>
    </w:pPr>
  </w:style>
  <w:style w:type="paragraph" w:customStyle="1" w:styleId="19">
    <w:name w:val="正文文本缩进1"/>
    <w:basedOn w:val="2"/>
    <w:next w:val="14"/>
    <w:qFormat/>
    <w:uiPriority w:val="0"/>
    <w:pPr>
      <w:widowControl/>
      <w:ind w:left="360" w:firstLine="2664"/>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列出段落1"/>
    <w:basedOn w:val="1"/>
    <w:qFormat/>
    <w:uiPriority w:val="0"/>
    <w:pPr>
      <w:ind w:firstLine="420" w:firstLineChars="200"/>
    </w:pPr>
    <w:rPr>
      <w:szCs w:val="20"/>
    </w:rPr>
  </w:style>
  <w:style w:type="character" w:customStyle="1" w:styleId="27">
    <w:name w:val="正文文本 (8) + 6.5 pt"/>
    <w:basedOn w:val="28"/>
    <w:qFormat/>
    <w:uiPriority w:val="0"/>
    <w:rPr>
      <w:i/>
      <w:iCs/>
      <w:color w:val="000000"/>
      <w:w w:val="100"/>
      <w:position w:val="0"/>
      <w:sz w:val="13"/>
      <w:szCs w:val="13"/>
      <w:lang w:val="zh-TW" w:eastAsia="zh-TW" w:bidi="zh-TW"/>
    </w:rPr>
  </w:style>
  <w:style w:type="character" w:customStyle="1" w:styleId="28">
    <w:name w:val="正文文本 (8)_"/>
    <w:basedOn w:val="22"/>
    <w:link w:val="29"/>
    <w:qFormat/>
    <w:uiPriority w:val="0"/>
    <w:rPr>
      <w:rFonts w:ascii="MingLiU" w:hAnsi="MingLiU" w:eastAsia="MingLiU" w:cs="MingLiU"/>
      <w:spacing w:val="10"/>
      <w:kern w:val="0"/>
      <w:sz w:val="14"/>
      <w:szCs w:val="14"/>
    </w:rPr>
  </w:style>
  <w:style w:type="paragraph" w:customStyle="1" w:styleId="29">
    <w:name w:val="正文文本 (8)"/>
    <w:basedOn w:val="1"/>
    <w:link w:val="28"/>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30">
    <w:name w:val="标题 2 Char"/>
    <w:link w:val="3"/>
    <w:qFormat/>
    <w:uiPriority w:val="0"/>
    <w:rPr>
      <w:rFonts w:ascii="Arial" w:hAnsi="Arial" w:eastAsia="黑体"/>
      <w:b/>
      <w:sz w:val="32"/>
    </w:rPr>
  </w:style>
  <w:style w:type="character" w:customStyle="1" w:styleId="31">
    <w:name w:val="标题 1 Char"/>
    <w:basedOn w:val="22"/>
    <w:link w:val="2"/>
    <w:qFormat/>
    <w:locked/>
    <w:uiPriority w:val="99"/>
    <w:rPr>
      <w:b/>
      <w:bCs/>
      <w:kern w:val="44"/>
      <w:sz w:val="44"/>
      <w:szCs w:val="44"/>
    </w:rPr>
  </w:style>
  <w:style w:type="paragraph" w:customStyle="1" w:styleId="32">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33">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paragraph" w:customStyle="1" w:styleId="38">
    <w:name w:val="Table Paragraph"/>
    <w:basedOn w:val="1"/>
    <w:qFormat/>
    <w:uiPriority w:val="1"/>
    <w:rPr>
      <w:rFonts w:ascii="宋体" w:hAnsi="宋体" w:eastAsia="宋体" w:cs="宋体"/>
    </w:rPr>
  </w:style>
  <w:style w:type="character" w:customStyle="1" w:styleId="39">
    <w:name w:val="font11"/>
    <w:basedOn w:val="22"/>
    <w:qFormat/>
    <w:uiPriority w:val="0"/>
    <w:rPr>
      <w:rFonts w:hint="eastAsia" w:ascii="宋体" w:hAnsi="宋体" w:eastAsia="宋体" w:cs="宋体"/>
      <w:color w:val="000000"/>
      <w:sz w:val="28"/>
      <w:szCs w:val="28"/>
      <w:u w:val="none"/>
    </w:rPr>
  </w:style>
  <w:style w:type="character" w:customStyle="1" w:styleId="40">
    <w:name w:val="font31"/>
    <w:basedOn w:val="22"/>
    <w:qFormat/>
    <w:uiPriority w:val="0"/>
    <w:rPr>
      <w:rFonts w:hint="default" w:ascii="Times New Roman" w:hAnsi="Times New Roman" w:cs="Times New Roman"/>
      <w:color w:val="000000"/>
      <w:sz w:val="28"/>
      <w:szCs w:val="28"/>
      <w:u w:val="none"/>
    </w:rPr>
  </w:style>
  <w:style w:type="character" w:customStyle="1" w:styleId="41">
    <w:name w:val="font41"/>
    <w:basedOn w:val="22"/>
    <w:qFormat/>
    <w:uiPriority w:val="0"/>
    <w:rPr>
      <w:rFonts w:hint="default" w:ascii="仿宋_GB2312" w:eastAsia="仿宋_GB2312" w:cs="仿宋_GB2312"/>
      <w:color w:val="000000"/>
      <w:sz w:val="20"/>
      <w:szCs w:val="20"/>
      <w:u w:val="none"/>
    </w:rPr>
  </w:style>
  <w:style w:type="character" w:customStyle="1" w:styleId="42">
    <w:name w:val="font21"/>
    <w:basedOn w:val="22"/>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14591</Words>
  <Characters>15567</Characters>
  <Lines>115</Lines>
  <Paragraphs>32</Paragraphs>
  <TotalTime>16</TotalTime>
  <ScaleCrop>false</ScaleCrop>
  <LinksUpToDate>false</LinksUpToDate>
  <CharactersWithSpaces>15738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灯火阑珊°</cp:lastModifiedBy>
  <cp:lastPrinted>2026-01-29T05:59:00Z</cp:lastPrinted>
  <dcterms:modified xsi:type="dcterms:W3CDTF">2026-01-30T11:06:20Z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66171412CF924E6995FBCDCA6AD384C5</vt:lpwstr>
  </property>
  <property fmtid="{D5CDD505-2E9C-101B-9397-08002B2CF9AE}" pid="4" name="KSOTemplateDocerSaveRecord">
    <vt:lpwstr>eyJoZGlkIjoiNzEwNGQyY2E1ZmM2ZGY4MTY0YzQxZTExZWFiMjAxNjciLCJ1c2VySWQiOiI1NDQ5NzcyOTkifQ==</vt:lpwstr>
  </property>
</Properties>
</file>