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6B26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附件5</w:t>
      </w:r>
    </w:p>
    <w:p w14:paraId="3C97A12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061C4A5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10DD9A2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1200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2024年度怀化市市政设施维护中心</w:t>
      </w:r>
    </w:p>
    <w:p w14:paraId="3EB9AE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1200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整体支出绩效自评报告</w:t>
      </w:r>
    </w:p>
    <w:p w14:paraId="7F33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D2B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373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CF4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327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BD7E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0F99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0A5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C2B4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AAD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3FD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774F0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C39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2E27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585AD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0C39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        单位名称（盖章）：</w:t>
      </w:r>
    </w:p>
    <w:p w14:paraId="5BF9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2308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2A83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F16B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一、部门概况</w:t>
      </w:r>
    </w:p>
    <w:p w14:paraId="0B4EC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（一）单位基本情况。</w:t>
      </w:r>
    </w:p>
    <w:p w14:paraId="2F2DBFD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  <w:t>机构设置情况</w:t>
      </w:r>
    </w:p>
    <w:p w14:paraId="07E9A64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怀化市市政设施维护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作为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怀化市城市管理局的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二级部门预算单位，内设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室为12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个（副科级）：办公室、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人事教育部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计划财务部、市政工程服务部、市政应急服务部、市政科技推广服务部、市政管线服务所、城市车行道服务所、城市人行道服务所、城市照明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服务所、城市桥梁服务所、城市排水服务所。</w:t>
      </w:r>
    </w:p>
    <w:p w14:paraId="5599E3B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  <w:t>人员编制情况</w:t>
      </w:r>
    </w:p>
    <w:p w14:paraId="02F421B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截止2024年12月31日，我中心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核定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差额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拨款事业单位编制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160</w:t>
      </w:r>
      <w:r>
        <w:rPr>
          <w:rFonts w:hint="eastAsia" w:ascii="仿宋" w:hAnsi="仿宋" w:eastAsia="仿宋" w:cs="Times New Roman"/>
          <w:spacing w:val="-2"/>
          <w:sz w:val="32"/>
          <w:szCs w:val="32"/>
          <w:highlight w:val="none"/>
        </w:rPr>
        <w:t>名</w:t>
      </w:r>
      <w:r>
        <w:rPr>
          <w:rFonts w:hint="eastAsia" w:ascii="仿宋" w:hAnsi="仿宋" w:eastAsia="仿宋" w:cs="Times New Roman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pacing w:val="-2"/>
          <w:sz w:val="32"/>
          <w:szCs w:val="32"/>
          <w:highlight w:val="none"/>
          <w:lang w:val="en-US" w:eastAsia="zh-CN"/>
        </w:rPr>
        <w:t>实有在职人员154人。</w:t>
      </w:r>
    </w:p>
    <w:p w14:paraId="149B39D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  <w:t>主要职能职责</w:t>
      </w:r>
    </w:p>
    <w:p w14:paraId="50F5703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承担全市市政设施运行服务研究工作，指导城市市政设施服务重大科技项目攻关、成果推广和新技术新设备新材料的引进、吸收、应用等工作，为全市市政设施运行等相关工作提供技术支持和服务保障。</w:t>
      </w:r>
    </w:p>
    <w:p w14:paraId="4CEB30F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担怀化市主城区主次干道的城市道路、城市照明、城市排水、城市桥梁（含地下人行通道、涵洞）、综合管廊管线、智慧城管市政监控信息平台等市政设施运行服务与应急处置工作；协助做好市本级城市道路挖掘修复费收取的相关服务工作；承担管辖范围内城市排水排涝、抗冰除雪等工作。</w:t>
      </w:r>
    </w:p>
    <w:p w14:paraId="770B80A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参与拟订市本级市政设施服务行业作业规范和标准、中长期规划和年度计划相关工作；为全市市政设施维护工作开展和养护作业社会化、市场化服务提供技术指导。</w:t>
      </w:r>
    </w:p>
    <w:p w14:paraId="58862FB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协助做好市本级市政工程设计方案评审、建设、交工和竣工验收等相关服务工作；协助做好中心城区城市市政基础设施建设项目的可行性研究，方案审查和工程竣工备案等相关服务工作；承担全市市政设施行业技术和信息化指导、业务培训、协调服务等相关工作。</w:t>
      </w:r>
    </w:p>
    <w:p w14:paraId="75FA04A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承担智慧城管市政监控信息平台的受理分解和跟踪服务工作。</w:t>
      </w:r>
    </w:p>
    <w:p w14:paraId="4A6F1EB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完成市城市管理和综合执法局交办的其他任务。</w:t>
      </w:r>
    </w:p>
    <w:p w14:paraId="6875106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  <w:t>绩效目标设定情况</w:t>
      </w:r>
    </w:p>
    <w:p w14:paraId="7A52F5A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2024年我中心设定的总体绩效目标：保障城区内主次干道市政设施运行和应急处置；智慧城管市政监控信息平台的受理分解和跟踪服务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 w14:paraId="42FF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（二）单位整体支出规模、使用方向和主要内容、涉及范围等。</w:t>
      </w:r>
    </w:p>
    <w:p w14:paraId="16D4E1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Times New Roman"/>
          <w:spacing w:val="-2"/>
          <w:sz w:val="32"/>
          <w:szCs w:val="32"/>
        </w:rPr>
      </w:pPr>
      <w:r>
        <w:rPr>
          <w:rFonts w:hint="eastAsia" w:ascii="仿宋" w:hAnsi="仿宋" w:eastAsia="仿宋" w:cs="Times New Roman"/>
          <w:spacing w:val="-2"/>
          <w:sz w:val="32"/>
          <w:szCs w:val="32"/>
        </w:rPr>
        <w:t>1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202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年部门预算情况</w:t>
      </w:r>
    </w:p>
    <w:p w14:paraId="696D2F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Times New Roman"/>
          <w:spacing w:val="-2"/>
          <w:sz w:val="32"/>
          <w:szCs w:val="32"/>
        </w:rPr>
      </w:pPr>
      <w:r>
        <w:rPr>
          <w:rFonts w:hint="eastAsia" w:ascii="仿宋" w:hAnsi="仿宋" w:eastAsia="仿宋" w:cs="Times New Roman"/>
          <w:spacing w:val="-2"/>
          <w:sz w:val="32"/>
          <w:szCs w:val="32"/>
        </w:rPr>
        <w:t>依据怀财预（202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）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号预算批复，我中心202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年年初支出总预算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5,170.36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万元，其中：基本支出1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3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.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万元（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人员经费1,249.17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万元，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公用经费60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.00万元；项目支出3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8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61.19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万元。</w:t>
      </w:r>
    </w:p>
    <w:p w14:paraId="72AEFA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Times New Roman"/>
          <w:spacing w:val="-2"/>
          <w:sz w:val="32"/>
          <w:szCs w:val="32"/>
        </w:rPr>
      </w:pPr>
      <w:r>
        <w:rPr>
          <w:rFonts w:hint="eastAsia" w:ascii="仿宋" w:hAnsi="仿宋" w:eastAsia="仿宋" w:cs="Times New Roman"/>
          <w:spacing w:val="-2"/>
          <w:sz w:val="32"/>
          <w:szCs w:val="32"/>
        </w:rPr>
        <w:t>202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年支出预算调整预算数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1256.97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万元，与年初预算安排的差额主要是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基本支出年中预算增加236.9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万元、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项目支出年中预算增加1020.07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万元。</w:t>
      </w:r>
    </w:p>
    <w:p w14:paraId="5BC31704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Times New Roman"/>
          <w:spacing w:val="-2"/>
          <w:sz w:val="32"/>
          <w:szCs w:val="32"/>
        </w:rPr>
      </w:pPr>
      <w:r>
        <w:rPr>
          <w:rFonts w:hint="eastAsia" w:ascii="仿宋" w:hAnsi="仿宋" w:eastAsia="仿宋" w:cs="Times New Roman"/>
          <w:spacing w:val="-2"/>
          <w:sz w:val="32"/>
          <w:szCs w:val="32"/>
        </w:rPr>
        <w:t>2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202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年部门决算情况</w:t>
      </w:r>
    </w:p>
    <w:p w14:paraId="19B3B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pacing w:val="-2"/>
          <w:sz w:val="32"/>
          <w:szCs w:val="32"/>
        </w:rPr>
        <w:t>202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年度部门整体决算总支出4,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339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.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万元，其中：基本支出1,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414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.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万元，占总支出的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32.6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%，使用内容为人员经费和日常公用经费；项目支出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,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924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.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万元，占总支出的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67.4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%，主要用于</w:t>
      </w:r>
      <w:r>
        <w:rPr>
          <w:rFonts w:hint="eastAsia" w:ascii="仿宋" w:hAnsi="仿宋" w:eastAsia="仿宋" w:cs="Times New Roman"/>
          <w:color w:val="FF0000"/>
          <w:spacing w:val="-2"/>
          <w:sz w:val="32"/>
          <w:szCs w:val="32"/>
        </w:rPr>
        <w:t>市政设施日常维护、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沥青混合料搅拌环保设备</w:t>
      </w:r>
      <w:r>
        <w:rPr>
          <w:rFonts w:hint="eastAsia" w:ascii="仿宋" w:hAnsi="仿宋" w:eastAsia="仿宋" w:cs="Times New Roman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怀化学院东校区北门交通分流改造项目</w:t>
      </w:r>
      <w:r>
        <w:rPr>
          <w:rFonts w:hint="eastAsia" w:ascii="仿宋" w:hAnsi="仿宋" w:eastAsia="仿宋" w:cs="Times New Roman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湖天北路绿化带内排水管塌陷抢修经费</w:t>
      </w:r>
      <w:r>
        <w:rPr>
          <w:rFonts w:hint="eastAsia" w:ascii="仿宋" w:hAnsi="仿宋" w:eastAsia="仿宋" w:cs="Times New Roman"/>
          <w:spacing w:val="-2"/>
          <w:sz w:val="32"/>
          <w:szCs w:val="32"/>
          <w:lang w:eastAsia="zh-CN"/>
        </w:rPr>
        <w:t>、舞水三桥（四桥）及黄花坪大桥维修项目、桥梁监测费、迎丰路等3条路道路路灯接地制作项目、拆除重建团结二桥和改造犀牛塘建设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。</w:t>
      </w:r>
    </w:p>
    <w:p w14:paraId="1F950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二、一般公共预算支出情况</w:t>
      </w:r>
    </w:p>
    <w:p w14:paraId="6A0235D0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kern w:val="2"/>
          <w:sz w:val="32"/>
          <w:szCs w:val="21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spacing w:val="-2"/>
          <w:kern w:val="2"/>
          <w:sz w:val="32"/>
          <w:szCs w:val="21"/>
          <w:lang w:val="en-US" w:eastAsia="zh-CN" w:bidi="ar-SA"/>
        </w:rPr>
        <w:t>（一）基本支出</w:t>
      </w:r>
    </w:p>
    <w:p w14:paraId="2693DD16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kern w:val="2"/>
          <w:sz w:val="32"/>
          <w:szCs w:val="21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spacing w:val="-2"/>
          <w:kern w:val="2"/>
          <w:sz w:val="32"/>
          <w:szCs w:val="21"/>
          <w:lang w:val="en-US" w:eastAsia="zh-CN" w:bidi="ar-SA"/>
        </w:rPr>
        <w:t>介绍基本支出的主要用途、范围以及资金的管理情况，尤其是“三公”经费的使用和管理情况。</w:t>
      </w:r>
    </w:p>
    <w:p w14:paraId="07D09682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</w:pPr>
      <w:r>
        <w:rPr>
          <w:rFonts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基本支出系保障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我中心</w:t>
      </w:r>
      <w:r>
        <w:rPr>
          <w:rFonts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正常运转、完成日常工作任务而发生的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21"/>
          <w:lang w:val="en-US" w:eastAsia="zh-CN" w:bidi="ar-SA"/>
        </w:rPr>
        <w:t>人员经费和日常公用经费。具体包括：工资福利支出、商品和服务支出、对个人和家庭的补助。</w:t>
      </w:r>
      <w:r>
        <w:rPr>
          <w:rFonts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4</w:t>
      </w:r>
      <w:r>
        <w:rPr>
          <w:rFonts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年基本支出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21"/>
          <w:lang w:val="en-US" w:eastAsia="zh-CN" w:bidi="ar-SA"/>
        </w:rPr>
        <w:t>1,304.1</w:t>
      </w:r>
      <w:r>
        <w:rPr>
          <w:rFonts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万元较上年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减少25.98</w:t>
      </w:r>
      <w:r>
        <w:rPr>
          <w:rFonts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减幅1.95</w:t>
      </w:r>
      <w:r>
        <w:rPr>
          <w:rFonts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%。</w:t>
      </w:r>
    </w:p>
    <w:p w14:paraId="59900D28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人员经费。人员经费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1,239.93万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元，占基本支出的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95.08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%，较上年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减少12.46万元，减幅0.99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%，主要是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本年度人员减少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。</w:t>
      </w:r>
    </w:p>
    <w:p w14:paraId="36FB83CA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</w:pPr>
      <w:r>
        <w:rPr>
          <w:rFonts w:hint="eastAsia" w:ascii="仿宋" w:hAnsi="仿宋" w:eastAsia="仿宋" w:cs="仿宋"/>
          <w:spacing w:val="-2"/>
          <w:sz w:val="32"/>
          <w:szCs w:val="32"/>
        </w:rPr>
        <w:t>（1）工资福利支出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1,085.29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万元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主要包括在职人员工资、奖金、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绩效工资、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职工基本医疗保险缴费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、其他社会保障费、住房公积金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等支出。</w:t>
      </w:r>
    </w:p>
    <w:p w14:paraId="11EA88AA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</w:pPr>
      <w:r>
        <w:rPr>
          <w:rFonts w:hint="eastAsia" w:ascii="仿宋" w:hAnsi="仿宋" w:eastAsia="仿宋" w:cs="仿宋"/>
          <w:spacing w:val="-2"/>
          <w:sz w:val="32"/>
          <w:szCs w:val="32"/>
        </w:rPr>
        <w:t>（2）对个人和家庭补助支出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154.64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万元。主要包括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抚恤金、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生活补助、其他对个人和家庭的补助等支出。</w:t>
      </w:r>
    </w:p>
    <w:p w14:paraId="5EA4DDFE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日常公用经费。日常公用经费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64.16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较上年减少5.69万元，减幅8.15%，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主要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是人员减少，公用经费减少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。</w:t>
      </w:r>
    </w:p>
    <w:p w14:paraId="5A280EA6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</w:pPr>
      <w:r>
        <w:rPr>
          <w:rFonts w:hint="eastAsia" w:ascii="仿宋" w:hAnsi="仿宋" w:eastAsia="仿宋" w:cs="仿宋"/>
          <w:spacing w:val="-2"/>
          <w:sz w:val="32"/>
          <w:szCs w:val="32"/>
        </w:rPr>
        <w:t>（1）商品和服务支出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64.16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万元。包括日常运行正常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的物业管理费、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福利费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其他商品服务支出等。</w:t>
      </w:r>
    </w:p>
    <w:p w14:paraId="264E07BD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（2）“三公”经费支出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万元。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公务接待费0万元，较上年减少0.35万元；“三公经费”总体支出比上年减少0.35万元，主要是本年度无业务接待费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。</w:t>
      </w:r>
    </w:p>
    <w:p w14:paraId="278BA567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（3）会议费和培训费支出1.46万元。会议费0万元，发生培训费1.46万元，主要是单位职工参加湖南省城乡建设行业协会照明所行业协会培训、报考工业锅炉司炉证、参加创卫复审培训班、参加湖南省政府采购业务培训、参加湖南省档案业务培训等支出。</w:t>
      </w:r>
    </w:p>
    <w:p w14:paraId="67638621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（二）项目支出</w:t>
      </w:r>
    </w:p>
    <w:p w14:paraId="1324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项目资金（包括财政资金、自筹资金等）安排落实、总投入等情况分析。</w:t>
      </w:r>
    </w:p>
    <w:p w14:paraId="39826CEC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根据怀财预（2024）5号文件，2024年度市财政年初预算安排本单位</w:t>
      </w:r>
      <w:r>
        <w:rPr>
          <w:rFonts w:hint="default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一般公共预算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项目资金1,146.05万元，年初预算项目资金到位率100%。年中追加一般公共预算项目资金287.22万元，主要有怀化学院东校区北门交通分流改造项目、迎丰市场铁路桥等5座城市桥梁内侧墙面涂装美化改造、湖天北路绿化带内排水管塌陷抢修经费、拆除重建团结二桥和改造犀牛塘建设项目。</w:t>
      </w:r>
    </w:p>
    <w:p w14:paraId="1F94C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项目资金（主要指财政资金）实际使用情况分析。</w:t>
      </w:r>
    </w:p>
    <w:p w14:paraId="6E4DF19D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pacing w:line="560" w:lineRule="exact"/>
        <w:ind w:left="0"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2024年度我中心项目支出1,420.53万元，主要用于城乡社区支出（类）其他城乡社区公共设施支出、城乡社区支出（类）城乡社区环境卫生、城乡社区支出（类）其他城乡社区支出，其中：沥青混合料搅拌环保设备43.27万元；市政设施日常维护费用1090.3万元；怀化学院东校区北门交通分流改造项目4.1万元；迎丰市场铁路桥等5座城市桥梁内侧墙面涂装美化改造106.56万元；湖天北路绿化带内排水管塌陷抢修经费2.36万元；拆除重建团结二桥和改造犀牛塘建设173.95万元。</w:t>
      </w:r>
    </w:p>
    <w:p w14:paraId="1D04E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项目资金管理情况分析，主要包括管理制度、办法的制订及执行情况。</w:t>
      </w:r>
    </w:p>
    <w:p w14:paraId="0C6AC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我中心制定了</w:t>
      </w:r>
      <w:r>
        <w:rPr>
          <w:rFonts w:hint="eastAsia" w:ascii="仿宋" w:hAnsi="仿宋" w:eastAsia="仿宋" w:cs="仿宋"/>
          <w:color w:val="FF0000"/>
          <w:spacing w:val="-2"/>
          <w:kern w:val="2"/>
          <w:sz w:val="32"/>
          <w:szCs w:val="32"/>
          <w:lang w:val="en-US" w:eastAsia="zh-CN" w:bidi="ar-SA"/>
        </w:rPr>
        <w:t>《一般性维护改造工程项目管理办法》及相关财务管理制度对</w:t>
      </w: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 w:bidi="ar-SA"/>
        </w:rPr>
        <w:t>专项资金的分配、使用、管理严格按制度执行，大额资金支出实行“三重一大”集体决策机制，项目招标、评审、结算按政府采购管理办法等相关要求进行，确保资金使用公开、公正、科学、高效，专款专用、不被挤占、挪用、借用或随意调整。</w:t>
      </w:r>
    </w:p>
    <w:p w14:paraId="47AF9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三、项目组织实施情况</w:t>
      </w:r>
    </w:p>
    <w:p w14:paraId="70967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（一）项目组织情况分析，主要包括项目招投标、调整、竣工验收等情况。</w:t>
      </w:r>
    </w:p>
    <w:p w14:paraId="69725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云溪二桥等15座城市桥梁检测项目由湖南中隆瑞项目管理有限公司代理，采购方式为竞争性磋商，意向采购时间为2024年8月，计划编号为怀财采计202430236，中标单位为湖南致力工程科技有限公司，成交公告日期为2024年11月26日，于2024年12月18日签订检测合同并开始检测桥梁工作，2025年1月完成检测工作并汇总检测成果，1月17日，中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心领导组织专家对检测报告成果进行了评审验收。</w:t>
      </w:r>
    </w:p>
    <w:p w14:paraId="6A575A3F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怀化市市政设施维护中心沥青拌合站碎石辉绿岩、机制砂、玄武岩等原材料定点供应项目由湖南鹤中国项目管理有限公司代理，采购方式为公开招标，计划编号为怀财采计202430001，中标单位为怀化市全民贸易有限公司，成交公告日期为2024年3月。本年度已完成项目采购。</w:t>
      </w:r>
    </w:p>
    <w:p w14:paraId="4E7AE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（二）项目管理情况分析，主要包括项目管理制度建设、日常检查监督管理等情况。</w:t>
      </w:r>
    </w:p>
    <w:p w14:paraId="56B73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制定了项目管理制度，包括三重一大集体决策机制、项目管理制度等。在项目实施过程中，工作人员能严格执行制度的相关规定，实施日常检查并建立了日常检查台账。</w:t>
      </w:r>
    </w:p>
    <w:p w14:paraId="6681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四、资产管理情况</w:t>
      </w:r>
    </w:p>
    <w:p w14:paraId="6BEB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我中心建立了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val="en-US" w:eastAsia="zh-CN"/>
        </w:rPr>
        <w:t>《国有资产管理制度》。</w:t>
      </w:r>
      <w:r>
        <w:rPr>
          <w:rFonts w:hint="eastAsia" w:ascii="仿宋" w:hAnsi="仿宋" w:eastAsia="仿宋"/>
          <w:color w:val="auto"/>
          <w:spacing w:val="-2"/>
          <w:sz w:val="32"/>
          <w:szCs w:val="32"/>
        </w:rPr>
        <w:t>按照资产管理信息化的要求，建立了规范的固定资产台账，将全部资产录入资产信息管理系统并及时更新。资产的配置、购置、验收、入账、领用均按照《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val="en-US" w:eastAsia="zh-CN"/>
        </w:rPr>
        <w:t>国有</w:t>
      </w:r>
      <w:r>
        <w:rPr>
          <w:rFonts w:hint="eastAsia" w:ascii="仿宋" w:hAnsi="仿宋" w:eastAsia="仿宋"/>
          <w:color w:val="auto"/>
          <w:spacing w:val="-2"/>
          <w:sz w:val="32"/>
          <w:szCs w:val="32"/>
        </w:rPr>
        <w:t>资产</w:t>
      </w:r>
      <w:r>
        <w:rPr>
          <w:rFonts w:hint="eastAsia" w:ascii="仿宋" w:hAnsi="仿宋" w:eastAsia="仿宋"/>
          <w:spacing w:val="-2"/>
          <w:sz w:val="32"/>
          <w:szCs w:val="32"/>
        </w:rPr>
        <w:t>管理制度》执行，落实资产关键岗位、使用人员的职责。202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年末资产总额33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1,819</w:t>
      </w:r>
      <w:r>
        <w:rPr>
          <w:rFonts w:hint="eastAsia" w:ascii="仿宋" w:hAnsi="仿宋" w:eastAsia="仿宋"/>
          <w:spacing w:val="-2"/>
          <w:sz w:val="32"/>
          <w:szCs w:val="32"/>
        </w:rPr>
        <w:t>.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/>
          <w:spacing w:val="-2"/>
          <w:sz w:val="32"/>
          <w:szCs w:val="32"/>
        </w:rPr>
        <w:t>万元，负债总额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/>
          <w:spacing w:val="-2"/>
          <w:sz w:val="32"/>
          <w:szCs w:val="32"/>
        </w:rPr>
        <w:t>.4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pacing w:val="-2"/>
          <w:sz w:val="32"/>
          <w:szCs w:val="32"/>
        </w:rPr>
        <w:t>万元，净资产3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31,638</w:t>
      </w:r>
      <w:r>
        <w:rPr>
          <w:rFonts w:hint="eastAsia" w:ascii="仿宋" w:hAnsi="仿宋" w:eastAsia="仿宋"/>
          <w:spacing w:val="-2"/>
          <w:sz w:val="32"/>
          <w:szCs w:val="32"/>
        </w:rPr>
        <w:t>.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/>
          <w:spacing w:val="-2"/>
          <w:sz w:val="32"/>
          <w:szCs w:val="32"/>
        </w:rPr>
        <w:t>万元。与上年相比，资产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增加718.2</w:t>
      </w:r>
      <w:r>
        <w:rPr>
          <w:rFonts w:hint="eastAsia" w:ascii="仿宋" w:hAnsi="仿宋" w:eastAsia="仿宋"/>
          <w:spacing w:val="-2"/>
          <w:sz w:val="32"/>
          <w:szCs w:val="32"/>
        </w:rPr>
        <w:t>万元，负债减少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1,061.65</w:t>
      </w:r>
      <w:r>
        <w:rPr>
          <w:rFonts w:hint="eastAsia" w:ascii="仿宋" w:hAnsi="仿宋" w:eastAsia="仿宋"/>
          <w:spacing w:val="-2"/>
          <w:sz w:val="32"/>
          <w:szCs w:val="32"/>
        </w:rPr>
        <w:t>万元，净资产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增加343.45</w:t>
      </w:r>
      <w:r>
        <w:rPr>
          <w:rFonts w:hint="eastAsia" w:ascii="仿宋" w:hAnsi="仿宋" w:eastAsia="仿宋"/>
          <w:spacing w:val="-2"/>
          <w:sz w:val="32"/>
          <w:szCs w:val="32"/>
        </w:rPr>
        <w:t>万元。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2024年新增固定资产347.51万元，主要为本年度购置空调、台式电脑及打印机等办公设备；根据政府会计准则第7号会计调整院内办公楼及仓库资产评估入账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 w14:paraId="7C2A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五、政府性基金预算支出情况</w:t>
      </w:r>
    </w:p>
    <w:p w14:paraId="6C718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pacing w:val="-2"/>
          <w:kern w:val="2"/>
          <w:sz w:val="32"/>
          <w:szCs w:val="32"/>
          <w:lang w:val="en-US" w:eastAsia="zh-CN" w:bidi="ar-SA"/>
        </w:rPr>
        <w:t>2024年我中心政府性基金预算指标2,850.64万元，实际支出1,504.36万元，均为项目支出，其中：</w:t>
      </w:r>
      <w:r>
        <w:rPr>
          <w:rFonts w:hint="eastAsia" w:ascii="仿宋" w:hAnsi="仿宋" w:eastAsia="仿宋" w:cs="Times New Roman"/>
          <w:color w:val="auto"/>
          <w:spacing w:val="-2"/>
          <w:kern w:val="2"/>
          <w:sz w:val="32"/>
          <w:szCs w:val="32"/>
          <w:lang w:val="en-US" w:eastAsia="zh-CN" w:bidi="ar-SA"/>
        </w:rPr>
        <w:t>市政设施</w:t>
      </w:r>
      <w:r>
        <w:rPr>
          <w:rFonts w:hint="eastAsia" w:ascii="仿宋" w:hAnsi="仿宋" w:eastAsia="仿宋" w:cs="Times New Roman"/>
          <w:spacing w:val="-2"/>
          <w:kern w:val="2"/>
          <w:sz w:val="32"/>
          <w:szCs w:val="32"/>
          <w:lang w:val="en-US" w:eastAsia="zh-CN" w:bidi="ar-SA"/>
        </w:rPr>
        <w:t>日常维护费用1,409.56万元、舞水三桥、四桥及黄花坪大桥维修项目0.48万元、桥梁监测费47.6万元、迎丰路等3条路道路路灯接地制作项目46.72万元。政府性基金预算执行率52.77%。</w:t>
      </w:r>
    </w:p>
    <w:p w14:paraId="34886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六、国有资本经营预算支出情况</w:t>
      </w:r>
    </w:p>
    <w:p w14:paraId="4AC4A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2024</w:t>
      </w:r>
      <w:r>
        <w:rPr>
          <w:rFonts w:hint="eastAsia" w:hAnsi="仿宋" w:eastAsia="仿宋"/>
          <w:spacing w:val="-2"/>
          <w:sz w:val="32"/>
          <w:szCs w:val="32"/>
          <w:lang w:val="en-US" w:eastAsia="zh-CN"/>
        </w:rPr>
        <w:t>年本单位无国有资本经营预算支出。</w:t>
      </w:r>
    </w:p>
    <w:p w14:paraId="3844A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七、社会保险基金预算支出情况</w:t>
      </w:r>
    </w:p>
    <w:p w14:paraId="0DAE3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2024年</w:t>
      </w:r>
      <w:r>
        <w:rPr>
          <w:rFonts w:hint="eastAsia" w:hAnsi="仿宋" w:eastAsia="仿宋"/>
          <w:spacing w:val="-2"/>
          <w:sz w:val="32"/>
          <w:szCs w:val="32"/>
          <w:lang w:val="en-US" w:eastAsia="zh-CN"/>
        </w:rPr>
        <w:t>本单位无社会保险基金预算支出。</w:t>
      </w:r>
    </w:p>
    <w:p w14:paraId="387A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八、部门整体支出绩效情况</w:t>
      </w:r>
    </w:p>
    <w:p w14:paraId="75FD4F8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反映自评得分及评价等级。</w:t>
      </w:r>
    </w:p>
    <w:p w14:paraId="40AB159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仿宋" w:hAnsi="仿宋" w:eastAsia="仿宋" w:cs="Times New Roman"/>
          <w:color w:val="auto"/>
          <w:spacing w:val="-2"/>
          <w:kern w:val="2"/>
          <w:sz w:val="32"/>
          <w:szCs w:val="32"/>
          <w:lang w:val="en-US" w:eastAsia="zh-CN" w:bidi="ar-SA"/>
        </w:rPr>
        <w:t>根据本次自评情况，</w:t>
      </w:r>
      <w:r>
        <w:rPr>
          <w:rFonts w:hint="eastAsia" w:ascii="仿宋" w:hAnsi="仿宋" w:eastAsia="仿宋" w:cs="Times New Roman"/>
          <w:color w:val="auto"/>
          <w:spacing w:val="-2"/>
          <w:kern w:val="2"/>
          <w:sz w:val="32"/>
          <w:szCs w:val="32"/>
          <w:highlight w:val="none"/>
          <w:lang w:val="en-US" w:eastAsia="zh-CN" w:bidi="ar-SA"/>
        </w:rPr>
        <w:t>我中心</w:t>
      </w:r>
      <w:r>
        <w:rPr>
          <w:rFonts w:hint="default" w:ascii="仿宋" w:hAnsi="仿宋" w:eastAsia="仿宋" w:cs="Times New Roman"/>
          <w:color w:val="auto"/>
          <w:spacing w:val="-2"/>
          <w:kern w:val="2"/>
          <w:sz w:val="32"/>
          <w:szCs w:val="32"/>
          <w:highlight w:val="none"/>
          <w:lang w:val="en-US" w:eastAsia="zh-CN" w:bidi="ar-SA"/>
        </w:rPr>
        <w:t>整</w:t>
      </w:r>
      <w:r>
        <w:rPr>
          <w:rFonts w:hint="default" w:ascii="仿宋" w:hAnsi="仿宋" w:eastAsia="仿宋" w:cs="Times New Roman"/>
          <w:color w:val="auto"/>
          <w:spacing w:val="-2"/>
          <w:kern w:val="2"/>
          <w:sz w:val="32"/>
          <w:szCs w:val="32"/>
          <w:lang w:val="en-US" w:eastAsia="zh-CN" w:bidi="ar-SA"/>
        </w:rPr>
        <w:t>体支出绩效评价得分</w:t>
      </w:r>
      <w:r>
        <w:rPr>
          <w:rFonts w:hint="default" w:ascii="仿宋" w:hAnsi="仿宋" w:eastAsia="仿宋" w:cs="Times New Roman"/>
          <w:color w:val="auto"/>
          <w:spacing w:val="-2"/>
          <w:kern w:val="2"/>
          <w:sz w:val="32"/>
          <w:szCs w:val="32"/>
          <w:highlight w:val="none"/>
          <w:lang w:val="en-US" w:eastAsia="zh-CN" w:bidi="ar-SA"/>
        </w:rPr>
        <w:t>为9</w:t>
      </w:r>
      <w:r>
        <w:rPr>
          <w:rFonts w:hint="eastAsia" w:ascii="仿宋" w:hAnsi="仿宋" w:eastAsia="仿宋" w:cs="Times New Roman"/>
          <w:color w:val="auto"/>
          <w:spacing w:val="-2"/>
          <w:kern w:val="2"/>
          <w:sz w:val="32"/>
          <w:szCs w:val="32"/>
          <w:highlight w:val="none"/>
          <w:lang w:val="en-US" w:eastAsia="zh-CN" w:bidi="ar-SA"/>
        </w:rPr>
        <w:t>5.09</w:t>
      </w:r>
      <w:r>
        <w:rPr>
          <w:rFonts w:hint="default" w:ascii="仿宋" w:hAnsi="仿宋" w:eastAsia="仿宋" w:cs="Times New Roman"/>
          <w:color w:val="auto"/>
          <w:spacing w:val="-2"/>
          <w:kern w:val="2"/>
          <w:sz w:val="32"/>
          <w:szCs w:val="32"/>
          <w:highlight w:val="none"/>
          <w:lang w:val="en-US" w:eastAsia="zh-CN" w:bidi="ar-SA"/>
        </w:rPr>
        <w:t>分，自评等级为优。</w:t>
      </w:r>
    </w:p>
    <w:p w14:paraId="2F64201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（二）评价指标分析（或综合评价情况）。</w:t>
      </w:r>
    </w:p>
    <w:p w14:paraId="4DECFB8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我中心严格按照绩效目标制定的相关规定，</w:t>
      </w:r>
      <w:r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围绕部门职责、行业发展规划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，完整、合理地制定整体绩效目标，绩效指标基本做到细化量化。</w:t>
      </w:r>
    </w:p>
    <w:p w14:paraId="04B7E95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.整体绩效目标设定</w:t>
      </w:r>
    </w:p>
    <w:p w14:paraId="3437B94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" w:hAnsi="仿宋" w:eastAsia="仿宋_GB2312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（1）绩效目标合理性。绩效目标符合国家法律法规、国民经济和社会发展总体规划；符合部门“三定”方案确定的职责；符合部门制定的中长期实施规划。</w:t>
      </w:r>
    </w:p>
    <w:p w14:paraId="454132E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（2）绩效指标明确性。将部门整体的绩效目标细化分解为具体的工作任务；与部门年度的任务数或计划数相对应；与本年度部门预算资金相匹配。</w:t>
      </w:r>
    </w:p>
    <w:p w14:paraId="430D536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2.预算配置</w:t>
      </w:r>
    </w:p>
    <w:p w14:paraId="1971056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在职人员控制率。2024年编制数160人，实际在职人员数154人，在职人员控制率为96.25%，控制在预算编制内。</w:t>
      </w:r>
    </w:p>
    <w:p w14:paraId="0837D97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“三公经费”变动率。2024年“三公经费”预算数0.6万元，上年度“三公经费”预算数0.1万元，“三公经费”变动率500%，本年度公务用车运行维护费无预算。</w:t>
      </w:r>
    </w:p>
    <w:p w14:paraId="6BC8ECF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预算执行</w:t>
      </w:r>
    </w:p>
    <w:p w14:paraId="25FDB9D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（1）预算执行率。2024年全年预算数6427.33万元，执行数4339.62万元，预算执行率67.52%。</w:t>
      </w:r>
    </w:p>
    <w:p w14:paraId="34A15E4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FF0000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（2）预算调整率。2024年预算调整数1256.97万元，年初预算数5170.36万元，预算调整率24.31%。</w:t>
      </w:r>
    </w:p>
    <w:p w14:paraId="06A1901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_GB2312" w:cs="仿宋"/>
          <w:color w:val="FF0000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（3）公用经费控制率。2024年预算安排公用经费总额60万元，实际安排公用经费总额64.16万元，公用经费控制率106.93%，公用经费未控制在预算范围内。</w:t>
      </w:r>
    </w:p>
    <w:p w14:paraId="21EF232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（4）“三公经费”控制率。2024年“三公经费”预算安排数0.6万元，实际支出数0万元，“三公经费”控制率100%，</w:t>
      </w:r>
      <w:r>
        <w:rPr>
          <w:rFonts w:hint="eastAsia" w:hAnsi="仿宋" w:eastAsia="仿宋"/>
          <w:color w:val="auto"/>
          <w:spacing w:val="-2"/>
          <w:sz w:val="32"/>
          <w:szCs w:val="32"/>
          <w:lang w:val="en-US" w:eastAsia="zh-CN"/>
        </w:rPr>
        <w:t>主要原因是本年度无业务接待费。</w:t>
      </w:r>
    </w:p>
    <w:p w14:paraId="31F5632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（5）政府采购执行率</w:t>
      </w:r>
    </w:p>
    <w:p w14:paraId="76277BB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政府采购年初预算金额1185.11万元，实际政府采购金额1889.05万元，政府采购执行率159.4%，未控制在预算范围内，主要是根据审计要求，决算政府采购金额包括政府采购招标金额和电子卖场采购金额。</w:t>
      </w:r>
    </w:p>
    <w:p w14:paraId="1C031D0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预算管理</w:t>
      </w:r>
    </w:p>
    <w:p w14:paraId="028C9D6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" w:hAnsi="仿宋" w:eastAsia="仿宋_GB2312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（1）管理制度健全性。我单位已制定内部财务管理制度，并严格按管理办法执行。</w:t>
      </w:r>
    </w:p>
    <w:p w14:paraId="482CDB2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（2）资金使用合规性。资金的拨付有完整的审批程序和手续，预算支出的重大开支经集体决策;不存在截留、挤占、挪用、虚列支出等情况。</w:t>
      </w:r>
    </w:p>
    <w:p w14:paraId="0DF10C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（3）预决算信息公开性。按财政规定内容、规定时限完成预决算公开信息。</w:t>
      </w:r>
    </w:p>
    <w:p w14:paraId="48FC4BA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5.</w:t>
      </w:r>
      <w:r>
        <w:rPr>
          <w:rFonts w:hint="default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资产管理</w:t>
      </w:r>
    </w:p>
    <w:p w14:paraId="472C75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（1）管理制度健全性。我单位已制定《国有资产管理制度》，并严格按照制度执行。</w:t>
      </w:r>
    </w:p>
    <w:p w14:paraId="30F756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_GB2312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（2）资产管理安全性。资产保存完整、资产配置合理、资产处置规范、资产账务管理帐实相符、处置收入及时足额上缴。</w:t>
      </w:r>
    </w:p>
    <w:p w14:paraId="14379B9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6.职责履行</w:t>
      </w:r>
    </w:p>
    <w:p w14:paraId="205311E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（1）实际完成情况</w:t>
      </w:r>
    </w:p>
    <w:p w14:paraId="122C505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2024年通过车（人）道路、排水、路灯、桥梁维护以及智慧城管信息系统等现代化信息手段完成87条道路、市政排水维护429公里、</w:t>
      </w:r>
      <w:r>
        <w:rPr>
          <w:rFonts w:hint="eastAsia" w:ascii="仿宋" w:hAnsi="仿宋" w:eastAsia="仿宋" w:cs="仿宋"/>
          <w:color w:val="FF0000"/>
          <w:spacing w:val="-2"/>
          <w:sz w:val="32"/>
          <w:szCs w:val="32"/>
          <w:highlight w:val="none"/>
          <w:lang w:val="en-US" w:eastAsia="zh-CN"/>
        </w:rPr>
        <w:t>市政照明维护28047盏、市政桥梁维护48座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等日常维护工作，完成目标。具体如下：</w:t>
      </w:r>
    </w:p>
    <w:p w14:paraId="12BD6D2A">
      <w:pPr>
        <w:pStyle w:val="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一是日常维护管理方面。全年已累计完成车行道破损和坑槽修复29000平方米，人行道板破损修复8600平方米，增设无障碍坡道500处，增设人行道隔离墩（柱）3200个；清淤疏通各类排水检查井、雨水井5800座，新砌雨水井160座，更换各类排水井盖330座；维修城市照明路灯5600盏，修复路灯电缆6400米，增设中华灯投光灯660套，检修路灯控制箱85台；落实城市桥梁APP巡检制度，维修舞水三桥桥面及钢筋外漏166平方米，修复李公湾大桥、狮子岩大桥、四方田大桥、天星桥等城市桥梁麻石栏杆加固9米，维修湖天大桥护栏1260米，增设泄水孔33个，舞水二桥伸缩缝更换维修36米；办理破道手续33处，下达井盖维护、破道整改通知书72份，完成12345市长热线和智慧城管派单、网络舆情等各类派单2900余件,红网百姓呼声、问政湖南等网络舆情8起，完成率均达100%。</w:t>
      </w:r>
    </w:p>
    <w:p w14:paraId="0B4A9D4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二是专项维护任务方面。重点开展了城市车行道专项修复，城市人行道专项修复，城市桥梁改扩建工程项目，路灯专用变压器抢修和中华灯光源补强，城市防洪排涝等专项维护任务。完成了会展路、凉山路2条道路车行道沥青路面的油化改造，共铺设沥青路面6900平方米，以及湖天南路、南环路等道路口接顺12处，铺设沥青路面3900平方米；完成了《高铁片区防洪排涝改造项目》的实施，改（扩）建1.2米直径大型防洪排涝管道438米，增设1.8米直径以上大型检查井6座，以及顺天南道4道排水管网清清淤项目和怀化大道等18条排水管网清清淤项目，共清淤排水管道3680米；完成了《团结二桥和犀牛塘桥拆除重建项目》的实施，改（扩）建城市桥梁2座，以及《环城东路人大桥和顺天大桥改扩建项目》的实施，扩建桥梁面积4800平方米，以及云溪二桥等15座城市桥梁安全检测；完成了高堰路、东环路等中华灯路灯光源补强660套，抢修怀化北高速接接线和顺天南路路灯专用变压器2台；完成了环城东路、高铁片区、紫东片区、会展中心周边等人行道面积修复，修复人行路5800平方米。此外，抽调专业人员协助主管局加强中心城区车行道提质改造施工管理，完成了2024年第二期、第三期共14条道路的沥青路面车行道整体提质改造，共改造车行道总长32千米，改造沥青路面140万平方米。</w:t>
      </w:r>
    </w:p>
    <w:p w14:paraId="0BDEF6D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FF0000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三是《政府工作报告》任务情况。根据2024年度市政府《政府工作报告》任务分解，我中心抽调人员到主管局成立了工作专班，协助主管局完成了G209高堰路至鸭嘴岩三段合一工程、高新区财富西路及舞水路高新区段、天星东路、刘塘路等道路延伸工程，以及云集路断头路段、中方滨江路、舞水路中方段、锦溪南路、正清路、顺天大道等道路提质改造建设任务；协助鹤城区政府、市城发集团完成了石门市场、太平桥市场的内涝点整治工作；协助鹤城区政府、怀化国际陆港开发区完成了主次干道、高速出入口，公铁车站等城市“窗口”治理和市政设施维护和更新等工作。</w:t>
      </w:r>
    </w:p>
    <w:p w14:paraId="110559A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（2）质量完成情况</w:t>
      </w:r>
    </w:p>
    <w:p w14:paraId="1E9F5A6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绩效目标达标完成率100%，完成目标。</w:t>
      </w:r>
    </w:p>
    <w:p w14:paraId="642AFA6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（3）完成及时情况</w:t>
      </w:r>
    </w:p>
    <w:p w14:paraId="4934183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整体工作在2024年12月底之前完成，完成目标。</w:t>
      </w:r>
    </w:p>
    <w:p w14:paraId="4FCFCC8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7.履职效益情况</w:t>
      </w:r>
    </w:p>
    <w:p w14:paraId="0779F5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（1）社会效益</w:t>
      </w:r>
    </w:p>
    <w:p w14:paraId="336F794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改善城市市容形象，提升城市品味，保障城市文明出行。完成目标。</w:t>
      </w:r>
    </w:p>
    <w:p w14:paraId="2B8453F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（2）可持续影响效益</w:t>
      </w:r>
    </w:p>
    <w:p w14:paraId="6367839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持续提升市容形象、城市品味。完成目标。</w:t>
      </w:r>
    </w:p>
    <w:p w14:paraId="2EC2D9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（3）满意度</w:t>
      </w:r>
    </w:p>
    <w:p w14:paraId="57D98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人民群众满意度95%，基本完成目标。</w:t>
      </w:r>
    </w:p>
    <w:p w14:paraId="7943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九、存在的问题及原因分析</w:t>
      </w:r>
    </w:p>
    <w:p w14:paraId="7C63B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年初绩效评价指标体系不完善，绩效目标设立不够细化。</w:t>
      </w:r>
    </w:p>
    <w:p w14:paraId="4F0F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十、下一步改进措施</w:t>
      </w:r>
    </w:p>
    <w:p w14:paraId="75AD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年初预算绩效目标设立要细化、量化。在布置预算绩效管理工作时，相关负责人要督促各项目负责人从预算编制开始，做好收集、汇总项目各个阶段的痕迹资料。</w:t>
      </w:r>
    </w:p>
    <w:p w14:paraId="6A2E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十一、绩效自评结果拟应用和公开情况</w:t>
      </w:r>
    </w:p>
    <w:p w14:paraId="0261F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根据2024年本单位绩效自评结果进一步优化目标管理、改进履职效能、加强预算绩效管理等。绩效自评结果将按照怀化市财政局的要求，在相关网站予以公示。</w:t>
      </w:r>
    </w:p>
    <w:p w14:paraId="0D944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十二、其他需要说明的情况</w:t>
      </w:r>
    </w:p>
    <w:p w14:paraId="3A61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无。</w:t>
      </w:r>
    </w:p>
    <w:p w14:paraId="35CF4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</w:pPr>
    </w:p>
    <w:p w14:paraId="0B257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整体支出报告需要以下附件：</w:t>
      </w:r>
    </w:p>
    <w:p w14:paraId="28AC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1.部门整体支出绩效评价基础数据表</w:t>
      </w:r>
    </w:p>
    <w:p w14:paraId="54EE2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2.部门整体支出绩效自评表</w:t>
      </w:r>
    </w:p>
    <w:p w14:paraId="70DDF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3.项目支出绩效自评表（每个一级项目支出一张表）</w:t>
      </w:r>
    </w:p>
    <w:p w14:paraId="095B5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如有政府性基金预算、国有资本经营预算和社会保险基金预算支出，还需对应提供以下附件：</w:t>
      </w:r>
    </w:p>
    <w:p w14:paraId="55D46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政府性基金预算支出情况表</w:t>
      </w:r>
    </w:p>
    <w:p w14:paraId="48733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国有资本经营预算支出情况表</w:t>
      </w:r>
    </w:p>
    <w:p w14:paraId="2708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社会保险基金预算支出情况表</w:t>
      </w:r>
    </w:p>
    <w:p w14:paraId="3DF12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p w14:paraId="38945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p w14:paraId="3B83C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2A2017-ED21-4681-A460-C14342878D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F51785-6535-4FBE-896B-1AA1E17A76A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4AD60E7-6192-4030-9335-3A7A72C2186A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087E3191-CF14-4FB8-BD69-EE2AAF3B33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C232B40A-76D2-4AD3-B271-13AEC8C0D5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1EDE754-7BF1-44AE-88CF-7766CEB64D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603231F-441E-49E9-A078-DE9C00C5A2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FF29D878-96E4-4898-BF11-53B95E0E72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8C5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C83DA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C83DA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mJkZTgyZjQzZTk3ZTUzMWNlNWIzZDJmYjY5OGMifQ=="/>
    <w:docVar w:name="KSO_WPS_MARK_KEY" w:val="9920a277-c0c3-43b4-93d3-1636fe398e0b"/>
  </w:docVars>
  <w:rsids>
    <w:rsidRoot w:val="753C4E9B"/>
    <w:rsid w:val="001F1D2C"/>
    <w:rsid w:val="002B247F"/>
    <w:rsid w:val="003F417C"/>
    <w:rsid w:val="005A7208"/>
    <w:rsid w:val="00ED3BD8"/>
    <w:rsid w:val="01145609"/>
    <w:rsid w:val="0119677B"/>
    <w:rsid w:val="013444C1"/>
    <w:rsid w:val="014063FE"/>
    <w:rsid w:val="01B36BD0"/>
    <w:rsid w:val="01B720FB"/>
    <w:rsid w:val="01E21263"/>
    <w:rsid w:val="021E7CE1"/>
    <w:rsid w:val="02581A3B"/>
    <w:rsid w:val="02691984"/>
    <w:rsid w:val="027A76EE"/>
    <w:rsid w:val="02F94AB6"/>
    <w:rsid w:val="031E198F"/>
    <w:rsid w:val="038A3960"/>
    <w:rsid w:val="03A03184"/>
    <w:rsid w:val="03E2379C"/>
    <w:rsid w:val="048B5BE2"/>
    <w:rsid w:val="05091901"/>
    <w:rsid w:val="052027CE"/>
    <w:rsid w:val="05D84E57"/>
    <w:rsid w:val="05E95AA6"/>
    <w:rsid w:val="063858F6"/>
    <w:rsid w:val="066E30C6"/>
    <w:rsid w:val="071A4FFB"/>
    <w:rsid w:val="074958E1"/>
    <w:rsid w:val="076D15CF"/>
    <w:rsid w:val="076F3599"/>
    <w:rsid w:val="079A613C"/>
    <w:rsid w:val="07AD40C1"/>
    <w:rsid w:val="07EA2C20"/>
    <w:rsid w:val="07F615C4"/>
    <w:rsid w:val="08513C0E"/>
    <w:rsid w:val="0854453D"/>
    <w:rsid w:val="08874912"/>
    <w:rsid w:val="08AF0544"/>
    <w:rsid w:val="08C43471"/>
    <w:rsid w:val="08CE2541"/>
    <w:rsid w:val="09931095"/>
    <w:rsid w:val="09B96D4E"/>
    <w:rsid w:val="09F2225F"/>
    <w:rsid w:val="09F26430"/>
    <w:rsid w:val="0A2A19F9"/>
    <w:rsid w:val="0B7F5D75"/>
    <w:rsid w:val="0BAE0408"/>
    <w:rsid w:val="0C180A78"/>
    <w:rsid w:val="0CE265BB"/>
    <w:rsid w:val="0CED0223"/>
    <w:rsid w:val="0D276746"/>
    <w:rsid w:val="0D305579"/>
    <w:rsid w:val="0D464D9C"/>
    <w:rsid w:val="0D550956"/>
    <w:rsid w:val="0DAE46EF"/>
    <w:rsid w:val="0DD52794"/>
    <w:rsid w:val="0DFF4F4B"/>
    <w:rsid w:val="0E5C239D"/>
    <w:rsid w:val="0E7771D7"/>
    <w:rsid w:val="0E8F4521"/>
    <w:rsid w:val="0E927B6D"/>
    <w:rsid w:val="0E956870"/>
    <w:rsid w:val="0FA94FB4"/>
    <w:rsid w:val="0FFD53DA"/>
    <w:rsid w:val="10142F30"/>
    <w:rsid w:val="10C666A5"/>
    <w:rsid w:val="10F44B0F"/>
    <w:rsid w:val="11072BC3"/>
    <w:rsid w:val="1154735C"/>
    <w:rsid w:val="11673533"/>
    <w:rsid w:val="116E02D9"/>
    <w:rsid w:val="119836EC"/>
    <w:rsid w:val="1223366A"/>
    <w:rsid w:val="12617F82"/>
    <w:rsid w:val="12B207DE"/>
    <w:rsid w:val="12EA61CA"/>
    <w:rsid w:val="13050588"/>
    <w:rsid w:val="132F0080"/>
    <w:rsid w:val="13A730B3"/>
    <w:rsid w:val="13B642FE"/>
    <w:rsid w:val="13E1581F"/>
    <w:rsid w:val="143877FD"/>
    <w:rsid w:val="1457163D"/>
    <w:rsid w:val="147C416C"/>
    <w:rsid w:val="14902DA1"/>
    <w:rsid w:val="149F165C"/>
    <w:rsid w:val="150D43F1"/>
    <w:rsid w:val="15A9771A"/>
    <w:rsid w:val="16353C00"/>
    <w:rsid w:val="165C118C"/>
    <w:rsid w:val="1695644C"/>
    <w:rsid w:val="173A2DBA"/>
    <w:rsid w:val="17FCFFF6"/>
    <w:rsid w:val="185F6D12"/>
    <w:rsid w:val="18874E40"/>
    <w:rsid w:val="18C1177B"/>
    <w:rsid w:val="18C179CD"/>
    <w:rsid w:val="191A70DD"/>
    <w:rsid w:val="19882298"/>
    <w:rsid w:val="19E805B2"/>
    <w:rsid w:val="1A604FC3"/>
    <w:rsid w:val="1B2A217A"/>
    <w:rsid w:val="1B9969DF"/>
    <w:rsid w:val="1B9E5DA3"/>
    <w:rsid w:val="1C042A47"/>
    <w:rsid w:val="1C60574F"/>
    <w:rsid w:val="1C611E93"/>
    <w:rsid w:val="1CB02232"/>
    <w:rsid w:val="1CBF872E"/>
    <w:rsid w:val="1CE65C54"/>
    <w:rsid w:val="1CF57C45"/>
    <w:rsid w:val="1D0E6058"/>
    <w:rsid w:val="1D3A1AFC"/>
    <w:rsid w:val="1D5113F8"/>
    <w:rsid w:val="1DA022A7"/>
    <w:rsid w:val="1E236A34"/>
    <w:rsid w:val="1E5110F7"/>
    <w:rsid w:val="1F7C3DDD"/>
    <w:rsid w:val="206F41B2"/>
    <w:rsid w:val="207417C9"/>
    <w:rsid w:val="20A0436C"/>
    <w:rsid w:val="22196184"/>
    <w:rsid w:val="227E06DD"/>
    <w:rsid w:val="227E692E"/>
    <w:rsid w:val="229E62F1"/>
    <w:rsid w:val="22C81958"/>
    <w:rsid w:val="22D84291"/>
    <w:rsid w:val="22FE234B"/>
    <w:rsid w:val="22FF7A6F"/>
    <w:rsid w:val="23111551"/>
    <w:rsid w:val="23413B6C"/>
    <w:rsid w:val="236C49D9"/>
    <w:rsid w:val="24397179"/>
    <w:rsid w:val="244B2840"/>
    <w:rsid w:val="24747FE9"/>
    <w:rsid w:val="2483647E"/>
    <w:rsid w:val="253B28B5"/>
    <w:rsid w:val="25761B3F"/>
    <w:rsid w:val="25E22D30"/>
    <w:rsid w:val="25EE2C31"/>
    <w:rsid w:val="263C68E5"/>
    <w:rsid w:val="26BD5C77"/>
    <w:rsid w:val="270A253F"/>
    <w:rsid w:val="275B5BDE"/>
    <w:rsid w:val="277E6F02"/>
    <w:rsid w:val="27AC1848"/>
    <w:rsid w:val="27C941A8"/>
    <w:rsid w:val="28537F15"/>
    <w:rsid w:val="28636AFF"/>
    <w:rsid w:val="286D7229"/>
    <w:rsid w:val="28AC5FA3"/>
    <w:rsid w:val="28BE1833"/>
    <w:rsid w:val="29693E94"/>
    <w:rsid w:val="29990575"/>
    <w:rsid w:val="29AF73CD"/>
    <w:rsid w:val="2A783B83"/>
    <w:rsid w:val="2AE449EF"/>
    <w:rsid w:val="2AEB394A"/>
    <w:rsid w:val="2AF05EF0"/>
    <w:rsid w:val="2AF6742D"/>
    <w:rsid w:val="2B5A14DA"/>
    <w:rsid w:val="2C5F332D"/>
    <w:rsid w:val="2CBC252D"/>
    <w:rsid w:val="2D542766"/>
    <w:rsid w:val="2D614E83"/>
    <w:rsid w:val="2D8755B3"/>
    <w:rsid w:val="2D964B2C"/>
    <w:rsid w:val="2DBE0ECB"/>
    <w:rsid w:val="2DEA30CA"/>
    <w:rsid w:val="2E150147"/>
    <w:rsid w:val="2F6F7D2B"/>
    <w:rsid w:val="2F8F217B"/>
    <w:rsid w:val="30073ABF"/>
    <w:rsid w:val="303926DC"/>
    <w:rsid w:val="30450A8C"/>
    <w:rsid w:val="308B46F0"/>
    <w:rsid w:val="30A47561"/>
    <w:rsid w:val="310C3703"/>
    <w:rsid w:val="31104BF6"/>
    <w:rsid w:val="312A2265"/>
    <w:rsid w:val="313A7EC4"/>
    <w:rsid w:val="318D4498"/>
    <w:rsid w:val="3220530C"/>
    <w:rsid w:val="3240775C"/>
    <w:rsid w:val="333252F7"/>
    <w:rsid w:val="333F3E43"/>
    <w:rsid w:val="33527747"/>
    <w:rsid w:val="33AD0E22"/>
    <w:rsid w:val="34050C5E"/>
    <w:rsid w:val="3498562E"/>
    <w:rsid w:val="35026F4B"/>
    <w:rsid w:val="35243365"/>
    <w:rsid w:val="35B20971"/>
    <w:rsid w:val="35BC359E"/>
    <w:rsid w:val="35D20A58"/>
    <w:rsid w:val="35FC7E3E"/>
    <w:rsid w:val="360867E3"/>
    <w:rsid w:val="36C00E6C"/>
    <w:rsid w:val="36E8395A"/>
    <w:rsid w:val="36FC0F5D"/>
    <w:rsid w:val="374B4BD9"/>
    <w:rsid w:val="375773F8"/>
    <w:rsid w:val="378679C0"/>
    <w:rsid w:val="39365415"/>
    <w:rsid w:val="393E32BB"/>
    <w:rsid w:val="397B107A"/>
    <w:rsid w:val="39B32F0A"/>
    <w:rsid w:val="39BD78E5"/>
    <w:rsid w:val="39D8471E"/>
    <w:rsid w:val="39EB4452"/>
    <w:rsid w:val="3AC85F3C"/>
    <w:rsid w:val="3AED5FA8"/>
    <w:rsid w:val="3B111C96"/>
    <w:rsid w:val="3B2A71FC"/>
    <w:rsid w:val="3B5F40A8"/>
    <w:rsid w:val="3B7F12F6"/>
    <w:rsid w:val="3BEB0739"/>
    <w:rsid w:val="3C94492D"/>
    <w:rsid w:val="3C9708C1"/>
    <w:rsid w:val="3CA54D8C"/>
    <w:rsid w:val="3CD92C87"/>
    <w:rsid w:val="3D393726"/>
    <w:rsid w:val="3D54230E"/>
    <w:rsid w:val="3DC47494"/>
    <w:rsid w:val="3E210442"/>
    <w:rsid w:val="3E5325C6"/>
    <w:rsid w:val="3E766D3B"/>
    <w:rsid w:val="3EB70DA6"/>
    <w:rsid w:val="3EFDDE87"/>
    <w:rsid w:val="3F797DA0"/>
    <w:rsid w:val="40050825"/>
    <w:rsid w:val="400C5122"/>
    <w:rsid w:val="40300E10"/>
    <w:rsid w:val="40552625"/>
    <w:rsid w:val="4114428E"/>
    <w:rsid w:val="4142704D"/>
    <w:rsid w:val="419B2857"/>
    <w:rsid w:val="41A43864"/>
    <w:rsid w:val="41D71DA8"/>
    <w:rsid w:val="41DD28D2"/>
    <w:rsid w:val="42186000"/>
    <w:rsid w:val="422E137F"/>
    <w:rsid w:val="4242307D"/>
    <w:rsid w:val="42BA2B33"/>
    <w:rsid w:val="431022E1"/>
    <w:rsid w:val="433F136A"/>
    <w:rsid w:val="4391606A"/>
    <w:rsid w:val="43AF64F0"/>
    <w:rsid w:val="43EC504E"/>
    <w:rsid w:val="43F87E97"/>
    <w:rsid w:val="43FB34E3"/>
    <w:rsid w:val="441A7E0D"/>
    <w:rsid w:val="44DC50C3"/>
    <w:rsid w:val="45554E75"/>
    <w:rsid w:val="45800144"/>
    <w:rsid w:val="45D71D2E"/>
    <w:rsid w:val="45E87A97"/>
    <w:rsid w:val="45F16A41"/>
    <w:rsid w:val="47E744AA"/>
    <w:rsid w:val="47F03402"/>
    <w:rsid w:val="48221986"/>
    <w:rsid w:val="4832149E"/>
    <w:rsid w:val="48335942"/>
    <w:rsid w:val="48441F90"/>
    <w:rsid w:val="489108BA"/>
    <w:rsid w:val="48B061BA"/>
    <w:rsid w:val="48C90054"/>
    <w:rsid w:val="49164517"/>
    <w:rsid w:val="491F1A22"/>
    <w:rsid w:val="49975A5C"/>
    <w:rsid w:val="49F66C27"/>
    <w:rsid w:val="4A547DF1"/>
    <w:rsid w:val="4A5E47CC"/>
    <w:rsid w:val="4A82495E"/>
    <w:rsid w:val="4AE5143A"/>
    <w:rsid w:val="4B83273C"/>
    <w:rsid w:val="4BA40904"/>
    <w:rsid w:val="4C080E93"/>
    <w:rsid w:val="4C6611ED"/>
    <w:rsid w:val="4CA84651"/>
    <w:rsid w:val="4CB66B41"/>
    <w:rsid w:val="4D16313C"/>
    <w:rsid w:val="4D243AAB"/>
    <w:rsid w:val="4D2B4E39"/>
    <w:rsid w:val="4D2C0BB1"/>
    <w:rsid w:val="4D5D3BD3"/>
    <w:rsid w:val="4DC62DB4"/>
    <w:rsid w:val="4DE05162"/>
    <w:rsid w:val="4E41243B"/>
    <w:rsid w:val="4EB3158A"/>
    <w:rsid w:val="4EB7F892"/>
    <w:rsid w:val="4EE31744"/>
    <w:rsid w:val="4F440434"/>
    <w:rsid w:val="4FBA24A4"/>
    <w:rsid w:val="4FC11A85"/>
    <w:rsid w:val="4FE63299"/>
    <w:rsid w:val="50304C03"/>
    <w:rsid w:val="507408A5"/>
    <w:rsid w:val="5080549C"/>
    <w:rsid w:val="50E40BCE"/>
    <w:rsid w:val="51453FF0"/>
    <w:rsid w:val="517D19DC"/>
    <w:rsid w:val="51AC22C1"/>
    <w:rsid w:val="51DC2BA6"/>
    <w:rsid w:val="51F83758"/>
    <w:rsid w:val="520D0FB1"/>
    <w:rsid w:val="521C7446"/>
    <w:rsid w:val="52320A18"/>
    <w:rsid w:val="527C7EE5"/>
    <w:rsid w:val="529214B7"/>
    <w:rsid w:val="539574B0"/>
    <w:rsid w:val="539F20DD"/>
    <w:rsid w:val="539F3E8B"/>
    <w:rsid w:val="53A476F3"/>
    <w:rsid w:val="53D578AD"/>
    <w:rsid w:val="53F71F19"/>
    <w:rsid w:val="5458228C"/>
    <w:rsid w:val="54790B80"/>
    <w:rsid w:val="54F94081"/>
    <w:rsid w:val="552A0475"/>
    <w:rsid w:val="552C5BF2"/>
    <w:rsid w:val="55BE25C3"/>
    <w:rsid w:val="561548D9"/>
    <w:rsid w:val="56244B1C"/>
    <w:rsid w:val="56674A08"/>
    <w:rsid w:val="566D0271"/>
    <w:rsid w:val="569F23F4"/>
    <w:rsid w:val="56CA56C3"/>
    <w:rsid w:val="578D10CB"/>
    <w:rsid w:val="57B41ECF"/>
    <w:rsid w:val="57CC546B"/>
    <w:rsid w:val="57E26A3C"/>
    <w:rsid w:val="588C69A8"/>
    <w:rsid w:val="58CE6FC1"/>
    <w:rsid w:val="58D740C7"/>
    <w:rsid w:val="58ED5FEB"/>
    <w:rsid w:val="59202368"/>
    <w:rsid w:val="59723DF0"/>
    <w:rsid w:val="5A4F5EDF"/>
    <w:rsid w:val="5A5915AC"/>
    <w:rsid w:val="5ABBC979"/>
    <w:rsid w:val="5AC05F56"/>
    <w:rsid w:val="5B360EAD"/>
    <w:rsid w:val="5B6E1D39"/>
    <w:rsid w:val="5BB84934"/>
    <w:rsid w:val="5BFC7B3B"/>
    <w:rsid w:val="5C25339C"/>
    <w:rsid w:val="5C7244D9"/>
    <w:rsid w:val="5CCB7A9F"/>
    <w:rsid w:val="5D6A1E31"/>
    <w:rsid w:val="5D6B29D0"/>
    <w:rsid w:val="5DC310BE"/>
    <w:rsid w:val="5E77C7C6"/>
    <w:rsid w:val="5FA26043"/>
    <w:rsid w:val="5FFFAAE0"/>
    <w:rsid w:val="6021053E"/>
    <w:rsid w:val="615C33BC"/>
    <w:rsid w:val="61A77FF5"/>
    <w:rsid w:val="61C80A51"/>
    <w:rsid w:val="61D278D5"/>
    <w:rsid w:val="61FB0E26"/>
    <w:rsid w:val="621F43E9"/>
    <w:rsid w:val="62404A8B"/>
    <w:rsid w:val="62582A4B"/>
    <w:rsid w:val="626A1B08"/>
    <w:rsid w:val="630C2BBF"/>
    <w:rsid w:val="631D6B7A"/>
    <w:rsid w:val="638C7AC3"/>
    <w:rsid w:val="64504D2E"/>
    <w:rsid w:val="64AD2180"/>
    <w:rsid w:val="64EA6F30"/>
    <w:rsid w:val="65243757"/>
    <w:rsid w:val="65D976D1"/>
    <w:rsid w:val="65F20792"/>
    <w:rsid w:val="660E6C4E"/>
    <w:rsid w:val="66347B2F"/>
    <w:rsid w:val="666176C6"/>
    <w:rsid w:val="667FD72C"/>
    <w:rsid w:val="66C85C97"/>
    <w:rsid w:val="66E005EB"/>
    <w:rsid w:val="6773320D"/>
    <w:rsid w:val="677D5E3A"/>
    <w:rsid w:val="677E60F9"/>
    <w:rsid w:val="67AE06E9"/>
    <w:rsid w:val="67F73E3E"/>
    <w:rsid w:val="682E35D8"/>
    <w:rsid w:val="68466B73"/>
    <w:rsid w:val="6852376A"/>
    <w:rsid w:val="68AD274F"/>
    <w:rsid w:val="691E53FA"/>
    <w:rsid w:val="69733998"/>
    <w:rsid w:val="697D65C5"/>
    <w:rsid w:val="69AE677E"/>
    <w:rsid w:val="69E62F37"/>
    <w:rsid w:val="6A12486A"/>
    <w:rsid w:val="6A941A4E"/>
    <w:rsid w:val="6A9E4A45"/>
    <w:rsid w:val="6A9F1EAC"/>
    <w:rsid w:val="6AB029CA"/>
    <w:rsid w:val="6ABE64BE"/>
    <w:rsid w:val="6B4C44A1"/>
    <w:rsid w:val="6B5F16C5"/>
    <w:rsid w:val="6B656D11"/>
    <w:rsid w:val="6C3D028D"/>
    <w:rsid w:val="6C663340"/>
    <w:rsid w:val="6C9500C9"/>
    <w:rsid w:val="6C9E6F7E"/>
    <w:rsid w:val="6CA468E0"/>
    <w:rsid w:val="6CF3EA5A"/>
    <w:rsid w:val="6D8F68C7"/>
    <w:rsid w:val="6DCC18C9"/>
    <w:rsid w:val="6E245261"/>
    <w:rsid w:val="6E6506EE"/>
    <w:rsid w:val="6E6E0BD2"/>
    <w:rsid w:val="6EA463A2"/>
    <w:rsid w:val="6EF530A1"/>
    <w:rsid w:val="6F086931"/>
    <w:rsid w:val="6F0F5F11"/>
    <w:rsid w:val="6F1C5A61"/>
    <w:rsid w:val="6FAB550E"/>
    <w:rsid w:val="702E23C7"/>
    <w:rsid w:val="70B34FC2"/>
    <w:rsid w:val="712511C4"/>
    <w:rsid w:val="71436346"/>
    <w:rsid w:val="716A1F47"/>
    <w:rsid w:val="71797598"/>
    <w:rsid w:val="71E82A49"/>
    <w:rsid w:val="71E955B4"/>
    <w:rsid w:val="71EF3DD8"/>
    <w:rsid w:val="72563E57"/>
    <w:rsid w:val="72691DDC"/>
    <w:rsid w:val="728C1627"/>
    <w:rsid w:val="72C2329A"/>
    <w:rsid w:val="72DF3E4C"/>
    <w:rsid w:val="72FA2A34"/>
    <w:rsid w:val="73351CBE"/>
    <w:rsid w:val="73530456"/>
    <w:rsid w:val="735C724B"/>
    <w:rsid w:val="73774085"/>
    <w:rsid w:val="73920EBF"/>
    <w:rsid w:val="73A82490"/>
    <w:rsid w:val="73D414D7"/>
    <w:rsid w:val="74031DBD"/>
    <w:rsid w:val="74082F2F"/>
    <w:rsid w:val="743B1556"/>
    <w:rsid w:val="748A428C"/>
    <w:rsid w:val="74CE06B6"/>
    <w:rsid w:val="74E4574A"/>
    <w:rsid w:val="753C4E9B"/>
    <w:rsid w:val="756B6CAA"/>
    <w:rsid w:val="757A60AE"/>
    <w:rsid w:val="75F23E97"/>
    <w:rsid w:val="769036A0"/>
    <w:rsid w:val="769B7804"/>
    <w:rsid w:val="76B92C06"/>
    <w:rsid w:val="76C83941"/>
    <w:rsid w:val="76E23F0B"/>
    <w:rsid w:val="779FCBF0"/>
    <w:rsid w:val="77F7E21B"/>
    <w:rsid w:val="781113A7"/>
    <w:rsid w:val="782A5B6A"/>
    <w:rsid w:val="786C6182"/>
    <w:rsid w:val="789809C3"/>
    <w:rsid w:val="78A91473"/>
    <w:rsid w:val="791E6510"/>
    <w:rsid w:val="793772DB"/>
    <w:rsid w:val="793D367B"/>
    <w:rsid w:val="79703A50"/>
    <w:rsid w:val="79A656C4"/>
    <w:rsid w:val="79DF2984"/>
    <w:rsid w:val="79E2F975"/>
    <w:rsid w:val="79FE65CA"/>
    <w:rsid w:val="7A3A1A31"/>
    <w:rsid w:val="7B166879"/>
    <w:rsid w:val="7B3A4316"/>
    <w:rsid w:val="7B3BDBF2"/>
    <w:rsid w:val="7C5E2286"/>
    <w:rsid w:val="7C857813"/>
    <w:rsid w:val="7C8D4A41"/>
    <w:rsid w:val="7CBB3234"/>
    <w:rsid w:val="7CC77E2B"/>
    <w:rsid w:val="7CFB7AD5"/>
    <w:rsid w:val="7D1666BD"/>
    <w:rsid w:val="7D2C4132"/>
    <w:rsid w:val="7D480840"/>
    <w:rsid w:val="7D8C4BD1"/>
    <w:rsid w:val="7D9B3066"/>
    <w:rsid w:val="7E16235D"/>
    <w:rsid w:val="7EBC14E6"/>
    <w:rsid w:val="7EBDCBBF"/>
    <w:rsid w:val="7EC74CC1"/>
    <w:rsid w:val="7ECF746B"/>
    <w:rsid w:val="7ED700CE"/>
    <w:rsid w:val="7EE6408F"/>
    <w:rsid w:val="7F264BB1"/>
    <w:rsid w:val="7F3EB32E"/>
    <w:rsid w:val="7F5F3F3B"/>
    <w:rsid w:val="7F5FE5E8"/>
    <w:rsid w:val="7F7FC8C5"/>
    <w:rsid w:val="7FDD5BB8"/>
    <w:rsid w:val="7FFDE9AB"/>
    <w:rsid w:val="7FFEB77D"/>
    <w:rsid w:val="7FFFADA2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1"/>
    <w:basedOn w:val="2"/>
    <w:autoRedefine/>
    <w:qFormat/>
    <w:uiPriority w:val="0"/>
    <w:rPr>
      <w:rFonts w:eastAsia="黑体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1904</Words>
  <Characters>2122</Characters>
  <Lines>0</Lines>
  <Paragraphs>0</Paragraphs>
  <TotalTime>3</TotalTime>
  <ScaleCrop>false</ScaleCrop>
  <LinksUpToDate>false</LinksUpToDate>
  <CharactersWithSpaces>2140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2024-02-23T10:03:00Z</dcterms:created>
  <dc:creator>1402836399</dc:creator>
  <cp:lastModifiedBy>笔记</cp:lastModifiedBy>
  <cp:lastPrinted>2025-04-10T10:25:00Z</cp:lastPrinted>
  <dcterms:modified xsi:type="dcterms:W3CDTF">2025-06-17T11:51:29Z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2E59967559EAD85B47E0F5671AAD0169_43</vt:lpwstr>
  </property>
  <property fmtid="{D5CDD505-2E9C-101B-9397-08002B2CF9AE}" pid="4" name="KSOTemplateDocerSaveRecord">
    <vt:lpwstr>eyJoZGlkIjoiNzBhNzFmNjRiNmQyNzA3ODI2ZTY5ZGExZWQ2MmQzNDEiLCJ1c2VySWQiOiIzNDQwMDQzNTQifQ==</vt:lpwstr>
  </property>
</Properties>
</file>