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1981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33</w:t>
            </w:r>
            <w:r>
              <w:rPr>
                <w:rFonts w:hint="eastAsia" w:ascii="仿宋" w:hAnsi="仿宋" w:eastAsia="仿宋" w:cs="仿宋"/>
                <w:b w:val="0"/>
                <w:bCs w:val="0"/>
                <w:kern w:val="0"/>
                <w:sz w:val="20"/>
                <w:szCs w:val="20"/>
              </w:rPr>
              <w:t>　</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34</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103.03%</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8.28</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ind w:firstLine="400" w:firstLineChars="200"/>
              <w:jc w:val="both"/>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val="en-US" w:eastAsia="zh-CN"/>
              </w:rPr>
              <w:t>5、中央食品监管补助</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40.75</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43.55</w:t>
            </w:r>
            <w:r>
              <w:rPr>
                <w:rFonts w:hint="eastAsia" w:ascii="仿宋" w:hAnsi="仿宋" w:eastAsia="仿宋" w:cs="仿宋"/>
                <w:b w:val="0"/>
                <w:bCs w:val="0"/>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40.46</w:t>
            </w: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0.088</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0.19</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0.067</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0.067</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1B100B4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7F8628F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0EBDDCA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090CB1AB">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7F15FF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bl>
    <w:p w14:paraId="00F6D30B">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18897481138 </w:t>
      </w:r>
    </w:p>
    <w:p w14:paraId="5D0A206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1108"/>
        <w:gridCol w:w="1064"/>
        <w:gridCol w:w="982"/>
        <w:gridCol w:w="90"/>
        <w:gridCol w:w="1162"/>
        <w:gridCol w:w="1106"/>
        <w:gridCol w:w="692"/>
        <w:gridCol w:w="816"/>
        <w:gridCol w:w="1123"/>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9"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3"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_GB2312" w:hAnsi="仿宋_GB2312" w:eastAsia="仿宋_GB2312" w:cs="仿宋_GB2312"/>
                <w:color w:val="000000"/>
                <w:kern w:val="0"/>
                <w:sz w:val="20"/>
                <w:szCs w:val="20"/>
                <w:lang w:eastAsia="zh-CN"/>
              </w:rPr>
              <w:t>怀化市市场监督管理局直属二局</w:t>
            </w:r>
            <w:r>
              <w:rPr>
                <w:rFonts w:hint="eastAsia" w:ascii="仿宋" w:hAnsi="仿宋" w:eastAsia="仿宋" w:cs="仿宋"/>
                <w:color w:val="000000"/>
                <w:kern w:val="0"/>
                <w:sz w:val="20"/>
                <w:szCs w:val="20"/>
              </w:rPr>
              <w:t>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9"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82"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2"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06"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2"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3"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72"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2"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565.75</w:t>
            </w:r>
          </w:p>
        </w:tc>
        <w:tc>
          <w:tcPr>
            <w:tcW w:w="1252"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624.69</w:t>
            </w:r>
          </w:p>
        </w:tc>
        <w:tc>
          <w:tcPr>
            <w:tcW w:w="1106"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614.70</w:t>
            </w:r>
          </w:p>
        </w:tc>
        <w:tc>
          <w:tcPr>
            <w:tcW w:w="692"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98.40%</w:t>
            </w:r>
          </w:p>
        </w:tc>
        <w:tc>
          <w:tcPr>
            <w:tcW w:w="1123"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37"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614.70</w:t>
            </w:r>
          </w:p>
        </w:tc>
        <w:tc>
          <w:tcPr>
            <w:tcW w:w="3737"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609.70</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37"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37"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9"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737"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6"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7"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9"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5ECC2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持续强化食品、药品、医疗器械、化妆品、特种设备和产品质量安全监管，加强市场监管安全风险防控和隐患排查整治，坚决把事故风险隐患消除在萌芽状态；2.进一步强化消费维权工作，坚决杜绝市场监管安全事故和重大舆情事件；3.持续深化商事制度改革，依法维护公平有序的市场环境，深化“互联网+监管”改革，认真落实“双随机、一公开”监管；4.进一步加强知识产权、商标广告、反不正当竞争、价格计量等监管力度，健全公平竞争审查制度，加大反垄断和反不正当竞争执法力度，维护市场公平正义。　　</w:t>
            </w:r>
          </w:p>
        </w:tc>
        <w:tc>
          <w:tcPr>
            <w:tcW w:w="3737" w:type="dxa"/>
            <w:gridSpan w:val="4"/>
            <w:noWrap w:val="0"/>
            <w:vAlign w:val="center"/>
          </w:tcPr>
          <w:p w14:paraId="21A430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1.贯彻落实食品安全“两个责任”，聚焦药械化重点产品、重点环节、重点业态和重点区域，扎实开展特种设备安全风险隐患和产品质量监管；</w:t>
            </w:r>
          </w:p>
          <w:p w14:paraId="43FFA8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2.始终坚持人民至上，用心用情维护消费者合法权益；</w:t>
            </w:r>
          </w:p>
          <w:p w14:paraId="33CA3F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3.加强推进信用监管，落实主体强身，优化营商环境；</w:t>
            </w:r>
          </w:p>
          <w:p w14:paraId="409003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4.加强辖区广告导向监管工作，净化广告市场环境，开展违法违规整治活动。</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9"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8"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4"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2"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2"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2"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3"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9"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4"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72"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部门整体支出成本</w:t>
            </w:r>
          </w:p>
        </w:tc>
        <w:tc>
          <w:tcPr>
            <w:tcW w:w="1162"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≤624.69</w:t>
            </w:r>
          </w:p>
        </w:tc>
        <w:tc>
          <w:tcPr>
            <w:tcW w:w="1106"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614.70</w:t>
            </w:r>
          </w:p>
        </w:tc>
        <w:tc>
          <w:tcPr>
            <w:tcW w:w="692"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72"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社会成本节约率</w:t>
            </w:r>
          </w:p>
        </w:tc>
        <w:tc>
          <w:tcPr>
            <w:tcW w:w="1162"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06"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1.60%</w:t>
            </w:r>
          </w:p>
        </w:tc>
        <w:tc>
          <w:tcPr>
            <w:tcW w:w="692"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72"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生态环境成本节约率</w:t>
            </w:r>
          </w:p>
        </w:tc>
        <w:tc>
          <w:tcPr>
            <w:tcW w:w="1162"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06"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2"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部门职责内工作完成率</w:t>
            </w:r>
          </w:p>
        </w:tc>
        <w:tc>
          <w:tcPr>
            <w:tcW w:w="1162"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06"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vMerge w:val="restart"/>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经费使用合规率</w:t>
            </w:r>
          </w:p>
        </w:tc>
        <w:tc>
          <w:tcPr>
            <w:tcW w:w="1162"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1106"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ADF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9" w:type="dxa"/>
            <w:vMerge w:val="continue"/>
            <w:noWrap w:val="0"/>
            <w:vAlign w:val="center"/>
          </w:tcPr>
          <w:p w14:paraId="654AC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502254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vMerge w:val="continue"/>
            <w:noWrap w:val="0"/>
            <w:vAlign w:val="center"/>
          </w:tcPr>
          <w:p w14:paraId="6A7730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2" w:type="dxa"/>
            <w:gridSpan w:val="2"/>
            <w:noWrap w:val="0"/>
            <w:vAlign w:val="center"/>
          </w:tcPr>
          <w:p w14:paraId="4C3920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监督检查程序合规率</w:t>
            </w:r>
          </w:p>
        </w:tc>
        <w:tc>
          <w:tcPr>
            <w:tcW w:w="1162" w:type="dxa"/>
            <w:noWrap w:val="0"/>
            <w:vAlign w:val="center"/>
          </w:tcPr>
          <w:p w14:paraId="3DC7E2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1106" w:type="dxa"/>
            <w:noWrap w:val="0"/>
            <w:vAlign w:val="center"/>
          </w:tcPr>
          <w:p w14:paraId="27F00E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39ED12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1855AA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79BD58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2"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1106"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692"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9"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优化监管流程，提高监管效率，减少企业因应对监管而产生的额外成本</w:t>
            </w:r>
          </w:p>
        </w:tc>
        <w:tc>
          <w:tcPr>
            <w:tcW w:w="1162"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9"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加</w:t>
            </w:r>
            <w:r>
              <w:rPr>
                <w:rFonts w:hint="eastAsia" w:ascii="仿宋" w:hAnsi="仿宋" w:eastAsia="仿宋" w:cs="仿宋"/>
                <w:color w:val="000000"/>
                <w:kern w:val="0"/>
                <w:sz w:val="20"/>
                <w:szCs w:val="20"/>
              </w:rPr>
              <w:t>强消费者权益保护工作，及时处理消费者投诉举报，严厉打击侵害消费者权益的行为</w:t>
            </w:r>
          </w:p>
        </w:tc>
        <w:tc>
          <w:tcPr>
            <w:tcW w:w="1162"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9"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鼓励企业采用环保技术和生产方式，推动绿色产业发展，助力实现碳达峰、碳中和目标</w:t>
            </w:r>
          </w:p>
        </w:tc>
        <w:tc>
          <w:tcPr>
            <w:tcW w:w="1162"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效果一般</w:t>
            </w:r>
          </w:p>
        </w:tc>
        <w:tc>
          <w:tcPr>
            <w:tcW w:w="692"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w:t>
            </w:r>
          </w:p>
        </w:tc>
        <w:tc>
          <w:tcPr>
            <w:tcW w:w="1123"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9"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2"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建立长效监管机制，确保市场监管工作的持续性和稳定性</w:t>
            </w:r>
          </w:p>
        </w:tc>
        <w:tc>
          <w:tcPr>
            <w:tcW w:w="1162"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9"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8"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2"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消费者满意度</w:t>
            </w:r>
          </w:p>
        </w:tc>
        <w:tc>
          <w:tcPr>
            <w:tcW w:w="1162"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1106"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692"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8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1123"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1"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2"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123"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3DD7AA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18897481138 </w:t>
      </w:r>
    </w:p>
    <w:p w14:paraId="7FF7D1BE">
      <w:pPr>
        <w:rPr>
          <w:rFonts w:hint="default"/>
          <w:lang w:val="en-US" w:eastAsia="zh-CN"/>
        </w:rPr>
      </w:pPr>
      <w:r>
        <w:rPr>
          <w:rFonts w:hint="default"/>
          <w:lang w:val="en-US" w:eastAsia="zh-CN"/>
        </w:rPr>
        <w:br w:type="page"/>
      </w:r>
    </w:p>
    <w:p w14:paraId="082BD1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中央食品监管补助</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怀化市市场监督管理局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怀化市市场监督管理局直属二局</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shd w:val="clear" w:color="auto" w:fill="auto"/>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209" w:type="dxa"/>
            <w:shd w:val="clear" w:color="auto" w:fill="auto"/>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shd w:val="clear" w:color="auto" w:fill="auto"/>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中央财政</w:t>
            </w:r>
            <w:r>
              <w:rPr>
                <w:rFonts w:hint="eastAsia" w:ascii="仿宋" w:hAnsi="仿宋" w:eastAsia="仿宋" w:cs="仿宋"/>
                <w:color w:val="000000"/>
                <w:kern w:val="0"/>
                <w:sz w:val="20"/>
                <w:szCs w:val="20"/>
              </w:rPr>
              <w:t>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3D99A1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1.加强食品生产环节监管，对重点区域、重点食品建立风险清单、措施清单和责任清单。</w:t>
            </w:r>
          </w:p>
          <w:p w14:paraId="047223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2.开展食品安全监管专项行动，加大食品领域案件查办力度。                   </w:t>
            </w:r>
          </w:p>
          <w:p w14:paraId="104BC1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3.推进“两个责任”机制落实，提升辖区内食品安全监管能力。　　</w:t>
            </w:r>
          </w:p>
        </w:tc>
        <w:tc>
          <w:tcPr>
            <w:tcW w:w="4253" w:type="dxa"/>
            <w:gridSpan w:val="4"/>
            <w:noWrap w:val="0"/>
            <w:vAlign w:val="center"/>
          </w:tcPr>
          <w:p w14:paraId="72E480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1.强化日常规范监管，推进完善经营者自律体系，健全和落实食品安全监管各项制度。</w:t>
            </w:r>
          </w:p>
          <w:p w14:paraId="420369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2.聚焦重点领域、重点经营场所、重点环节持续深入开展节前市场专项整治。</w:t>
            </w:r>
          </w:p>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3.按规定开展食品安全“两个责任”日管控、周排查、月调度。</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shd w:val="clear" w:color="auto" w:fill="auto"/>
            <w:noWrap w:val="0"/>
            <w:vAlign w:val="center"/>
          </w:tcPr>
          <w:p w14:paraId="3FF80F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项目支出成本</w:t>
            </w:r>
          </w:p>
        </w:tc>
        <w:tc>
          <w:tcPr>
            <w:tcW w:w="1209" w:type="dxa"/>
            <w:shd w:val="clear" w:color="auto" w:fill="auto"/>
            <w:noWrap w:val="0"/>
            <w:vAlign w:val="center"/>
          </w:tcPr>
          <w:p w14:paraId="5D8797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0A2E37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shd w:val="clear" w:color="auto" w:fill="auto"/>
            <w:noWrap w:val="0"/>
            <w:vAlign w:val="center"/>
          </w:tcPr>
          <w:p w14:paraId="502BEA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社会成本节约率</w:t>
            </w:r>
          </w:p>
        </w:tc>
        <w:tc>
          <w:tcPr>
            <w:tcW w:w="1209" w:type="dxa"/>
            <w:shd w:val="clear" w:color="auto" w:fill="auto"/>
            <w:noWrap w:val="0"/>
            <w:vAlign w:val="center"/>
          </w:tcPr>
          <w:p w14:paraId="6EDF71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shd w:val="clear" w:color="auto" w:fill="auto"/>
            <w:noWrap w:val="0"/>
            <w:vAlign w:val="center"/>
          </w:tcPr>
          <w:p w14:paraId="6A3F15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生态环境成本节约率</w:t>
            </w:r>
          </w:p>
        </w:tc>
        <w:tc>
          <w:tcPr>
            <w:tcW w:w="1209" w:type="dxa"/>
            <w:shd w:val="clear" w:color="auto" w:fill="auto"/>
            <w:noWrap w:val="0"/>
            <w:vAlign w:val="center"/>
          </w:tcPr>
          <w:p w14:paraId="0CC801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7B20AC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食品安全监管专项行动</w:t>
            </w:r>
          </w:p>
        </w:tc>
        <w:tc>
          <w:tcPr>
            <w:tcW w:w="1209" w:type="dxa"/>
            <w:noWrap w:val="0"/>
            <w:vAlign w:val="center"/>
          </w:tcPr>
          <w:p w14:paraId="5A55B05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≥3次</w:t>
            </w:r>
          </w:p>
        </w:tc>
        <w:tc>
          <w:tcPr>
            <w:tcW w:w="1134" w:type="dxa"/>
            <w:noWrap w:val="0"/>
            <w:vAlign w:val="center"/>
          </w:tcPr>
          <w:p w14:paraId="47F9DC3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3次</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top"/>
          </w:tcPr>
          <w:p w14:paraId="109070F3">
            <w:pPr>
              <w:keepNext w:val="0"/>
              <w:keepLines w:val="0"/>
              <w:widowControl/>
              <w:suppressLineNumbers w:val="0"/>
              <w:jc w:val="left"/>
              <w:textAlignment w:val="top"/>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食品安全违法案件查处率</w:t>
            </w:r>
          </w:p>
        </w:tc>
        <w:tc>
          <w:tcPr>
            <w:tcW w:w="1209" w:type="dxa"/>
            <w:noWrap w:val="0"/>
            <w:vAlign w:val="center"/>
          </w:tcPr>
          <w:p w14:paraId="194F17A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2FCBDB7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133.33%</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shd w:val="clear" w:color="auto" w:fill="auto"/>
            <w:noWrap w:val="0"/>
            <w:vAlign w:val="center"/>
          </w:tcPr>
          <w:p w14:paraId="2FF5FC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项目</w:t>
            </w:r>
            <w:r>
              <w:rPr>
                <w:rFonts w:hint="eastAsia" w:ascii="仿宋" w:hAnsi="仿宋" w:eastAsia="仿宋" w:cs="仿宋"/>
                <w:color w:val="000000"/>
                <w:kern w:val="0"/>
                <w:sz w:val="20"/>
                <w:szCs w:val="20"/>
              </w:rPr>
              <w:t>完成时间</w:t>
            </w:r>
          </w:p>
        </w:tc>
        <w:tc>
          <w:tcPr>
            <w:tcW w:w="1209" w:type="dxa"/>
            <w:shd w:val="clear" w:color="auto" w:fill="auto"/>
            <w:noWrap w:val="0"/>
            <w:vAlign w:val="center"/>
          </w:tcPr>
          <w:p w14:paraId="0E9E79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1134" w:type="dxa"/>
            <w:shd w:val="clear" w:color="auto" w:fill="auto"/>
            <w:noWrap w:val="0"/>
            <w:vAlign w:val="center"/>
          </w:tcPr>
          <w:p w14:paraId="4DF7B5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5ADEAE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优化监管流程，提高监管效率，减少企业因应对监管而产生的额外成本</w:t>
            </w:r>
          </w:p>
        </w:tc>
        <w:tc>
          <w:tcPr>
            <w:tcW w:w="1209" w:type="dxa"/>
            <w:shd w:val="clear" w:color="auto" w:fill="auto"/>
            <w:noWrap w:val="0"/>
            <w:vAlign w:val="center"/>
          </w:tcPr>
          <w:p w14:paraId="5093FE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243479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277E1B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加</w:t>
            </w:r>
            <w:r>
              <w:rPr>
                <w:rFonts w:hint="eastAsia" w:ascii="仿宋" w:hAnsi="仿宋" w:eastAsia="仿宋" w:cs="仿宋"/>
                <w:color w:val="000000"/>
                <w:kern w:val="0"/>
                <w:sz w:val="20"/>
                <w:szCs w:val="20"/>
              </w:rPr>
              <w:t>强消费者权益保护工作，及时处理消费者投诉举报，严厉打击侵害消费者权益的行为</w:t>
            </w:r>
          </w:p>
        </w:tc>
        <w:tc>
          <w:tcPr>
            <w:tcW w:w="1209" w:type="dxa"/>
            <w:shd w:val="clear" w:color="auto" w:fill="auto"/>
            <w:noWrap w:val="0"/>
            <w:vAlign w:val="center"/>
          </w:tcPr>
          <w:p w14:paraId="359B39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75905C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097FA5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鼓励企业采用环保技术和生产方式，推动绿色产业发展，助力实现碳达峰、碳中和目标</w:t>
            </w:r>
          </w:p>
        </w:tc>
        <w:tc>
          <w:tcPr>
            <w:tcW w:w="1209" w:type="dxa"/>
            <w:shd w:val="clear" w:color="auto" w:fill="auto"/>
            <w:noWrap w:val="0"/>
            <w:vAlign w:val="center"/>
          </w:tcPr>
          <w:p w14:paraId="1F5702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77A349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效果一般</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shd w:val="clear" w:color="auto" w:fill="auto"/>
            <w:noWrap w:val="0"/>
            <w:vAlign w:val="center"/>
          </w:tcPr>
          <w:p w14:paraId="793351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建立长效监管机制，确保市场监管工作的持续性和稳定性</w:t>
            </w:r>
          </w:p>
        </w:tc>
        <w:tc>
          <w:tcPr>
            <w:tcW w:w="1209" w:type="dxa"/>
            <w:shd w:val="clear" w:color="auto" w:fill="auto"/>
            <w:noWrap w:val="0"/>
            <w:vAlign w:val="center"/>
          </w:tcPr>
          <w:p w14:paraId="064DAD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66CD10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shd w:val="clear" w:color="auto" w:fill="auto"/>
            <w:noWrap w:val="0"/>
            <w:vAlign w:val="center"/>
          </w:tcPr>
          <w:p w14:paraId="7CE7ED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消费者满意度</w:t>
            </w:r>
          </w:p>
        </w:tc>
        <w:tc>
          <w:tcPr>
            <w:tcW w:w="1209" w:type="dxa"/>
            <w:shd w:val="clear" w:color="auto" w:fill="auto"/>
            <w:noWrap w:val="0"/>
            <w:vAlign w:val="center"/>
          </w:tcPr>
          <w:p w14:paraId="458E70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1134" w:type="dxa"/>
            <w:shd w:val="clear" w:color="auto" w:fill="auto"/>
            <w:noWrap w:val="0"/>
            <w:vAlign w:val="center"/>
          </w:tcPr>
          <w:p w14:paraId="4405DE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8AA738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：18897481138</w:t>
      </w:r>
    </w:p>
    <w:p w14:paraId="490594A0">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5AB2025">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5BAED1E">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BFE4940">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F909912">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2159AEA">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73CC6FA">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C3ADA81">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953ADF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Times New Roman" w:hAnsi="Times New Roman" w:eastAsia="仿宋_GB2312" w:cs="Times New Roman"/>
          <w:snapToGrid/>
          <w:color w:val="000000"/>
          <w:kern w:val="0"/>
          <w:sz w:val="24"/>
          <w:szCs w:val="24"/>
          <w:lang w:val="en-US" w:eastAsia="zh-CN" w:bidi="ar-SA"/>
        </w:rPr>
        <w:t>4</w:t>
      </w:r>
    </w:p>
    <w:p w14:paraId="6E695107">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 xml:space="preserve">                 </w:t>
      </w:r>
    </w:p>
    <w:p w14:paraId="16A39887">
      <w:pPr>
        <w:jc w:val="center"/>
        <w:rPr>
          <w:rFonts w:hint="eastAsia" w:ascii="方正小标宋简体" w:hAnsi="Arial" w:eastAsia="方正小标宋简体" w:cs="Arial"/>
          <w:sz w:val="40"/>
          <w:szCs w:val="40"/>
        </w:rPr>
      </w:pP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18024718">
      <w:pPr>
        <w:jc w:val="center"/>
        <w:rPr>
          <w:rFonts w:ascii="仿宋_GB2312"/>
          <w:sz w:val="32"/>
          <w:szCs w:val="32"/>
        </w:rPr>
      </w:pP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7F48703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i w:val="0"/>
          <w:iCs w:val="0"/>
          <w:caps w:val="0"/>
          <w:color w:val="000000"/>
          <w:spacing w:val="0"/>
          <w:sz w:val="32"/>
          <w:szCs w:val="32"/>
          <w:shd w:val="clear" w:fill="FFFFFF"/>
          <w:lang w:eastAsia="zh-CN"/>
        </w:rPr>
        <w:t>本单位202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lang w:eastAsia="zh-CN"/>
        </w:rPr>
        <w:t>年项目支出全年预算数</w:t>
      </w:r>
      <w:r>
        <w:rPr>
          <w:rFonts w:hint="eastAsia" w:ascii="仿宋_GB2312" w:hAnsi="仿宋_GB2312" w:eastAsia="仿宋_GB2312" w:cs="仿宋_GB2312"/>
          <w:i w:val="0"/>
          <w:iCs w:val="0"/>
          <w:caps w:val="0"/>
          <w:color w:val="000000"/>
          <w:spacing w:val="0"/>
          <w:sz w:val="32"/>
          <w:szCs w:val="32"/>
          <w:shd w:val="clear" w:fill="FFFFFF"/>
          <w:lang w:val="en-US" w:eastAsia="zh-CN"/>
        </w:rPr>
        <w:t>5万元</w:t>
      </w:r>
      <w:r>
        <w:rPr>
          <w:rFonts w:hint="eastAsia" w:ascii="仿宋_GB2312" w:hAnsi="仿宋_GB2312" w:eastAsia="仿宋_GB2312" w:cs="仿宋_GB2312"/>
          <w:i w:val="0"/>
          <w:iCs w:val="0"/>
          <w:caps w:val="0"/>
          <w:color w:val="000000"/>
          <w:spacing w:val="0"/>
          <w:sz w:val="32"/>
          <w:szCs w:val="32"/>
          <w:shd w:val="clear" w:fill="FFFFFF"/>
          <w:lang w:eastAsia="zh-CN"/>
        </w:rPr>
        <w:t>，决算数</w:t>
      </w:r>
      <w:r>
        <w:rPr>
          <w:rFonts w:hint="eastAsia" w:ascii="仿宋_GB2312" w:hAnsi="仿宋_GB2312" w:eastAsia="仿宋_GB2312" w:cs="仿宋_GB2312"/>
          <w:i w:val="0"/>
          <w:iCs w:val="0"/>
          <w:caps w:val="0"/>
          <w:color w:val="000000"/>
          <w:spacing w:val="0"/>
          <w:sz w:val="32"/>
          <w:szCs w:val="32"/>
          <w:shd w:val="clear" w:fill="FFFFFF"/>
          <w:lang w:val="en-US" w:eastAsia="zh-CN"/>
        </w:rPr>
        <w:t>5万元，</w:t>
      </w:r>
      <w:r>
        <w:rPr>
          <w:rFonts w:hint="eastAsia" w:ascii="仿宋_GB2312" w:hAnsi="仿宋_GB2312" w:eastAsia="仿宋_GB2312" w:cs="仿宋_GB2312"/>
          <w:i w:val="0"/>
          <w:iCs w:val="0"/>
          <w:caps w:val="0"/>
          <w:color w:val="000000"/>
          <w:spacing w:val="0"/>
          <w:sz w:val="32"/>
          <w:szCs w:val="32"/>
          <w:shd w:val="clear" w:fill="FFFFFF"/>
          <w:lang w:eastAsia="zh-CN"/>
        </w:rPr>
        <w:t>主要为中央食品监管补助资金5万元，202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lang w:eastAsia="zh-CN"/>
        </w:rPr>
        <w:t>年12月31日前均已执行完毕。</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3B0A4F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1、准备阶段‌：成立绩效评价小组，明确职责分工，制定评价计划。</w:t>
      </w:r>
    </w:p>
    <w:p w14:paraId="6828A6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2、‌实施阶段‌：收集业务股室的绩效数据，深入了解绩效情况。</w:t>
      </w:r>
    </w:p>
    <w:p w14:paraId="496B17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3、‌分析阶段‌：对收集到的数据进行整理和分析，讨论并确定最终评价结果。</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4CCFB0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包括项目支出单位自评分数情况及分析，预算执行情况分析、资金管理情况分析、总体绩效目标完成情况分析、绩效指标完成情况分析等。对年度总体绩效目标没有完成的项目、绩效指标完成情况存在偏差的（没有完成、超额完成30%及以上），要分析原因。</w:t>
      </w:r>
    </w:p>
    <w:p w14:paraId="0418D7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（一）项目自评分数情况及分析</w:t>
      </w:r>
    </w:p>
    <w:p w14:paraId="723F6C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绩效评价（自评）分数98分。生态效益指标效果一般，没有达到效果明显的预期目标。</w:t>
      </w:r>
    </w:p>
    <w:p w14:paraId="11B901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（二）预算执行情况分析</w:t>
      </w:r>
    </w:p>
    <w:p w14:paraId="691D0E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中央食品监管补助资金5万元于2025年12月31日前全部执行完毕。</w:t>
      </w:r>
    </w:p>
    <w:p w14:paraId="32FC02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（三）资金管理情况分析</w:t>
      </w:r>
    </w:p>
    <w:p w14:paraId="4287572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1．资金分配科学性分析</w:t>
      </w:r>
    </w:p>
    <w:p w14:paraId="753465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本次资金分配依据《食品安全监管专项资金管理办法》，结合辖区食品安全风险等级、人口密度、监管任务量等因素，科学制定分配方案，资金主要用于日常监管。</w:t>
      </w:r>
    </w:p>
    <w:p w14:paraId="3B2EC5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2．资金下达及时性分析</w:t>
      </w:r>
    </w:p>
    <w:p w14:paraId="68D6E60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指标于2025年3月19日由上级财政部门下达，确保了项目启动的时效性。未出现因资金延迟影响监管任务推进的情况。</w:t>
      </w:r>
    </w:p>
    <w:p w14:paraId="27F62C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3．资金拨付合规性分析。</w:t>
      </w:r>
    </w:p>
    <w:p w14:paraId="23EE5D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资金拨付严格遵循“专款专用、逐级审批”原则；资金使用前提交预算明细，经局务会讨论批准；支付环节执行“三重一大”决策制度，大额支出通过公开比价方式实施；资金流向清晰，未发现截留、挪用或超范围支出问题。</w:t>
      </w:r>
    </w:p>
    <w:p w14:paraId="1B94D51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4．资金使用规范性分析。</w:t>
      </w:r>
    </w:p>
    <w:p w14:paraId="569B780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支出凭证完整性：所有支出均附有合规票据、合同及验收单，报销流程符合财务制度。</w:t>
      </w:r>
    </w:p>
    <w:p w14:paraId="397631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（四）总体绩效目标完成情况分析</w:t>
      </w:r>
    </w:p>
    <w:p w14:paraId="78921F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总体目标1：加强食品生产环节监管，对重点区域、重点食品建立风险清单、措施清单和责任清单。</w:t>
      </w:r>
    </w:p>
    <w:p w14:paraId="2860B5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完成情况：强化日常规范监管，推进完善经营者自律体系，健全和落实食品安全监管各项制度。</w:t>
      </w:r>
    </w:p>
    <w:p w14:paraId="5F34B6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 xml:space="preserve">总体目标2：开展食品安全监管专项行动，加大食品领域案件查办力度。                   </w:t>
      </w:r>
    </w:p>
    <w:p w14:paraId="3F4201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完成情况：聚焦重点领域、重点经营场所、重点环节持续深入开展节前市场专项整治。</w:t>
      </w:r>
    </w:p>
    <w:p w14:paraId="116F8A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总体目标3：推进“两个责任”机制落实，提升辖区内食品安全监管能力。</w:t>
      </w:r>
    </w:p>
    <w:p w14:paraId="61537BF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完成情况：按规定开展食品安全“两个责任”日管控、周排查、月调度。</w:t>
      </w:r>
    </w:p>
    <w:p w14:paraId="4A35EF4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（五）绩效指标完成情况分析</w:t>
      </w:r>
    </w:p>
    <w:p w14:paraId="7704D2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1.经济成本经济成本指标：项目支出成本，目标值≤5万元，实际完成值5万元。</w:t>
      </w:r>
    </w:p>
    <w:p w14:paraId="390C68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2.数量指标：食品安全监管专项行动，目标值≥3次，实际完成值3次。</w:t>
      </w:r>
    </w:p>
    <w:p w14:paraId="12B9E0C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3.质量指标：食品安全违法案件查处率，目标值≥90%，实际完成值133.33%。2024年处理食品相关案例立案、不予立案、移送30例，2025年处理40例，实际完成值133.33%。</w:t>
      </w:r>
    </w:p>
    <w:p w14:paraId="669460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4.时效指标：项目完成时间，目标值2025年12月31日前，实际完成值2025年12月31日前。</w:t>
      </w:r>
      <w:r>
        <w:rPr>
          <w:rFonts w:hint="eastAsia" w:ascii="Times New Roman Regular" w:hAnsi="Times New Roman Regular" w:eastAsia="仿宋_GB2312" w:cs="Times New Roman Regular"/>
          <w:color w:val="auto"/>
          <w:sz w:val="32"/>
          <w:szCs w:val="32"/>
          <w:highlight w:val="none"/>
          <w:lang w:val="en-US" w:eastAsia="zh-CN"/>
        </w:rPr>
        <w:t>　</w:t>
      </w:r>
    </w:p>
    <w:p w14:paraId="63F6CDC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四、项目自评发现的问题及整改措施</w:t>
      </w:r>
    </w:p>
    <w:p w14:paraId="155232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（一）资金管理上的问题和改进措施</w:t>
      </w:r>
    </w:p>
    <w:p w14:paraId="27AB404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资金管理上的问题：（1）预算编制不合理，缺乏科学论证，导致资金闲置或超支，影响项目执行效率。（2）资金使用透明度不足，缺乏动态跟踪。（3）重投入轻产出，未细化资金使用效益评估体系，无法优化资源配置，难以问责。</w:t>
      </w:r>
    </w:p>
    <w:p w14:paraId="0DECFC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2.改进措施：（1）强化预算科学性与动态调整。（2）建立季度预算调整机制，根据实际需求灵活调配资金。（3）细化指标，定期评估资金使用效果。</w:t>
      </w:r>
    </w:p>
    <w:p w14:paraId="6F11BC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（二）总体目标偏离情况分析、问题及改进措施（超量完成或未完成的原因分析、问题及改进措施）</w:t>
      </w:r>
    </w:p>
    <w:p w14:paraId="3EB86B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从总体目标设置和总体目标完成情况来看，基本上完成了设定的总体目标，不存在超量完成或未完成现象。</w:t>
      </w:r>
    </w:p>
    <w:p w14:paraId="43350D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为防止后续出现总体目标偏离，将进一步优化目标设定流程、建立弹性调整机制、强化实施过程监控、完善绩效评级体系。</w:t>
      </w:r>
    </w:p>
    <w:p w14:paraId="69C528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五、项目自评工作建议及预算安排建议</w:t>
      </w:r>
    </w:p>
    <w:p w14:paraId="174001F4">
      <w:pPr>
        <w:pStyle w:val="2"/>
        <w:ind w:firstLine="620" w:firstLineChars="200"/>
        <w:rPr>
          <w:rFonts w:hint="eastAsia"/>
          <w:lang w:val="en-US" w:eastAsia="zh-CN"/>
        </w:rPr>
      </w:pPr>
      <w:r>
        <w:rPr>
          <w:rFonts w:hint="eastAsia"/>
          <w:lang w:val="en-US" w:eastAsia="zh-CN"/>
        </w:rPr>
        <w:t>无</w:t>
      </w:r>
    </w:p>
    <w:p w14:paraId="32F857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000C5613">
      <w:pPr>
        <w:pStyle w:val="2"/>
        <w:ind w:firstLine="620" w:firstLineChars="200"/>
        <w:rPr>
          <w:rFonts w:hint="eastAsia"/>
          <w:lang w:val="en-US" w:eastAsia="zh-CN"/>
        </w:rPr>
      </w:pPr>
      <w:r>
        <w:rPr>
          <w:rFonts w:hint="eastAsia"/>
          <w:lang w:val="en-US" w:eastAsia="zh-CN"/>
        </w:rPr>
        <w:t>无</w:t>
      </w:r>
    </w:p>
    <w:p w14:paraId="30FF3C0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D76F84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1382EA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186B26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5AD0A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2025年度怀化市市场监督管理局直属二局</w:t>
      </w:r>
    </w:p>
    <w:p w14:paraId="0790C8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3EB9AE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单位名称（盖章）：怀化市市场监督管理局直属二局</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CC7027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（一）部门（单位）基本情况。</w:t>
      </w:r>
    </w:p>
    <w:p w14:paraId="2480A5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怀化市市场监督管理局直属二局是怀化市市场监督管理局的派出机构，主管市场监督管理和行政执法工作。单位内设办公室、信用监管股、登记注册股、特种设备安全监管股、价格监督检查和反不正当竞争股、药械化监管股、食品安全监督管理股和河西市场监管所（消费者权益保护股）共8个股、室、所。</w:t>
      </w:r>
    </w:p>
    <w:p w14:paraId="0BA5D2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主要职能职责为：</w:t>
      </w:r>
    </w:p>
    <w:p w14:paraId="426F61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1.负责分局辖区市场监督管理和行政执法的有关工作。</w:t>
      </w:r>
    </w:p>
    <w:p w14:paraId="37D276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2.负责分局辖区各类企业、农民专业合作社和从事经营活动的单位、个人等市场主体的登记注册并监督管理，承担依法查处取缔无照经营的责任。</w:t>
      </w:r>
    </w:p>
    <w:p w14:paraId="6F325E8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3.承担依法规范和维护各类市场经营秩序的责任，负责监督管理市场交易行为和网络商品交易及有关服务的行为。</w:t>
      </w:r>
    </w:p>
    <w:p w14:paraId="3D43D9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4.承担监督管理流通领域商品质量的责任，组织开展有关服务领域消费维权工作，按分工查处假冒伪劣等违法行为，指导消费者咨询、申诉、举报受理处理和网络体系建设等工作，保护经营者、消费者合法权益。</w:t>
      </w:r>
    </w:p>
    <w:p w14:paraId="7653F7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5.承担查处违法直销和传销案件的责任，依法监督管理直销企业和直销员及其直销活动。</w:t>
      </w:r>
    </w:p>
    <w:p w14:paraId="4786DA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6.依法查处不正当竞争、商业贿赂、走私贩私等经济违法行为。 </w:t>
      </w:r>
    </w:p>
    <w:p w14:paraId="400B227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7.负责依法监督管理经纪人、经纪机构及经纪活动。</w:t>
      </w:r>
    </w:p>
    <w:p w14:paraId="11232FF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8.依法实施合同行政监督管理，负责管理股权出质登记、动产抵押物登记，组织监督管理拍卖行为，负责依法查处合同欺诈等违法行为。     </w:t>
      </w:r>
    </w:p>
    <w:p w14:paraId="517E50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9.指导分局辖区广告业发展，负责广告活动的监督管理工作。</w:t>
      </w:r>
    </w:p>
    <w:p w14:paraId="75B769B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10.负责商标监督管理工作，依法保护商标专用权和查处商标侵权行为，协调处理商标争议事宜，加强中国驰名商标、省著名商标的保护工作。负责特殊标志、官方标志的保护。</w:t>
      </w:r>
    </w:p>
    <w:p w14:paraId="34157D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11.组织指导企业、个体工商户、商品交易市场信用分类管理，研究分析并依法发布市场主体登记注册基础信息，为政府决策和社会公众提供相关信息服务。</w:t>
      </w:r>
    </w:p>
    <w:p w14:paraId="0A702A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12.负责个体工商户、私营企业经营行为的服务和监督管理。</w:t>
      </w:r>
    </w:p>
    <w:p w14:paraId="23FCBD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13.承办市局及经开区管委会交办的其他事项。</w:t>
      </w:r>
    </w:p>
    <w:p w14:paraId="42FF960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（二）部门（单位）整体支出规模、使用方向和主要内容、涉及范围等。</w:t>
      </w:r>
    </w:p>
    <w:p w14:paraId="3BBBE4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仿宋"/>
          <w:kern w:val="2"/>
          <w:sz w:val="32"/>
          <w:szCs w:val="32"/>
          <w:lang w:val="en-US" w:eastAsia="zh-CN" w:bidi="ar-SA"/>
        </w:rPr>
      </w:pPr>
      <w:r>
        <w:rPr>
          <w:rFonts w:hint="eastAsia" w:ascii="仿宋_GB2312" w:hAnsi="仿宋_GB2312" w:eastAsia="仿宋_GB2312" w:cs="仿宋_GB2312"/>
          <w:i w:val="0"/>
          <w:iCs w:val="0"/>
          <w:caps w:val="0"/>
          <w:color w:val="000000"/>
          <w:spacing w:val="0"/>
          <w:sz w:val="32"/>
          <w:szCs w:val="32"/>
          <w:shd w:val="clear" w:fill="FFFFFF"/>
          <w:lang w:val="en-US" w:eastAsia="zh-CN"/>
        </w:rPr>
        <w:t>2025年本部门整体支出614.70万元，基本支出609.70万元，项目支出5万元。其中工资福利支出536.62万元，商品和服务支出45.46万元，对个人和家庭的补助32.62万元。</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（一）基本支出</w:t>
      </w:r>
    </w:p>
    <w:p w14:paraId="5EB7ED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年本单位基本支出</w:t>
      </w:r>
      <w:r>
        <w:rPr>
          <w:rFonts w:hint="eastAsia" w:ascii="仿宋_GB2312" w:hAnsi="仿宋_GB2312" w:eastAsia="仿宋_GB2312" w:cs="仿宋_GB2312"/>
          <w:i w:val="0"/>
          <w:iCs w:val="0"/>
          <w:caps w:val="0"/>
          <w:color w:val="000000"/>
          <w:spacing w:val="0"/>
          <w:sz w:val="32"/>
          <w:szCs w:val="32"/>
          <w:shd w:val="clear" w:fill="FFFFFF"/>
          <w:lang w:val="en-US" w:eastAsia="zh-CN"/>
        </w:rPr>
        <w:t>536.62</w:t>
      </w:r>
      <w:r>
        <w:rPr>
          <w:rFonts w:hint="default" w:ascii="仿宋_GB2312" w:hAnsi="仿宋_GB2312" w:eastAsia="仿宋_GB2312" w:cs="仿宋_GB2312"/>
          <w:i w:val="0"/>
          <w:iCs w:val="0"/>
          <w:caps w:val="0"/>
          <w:color w:val="000000"/>
          <w:spacing w:val="0"/>
          <w:sz w:val="32"/>
          <w:szCs w:val="32"/>
          <w:shd w:val="clear" w:fill="FFFFFF"/>
          <w:lang w:val="en-US" w:eastAsia="zh-CN"/>
        </w:rPr>
        <w:t>万元。其中人员经费支出</w:t>
      </w:r>
      <w:r>
        <w:rPr>
          <w:rFonts w:hint="eastAsia" w:ascii="仿宋_GB2312" w:hAnsi="仿宋_GB2312" w:eastAsia="仿宋_GB2312" w:cs="仿宋_GB2312"/>
          <w:i w:val="0"/>
          <w:iCs w:val="0"/>
          <w:caps w:val="0"/>
          <w:color w:val="000000"/>
          <w:spacing w:val="0"/>
          <w:sz w:val="32"/>
          <w:szCs w:val="32"/>
          <w:shd w:val="clear" w:fill="FFFFFF"/>
          <w:lang w:val="en-US" w:eastAsia="zh-CN"/>
        </w:rPr>
        <w:t>569.24</w:t>
      </w:r>
      <w:r>
        <w:rPr>
          <w:rFonts w:hint="default" w:ascii="仿宋_GB2312" w:hAnsi="仿宋_GB2312" w:eastAsia="仿宋_GB2312" w:cs="仿宋_GB2312"/>
          <w:i w:val="0"/>
          <w:iCs w:val="0"/>
          <w:caps w:val="0"/>
          <w:color w:val="000000"/>
          <w:spacing w:val="0"/>
          <w:sz w:val="32"/>
          <w:szCs w:val="32"/>
          <w:shd w:val="clear" w:fill="FFFFFF"/>
          <w:lang w:val="en-US" w:eastAsia="zh-CN"/>
        </w:rPr>
        <w:t>万元，主要用于保障单位人员工资及社会保障交费、离退休费及单位职工住房公积金等开支；日常公用经费支出</w:t>
      </w:r>
      <w:r>
        <w:rPr>
          <w:rFonts w:hint="eastAsia" w:ascii="仿宋_GB2312" w:hAnsi="仿宋_GB2312" w:eastAsia="仿宋_GB2312" w:cs="仿宋_GB2312"/>
          <w:i w:val="0"/>
          <w:iCs w:val="0"/>
          <w:caps w:val="0"/>
          <w:color w:val="000000"/>
          <w:spacing w:val="0"/>
          <w:sz w:val="32"/>
          <w:szCs w:val="32"/>
          <w:shd w:val="clear" w:fill="FFFFFF"/>
          <w:lang w:val="en-US" w:eastAsia="zh-CN"/>
        </w:rPr>
        <w:t>40.46</w:t>
      </w:r>
      <w:r>
        <w:rPr>
          <w:rFonts w:hint="default" w:ascii="仿宋_GB2312" w:hAnsi="仿宋_GB2312" w:eastAsia="仿宋_GB2312" w:cs="仿宋_GB2312"/>
          <w:i w:val="0"/>
          <w:iCs w:val="0"/>
          <w:caps w:val="0"/>
          <w:color w:val="000000"/>
          <w:spacing w:val="0"/>
          <w:sz w:val="32"/>
          <w:szCs w:val="32"/>
          <w:shd w:val="clear" w:fill="FFFFFF"/>
          <w:lang w:val="en-US" w:eastAsia="zh-CN"/>
        </w:rPr>
        <w:t>万元，主要用于保障日常工作开展。202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年本单位无“三公”经费预算及支出。</w:t>
      </w:r>
    </w:p>
    <w:p w14:paraId="6763862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1、项目资金（包括财政资金、自筹资金等）安排落实、总投入等情况分析。</w:t>
      </w:r>
    </w:p>
    <w:p w14:paraId="29D5E4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本单位202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年项目支出共计</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万元，为中央食品监管补助资金5万元，</w:t>
      </w:r>
      <w:r>
        <w:rPr>
          <w:rFonts w:hint="eastAsia" w:ascii="仿宋_GB2312" w:hAnsi="仿宋_GB2312" w:eastAsia="仿宋_GB2312" w:cs="仿宋_GB2312"/>
          <w:i w:val="0"/>
          <w:iCs w:val="0"/>
          <w:caps w:val="0"/>
          <w:color w:val="000000"/>
          <w:spacing w:val="0"/>
          <w:sz w:val="32"/>
          <w:szCs w:val="32"/>
          <w:shd w:val="clear" w:fill="FFFFFF"/>
          <w:lang w:val="en-US" w:eastAsia="zh-CN"/>
        </w:rPr>
        <w:t>资金</w:t>
      </w:r>
      <w:r>
        <w:rPr>
          <w:rFonts w:hint="default" w:ascii="仿宋_GB2312" w:hAnsi="仿宋_GB2312" w:eastAsia="仿宋_GB2312" w:cs="仿宋_GB2312"/>
          <w:i w:val="0"/>
          <w:iCs w:val="0"/>
          <w:caps w:val="0"/>
          <w:color w:val="000000"/>
          <w:spacing w:val="0"/>
          <w:sz w:val="32"/>
          <w:szCs w:val="32"/>
          <w:shd w:val="clear" w:fill="FFFFFF"/>
          <w:lang w:val="en-US" w:eastAsia="zh-CN"/>
        </w:rPr>
        <w:t>及时安排落实。</w:t>
      </w:r>
    </w:p>
    <w:p w14:paraId="1F94C08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2、项目资金（主要指财政资金）实际使用情况分析。</w:t>
      </w:r>
    </w:p>
    <w:p w14:paraId="367739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依据《食品安全监管专项资金管理办法》，结合辖区食品安全风险等级、人口密度、监管任务量等因素，科学制定分配方案，资金主要用于日常监管。其中，用于办公费3.08万，用于印刷费0.5万元，用于其他商品和服务支出1.42万元，主要用于食品档案整理。</w:t>
      </w:r>
    </w:p>
    <w:p w14:paraId="1D04E3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3、项目资金管理情况分析，主要包括管理制度、办法的制订及执行情况。</w:t>
      </w:r>
    </w:p>
    <w:p w14:paraId="25628D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在项目资金管理方面，</w:t>
      </w:r>
      <w:r>
        <w:rPr>
          <w:rFonts w:hint="default" w:ascii="仿宋_GB2312" w:hAnsi="仿宋_GB2312" w:eastAsia="仿宋_GB2312" w:cs="仿宋_GB2312"/>
          <w:i w:val="0"/>
          <w:iCs w:val="0"/>
          <w:caps w:val="0"/>
          <w:color w:val="000000"/>
          <w:spacing w:val="0"/>
          <w:sz w:val="32"/>
          <w:szCs w:val="32"/>
          <w:shd w:val="clear" w:fill="FFFFFF"/>
          <w:lang w:val="en-US" w:eastAsia="zh-CN"/>
        </w:rPr>
        <w:t>根据国家财经法规和财务管理制度规定以及有关专项资金管理办法的规定，以部门绩效评价为资金分配的依据，建立了</w:t>
      </w:r>
      <w:r>
        <w:rPr>
          <w:rFonts w:hint="eastAsia" w:ascii="仿宋_GB2312" w:hAnsi="仿宋_GB2312" w:eastAsia="仿宋_GB2312" w:cs="仿宋_GB2312"/>
          <w:i w:val="0"/>
          <w:iCs w:val="0"/>
          <w:caps w:val="0"/>
          <w:color w:val="000000"/>
          <w:spacing w:val="0"/>
          <w:sz w:val="32"/>
          <w:szCs w:val="32"/>
          <w:shd w:val="clear" w:fill="FFFFFF"/>
          <w:lang w:val="en-US" w:eastAsia="zh-CN"/>
        </w:rPr>
        <w:t>财</w:t>
      </w:r>
      <w:r>
        <w:rPr>
          <w:rFonts w:hint="default" w:ascii="仿宋_GB2312" w:hAnsi="仿宋_GB2312" w:eastAsia="仿宋_GB2312" w:cs="仿宋_GB2312"/>
          <w:i w:val="0"/>
          <w:iCs w:val="0"/>
          <w:caps w:val="0"/>
          <w:color w:val="000000"/>
          <w:spacing w:val="0"/>
          <w:sz w:val="32"/>
          <w:szCs w:val="32"/>
          <w:shd w:val="clear" w:fill="FFFFFF"/>
          <w:lang w:val="en-US" w:eastAsia="zh-CN"/>
        </w:rPr>
        <w:t>务管理制度和经费开支审批管理办法，严格制度的执行，严格支出审批报销程序，做到了无虚列套取</w:t>
      </w:r>
      <w:r>
        <w:rPr>
          <w:rFonts w:hint="eastAsia" w:ascii="仿宋_GB2312" w:hAnsi="仿宋_GB2312" w:eastAsia="仿宋_GB2312" w:cs="仿宋_GB2312"/>
          <w:i w:val="0"/>
          <w:iCs w:val="0"/>
          <w:caps w:val="0"/>
          <w:color w:val="000000"/>
          <w:spacing w:val="0"/>
          <w:sz w:val="32"/>
          <w:szCs w:val="32"/>
          <w:shd w:val="clear" w:fill="FFFFFF"/>
          <w:lang w:val="en-US" w:eastAsia="zh-CN"/>
        </w:rPr>
        <w:t>，</w:t>
      </w:r>
      <w:r>
        <w:rPr>
          <w:rFonts w:hint="default" w:ascii="仿宋_GB2312" w:hAnsi="仿宋_GB2312" w:eastAsia="仿宋_GB2312" w:cs="仿宋_GB2312"/>
          <w:i w:val="0"/>
          <w:iCs w:val="0"/>
          <w:caps w:val="0"/>
          <w:color w:val="000000"/>
          <w:spacing w:val="0"/>
          <w:sz w:val="32"/>
          <w:szCs w:val="32"/>
          <w:shd w:val="clear" w:fill="FFFFFF"/>
          <w:lang w:val="en-US" w:eastAsia="zh-CN"/>
        </w:rPr>
        <w:t>无截留、挤占、挪用，无开支超预算或超标准等情况。资金拨付严格遵循“专款专用、逐级审批”原则；资金使用前提交预算明细，经局务会讨论批准；支付环节执行“三重一大”决策制度，大额支出通过公开比价方式实施；资金流向清晰，未发现截留、挪用或超范围支出问题。</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（一）项目组织情况分析，主要包括项目招投标、调整、竣工验收等情况。</w:t>
      </w:r>
    </w:p>
    <w:p w14:paraId="7433EC7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中央食品监管补助资金的</w:t>
      </w:r>
      <w:r>
        <w:rPr>
          <w:rFonts w:hint="default" w:ascii="仿宋_GB2312" w:hAnsi="仿宋_GB2312" w:eastAsia="仿宋_GB2312" w:cs="仿宋_GB2312"/>
          <w:i w:val="0"/>
          <w:iCs w:val="0"/>
          <w:caps w:val="0"/>
          <w:color w:val="000000"/>
          <w:spacing w:val="0"/>
          <w:sz w:val="32"/>
          <w:szCs w:val="32"/>
          <w:shd w:val="clear" w:fill="FFFFFF"/>
          <w:lang w:val="en-US" w:eastAsia="zh-CN"/>
        </w:rPr>
        <w:t>大额支出通过公开比价方式实施</w:t>
      </w:r>
      <w:r>
        <w:rPr>
          <w:rFonts w:hint="eastAsia" w:ascii="仿宋_GB2312" w:hAnsi="仿宋_GB2312" w:eastAsia="仿宋_GB2312" w:cs="仿宋_GB2312"/>
          <w:i w:val="0"/>
          <w:iCs w:val="0"/>
          <w:caps w:val="0"/>
          <w:color w:val="000000"/>
          <w:spacing w:val="0"/>
          <w:sz w:val="32"/>
          <w:szCs w:val="32"/>
          <w:shd w:val="clear" w:fill="FFFFFF"/>
          <w:lang w:val="en-US" w:eastAsia="zh-CN"/>
        </w:rPr>
        <w:t>。</w:t>
      </w:r>
    </w:p>
    <w:p w14:paraId="4E7AED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（二）项目管理情况分析，主要包括项目管理制度建设、日常检查监督管理等情况。</w:t>
      </w:r>
    </w:p>
    <w:p w14:paraId="28E02F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制度建设：依据项目目标，搭建涵盖项目立项、执行、验收全周期的管理制度体系，确保制度具有可操作性与权威性，并定期评估修订，适应业务发展需求。</w:t>
      </w:r>
    </w:p>
    <w:p w14:paraId="54CB4E1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检查监督：建立常态化检查机制，对照制度标准核查项目执行情况，重点监督关键环节与风险点；发现问题即时记录反馈，</w:t>
      </w:r>
      <w:r>
        <w:rPr>
          <w:rFonts w:hint="eastAsia" w:ascii="仿宋_GB2312" w:hAnsi="仿宋_GB2312" w:eastAsia="仿宋_GB2312" w:cs="仿宋_GB2312"/>
          <w:i w:val="0"/>
          <w:iCs w:val="0"/>
          <w:caps w:val="0"/>
          <w:color w:val="000000"/>
          <w:spacing w:val="0"/>
          <w:sz w:val="32"/>
          <w:szCs w:val="32"/>
          <w:shd w:val="clear" w:fill="FFFFFF"/>
          <w:lang w:val="en-US" w:eastAsia="zh-CN"/>
        </w:rPr>
        <w:t>及时整改</w:t>
      </w:r>
      <w:r>
        <w:rPr>
          <w:rFonts w:hint="default" w:ascii="仿宋_GB2312" w:hAnsi="仿宋_GB2312" w:eastAsia="仿宋_GB2312" w:cs="仿宋_GB2312"/>
          <w:i w:val="0"/>
          <w:iCs w:val="0"/>
          <w:caps w:val="0"/>
          <w:color w:val="000000"/>
          <w:spacing w:val="0"/>
          <w:sz w:val="32"/>
          <w:szCs w:val="32"/>
          <w:shd w:val="clear" w:fill="FFFFFF"/>
          <w:lang w:val="en-US" w:eastAsia="zh-CN"/>
        </w:rPr>
        <w:t>。</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B4E47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制度建设：依据相关法规及部门实际，制定覆盖资产配置、使用、清查、处置全周期的管理制度，明确各岗位职责、审批权限及操作规范。</w:t>
      </w:r>
    </w:p>
    <w:p w14:paraId="6538AE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管理措施：实施资产台账动态管理，运用信息化系统实时记录资产增减变动；定期开展资产盘点清查，核对账实差异并及时处理；强化日常维护监管，明确资产使用责任人，保障资产安全完整。</w:t>
      </w:r>
    </w:p>
    <w:p w14:paraId="3B26A2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配置处置程序：资产配置遵循</w:t>
      </w:r>
      <w:r>
        <w:rPr>
          <w:rFonts w:hint="eastAsia" w:ascii="仿宋_GB2312" w:hAnsi="仿宋_GB2312" w:eastAsia="仿宋_GB2312" w:cs="仿宋_GB2312"/>
          <w:i w:val="0"/>
          <w:iCs w:val="0"/>
          <w:caps w:val="0"/>
          <w:color w:val="000000"/>
          <w:spacing w:val="0"/>
          <w:sz w:val="32"/>
          <w:szCs w:val="32"/>
          <w:shd w:val="clear" w:fill="FFFFFF"/>
          <w:lang w:val="en-US" w:eastAsia="zh-CN"/>
        </w:rPr>
        <w:t>财政要求</w:t>
      </w:r>
      <w:r>
        <w:rPr>
          <w:rFonts w:hint="default" w:ascii="仿宋_GB2312" w:hAnsi="仿宋_GB2312" w:eastAsia="仿宋_GB2312" w:cs="仿宋_GB2312"/>
          <w:i w:val="0"/>
          <w:iCs w:val="0"/>
          <w:caps w:val="0"/>
          <w:color w:val="000000"/>
          <w:spacing w:val="0"/>
          <w:sz w:val="32"/>
          <w:szCs w:val="32"/>
          <w:shd w:val="clear" w:fill="FFFFFF"/>
          <w:lang w:val="en-US" w:eastAsia="zh-CN"/>
        </w:rPr>
        <w:t>，结合部门需求与预算统筹安排；资产处置</w:t>
      </w:r>
      <w:r>
        <w:rPr>
          <w:rFonts w:hint="eastAsia" w:ascii="仿宋_GB2312" w:hAnsi="仿宋_GB2312" w:eastAsia="仿宋_GB2312" w:cs="仿宋_GB2312"/>
          <w:i w:val="0"/>
          <w:iCs w:val="0"/>
          <w:caps w:val="0"/>
          <w:color w:val="000000"/>
          <w:spacing w:val="0"/>
          <w:sz w:val="32"/>
          <w:szCs w:val="32"/>
          <w:shd w:val="clear" w:fill="FFFFFF"/>
          <w:lang w:val="en-US" w:eastAsia="zh-CN"/>
        </w:rPr>
        <w:t>严格</w:t>
      </w:r>
      <w:r>
        <w:rPr>
          <w:rFonts w:hint="default" w:ascii="仿宋_GB2312" w:hAnsi="仿宋_GB2312" w:eastAsia="仿宋_GB2312" w:cs="仿宋_GB2312"/>
          <w:i w:val="0"/>
          <w:iCs w:val="0"/>
          <w:caps w:val="0"/>
          <w:color w:val="000000"/>
          <w:spacing w:val="0"/>
          <w:sz w:val="32"/>
          <w:szCs w:val="32"/>
          <w:shd w:val="clear" w:fill="FFFFFF"/>
          <w:lang w:val="en-US" w:eastAsia="zh-CN"/>
        </w:rPr>
        <w:t>履行</w:t>
      </w:r>
      <w:r>
        <w:rPr>
          <w:rFonts w:hint="eastAsia" w:ascii="仿宋_GB2312" w:hAnsi="仿宋_GB2312" w:eastAsia="仿宋_GB2312" w:cs="仿宋_GB2312"/>
          <w:i w:val="0"/>
          <w:iCs w:val="0"/>
          <w:caps w:val="0"/>
          <w:color w:val="000000"/>
          <w:spacing w:val="0"/>
          <w:sz w:val="32"/>
          <w:szCs w:val="32"/>
          <w:shd w:val="clear" w:fill="FFFFFF"/>
          <w:lang w:val="en-US" w:eastAsia="zh-CN"/>
        </w:rPr>
        <w:t>处置</w:t>
      </w:r>
      <w:r>
        <w:rPr>
          <w:rFonts w:hint="default" w:ascii="仿宋_GB2312" w:hAnsi="仿宋_GB2312" w:eastAsia="仿宋_GB2312" w:cs="仿宋_GB2312"/>
          <w:i w:val="0"/>
          <w:iCs w:val="0"/>
          <w:caps w:val="0"/>
          <w:color w:val="000000"/>
          <w:spacing w:val="0"/>
          <w:sz w:val="32"/>
          <w:szCs w:val="32"/>
          <w:shd w:val="clear" w:fill="FFFFFF"/>
          <w:lang w:val="en-US" w:eastAsia="zh-CN"/>
        </w:rPr>
        <w:t>程序，确保处置过程合规透明，处置收益及时上缴。</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594C28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30A68D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44D30C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28E06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本单位2025年年度总体目标为：</w:t>
      </w:r>
      <w:r>
        <w:rPr>
          <w:rFonts w:hint="default" w:ascii="仿宋_GB2312" w:hAnsi="仿宋_GB2312" w:eastAsia="仿宋_GB2312" w:cs="仿宋_GB2312"/>
          <w:i w:val="0"/>
          <w:iCs w:val="0"/>
          <w:caps w:val="0"/>
          <w:color w:val="000000"/>
          <w:spacing w:val="0"/>
          <w:sz w:val="32"/>
          <w:szCs w:val="32"/>
          <w:shd w:val="clear" w:fill="FFFFFF"/>
          <w:lang w:val="en-US" w:eastAsia="zh-CN"/>
        </w:rPr>
        <w:t>1.持续强化食品、药品、医疗器械、化妆品、特种设备和产品质量安全监管，加强市场监管安全风险防控和隐患排查整治，坚决把事故风险隐患消除在萌芽状态；2.进一步强化消费维权工作，坚决杜绝市场监管安全事故和重大舆情事件；3.持续深化商事制度改革，依法维护公平有序的市场环境，深化“互联网+监管”改革，认真落实“双随机、一公开”监管；4.进一步加强知识产权、商标广告、反不正当竞争、价格计量等监管力度，健全公平竞争审查制度，加大反垄断和反不正当竞争执法力度，维护市场公平正义。</w:t>
      </w:r>
    </w:p>
    <w:p w14:paraId="624832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围绕整体绩效目标及预算配置，本单位以部门绩效评价为资金分配的依据，建立了财务管理制度和经费开支审批管理办法。</w:t>
      </w:r>
    </w:p>
    <w:p w14:paraId="450582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在运行成本方面，本单位年初预算数为</w:t>
      </w:r>
      <w:r>
        <w:rPr>
          <w:rFonts w:hint="eastAsia" w:ascii="仿宋_GB2312" w:hAnsi="仿宋_GB2312" w:eastAsia="仿宋_GB2312" w:cs="仿宋_GB2312"/>
          <w:i w:val="0"/>
          <w:iCs w:val="0"/>
          <w:caps w:val="0"/>
          <w:color w:val="000000"/>
          <w:spacing w:val="0"/>
          <w:sz w:val="32"/>
          <w:szCs w:val="32"/>
          <w:shd w:val="clear" w:fill="FFFFFF"/>
          <w:lang w:val="en-US" w:eastAsia="zh-CN"/>
        </w:rPr>
        <w:t>565.75</w:t>
      </w:r>
      <w:r>
        <w:rPr>
          <w:rFonts w:hint="default" w:ascii="仿宋_GB2312" w:hAnsi="仿宋_GB2312" w:eastAsia="仿宋_GB2312" w:cs="仿宋_GB2312"/>
          <w:i w:val="0"/>
          <w:iCs w:val="0"/>
          <w:caps w:val="0"/>
          <w:color w:val="000000"/>
          <w:spacing w:val="0"/>
          <w:sz w:val="32"/>
          <w:szCs w:val="32"/>
          <w:shd w:val="clear" w:fill="FFFFFF"/>
          <w:lang w:val="en-US" w:eastAsia="zh-CN"/>
        </w:rPr>
        <w:t>万元，全年预算数为</w:t>
      </w:r>
      <w:r>
        <w:rPr>
          <w:rFonts w:hint="eastAsia" w:ascii="仿宋_GB2312" w:hAnsi="仿宋_GB2312" w:eastAsia="仿宋_GB2312" w:cs="仿宋_GB2312"/>
          <w:i w:val="0"/>
          <w:iCs w:val="0"/>
          <w:caps w:val="0"/>
          <w:color w:val="000000"/>
          <w:spacing w:val="0"/>
          <w:sz w:val="32"/>
          <w:szCs w:val="32"/>
          <w:shd w:val="clear" w:fill="FFFFFF"/>
          <w:lang w:val="en-US" w:eastAsia="zh-CN"/>
        </w:rPr>
        <w:t>624.69</w:t>
      </w:r>
      <w:r>
        <w:rPr>
          <w:rFonts w:hint="default" w:ascii="仿宋_GB2312" w:hAnsi="仿宋_GB2312" w:eastAsia="仿宋_GB2312" w:cs="仿宋_GB2312"/>
          <w:i w:val="0"/>
          <w:iCs w:val="0"/>
          <w:caps w:val="0"/>
          <w:color w:val="000000"/>
          <w:spacing w:val="0"/>
          <w:sz w:val="32"/>
          <w:szCs w:val="32"/>
          <w:shd w:val="clear" w:fill="FFFFFF"/>
          <w:lang w:val="en-US" w:eastAsia="zh-CN"/>
        </w:rPr>
        <w:t>万元，决算数为</w:t>
      </w:r>
      <w:r>
        <w:rPr>
          <w:rFonts w:hint="eastAsia" w:ascii="仿宋_GB2312" w:hAnsi="仿宋_GB2312" w:eastAsia="仿宋_GB2312" w:cs="仿宋_GB2312"/>
          <w:i w:val="0"/>
          <w:iCs w:val="0"/>
          <w:caps w:val="0"/>
          <w:color w:val="000000"/>
          <w:spacing w:val="0"/>
          <w:sz w:val="32"/>
          <w:szCs w:val="32"/>
          <w:shd w:val="clear" w:fill="FFFFFF"/>
          <w:lang w:val="en-US" w:eastAsia="zh-CN"/>
        </w:rPr>
        <w:t>614.70</w:t>
      </w:r>
      <w:r>
        <w:rPr>
          <w:rFonts w:hint="default" w:ascii="仿宋_GB2312" w:hAnsi="仿宋_GB2312" w:eastAsia="仿宋_GB2312" w:cs="仿宋_GB2312"/>
          <w:i w:val="0"/>
          <w:iCs w:val="0"/>
          <w:caps w:val="0"/>
          <w:color w:val="000000"/>
          <w:spacing w:val="0"/>
          <w:sz w:val="32"/>
          <w:szCs w:val="32"/>
          <w:shd w:val="clear" w:fill="FFFFFF"/>
          <w:lang w:val="en-US" w:eastAsia="zh-CN"/>
        </w:rPr>
        <w:t>万元，运行成本控制在合理范围内。</w:t>
      </w:r>
    </w:p>
    <w:p w14:paraId="0B4693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在管理效率、履职效能、社会效应、可持续发展能力和服务对象满意度等方面：</w:t>
      </w:r>
    </w:p>
    <w:p w14:paraId="10B4A0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（一）强化党建引领，建设清廉市监</w:t>
      </w:r>
    </w:p>
    <w:p w14:paraId="47EDD8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全年开展警示教育11次，每月随机开展纪律作风抽查，公布纪律检查通报9次，全局纪律作风好转、人员履职尽责到位。</w:t>
      </w:r>
    </w:p>
    <w:p w14:paraId="3BE41F1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（二）落实主体强身，优化营商环境</w:t>
      </w:r>
    </w:p>
    <w:p w14:paraId="58E0B4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共有市场主体20654户，其中企业5801户，农民专业合作社31户，个体工商户14798户，总市场主体较去年同比增长4.15%，其中实有企业5801，较去年同比增长9.82%，个体工商户14798，较去年同比增长1.89%。个转企38件，企业查档760余件。个体设立登记1193件，变更登记1693件，注销登记889件,增补证照71件。</w:t>
      </w:r>
    </w:p>
    <w:p w14:paraId="76F1D1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（三）认真履职尽责，守牢安全底线</w:t>
      </w:r>
    </w:p>
    <w:p w14:paraId="6300B8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是加强食品安全监管。全年出动执法人员900余人次，对食品经营户开展日常检查1100余户次，累计许可（注销）《食品许可证》800余户，处理食品相关举报50余例，处理食品其他相关案例、立案、不予立案、移送40余例；完善“两个责任”平台工作，辖区内包保率达到100%，ABC三级主体督导率达到100%，问题整改率达到100%，ABC级主体培训率达到57.65%。</w:t>
      </w:r>
    </w:p>
    <w:p w14:paraId="105FD7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是加强药械化安全监管。办理药品零售企业许可证核发3家、药品零售企业许可证换发9家、药品零售企业许可证许可变更6家、药品零售企业许可证登记变更19家、第三类医疗器械经营许可核发2家、第二类医疗器械经营备案6家、第二类医疗器械经营备案变更2家;加强日常监督，检查药品、医疗器械、化妆品经营户、中医诊所等79户次，下发限期整改书1份;开展药械化监管领域专项整治5项，共出动执法人员150人次，检查经营户75户次。</w:t>
      </w:r>
    </w:p>
    <w:p w14:paraId="74867C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三是加强特种设备安全监管。开展特种设备安全风险隐患排查整治,全年出动执法人员89人共发现安全隐患29处，下达特种设备安全监察指令书29份，一般隐患24处，重大隐患5处，现已全部整改到位。</w:t>
      </w:r>
    </w:p>
    <w:p w14:paraId="301A68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四是加强产品质量监管。检查加强产品质量监管，围绕消防安全、民生需求和社会关注等突出问题。重点在辖区大型商场超市、批发市场、专业市场、城乡结合部等重点场所，突出烟花爆竹、电取暖器、燃气灶具、电动车、消防产品、危险化学品、农资产品、儿童用品、建筑建材等质量安全风险高，容易引发系统性、区域性风险和老百姓日常生活息息相关的重点工业产品进行检查全年共出动执法人员320余人次，检查相关企业260余家。</w:t>
      </w:r>
    </w:p>
    <w:p w14:paraId="387B91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五是用心用情维护消费者合法权益。</w:t>
      </w:r>
      <w:bookmarkStart w:id="0" w:name="_GoBack"/>
      <w:bookmarkEnd w:id="0"/>
      <w:r>
        <w:rPr>
          <w:rFonts w:hint="default" w:ascii="仿宋_GB2312" w:hAnsi="仿宋_GB2312" w:eastAsia="仿宋_GB2312" w:cs="仿宋_GB2312"/>
          <w:i w:val="0"/>
          <w:iCs w:val="0"/>
          <w:caps w:val="0"/>
          <w:color w:val="000000"/>
          <w:spacing w:val="0"/>
          <w:sz w:val="32"/>
          <w:szCs w:val="32"/>
          <w:shd w:val="clear" w:fill="FFFFFF"/>
          <w:lang w:val="en-US" w:eastAsia="zh-CN"/>
        </w:rPr>
        <w:t>2025年上半年截止到11月13日共受理投诉举报1736（其中市局市长热线409起，经开区市长热线467起，全国12315平台905起，百姓呼声2起，省长信箱3起，信访件9起，智慧315平台2起）,已办结1719，剩余17起，还在办理中，均在办结期限内。</w:t>
      </w:r>
    </w:p>
    <w:p w14:paraId="14E1548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六是加强推进信用监管。积极开展个体、企业和农专的年报工作，确保个体和企业年报工作在规定的时间全面落实到位。截止2025年6月30日，企业已报送4264户，年报率83.62%；农专已报送22户，年报率75.86%；个体已报送8177户，年报率59.22%；开展双随机一公开抽查工作，共抽查企业81户，检查项目488项；积极开展社会信用体系建设、深入落实清虚工作，加强信用分级分类监管，开展行政处罚信用培训宣传，积极落实行政许可、行政处罚“双公示”制度，截止至10月，录入吊销企业72户；录入了行政许可1773户,行政处罚案件18起（11300元）；即时处罚案件209起（67400）；个体信用修复827条，个体列异5636条；企业信用修复119条，企业列异999条，农专列异7条。</w:t>
      </w:r>
    </w:p>
    <w:p w14:paraId="65D77F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七是加强价格和广告监管。开展超市及市场的酒类商品、儿童用品、玩具、奶粉等商品价格整治，共检查经营户210余户次；开展民生商品粮油商品价格整治2次，检查经营户56户次。打击互联网违法广告行为，出动执法人员60人次，共检查广告制作发布企业18户，检查市场经营户23户，核查处置纠正轻微违法店堂广告13户，办结广告不予处罚案件2件，核查处置网络广告线索34件。</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4A420E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从总体目标设置和总体目标完成情况来看，基本上完成了设定的总体目标，不存在超量完成或未完成现象。</w:t>
      </w:r>
    </w:p>
    <w:p w14:paraId="55A3E6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从三级绩效指标偏离情况来看：</w:t>
      </w:r>
    </w:p>
    <w:p w14:paraId="6D9CBA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（1）部门整体支出成本目标值≤</w:t>
      </w:r>
      <w:r>
        <w:rPr>
          <w:rFonts w:hint="eastAsia" w:ascii="仿宋_GB2312" w:hAnsi="仿宋_GB2312" w:eastAsia="仿宋_GB2312" w:cs="仿宋_GB2312"/>
          <w:i w:val="0"/>
          <w:iCs w:val="0"/>
          <w:caps w:val="0"/>
          <w:color w:val="000000"/>
          <w:spacing w:val="0"/>
          <w:sz w:val="32"/>
          <w:szCs w:val="32"/>
          <w:shd w:val="clear" w:fill="FFFFFF"/>
          <w:lang w:val="en-US" w:eastAsia="zh-CN"/>
        </w:rPr>
        <w:t>624.69</w:t>
      </w:r>
      <w:r>
        <w:rPr>
          <w:rFonts w:hint="default" w:ascii="仿宋_GB2312" w:hAnsi="仿宋_GB2312" w:eastAsia="仿宋_GB2312" w:cs="仿宋_GB2312"/>
          <w:i w:val="0"/>
          <w:iCs w:val="0"/>
          <w:caps w:val="0"/>
          <w:color w:val="000000"/>
          <w:spacing w:val="0"/>
          <w:sz w:val="32"/>
          <w:szCs w:val="32"/>
          <w:shd w:val="clear" w:fill="FFFFFF"/>
          <w:lang w:val="en-US" w:eastAsia="zh-CN"/>
        </w:rPr>
        <w:t>，实际完成值</w:t>
      </w:r>
      <w:r>
        <w:rPr>
          <w:rFonts w:hint="eastAsia" w:ascii="仿宋_GB2312" w:hAnsi="仿宋_GB2312" w:eastAsia="仿宋_GB2312" w:cs="仿宋_GB2312"/>
          <w:i w:val="0"/>
          <w:iCs w:val="0"/>
          <w:caps w:val="0"/>
          <w:color w:val="000000"/>
          <w:spacing w:val="0"/>
          <w:sz w:val="32"/>
          <w:szCs w:val="32"/>
          <w:shd w:val="clear" w:fill="FFFFFF"/>
          <w:lang w:val="en-US" w:eastAsia="zh-CN"/>
        </w:rPr>
        <w:t>614.70</w:t>
      </w:r>
      <w:r>
        <w:rPr>
          <w:rFonts w:hint="default" w:ascii="仿宋_GB2312" w:hAnsi="仿宋_GB2312" w:eastAsia="仿宋_GB2312" w:cs="仿宋_GB2312"/>
          <w:i w:val="0"/>
          <w:iCs w:val="0"/>
          <w:caps w:val="0"/>
          <w:color w:val="000000"/>
          <w:spacing w:val="0"/>
          <w:sz w:val="32"/>
          <w:szCs w:val="32"/>
          <w:shd w:val="clear" w:fill="FFFFFF"/>
          <w:lang w:val="en-US" w:eastAsia="zh-CN"/>
        </w:rPr>
        <w:t>；</w:t>
      </w:r>
    </w:p>
    <w:p w14:paraId="7D39C7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（2）社会成本节约率目标值≥0%，实际完成值1.</w:t>
      </w: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default" w:ascii="仿宋_GB2312" w:hAnsi="仿宋_GB2312" w:eastAsia="仿宋_GB2312" w:cs="仿宋_GB2312"/>
          <w:i w:val="0"/>
          <w:iCs w:val="0"/>
          <w:caps w:val="0"/>
          <w:color w:val="000000"/>
          <w:spacing w:val="0"/>
          <w:sz w:val="32"/>
          <w:szCs w:val="32"/>
          <w:shd w:val="clear" w:fill="FFFFFF"/>
          <w:lang w:val="en-US" w:eastAsia="zh-CN"/>
        </w:rPr>
        <w:t>0%；</w:t>
      </w:r>
    </w:p>
    <w:p w14:paraId="48B6BA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（3）生态环境成本节约率目标值≥0%，实际完成值0%；</w:t>
      </w:r>
    </w:p>
    <w:p w14:paraId="3A1BBB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（4）部门职责内工作完成率=100%，实际完成值100%；</w:t>
      </w:r>
    </w:p>
    <w:p w14:paraId="74B6E4F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（5）经费使用合规率目标值=100%，实际完成值100%；　</w:t>
      </w:r>
    </w:p>
    <w:p w14:paraId="71D89B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（6）监督检查程序合规率目标值=100%，实际完成值100%；　</w:t>
      </w:r>
    </w:p>
    <w:p w14:paraId="43721F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（7）工作完成时间目标值202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年12月31日前，实际完成值202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年12月31日前；　</w:t>
      </w:r>
    </w:p>
    <w:p w14:paraId="039C38A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（8）优化监管流程，提高监管效率，减少企业因应对监管而产生的额外成本，目标：效果明显，实际完成：效果明显；</w:t>
      </w:r>
    </w:p>
    <w:p w14:paraId="655DFB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（9）加强消费者权益保护工作，及时处理消费者投诉举报，严厉打击侵害消费者权益的行为，目标：效果明显，实际完成：效果明显；</w:t>
      </w:r>
    </w:p>
    <w:p w14:paraId="50F7D7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（10）鼓励企业采用环保技术和生产方式，推动绿色产业发展，助力实现碳达峰、碳中和目标，目标：效果明显；实际完成：效果一般；</w:t>
      </w:r>
    </w:p>
    <w:p w14:paraId="52A3EC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（10）建立长效监管机制，确保市场监管工作的持续性和稳定性，目标：效果明显，实际完成：效果明显</w:t>
      </w:r>
    </w:p>
    <w:p w14:paraId="05AC7D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（12）消费者满意度目标值≥95%，实际完成值95%。　</w:t>
      </w:r>
    </w:p>
    <w:p w14:paraId="7C63BE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三级绩效指标设置和完成情况来看，基本上完成了设定的总体目标，不存在未完成现象。生态效益指标有所偏离，主要是因为于业务本身对生态系统无实质性干预或改善作用，导致所设生态效益指标在实际业务执行中难以体现，出现偏离现象。后续将结合业务特性，优化绩效指标设定，确保目标与实际业务紧密贴合。</w:t>
      </w:r>
    </w:p>
    <w:p w14:paraId="4F0F78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1597C9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为防止后续出现绩效指标偏离，将进一步优化目标设定流程、建立弹性调整机制、强化实施过程监控、完善绩效评级体系。</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0E6CE5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按规定上报和公开绩效自评结果，根据结果，进一步完善财政资金使用，加强市场监督管理。</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280F00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156969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B257E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整体支出报告需要以下附件：</w:t>
      </w:r>
    </w:p>
    <w:p w14:paraId="28AC6E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1.部门整体支出绩效评价基础数据表</w:t>
      </w:r>
    </w:p>
    <w:p w14:paraId="54EE27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w:t>
      </w:r>
      <w:r>
        <w:rPr>
          <w:rFonts w:hint="default" w:ascii="仿宋_GB2312" w:hAnsi="仿宋_GB2312" w:eastAsia="仿宋_GB2312" w:cs="仿宋_GB2312"/>
          <w:i w:val="0"/>
          <w:iCs w:val="0"/>
          <w:caps w:val="0"/>
          <w:color w:val="000000"/>
          <w:spacing w:val="0"/>
          <w:sz w:val="32"/>
          <w:szCs w:val="32"/>
          <w:shd w:val="clear" w:fill="FFFFFF"/>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、国有资本经营预算支出情况表</w:t>
      </w:r>
    </w:p>
    <w:p w14:paraId="270852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default" w:ascii="仿宋_GB2312" w:hAnsi="仿宋_GB2312" w:eastAsia="仿宋_GB2312" w:cs="仿宋_GB2312"/>
          <w:i w:val="0"/>
          <w:iCs w:val="0"/>
          <w:caps w:val="0"/>
          <w:color w:val="000000"/>
          <w:spacing w:val="0"/>
          <w:sz w:val="32"/>
          <w:szCs w:val="32"/>
          <w:shd w:val="clear" w:fill="FFFFFF"/>
          <w:lang w:val="en-US" w:eastAsia="zh-CN"/>
        </w:rPr>
        <w:t>、社会保险基金预算支出情况表</w:t>
      </w:r>
    </w:p>
    <w:p w14:paraId="3DF12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CC14EEB-B4AA-4815-BE00-C725210C93D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embedRegular r:id="rId2" w:fontKey="{C745B123-AC73-4150-B4C3-0153052CFD2F}"/>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3" w:fontKey="{87A7810B-D74D-4E6E-8BDF-EBD10F48B0AF}"/>
  </w:font>
  <w:font w:name="仿宋_GB2312">
    <w:panose1 w:val="02010609030101010101"/>
    <w:charset w:val="86"/>
    <w:family w:val="auto"/>
    <w:pitch w:val="default"/>
    <w:sig w:usb0="00000001" w:usb1="080E0000" w:usb2="00000000" w:usb3="00000000" w:csb0="00040000" w:csb1="00000000"/>
    <w:embedRegular r:id="rId4" w:fontKey="{7983A323-EFBA-4CD5-98F0-556210DFA13D}"/>
  </w:font>
  <w:font w:name="仿宋">
    <w:panose1 w:val="02010609060101010101"/>
    <w:charset w:val="86"/>
    <w:family w:val="auto"/>
    <w:pitch w:val="default"/>
    <w:sig w:usb0="800002BF" w:usb1="38CF7CFA" w:usb2="00000016" w:usb3="00000000" w:csb0="00040001" w:csb1="00000000"/>
    <w:embedRegular r:id="rId5" w:fontKey="{666F1FF6-F21C-4D53-A5FD-8B0645A777C9}"/>
  </w:font>
  <w:font w:name="方正黑体_GBK">
    <w:altName w:val="微软雅黑"/>
    <w:panose1 w:val="02000000000000000000"/>
    <w:charset w:val="86"/>
    <w:family w:val="auto"/>
    <w:pitch w:val="default"/>
    <w:sig w:usb0="00000000" w:usb1="00000000" w:usb2="00000000" w:usb3="00000000" w:csb0="00040000" w:csb1="00000000"/>
    <w:embedRegular r:id="rId6" w:fontKey="{2ED6DF7D-BC5D-455A-95E6-4F12FDF78EA5}"/>
  </w:font>
  <w:font w:name="Times New Roman Regular">
    <w:altName w:val="Times New Roman"/>
    <w:panose1 w:val="02020603050405020304"/>
    <w:charset w:val="00"/>
    <w:family w:val="auto"/>
    <w:pitch w:val="default"/>
    <w:sig w:usb0="00000000" w:usb1="00000000" w:usb2="00000009" w:usb3="00000000" w:csb0="400001FF" w:csb1="FFFF0000"/>
    <w:embedRegular r:id="rId7" w:fontKey="{AF7ADDA9-5335-4DF1-ACD2-983465416621}"/>
  </w:font>
  <w:font w:name="方正仿宋_GBK">
    <w:panose1 w:val="03000509000000000000"/>
    <w:charset w:val="86"/>
    <w:family w:val="script"/>
    <w:pitch w:val="default"/>
    <w:sig w:usb0="00000001" w:usb1="080E0000" w:usb2="00000000" w:usb3="00000000" w:csb0="00040000" w:csb1="00000000"/>
    <w:embedRegular r:id="rId8" w:fontKey="{4663CA8D-4700-450F-969F-1A49B8FECE5F}"/>
  </w:font>
  <w:font w:name="WPSEMBED1">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16A16AC"/>
    <w:rsid w:val="05E95AA6"/>
    <w:rsid w:val="0A2B4B1B"/>
    <w:rsid w:val="0C180A78"/>
    <w:rsid w:val="0D276746"/>
    <w:rsid w:val="0D464D9C"/>
    <w:rsid w:val="0DD52794"/>
    <w:rsid w:val="0DF13C14"/>
    <w:rsid w:val="0E956870"/>
    <w:rsid w:val="10C666A5"/>
    <w:rsid w:val="1223366A"/>
    <w:rsid w:val="135F7A31"/>
    <w:rsid w:val="143877FD"/>
    <w:rsid w:val="14B80712"/>
    <w:rsid w:val="15325813"/>
    <w:rsid w:val="17FCFFF6"/>
    <w:rsid w:val="19E805B2"/>
    <w:rsid w:val="1CBF872E"/>
    <w:rsid w:val="22FE234B"/>
    <w:rsid w:val="277E6F02"/>
    <w:rsid w:val="29990575"/>
    <w:rsid w:val="2AF6742D"/>
    <w:rsid w:val="312A2265"/>
    <w:rsid w:val="325F23EA"/>
    <w:rsid w:val="333F3E43"/>
    <w:rsid w:val="36FC0F5D"/>
    <w:rsid w:val="375773F8"/>
    <w:rsid w:val="393E32BB"/>
    <w:rsid w:val="3EFDDE87"/>
    <w:rsid w:val="419B2857"/>
    <w:rsid w:val="41D71DA8"/>
    <w:rsid w:val="4C6611ED"/>
    <w:rsid w:val="4D5D3BD3"/>
    <w:rsid w:val="4EB7F892"/>
    <w:rsid w:val="53990623"/>
    <w:rsid w:val="539C61C8"/>
    <w:rsid w:val="552A0475"/>
    <w:rsid w:val="578D10CB"/>
    <w:rsid w:val="5A5915AC"/>
    <w:rsid w:val="5ABBC979"/>
    <w:rsid w:val="5BFC7B3B"/>
    <w:rsid w:val="5E77C7C6"/>
    <w:rsid w:val="5FC12E46"/>
    <w:rsid w:val="5FFFAAE0"/>
    <w:rsid w:val="66347B2F"/>
    <w:rsid w:val="667FD72C"/>
    <w:rsid w:val="6A12486A"/>
    <w:rsid w:val="6A755CB7"/>
    <w:rsid w:val="6ABE64BE"/>
    <w:rsid w:val="6B5F16C5"/>
    <w:rsid w:val="6CF3EA5A"/>
    <w:rsid w:val="705F5C45"/>
    <w:rsid w:val="753C4E9B"/>
    <w:rsid w:val="769B7804"/>
    <w:rsid w:val="779FCBF0"/>
    <w:rsid w:val="77F7E21B"/>
    <w:rsid w:val="781113A7"/>
    <w:rsid w:val="78CB247D"/>
    <w:rsid w:val="791E6510"/>
    <w:rsid w:val="79E2F975"/>
    <w:rsid w:val="7B3BDBF2"/>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1"/>
      <w:szCs w:val="22"/>
    </w:r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autoRedefine/>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3"/>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8396</Words>
  <Characters>9070</Characters>
  <Lines>0</Lines>
  <Paragraphs>0</Paragraphs>
  <TotalTime>31</TotalTime>
  <ScaleCrop>false</ScaleCrop>
  <LinksUpToDate>false</LinksUpToDate>
  <CharactersWithSpaces>9462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黎梅15111537224</cp:lastModifiedBy>
  <cp:lastPrinted>2026-03-25T02:10:00Z</cp:lastPrinted>
  <dcterms:modified xsi:type="dcterms:W3CDTF">2026-09-21T09:28:13Z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5F21FF939A1A4AF48DC5BBC3FA479444_13</vt:lpwstr>
  </property>
  <property fmtid="{D5CDD505-2E9C-101B-9397-08002B2CF9AE}" pid="4" name="KSOTemplateDocerSaveRecord">
    <vt:lpwstr>eyJoZGlkIjoiNWJhOTRmMGYwNjE4ZTZiNTIwZWY0M2JhNTEzMDg4NjciLCJ1c2VySWQiOiIyMzk3NDE0MzEifQ==</vt:lpwstr>
  </property>
</Properties>
</file>