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0AC77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方正小标宋_GBK" w:hAnsi="方正小标宋_GBK" w:eastAsia="方正小标宋_GBK" w:cs="方正小标宋_GBK"/>
          <w:i w:val="0"/>
          <w:iCs w:val="0"/>
          <w:caps w:val="0"/>
          <w:color w:val="000000" w:themeColor="text1"/>
          <w:spacing w:val="0"/>
          <w:sz w:val="24"/>
          <w:szCs w:val="24"/>
          <w:shd w:val="clear" w:fill="FFFFFF"/>
          <w:lang w:val="en-US" w:eastAsia="zh-CN"/>
          <w14:textFill>
            <w14:solidFill>
              <w14:schemeClr w14:val="tx1"/>
            </w14:solidFill>
          </w14:textFill>
        </w:rPr>
        <w:t>附件5</w:t>
      </w:r>
    </w:p>
    <w:p w14:paraId="20925D3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themeColor="text1"/>
          <w:spacing w:val="0"/>
          <w:sz w:val="24"/>
          <w:szCs w:val="24"/>
          <w:shd w:val="clear" w:fill="FFFFFF"/>
          <w:lang w:val="en-US" w:eastAsia="zh-CN"/>
          <w14:textFill>
            <w14:solidFill>
              <w14:schemeClr w14:val="tx1"/>
            </w14:solidFill>
          </w14:textFill>
        </w:rPr>
      </w:pPr>
    </w:p>
    <w:p w14:paraId="1C5553C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themeColor="text1"/>
          <w:spacing w:val="0"/>
          <w:sz w:val="24"/>
          <w:szCs w:val="24"/>
          <w:shd w:val="clear" w:fill="FFFFFF"/>
          <w:lang w:val="en-US" w:eastAsia="zh-CN"/>
          <w14:textFill>
            <w14:solidFill>
              <w14:schemeClr w14:val="tx1"/>
            </w14:solidFill>
          </w14:textFill>
        </w:rPr>
      </w:pPr>
    </w:p>
    <w:p w14:paraId="06FCC1B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themeColor="text1"/>
          <w:spacing w:val="0"/>
          <w:sz w:val="40"/>
          <w:szCs w:val="40"/>
          <w:shd w:val="clear" w:fill="FFFFFF"/>
          <w:lang w:val="en-US" w:eastAsia="zh-CN"/>
          <w14:textFill>
            <w14:solidFill>
              <w14:schemeClr w14:val="tx1"/>
            </w14:solidFill>
          </w14:textFill>
        </w:rPr>
      </w:pPr>
      <w:r>
        <w:rPr>
          <w:rFonts w:hint="eastAsia" w:ascii="方正小标宋_GBK" w:hAnsi="方正小标宋_GBK" w:eastAsia="方正小标宋_GBK" w:cs="方正小标宋_GBK"/>
          <w:i w:val="0"/>
          <w:iCs w:val="0"/>
          <w:caps w:val="0"/>
          <w:color w:val="000000" w:themeColor="text1"/>
          <w:spacing w:val="0"/>
          <w:sz w:val="40"/>
          <w:szCs w:val="40"/>
          <w:shd w:val="clear" w:fill="FFFFFF"/>
          <w:lang w:val="en-US" w:eastAsia="zh-CN"/>
          <w14:textFill>
            <w14:solidFill>
              <w14:schemeClr w14:val="tx1"/>
            </w14:solidFill>
          </w14:textFill>
        </w:rPr>
        <w:t>2025年度怀化市市场监督管理局</w:t>
      </w:r>
    </w:p>
    <w:p w14:paraId="27F80E2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themeColor="text1"/>
          <w:spacing w:val="0"/>
          <w:sz w:val="40"/>
          <w:szCs w:val="40"/>
          <w:shd w:val="clear" w:fill="FFFFFF"/>
          <w:lang w:val="en-US" w:eastAsia="zh-CN"/>
          <w14:textFill>
            <w14:solidFill>
              <w14:schemeClr w14:val="tx1"/>
            </w14:solidFill>
          </w14:textFill>
        </w:rPr>
      </w:pPr>
    </w:p>
    <w:p w14:paraId="2E43020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themeColor="text1"/>
          <w:spacing w:val="0"/>
          <w:sz w:val="40"/>
          <w:szCs w:val="40"/>
          <w:shd w:val="clear" w:fill="FFFFFF"/>
          <w:lang w:val="en-US" w:eastAsia="zh-CN"/>
          <w14:textFill>
            <w14:solidFill>
              <w14:schemeClr w14:val="tx1"/>
            </w14:solidFill>
          </w14:textFill>
        </w:rPr>
      </w:pPr>
      <w:r>
        <w:rPr>
          <w:rFonts w:hint="eastAsia" w:ascii="方正小标宋_GBK" w:hAnsi="方正小标宋_GBK" w:eastAsia="方正小标宋_GBK" w:cs="方正小标宋_GBK"/>
          <w:i w:val="0"/>
          <w:iCs w:val="0"/>
          <w:caps w:val="0"/>
          <w:color w:val="000000" w:themeColor="text1"/>
          <w:spacing w:val="0"/>
          <w:sz w:val="40"/>
          <w:szCs w:val="40"/>
          <w:shd w:val="clear" w:fill="FFFFFF"/>
          <w:lang w:val="en-US" w:eastAsia="zh-CN"/>
          <w14:textFill>
            <w14:solidFill>
              <w14:schemeClr w14:val="tx1"/>
            </w14:solidFill>
          </w14:textFill>
        </w:rPr>
        <w:t>部门整体支出绩效自评报告</w:t>
      </w:r>
    </w:p>
    <w:p w14:paraId="00204C2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themeColor="text1"/>
          <w:spacing w:val="0"/>
          <w:sz w:val="40"/>
          <w:szCs w:val="40"/>
          <w:shd w:val="clear" w:fill="FFFFFF"/>
          <w:lang w:val="en-US" w:eastAsia="zh-CN"/>
          <w14:textFill>
            <w14:solidFill>
              <w14:schemeClr w14:val="tx1"/>
            </w14:solidFill>
          </w14:textFill>
        </w:rPr>
      </w:pPr>
    </w:p>
    <w:p w14:paraId="1E11B66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default" w:ascii="方正小标宋_GBK" w:hAnsi="方正小标宋_GBK" w:eastAsia="方正小标宋_GBK" w:cs="方正小标宋_GBK"/>
          <w:i w:val="0"/>
          <w:iCs w:val="0"/>
          <w:caps w:val="0"/>
          <w:color w:val="000000" w:themeColor="text1"/>
          <w:spacing w:val="0"/>
          <w:sz w:val="40"/>
          <w:szCs w:val="40"/>
          <w:shd w:val="clear" w:fill="FFFFFF"/>
          <w:lang w:val="en-US" w:eastAsia="zh-CN"/>
          <w14:textFill>
            <w14:solidFill>
              <w14:schemeClr w14:val="tx1"/>
            </w14:solidFill>
          </w14:textFill>
        </w:rPr>
      </w:pPr>
    </w:p>
    <w:p w14:paraId="3B34C47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default" w:ascii="方正小标宋_GBK" w:hAnsi="方正小标宋_GBK" w:eastAsia="方正小标宋_GBK" w:cs="方正小标宋_GBK"/>
          <w:i w:val="0"/>
          <w:iCs w:val="0"/>
          <w:caps w:val="0"/>
          <w:color w:val="000000" w:themeColor="text1"/>
          <w:spacing w:val="0"/>
          <w:sz w:val="40"/>
          <w:szCs w:val="40"/>
          <w:shd w:val="clear" w:fill="FFFFFF"/>
          <w:lang w:val="en-US" w:eastAsia="zh-CN"/>
          <w14:textFill>
            <w14:solidFill>
              <w14:schemeClr w14:val="tx1"/>
            </w14:solidFill>
          </w14:textFill>
        </w:rPr>
      </w:pPr>
    </w:p>
    <w:p w14:paraId="6B0B3B5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p>
    <w:p w14:paraId="44AE0FB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p>
    <w:p w14:paraId="012A5B0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p>
    <w:p w14:paraId="2D1DF4E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p>
    <w:p w14:paraId="212603D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p>
    <w:p w14:paraId="05006E0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p>
    <w:p w14:paraId="04EFEC6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p>
    <w:p w14:paraId="28DA632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p>
    <w:p w14:paraId="4BAB44F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p>
    <w:p w14:paraId="4182284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r>
        <w:rPr>
          <w:rFonts w:hint="eastAsia"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t xml:space="preserve">   </w:t>
      </w:r>
    </w:p>
    <w:p w14:paraId="03F4A91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p>
    <w:p w14:paraId="3C9E0EC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p>
    <w:p w14:paraId="7D1BF3B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r>
        <w:rPr>
          <w:rFonts w:hint="eastAsia"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t xml:space="preserve">  </w:t>
      </w:r>
    </w:p>
    <w:p w14:paraId="2739419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p>
    <w:p w14:paraId="706FCB4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p>
    <w:p w14:paraId="7CCD071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p>
    <w:p w14:paraId="46B09BA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方正黑体_GBK" w:hAnsi="方正黑体_GBK" w:eastAsia="方正黑体_GBK" w:cs="方正黑体_GBK"/>
          <w:b w:val="0"/>
          <w:bCs w:val="0"/>
          <w:color w:val="000000" w:themeColor="text1"/>
          <w:sz w:val="32"/>
          <w:szCs w:val="32"/>
          <w:highlight w:val="none"/>
          <w:lang w:val="en-US" w:eastAsia="zh-CN"/>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highlight w:val="none"/>
          <w:lang w:val="en-US" w:eastAsia="zh-CN"/>
          <w14:textFill>
            <w14:solidFill>
              <w14:schemeClr w14:val="tx1"/>
            </w14:solidFill>
          </w14:textFill>
        </w:rPr>
        <w:t>单位名称（盖章）：怀化市市场监督管理局</w:t>
      </w:r>
    </w:p>
    <w:p w14:paraId="796FF03C">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一、部门概况</w:t>
      </w:r>
    </w:p>
    <w:p w14:paraId="0EBC89E3">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（一）部门（单位）基本情况</w:t>
      </w:r>
    </w:p>
    <w:p w14:paraId="307B99B4">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1.机构设置情况</w:t>
      </w:r>
    </w:p>
    <w:p w14:paraId="10E7B8A6">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怀化市市场监督管理局（以下简称“我单位”）为市财政一级预算单位，下设怀化市检验检测中心（以下简称“市检验检测中心”）、怀化市市场监督管理局直属二局（以下简称“直属二局”）2个二级机构。</w:t>
      </w:r>
    </w:p>
    <w:p w14:paraId="32DA9038">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我单位内设办公室、政策法规科、信用监督管理科、价格监督检查和反不正当竞争科（规范直销与打击传销办公室）、网络交易监督管理科、广告监督管理科、质量发展科、产品质量安全监督管理科、食品安全协调科、食品生产安全监督管理科、食品流通安全监督管理科、餐饮食品安全监督管理科、特种设备安全监察科、计量科、认证认可监督管理科、标准化科、知识产权促进保护科、知识产权运用科、消费者权益保护科（投诉举报办公室）、药品监督管理科、医疗器械监督管理科、化妆品监督管理科、宣传与应急反应科、科技和财务科、人事科（退休人员管理服务科）、机关党委。</w:t>
      </w:r>
    </w:p>
    <w:p w14:paraId="03C96CAB">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市检验检测中心为隶属我单位管理的副处级公益一类事业单位，属全额拨款性质，内设15个部门。</w:t>
      </w:r>
    </w:p>
    <w:p w14:paraId="0B0620B7">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直属二局是我单位的派出机构，主管市场监督管理和行政执法工作。单位内设办公室、信用监管股、登记注册股、特种设备安全监管股、价格监督检查和反不正当竞争股、药械化监管股、食品安全监督管理股和河西市场监管所（消费者权益保护股）共8个股室。</w:t>
      </w:r>
    </w:p>
    <w:p w14:paraId="52BDE973">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2.人员编制情况</w:t>
      </w:r>
    </w:p>
    <w:p w14:paraId="5EA8A495">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2025年直属局机构改革，重新核定编制人数共284人，实际在职人数351人，其中：市本级核定编制167人，实际在职人数246人；市检验检测中心核定编制82人，实际在职人数71人；直属二局核定编制数35人，实际在职人数34人。</w:t>
      </w:r>
    </w:p>
    <w:p w14:paraId="0FEC31A7">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3.主要职能职责</w:t>
      </w:r>
    </w:p>
    <w:p w14:paraId="085B2084">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本级主要职责：负责市场综合监督管理；负责市场主体统一登记注册；负责组织和指导市场监管综合执法工作；负责反垄断工作；负责监督管理市场秩序；负责宏观质量管理；负责产品质量安全监督管理；负责特种设备安全监督管理；负责食品安全监督管理；负责统一管理计量工作；负责统一管理标准化工作；负责统一管理检验检测工作；负责统一管理、监督和综合协调全市认证认可工作；负责市场监督管理、知识产权领域科技和信息化建设、新闻宣传、对外交流与合作；负责实施知识产权战略，配合推进知识产权强省建设；负责保护知识产权；负责知识产权创造运用；负责组织开展有关服务领域消费维权工作，查处制售假冒伪劣等违法行为，指导消费者咨询、申诉、举报受理、处理和网络体系建设等工作，保护经营者、消费者合法权益；负责药品（含中药、民族药，下同）、医疗器械和化妆品安全监督管理；监督实施药品、医疗器械、化妆品分类管理制度，配合有关部门实施国家基本药物制度；负责药品、医疗器械和化妆品质量管理；负责药品、医疗器械和化妆品上市后风险管理；负责组织实施药品、医疗器械和化妆品监督检查；负责职责范围内食品药品行业安全生产工作；完成市委、市政府交办的其他任务。</w:t>
      </w:r>
    </w:p>
    <w:p w14:paraId="6F7410CB">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市检验检测中心主要职责：建立怀化地区的最高社会公用计量标准，承担量值传递、强制检定；开展食品、药品、化妆品、医疗器械、农产品、工业产品的质量检验检测、仲裁检定，以及法律法规所赋予的其他检定、检验检测任务。</w:t>
      </w:r>
    </w:p>
    <w:p w14:paraId="0EABC84F">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直属二局主要职责：负责分局辖区市场监督管理和行政执法的有关工作；负责分局辖区各类企业、农民专业合作社和从事经营活动的单位、个人等市场主体的登记注册并监督管理，承担依法查处取缔无照经营的责任；承担依法规范和维护各类市场经营秩序的责任，负责监督管理市场交易行为和网络商品交易及有关服务的行为；承担监督管理流通领域商品质量的责任，组织开展有关服务领域消费维权工作，按分工查处假冒伪劣等违法行为，指导消费者咨询、申诉、举报受理处理和网络体系建设等工作，保护经营者、消费者合法权益；承担查处违法直销和传销案件的责任，依法监督管理直销企业和直销员及其直销活动；依法查处不正当竞争、商业贿赂、走私贩私等经济违法行为；负责依法监督管理经纪人、经纪机构及经纪活动；依法实施合同行政监督管理，负责管理股权出质登记、动产抵押物登记，组织监督管理拍卖行为，负责依法查处合同欺诈等违法行为；指导分局辖区广告业发展，负责广告活动的监督管理工作；负责商标监督管理工作，依法保护商标专用权和查处商标侵权行为，协调处理商标争议事宜，加强中国驰名商标、省著名商标的保护工作。负责特殊标志、官方标志的保护；组织指导企业、个体工商户、商品交易市场信用分类管理，研究分析并依法发布市场主体登记注册基础信息，为政府决策和社会公众提供相关信息服务；负责个体工商户、私营企业经营行</w:t>
      </w:r>
      <w:r>
        <w:rPr>
          <w:rFonts w:hint="eastAsia" w:ascii="Times New Roman Regular" w:hAnsi="Times New Roman Regular" w:eastAsia="仿宋_GB2312" w:cs="Times New Roman Regular"/>
          <w:color w:val="000000" w:themeColor="text1"/>
          <w:spacing w:val="-6"/>
          <w:sz w:val="32"/>
          <w:szCs w:val="32"/>
          <w:highlight w:val="none"/>
          <w:lang w:val="en-US" w:eastAsia="zh-CN"/>
          <w14:textFill>
            <w14:solidFill>
              <w14:schemeClr w14:val="tx1"/>
            </w14:solidFill>
          </w14:textFill>
        </w:rPr>
        <w:t>为的服务和监督管理；承办市局及经开区管委会交办的其他事项。</w:t>
      </w:r>
    </w:p>
    <w:p w14:paraId="1E44867D">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（二）部门（单位）整体支出规模、使用方向和主要内容、涉及范围</w:t>
      </w:r>
    </w:p>
    <w:p w14:paraId="3EE3AFD9">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2025年度，我单位整体支出年初预算金额7,876.35万元，全年预算金额8,657.13万元，决算总额为8,565.98万元，其中，基本支出为7,760.35万元，项目支出为805.63万元，资金来源主要为一般公共预算财政拨款。我单位经费支出主要用于基本支出和项目支出，基本支出主要用于保障单位人员履职、机构日常运转等刚性保障性支出，其中人员经费用于保障局机关及所属事业单位在职和离退休人员的工资福利、社会保险、住房公积金等基本待遇，确保队伍稳定、履职有力；公用经费则用于保障日常办公需求，保障基础工作有序开展。项目支出则是为完成特定工作任务或实现事业发展目标，在基本支出之外由财政预算专项安排的经费，聚焦市场监管主责主业，集中投向市场秩序维护、食品药品安全监管、特种设备安全监察、产品质量监管、知识产权促进与保护、消费者权益保护、市场综合执法等重点领域，通过专项业务费和发展建设类项目，推动各项监管服务任务落地见效。</w:t>
      </w:r>
    </w:p>
    <w:p w14:paraId="78F967FB">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t>二、一般公共预算支出情况</w:t>
      </w:r>
    </w:p>
    <w:p w14:paraId="614B5B4B">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楷体_GB2312" w:hAnsi="楷体_GB2312" w:eastAsia="楷体_GB2312" w:cs="楷体_GB2312"/>
          <w:b/>
          <w:bCs/>
          <w:color w:val="000000" w:themeColor="text1"/>
          <w:sz w:val="32"/>
          <w:szCs w:val="32"/>
          <w:highlight w:val="none"/>
          <w:lang w:val="en-US" w:eastAsia="zh-CN"/>
          <w14:textFill>
            <w14:solidFill>
              <w14:schemeClr w14:val="tx1"/>
            </w14:solidFill>
          </w14:textFill>
        </w:rPr>
      </w:pPr>
      <w:r>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（一）基本支出</w:t>
      </w:r>
    </w:p>
    <w:p w14:paraId="24F71045">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1.基本支出的主要用途、范围</w:t>
      </w:r>
    </w:p>
    <w:p w14:paraId="2B198791">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我单位基本支出为保障机关及所属事业单位正常运转、履行基本职能的刚性常态化支出，资金使用范围覆盖单位人员保障、日常办公运转、后勤运维保障等全域基础性工作，是保障市场监管各项工作平稳有序推进的重要支撑。</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一是</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人员经费支出，主要用于局机关及所属事业单位在职、离退休干部职工的工资福利、绩效奖励、社会保障缴费、住房公积金、职业年金及各类对个人和家庭的补助支出，全面落实人员薪资保障政策，稳固干部队伍稳定性，为单位常态化履职、行政执法、日常监管工作提供坚实人力保障。</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二是</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公用经费支出，主要涵盖办公耗材、水电物业、会务培训、公务差旅、设备购置及运维、印刷宣传、后勤保障等日常运转开支，全面覆盖单位日常办公、业务开展、基层履职、政务运行等基础性工作场景，有效保障单位机构规范运转、各项基础业务有序落地。</w:t>
      </w:r>
    </w:p>
    <w:p w14:paraId="3AAE9104">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2.资金的管理情况</w:t>
      </w:r>
    </w:p>
    <w:p w14:paraId="3FD1558D">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202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年基本支出为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7</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760</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35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万元，其中人员经费支出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6</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934</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68</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万元，公用经费支出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825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67</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万元。按经济科目划分，各项支出金额分别为：工资福利支出6,</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383</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39</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万元，商品和服务支出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821.12</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万元，对个人和家庭的补助</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551.28</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万元，资本性支出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4</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6</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w:t>
      </w:r>
    </w:p>
    <w:p w14:paraId="095405BA">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我单位严格把控基本支出资金管理，人员经费按编制、职级和政策精准测算，保障员工收入；公用经费综合设备更新、水电消耗等因素科学规划，避免资金浪费；财务部门定期跟踪资金流向，审核支出合规性，同时借助信息化系统实时监控进度，及时纠偏。</w:t>
      </w:r>
    </w:p>
    <w:p w14:paraId="340F1411">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3.</w:t>
      </w: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三公</w:t>
      </w: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经费的使用和管理情况</w:t>
      </w:r>
    </w:p>
    <w:p w14:paraId="70B2D2EA">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202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三公</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经费</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年初</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预算数为6</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9.00</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万元，其中公务用车</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购置及</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运行维护费</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57.50</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万元，公务接待费</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11.50</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元。202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年决算</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三公</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经费支出为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69.00</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万元，其中：公务用车</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购置及</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运行维护费</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67.31</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万元，公务接待费</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1.69</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w:t>
      </w:r>
    </w:p>
    <w:p w14:paraId="76A0A986">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202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我单位</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 xml:space="preserve">根据内部财务管理制度，以严谨规范的管理体系强化 </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三公</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经费管控，精准把控各项经费支出，各项经费依实际需求评估，避免不必要开支；公务用车购置及运行费结合车辆状况与使用数据科学测算，细化燃料、维修等明细费用，车辆使用全部纳入公务用车平台申请使用，维修由使用人申请，分管领导审批，极大地规范了车辆的使用和维修；公务接待费依据业务规模、标准和人次，严格控制预算金额，严格执行接待公函及清单制度，控制接待人数和接待标准。</w:t>
      </w:r>
    </w:p>
    <w:p w14:paraId="4F8B0E5B">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pPr>
      <w:r>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（二）项目支出</w:t>
      </w:r>
    </w:p>
    <w:p w14:paraId="14A80040">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1</w:t>
      </w: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项目资金安排落实、总投入等情况分析</w:t>
      </w:r>
    </w:p>
    <w:p w14:paraId="045DBCC5">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我单位202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年度项目资金预算金额1,3</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22</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51</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万元，截至202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年12月31日专项资金共计到位</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903.71</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万元，资金到位率</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68.33</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项目资金预算安排情况如下：</w:t>
      </w:r>
    </w:p>
    <w:tbl>
      <w:tblPr>
        <w:tblStyle w:val="6"/>
        <w:tblW w:w="574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838"/>
        <w:gridCol w:w="1846"/>
        <w:gridCol w:w="3711"/>
        <w:gridCol w:w="1744"/>
        <w:gridCol w:w="1878"/>
      </w:tblGrid>
      <w:tr w14:paraId="2E79D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tblHeader/>
          <w:jc w:val="center"/>
        </w:trPr>
        <w:tc>
          <w:tcPr>
            <w:tcW w:w="418" w:type="pct"/>
            <w:tcBorders>
              <w:tl2br w:val="nil"/>
              <w:tr2bl w:val="nil"/>
            </w:tcBorders>
            <w:shd w:val="clear" w:color="auto" w:fill="auto"/>
            <w:noWrap/>
            <w:vAlign w:val="center"/>
          </w:tcPr>
          <w:p w14:paraId="179859EA">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序号</w:t>
            </w:r>
          </w:p>
        </w:tc>
        <w:tc>
          <w:tcPr>
            <w:tcW w:w="921" w:type="pct"/>
            <w:tcBorders>
              <w:tl2br w:val="nil"/>
              <w:tr2bl w:val="nil"/>
            </w:tcBorders>
            <w:shd w:val="clear" w:color="auto" w:fill="auto"/>
            <w:noWrap/>
            <w:vAlign w:val="center"/>
          </w:tcPr>
          <w:p w14:paraId="0CA85F3F">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资金类别</w:t>
            </w:r>
          </w:p>
        </w:tc>
        <w:tc>
          <w:tcPr>
            <w:tcW w:w="1852" w:type="pct"/>
            <w:tcBorders>
              <w:tl2br w:val="nil"/>
              <w:tr2bl w:val="nil"/>
            </w:tcBorders>
            <w:shd w:val="clear" w:color="auto" w:fill="auto"/>
            <w:noWrap/>
            <w:vAlign w:val="center"/>
          </w:tcPr>
          <w:p w14:paraId="69A9E537">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项目类别</w:t>
            </w:r>
          </w:p>
        </w:tc>
        <w:tc>
          <w:tcPr>
            <w:tcW w:w="870" w:type="pct"/>
            <w:tcBorders>
              <w:tl2br w:val="nil"/>
              <w:tr2bl w:val="nil"/>
            </w:tcBorders>
            <w:shd w:val="clear" w:color="auto" w:fill="auto"/>
            <w:noWrap/>
            <w:vAlign w:val="center"/>
          </w:tcPr>
          <w:p w14:paraId="6D3D4BA6">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计划资金（万元）</w:t>
            </w:r>
          </w:p>
        </w:tc>
        <w:tc>
          <w:tcPr>
            <w:tcW w:w="937" w:type="pct"/>
            <w:tcBorders>
              <w:tl2br w:val="nil"/>
              <w:tr2bl w:val="nil"/>
            </w:tcBorders>
            <w:shd w:val="clear" w:color="auto" w:fill="auto"/>
            <w:noWrap/>
            <w:vAlign w:val="center"/>
          </w:tcPr>
          <w:p w14:paraId="33907045">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到位资金（万元）</w:t>
            </w:r>
          </w:p>
        </w:tc>
      </w:tr>
      <w:tr w14:paraId="2738E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418" w:type="pct"/>
            <w:vMerge w:val="restart"/>
            <w:tcBorders>
              <w:tl2br w:val="nil"/>
              <w:tr2bl w:val="nil"/>
            </w:tcBorders>
            <w:shd w:val="clear" w:color="auto" w:fill="auto"/>
            <w:noWrap/>
            <w:vAlign w:val="center"/>
          </w:tcPr>
          <w:p w14:paraId="2C834A35">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1</w:t>
            </w:r>
          </w:p>
        </w:tc>
        <w:tc>
          <w:tcPr>
            <w:tcW w:w="921" w:type="pct"/>
            <w:vMerge w:val="restart"/>
            <w:tcBorders>
              <w:tl2br w:val="nil"/>
              <w:tr2bl w:val="nil"/>
            </w:tcBorders>
            <w:shd w:val="clear" w:color="auto" w:fill="auto"/>
            <w:noWrap/>
            <w:vAlign w:val="center"/>
          </w:tcPr>
          <w:p w14:paraId="23E0F7D7">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中央食品监管补助资金</w:t>
            </w:r>
          </w:p>
        </w:tc>
        <w:tc>
          <w:tcPr>
            <w:tcW w:w="1852" w:type="pct"/>
            <w:tcBorders>
              <w:tl2br w:val="nil"/>
              <w:tr2bl w:val="nil"/>
            </w:tcBorders>
            <w:shd w:val="clear" w:color="auto" w:fill="auto"/>
            <w:noWrap/>
            <w:vAlign w:val="center"/>
          </w:tcPr>
          <w:p w14:paraId="3F3E6B80">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食品安全监管基本因素</w:t>
            </w:r>
          </w:p>
        </w:tc>
        <w:tc>
          <w:tcPr>
            <w:tcW w:w="870" w:type="pct"/>
            <w:tcBorders>
              <w:tl2br w:val="nil"/>
              <w:tr2bl w:val="nil"/>
            </w:tcBorders>
            <w:shd w:val="clear" w:color="auto" w:fill="auto"/>
            <w:noWrap/>
            <w:vAlign w:val="center"/>
          </w:tcPr>
          <w:p w14:paraId="0398722C">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15.00 </w:t>
            </w:r>
          </w:p>
        </w:tc>
        <w:tc>
          <w:tcPr>
            <w:tcW w:w="937" w:type="pct"/>
            <w:tcBorders>
              <w:tl2br w:val="nil"/>
              <w:tr2bl w:val="nil"/>
            </w:tcBorders>
            <w:shd w:val="clear" w:color="auto" w:fill="auto"/>
            <w:noWrap/>
            <w:vAlign w:val="center"/>
          </w:tcPr>
          <w:p w14:paraId="5A10D532">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15.00 </w:t>
            </w:r>
          </w:p>
        </w:tc>
      </w:tr>
      <w:tr w14:paraId="3CAFE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3" w:hRule="atLeast"/>
          <w:jc w:val="center"/>
        </w:trPr>
        <w:tc>
          <w:tcPr>
            <w:tcW w:w="418" w:type="pct"/>
            <w:vMerge w:val="continue"/>
            <w:tcBorders>
              <w:tl2br w:val="nil"/>
              <w:tr2bl w:val="nil"/>
            </w:tcBorders>
            <w:shd w:val="clear" w:color="auto" w:fill="auto"/>
            <w:noWrap/>
            <w:vAlign w:val="center"/>
          </w:tcPr>
          <w:p w14:paraId="24AA06CE">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67876397">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059CA5F3">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食品安全监管绩效管理因素</w:t>
            </w:r>
          </w:p>
        </w:tc>
        <w:tc>
          <w:tcPr>
            <w:tcW w:w="870" w:type="pct"/>
            <w:tcBorders>
              <w:tl2br w:val="nil"/>
              <w:tr2bl w:val="nil"/>
            </w:tcBorders>
            <w:shd w:val="clear" w:color="auto" w:fill="auto"/>
            <w:noWrap/>
            <w:vAlign w:val="center"/>
          </w:tcPr>
          <w:p w14:paraId="6CFC67B3">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20.00 </w:t>
            </w:r>
          </w:p>
        </w:tc>
        <w:tc>
          <w:tcPr>
            <w:tcW w:w="937" w:type="pct"/>
            <w:tcBorders>
              <w:tl2br w:val="nil"/>
              <w:tr2bl w:val="nil"/>
            </w:tcBorders>
            <w:shd w:val="clear" w:color="auto" w:fill="auto"/>
            <w:noWrap/>
            <w:vAlign w:val="center"/>
          </w:tcPr>
          <w:p w14:paraId="7112CEE3">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20.00 </w:t>
            </w:r>
          </w:p>
        </w:tc>
      </w:tr>
      <w:tr w14:paraId="6A8C3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418" w:type="pct"/>
            <w:vMerge w:val="restart"/>
            <w:tcBorders>
              <w:tl2br w:val="nil"/>
              <w:tr2bl w:val="nil"/>
            </w:tcBorders>
            <w:shd w:val="clear" w:color="auto" w:fill="auto"/>
            <w:noWrap/>
            <w:vAlign w:val="center"/>
          </w:tcPr>
          <w:p w14:paraId="74662242">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2</w:t>
            </w:r>
          </w:p>
        </w:tc>
        <w:tc>
          <w:tcPr>
            <w:tcW w:w="921" w:type="pct"/>
            <w:vMerge w:val="restart"/>
            <w:tcBorders>
              <w:tl2br w:val="nil"/>
              <w:tr2bl w:val="nil"/>
            </w:tcBorders>
            <w:shd w:val="clear" w:color="auto" w:fill="auto"/>
            <w:noWrap/>
            <w:vAlign w:val="center"/>
          </w:tcPr>
          <w:p w14:paraId="1E9E1137">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中央药品监管资金</w:t>
            </w:r>
          </w:p>
        </w:tc>
        <w:tc>
          <w:tcPr>
            <w:tcW w:w="1852" w:type="pct"/>
            <w:tcBorders>
              <w:tl2br w:val="nil"/>
              <w:tr2bl w:val="nil"/>
            </w:tcBorders>
            <w:shd w:val="clear" w:color="auto" w:fill="auto"/>
            <w:noWrap/>
            <w:vAlign w:val="center"/>
          </w:tcPr>
          <w:p w14:paraId="36CD5133">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药械化不良反应监测</w:t>
            </w:r>
          </w:p>
        </w:tc>
        <w:tc>
          <w:tcPr>
            <w:tcW w:w="870" w:type="pct"/>
            <w:tcBorders>
              <w:tl2br w:val="nil"/>
              <w:tr2bl w:val="nil"/>
            </w:tcBorders>
            <w:shd w:val="clear" w:color="auto" w:fill="auto"/>
            <w:noWrap/>
            <w:vAlign w:val="center"/>
          </w:tcPr>
          <w:p w14:paraId="288A08E2">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21.70 </w:t>
            </w:r>
          </w:p>
        </w:tc>
        <w:tc>
          <w:tcPr>
            <w:tcW w:w="937" w:type="pct"/>
            <w:tcBorders>
              <w:tl2br w:val="nil"/>
              <w:tr2bl w:val="nil"/>
            </w:tcBorders>
            <w:shd w:val="clear" w:color="auto" w:fill="auto"/>
            <w:noWrap/>
            <w:vAlign w:val="center"/>
          </w:tcPr>
          <w:p w14:paraId="1AA41390">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21.70 </w:t>
            </w:r>
          </w:p>
        </w:tc>
      </w:tr>
      <w:tr w14:paraId="32124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418" w:type="pct"/>
            <w:vMerge w:val="continue"/>
            <w:tcBorders>
              <w:tl2br w:val="nil"/>
              <w:tr2bl w:val="nil"/>
            </w:tcBorders>
            <w:shd w:val="clear" w:color="auto" w:fill="auto"/>
            <w:noWrap/>
            <w:vAlign w:val="center"/>
          </w:tcPr>
          <w:p w14:paraId="081B4F3C">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7E7CC973">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3E032A10">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药械化质量安全监管</w:t>
            </w:r>
          </w:p>
        </w:tc>
        <w:tc>
          <w:tcPr>
            <w:tcW w:w="870" w:type="pct"/>
            <w:tcBorders>
              <w:tl2br w:val="nil"/>
              <w:tr2bl w:val="nil"/>
            </w:tcBorders>
            <w:shd w:val="clear" w:color="auto" w:fill="auto"/>
            <w:noWrap/>
            <w:vAlign w:val="center"/>
          </w:tcPr>
          <w:p w14:paraId="26F374BF">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55.48 </w:t>
            </w:r>
          </w:p>
        </w:tc>
        <w:tc>
          <w:tcPr>
            <w:tcW w:w="937" w:type="pct"/>
            <w:tcBorders>
              <w:tl2br w:val="nil"/>
              <w:tr2bl w:val="nil"/>
            </w:tcBorders>
            <w:shd w:val="clear" w:color="auto" w:fill="auto"/>
            <w:noWrap/>
            <w:vAlign w:val="center"/>
          </w:tcPr>
          <w:p w14:paraId="5661AFAE">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55.48 </w:t>
            </w:r>
          </w:p>
        </w:tc>
      </w:tr>
      <w:tr w14:paraId="7C88A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418" w:type="pct"/>
            <w:vMerge w:val="continue"/>
            <w:tcBorders>
              <w:tl2br w:val="nil"/>
              <w:tr2bl w:val="nil"/>
            </w:tcBorders>
            <w:shd w:val="clear" w:color="auto" w:fill="auto"/>
            <w:noWrap/>
            <w:vAlign w:val="center"/>
          </w:tcPr>
          <w:p w14:paraId="1A9199AF">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0CE908D1">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19CAD4C2">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科普宣传应急</w:t>
            </w:r>
          </w:p>
        </w:tc>
        <w:tc>
          <w:tcPr>
            <w:tcW w:w="870" w:type="pct"/>
            <w:tcBorders>
              <w:tl2br w:val="nil"/>
              <w:tr2bl w:val="nil"/>
            </w:tcBorders>
            <w:shd w:val="clear" w:color="auto" w:fill="auto"/>
            <w:noWrap/>
            <w:vAlign w:val="center"/>
          </w:tcPr>
          <w:p w14:paraId="24EDE288">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10.00 </w:t>
            </w:r>
          </w:p>
        </w:tc>
        <w:tc>
          <w:tcPr>
            <w:tcW w:w="937" w:type="pct"/>
            <w:tcBorders>
              <w:tl2br w:val="nil"/>
              <w:tr2bl w:val="nil"/>
            </w:tcBorders>
            <w:shd w:val="clear" w:color="auto" w:fill="auto"/>
            <w:noWrap/>
            <w:vAlign w:val="center"/>
          </w:tcPr>
          <w:p w14:paraId="12F15BBD">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10.00 </w:t>
            </w:r>
          </w:p>
        </w:tc>
      </w:tr>
      <w:tr w14:paraId="3478D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418" w:type="pct"/>
            <w:vMerge w:val="continue"/>
            <w:tcBorders>
              <w:tl2br w:val="nil"/>
              <w:tr2bl w:val="nil"/>
            </w:tcBorders>
            <w:shd w:val="clear" w:color="auto" w:fill="auto"/>
            <w:noWrap/>
            <w:vAlign w:val="center"/>
          </w:tcPr>
          <w:p w14:paraId="470C3800">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4D441EB7">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2035051D">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药械化抽检</w:t>
            </w:r>
          </w:p>
        </w:tc>
        <w:tc>
          <w:tcPr>
            <w:tcW w:w="870" w:type="pct"/>
            <w:tcBorders>
              <w:tl2br w:val="nil"/>
              <w:tr2bl w:val="nil"/>
            </w:tcBorders>
            <w:shd w:val="clear" w:color="auto" w:fill="auto"/>
            <w:noWrap/>
            <w:vAlign w:val="center"/>
          </w:tcPr>
          <w:p w14:paraId="6B4AD7BC">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55.03 </w:t>
            </w:r>
          </w:p>
        </w:tc>
        <w:tc>
          <w:tcPr>
            <w:tcW w:w="937" w:type="pct"/>
            <w:tcBorders>
              <w:tl2br w:val="nil"/>
              <w:tr2bl w:val="nil"/>
            </w:tcBorders>
            <w:shd w:val="clear" w:color="auto" w:fill="auto"/>
            <w:noWrap/>
            <w:vAlign w:val="center"/>
          </w:tcPr>
          <w:p w14:paraId="3B86EB63">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55.03 </w:t>
            </w:r>
          </w:p>
        </w:tc>
      </w:tr>
      <w:tr w14:paraId="2E48F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2" w:hRule="atLeast"/>
          <w:jc w:val="center"/>
        </w:trPr>
        <w:tc>
          <w:tcPr>
            <w:tcW w:w="418" w:type="pct"/>
            <w:tcBorders>
              <w:tl2br w:val="nil"/>
              <w:tr2bl w:val="nil"/>
            </w:tcBorders>
            <w:shd w:val="clear" w:color="auto" w:fill="auto"/>
            <w:noWrap/>
            <w:vAlign w:val="center"/>
          </w:tcPr>
          <w:p w14:paraId="5A42D241">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3</w:t>
            </w:r>
          </w:p>
        </w:tc>
        <w:tc>
          <w:tcPr>
            <w:tcW w:w="921" w:type="pct"/>
            <w:tcBorders>
              <w:tl2br w:val="nil"/>
              <w:tr2bl w:val="nil"/>
            </w:tcBorders>
            <w:shd w:val="clear" w:color="auto" w:fill="auto"/>
            <w:noWrap/>
            <w:vAlign w:val="center"/>
          </w:tcPr>
          <w:p w14:paraId="6BD79F5F">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中央反垄断工作补助经费</w:t>
            </w:r>
          </w:p>
        </w:tc>
        <w:tc>
          <w:tcPr>
            <w:tcW w:w="1852" w:type="pct"/>
            <w:tcBorders>
              <w:tl2br w:val="nil"/>
              <w:tr2bl w:val="nil"/>
            </w:tcBorders>
            <w:shd w:val="clear" w:color="auto" w:fill="auto"/>
            <w:noWrap/>
            <w:vAlign w:val="center"/>
          </w:tcPr>
          <w:p w14:paraId="5903A97D">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中央反垄断工作补助经费</w:t>
            </w:r>
          </w:p>
        </w:tc>
        <w:tc>
          <w:tcPr>
            <w:tcW w:w="870" w:type="pct"/>
            <w:tcBorders>
              <w:tl2br w:val="nil"/>
              <w:tr2bl w:val="nil"/>
            </w:tcBorders>
            <w:shd w:val="clear" w:color="auto" w:fill="auto"/>
            <w:noWrap/>
            <w:vAlign w:val="center"/>
          </w:tcPr>
          <w:p w14:paraId="14EA6E0A">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10.00 </w:t>
            </w:r>
          </w:p>
        </w:tc>
        <w:tc>
          <w:tcPr>
            <w:tcW w:w="937" w:type="pct"/>
            <w:tcBorders>
              <w:tl2br w:val="nil"/>
              <w:tr2bl w:val="nil"/>
            </w:tcBorders>
            <w:shd w:val="clear" w:color="auto" w:fill="auto"/>
            <w:noWrap/>
            <w:vAlign w:val="center"/>
          </w:tcPr>
          <w:p w14:paraId="5B09FA74">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10.00 </w:t>
            </w:r>
          </w:p>
        </w:tc>
      </w:tr>
      <w:tr w14:paraId="6C070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2" w:hRule="atLeast"/>
          <w:jc w:val="center"/>
        </w:trPr>
        <w:tc>
          <w:tcPr>
            <w:tcW w:w="3192" w:type="pct"/>
            <w:gridSpan w:val="3"/>
            <w:tcBorders>
              <w:tl2br w:val="nil"/>
              <w:tr2bl w:val="nil"/>
            </w:tcBorders>
            <w:shd w:val="clear" w:color="auto" w:fill="auto"/>
            <w:noWrap/>
            <w:vAlign w:val="center"/>
          </w:tcPr>
          <w:p w14:paraId="4421195E">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中央资金小计</w:t>
            </w:r>
          </w:p>
        </w:tc>
        <w:tc>
          <w:tcPr>
            <w:tcW w:w="870" w:type="pct"/>
            <w:tcBorders>
              <w:tl2br w:val="nil"/>
              <w:tr2bl w:val="nil"/>
            </w:tcBorders>
            <w:shd w:val="clear" w:color="auto" w:fill="auto"/>
            <w:noWrap/>
            <w:vAlign w:val="center"/>
          </w:tcPr>
          <w:p w14:paraId="366CADA9">
            <w:pPr>
              <w:keepNext w:val="0"/>
              <w:keepLines w:val="0"/>
              <w:widowControl/>
              <w:suppressLineNumbers w:val="0"/>
              <w:jc w:val="right"/>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 xml:space="preserve"> 187.21 </w:t>
            </w:r>
          </w:p>
        </w:tc>
        <w:tc>
          <w:tcPr>
            <w:tcW w:w="937" w:type="pct"/>
            <w:tcBorders>
              <w:tl2br w:val="nil"/>
              <w:tr2bl w:val="nil"/>
            </w:tcBorders>
            <w:shd w:val="clear" w:color="auto" w:fill="auto"/>
            <w:noWrap/>
            <w:vAlign w:val="center"/>
          </w:tcPr>
          <w:p w14:paraId="3BF89AD4">
            <w:pPr>
              <w:keepNext w:val="0"/>
              <w:keepLines w:val="0"/>
              <w:widowControl/>
              <w:suppressLineNumbers w:val="0"/>
              <w:jc w:val="right"/>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 xml:space="preserve"> 187.21 </w:t>
            </w:r>
          </w:p>
        </w:tc>
      </w:tr>
      <w:tr w14:paraId="30AF4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2" w:hRule="atLeast"/>
          <w:jc w:val="center"/>
        </w:trPr>
        <w:tc>
          <w:tcPr>
            <w:tcW w:w="418" w:type="pct"/>
            <w:vMerge w:val="restart"/>
            <w:tcBorders>
              <w:tl2br w:val="nil"/>
              <w:tr2bl w:val="nil"/>
            </w:tcBorders>
            <w:shd w:val="clear" w:color="auto" w:fill="auto"/>
            <w:noWrap/>
            <w:vAlign w:val="center"/>
          </w:tcPr>
          <w:p w14:paraId="5126DF5B">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4</w:t>
            </w:r>
          </w:p>
        </w:tc>
        <w:tc>
          <w:tcPr>
            <w:tcW w:w="921" w:type="pct"/>
            <w:vMerge w:val="restart"/>
            <w:tcBorders>
              <w:tl2br w:val="nil"/>
              <w:tr2bl w:val="nil"/>
            </w:tcBorders>
            <w:shd w:val="clear" w:color="auto" w:fill="auto"/>
            <w:noWrap/>
            <w:vAlign w:val="center"/>
          </w:tcPr>
          <w:p w14:paraId="2D51CE00">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省级药品监管专项资金</w:t>
            </w:r>
          </w:p>
        </w:tc>
        <w:tc>
          <w:tcPr>
            <w:tcW w:w="1852" w:type="pct"/>
            <w:tcBorders>
              <w:tl2br w:val="nil"/>
              <w:tr2bl w:val="nil"/>
            </w:tcBorders>
            <w:shd w:val="clear" w:color="auto" w:fill="auto"/>
            <w:noWrap/>
            <w:vAlign w:val="center"/>
          </w:tcPr>
          <w:p w14:paraId="3767DD94">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药械化抽验</w:t>
            </w:r>
          </w:p>
        </w:tc>
        <w:tc>
          <w:tcPr>
            <w:tcW w:w="870" w:type="pct"/>
            <w:tcBorders>
              <w:tl2br w:val="nil"/>
              <w:tr2bl w:val="nil"/>
            </w:tcBorders>
            <w:shd w:val="clear" w:color="auto" w:fill="auto"/>
            <w:noWrap/>
            <w:vAlign w:val="center"/>
          </w:tcPr>
          <w:p w14:paraId="3FCE67FE">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27.00 </w:t>
            </w:r>
          </w:p>
        </w:tc>
        <w:tc>
          <w:tcPr>
            <w:tcW w:w="937" w:type="pct"/>
            <w:tcBorders>
              <w:tl2br w:val="nil"/>
              <w:tr2bl w:val="nil"/>
            </w:tcBorders>
            <w:shd w:val="clear" w:color="auto" w:fill="auto"/>
            <w:noWrap/>
            <w:vAlign w:val="center"/>
          </w:tcPr>
          <w:p w14:paraId="492B2DFF">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25.00 </w:t>
            </w:r>
          </w:p>
        </w:tc>
      </w:tr>
      <w:tr w14:paraId="460E0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6F8067EC">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2CD92132">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539E55E7">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湖南省中药材标准修订</w:t>
            </w:r>
          </w:p>
        </w:tc>
        <w:tc>
          <w:tcPr>
            <w:tcW w:w="870" w:type="pct"/>
            <w:tcBorders>
              <w:tl2br w:val="nil"/>
              <w:tr2bl w:val="nil"/>
            </w:tcBorders>
            <w:shd w:val="clear" w:color="auto" w:fill="auto"/>
            <w:noWrap/>
            <w:vAlign w:val="center"/>
          </w:tcPr>
          <w:p w14:paraId="6156045F">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20.15 </w:t>
            </w:r>
          </w:p>
        </w:tc>
        <w:tc>
          <w:tcPr>
            <w:tcW w:w="937" w:type="pct"/>
            <w:tcBorders>
              <w:tl2br w:val="nil"/>
              <w:tr2bl w:val="nil"/>
            </w:tcBorders>
            <w:shd w:val="clear" w:color="auto" w:fill="auto"/>
            <w:noWrap/>
            <w:vAlign w:val="center"/>
          </w:tcPr>
          <w:p w14:paraId="410D4F5D">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20.15 </w:t>
            </w:r>
          </w:p>
        </w:tc>
      </w:tr>
      <w:tr w14:paraId="3CE00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restart"/>
            <w:tcBorders>
              <w:tl2br w:val="nil"/>
              <w:tr2bl w:val="nil"/>
            </w:tcBorders>
            <w:shd w:val="clear" w:color="auto" w:fill="auto"/>
            <w:noWrap/>
            <w:vAlign w:val="center"/>
          </w:tcPr>
          <w:p w14:paraId="0518080E">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5</w:t>
            </w:r>
          </w:p>
        </w:tc>
        <w:tc>
          <w:tcPr>
            <w:tcW w:w="921" w:type="pct"/>
            <w:vMerge w:val="restart"/>
            <w:tcBorders>
              <w:tl2br w:val="nil"/>
              <w:tr2bl w:val="nil"/>
            </w:tcBorders>
            <w:shd w:val="clear" w:color="auto" w:fill="auto"/>
            <w:noWrap/>
            <w:vAlign w:val="center"/>
          </w:tcPr>
          <w:p w14:paraId="0A655B3D">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省级市场监管专项资金</w:t>
            </w:r>
          </w:p>
        </w:tc>
        <w:tc>
          <w:tcPr>
            <w:tcW w:w="1852" w:type="pct"/>
            <w:tcBorders>
              <w:tl2br w:val="nil"/>
              <w:tr2bl w:val="nil"/>
            </w:tcBorders>
            <w:shd w:val="clear" w:color="auto" w:fill="auto"/>
            <w:noWrap/>
            <w:vAlign w:val="center"/>
          </w:tcPr>
          <w:p w14:paraId="148DFEBD">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高质量监管补助</w:t>
            </w:r>
          </w:p>
        </w:tc>
        <w:tc>
          <w:tcPr>
            <w:tcW w:w="870" w:type="pct"/>
            <w:tcBorders>
              <w:tl2br w:val="nil"/>
              <w:tr2bl w:val="nil"/>
            </w:tcBorders>
            <w:shd w:val="clear" w:color="auto" w:fill="auto"/>
            <w:noWrap/>
            <w:vAlign w:val="center"/>
          </w:tcPr>
          <w:p w14:paraId="2A6A48BB">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145.00 </w:t>
            </w:r>
          </w:p>
        </w:tc>
        <w:tc>
          <w:tcPr>
            <w:tcW w:w="937" w:type="pct"/>
            <w:tcBorders>
              <w:tl2br w:val="nil"/>
              <w:tr2bl w:val="nil"/>
            </w:tcBorders>
            <w:shd w:val="clear" w:color="auto" w:fill="auto"/>
            <w:noWrap/>
            <w:vAlign w:val="center"/>
          </w:tcPr>
          <w:p w14:paraId="10FDE005">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60.00 </w:t>
            </w:r>
          </w:p>
        </w:tc>
      </w:tr>
      <w:tr w14:paraId="42174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64F65E8B">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3031B2FB">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6B344807">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标准化项目</w:t>
            </w:r>
          </w:p>
        </w:tc>
        <w:tc>
          <w:tcPr>
            <w:tcW w:w="870" w:type="pct"/>
            <w:tcBorders>
              <w:tl2br w:val="nil"/>
              <w:tr2bl w:val="nil"/>
            </w:tcBorders>
            <w:shd w:val="clear" w:color="auto" w:fill="auto"/>
            <w:noWrap/>
            <w:vAlign w:val="center"/>
          </w:tcPr>
          <w:p w14:paraId="599AECF0">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5.00 </w:t>
            </w:r>
          </w:p>
        </w:tc>
        <w:tc>
          <w:tcPr>
            <w:tcW w:w="937" w:type="pct"/>
            <w:tcBorders>
              <w:tl2br w:val="nil"/>
              <w:tr2bl w:val="nil"/>
            </w:tcBorders>
            <w:shd w:val="clear" w:color="auto" w:fill="auto"/>
            <w:noWrap/>
            <w:vAlign w:val="center"/>
          </w:tcPr>
          <w:p w14:paraId="4BDA6E97">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   </w:t>
            </w:r>
          </w:p>
        </w:tc>
      </w:tr>
      <w:tr w14:paraId="26400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32241B62">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5CB826E9">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7A637822">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科技项目</w:t>
            </w:r>
          </w:p>
        </w:tc>
        <w:tc>
          <w:tcPr>
            <w:tcW w:w="870" w:type="pct"/>
            <w:tcBorders>
              <w:tl2br w:val="nil"/>
              <w:tr2bl w:val="nil"/>
            </w:tcBorders>
            <w:shd w:val="clear" w:color="auto" w:fill="auto"/>
            <w:noWrap/>
            <w:vAlign w:val="center"/>
          </w:tcPr>
          <w:p w14:paraId="1E364E07">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5.00 </w:t>
            </w:r>
          </w:p>
        </w:tc>
        <w:tc>
          <w:tcPr>
            <w:tcW w:w="937" w:type="pct"/>
            <w:tcBorders>
              <w:tl2br w:val="nil"/>
              <w:tr2bl w:val="nil"/>
            </w:tcBorders>
            <w:shd w:val="clear" w:color="auto" w:fill="auto"/>
            <w:noWrap/>
            <w:vAlign w:val="center"/>
          </w:tcPr>
          <w:p w14:paraId="325D0FCB">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5.00 </w:t>
            </w:r>
          </w:p>
        </w:tc>
      </w:tr>
      <w:tr w14:paraId="26E06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3A277E01">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65F2171F">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41BD5C46">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绩效管理因素</w:t>
            </w:r>
          </w:p>
        </w:tc>
        <w:tc>
          <w:tcPr>
            <w:tcW w:w="870" w:type="pct"/>
            <w:tcBorders>
              <w:tl2br w:val="nil"/>
              <w:tr2bl w:val="nil"/>
            </w:tcBorders>
            <w:shd w:val="clear" w:color="auto" w:fill="auto"/>
            <w:noWrap/>
            <w:vAlign w:val="center"/>
          </w:tcPr>
          <w:p w14:paraId="07D4F951">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5.00 </w:t>
            </w:r>
          </w:p>
        </w:tc>
        <w:tc>
          <w:tcPr>
            <w:tcW w:w="937" w:type="pct"/>
            <w:tcBorders>
              <w:tl2br w:val="nil"/>
              <w:tr2bl w:val="nil"/>
            </w:tcBorders>
            <w:shd w:val="clear" w:color="auto" w:fill="auto"/>
            <w:noWrap/>
            <w:vAlign w:val="center"/>
          </w:tcPr>
          <w:p w14:paraId="56C06F6B">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   </w:t>
            </w:r>
          </w:p>
        </w:tc>
      </w:tr>
      <w:tr w14:paraId="75045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jc w:val="center"/>
        </w:trPr>
        <w:tc>
          <w:tcPr>
            <w:tcW w:w="418" w:type="pct"/>
            <w:vMerge w:val="continue"/>
            <w:tcBorders>
              <w:tl2br w:val="nil"/>
              <w:tr2bl w:val="nil"/>
            </w:tcBorders>
            <w:shd w:val="clear" w:color="auto" w:fill="auto"/>
            <w:noWrap/>
            <w:vAlign w:val="center"/>
          </w:tcPr>
          <w:p w14:paraId="242438C3">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19C40207">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07E388A8">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2022年真抓实干督查激励个人奖励金</w:t>
            </w:r>
          </w:p>
        </w:tc>
        <w:tc>
          <w:tcPr>
            <w:tcW w:w="870" w:type="pct"/>
            <w:tcBorders>
              <w:tl2br w:val="nil"/>
              <w:tr2bl w:val="nil"/>
            </w:tcBorders>
            <w:shd w:val="clear" w:color="auto" w:fill="auto"/>
            <w:noWrap/>
            <w:vAlign w:val="center"/>
          </w:tcPr>
          <w:p w14:paraId="23FD95AD">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0.15 </w:t>
            </w:r>
          </w:p>
        </w:tc>
        <w:tc>
          <w:tcPr>
            <w:tcW w:w="937" w:type="pct"/>
            <w:tcBorders>
              <w:tl2br w:val="nil"/>
              <w:tr2bl w:val="nil"/>
            </w:tcBorders>
            <w:shd w:val="clear" w:color="auto" w:fill="auto"/>
            <w:noWrap/>
            <w:vAlign w:val="center"/>
          </w:tcPr>
          <w:p w14:paraId="5E7219AE">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0.15 </w:t>
            </w:r>
          </w:p>
        </w:tc>
      </w:tr>
      <w:tr w14:paraId="402D4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2" w:hRule="atLeast"/>
          <w:jc w:val="center"/>
        </w:trPr>
        <w:tc>
          <w:tcPr>
            <w:tcW w:w="418" w:type="pct"/>
            <w:tcBorders>
              <w:tl2br w:val="nil"/>
              <w:tr2bl w:val="nil"/>
            </w:tcBorders>
            <w:shd w:val="clear" w:color="auto" w:fill="auto"/>
            <w:noWrap/>
            <w:vAlign w:val="center"/>
          </w:tcPr>
          <w:p w14:paraId="1E497A2E">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6</w:t>
            </w:r>
          </w:p>
        </w:tc>
        <w:tc>
          <w:tcPr>
            <w:tcW w:w="921" w:type="pct"/>
            <w:tcBorders>
              <w:tl2br w:val="nil"/>
              <w:tr2bl w:val="nil"/>
            </w:tcBorders>
            <w:shd w:val="clear" w:color="auto" w:fill="auto"/>
            <w:vAlign w:val="center"/>
          </w:tcPr>
          <w:p w14:paraId="36D54824">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省级市场监管业务补助资金</w:t>
            </w:r>
          </w:p>
        </w:tc>
        <w:tc>
          <w:tcPr>
            <w:tcW w:w="1852" w:type="pct"/>
            <w:tcBorders>
              <w:tl2br w:val="nil"/>
              <w:tr2bl w:val="nil"/>
            </w:tcBorders>
            <w:shd w:val="clear" w:color="auto" w:fill="auto"/>
            <w:noWrap/>
            <w:vAlign w:val="center"/>
          </w:tcPr>
          <w:p w14:paraId="0B7EC93B">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重点工作及项目</w:t>
            </w:r>
          </w:p>
        </w:tc>
        <w:tc>
          <w:tcPr>
            <w:tcW w:w="870" w:type="pct"/>
            <w:tcBorders>
              <w:tl2br w:val="nil"/>
              <w:tr2bl w:val="nil"/>
            </w:tcBorders>
            <w:shd w:val="clear" w:color="auto" w:fill="auto"/>
            <w:noWrap/>
            <w:vAlign w:val="center"/>
          </w:tcPr>
          <w:p w14:paraId="23E79612">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100.00 </w:t>
            </w:r>
          </w:p>
        </w:tc>
        <w:tc>
          <w:tcPr>
            <w:tcW w:w="937" w:type="pct"/>
            <w:tcBorders>
              <w:tl2br w:val="nil"/>
              <w:tr2bl w:val="nil"/>
            </w:tcBorders>
            <w:shd w:val="clear" w:color="auto" w:fill="auto"/>
            <w:noWrap/>
            <w:vAlign w:val="center"/>
          </w:tcPr>
          <w:p w14:paraId="7E52E219">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   </w:t>
            </w:r>
          </w:p>
        </w:tc>
      </w:tr>
      <w:tr w14:paraId="787E8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3192" w:type="pct"/>
            <w:gridSpan w:val="3"/>
            <w:tcBorders>
              <w:tl2br w:val="nil"/>
              <w:tr2bl w:val="nil"/>
            </w:tcBorders>
            <w:shd w:val="clear" w:color="auto" w:fill="auto"/>
            <w:noWrap/>
            <w:vAlign w:val="center"/>
          </w:tcPr>
          <w:p w14:paraId="62270548">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省级资金小计</w:t>
            </w:r>
          </w:p>
        </w:tc>
        <w:tc>
          <w:tcPr>
            <w:tcW w:w="870" w:type="pct"/>
            <w:tcBorders>
              <w:tl2br w:val="nil"/>
              <w:tr2bl w:val="nil"/>
            </w:tcBorders>
            <w:shd w:val="clear" w:color="auto" w:fill="auto"/>
            <w:noWrap/>
            <w:vAlign w:val="center"/>
          </w:tcPr>
          <w:p w14:paraId="2FC078A8">
            <w:pPr>
              <w:keepNext w:val="0"/>
              <w:keepLines w:val="0"/>
              <w:widowControl/>
              <w:suppressLineNumbers w:val="0"/>
              <w:jc w:val="right"/>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 xml:space="preserve"> 307.30 </w:t>
            </w:r>
          </w:p>
        </w:tc>
        <w:tc>
          <w:tcPr>
            <w:tcW w:w="937" w:type="pct"/>
            <w:tcBorders>
              <w:tl2br w:val="nil"/>
              <w:tr2bl w:val="nil"/>
            </w:tcBorders>
            <w:shd w:val="clear" w:color="auto" w:fill="auto"/>
            <w:noWrap/>
            <w:vAlign w:val="center"/>
          </w:tcPr>
          <w:p w14:paraId="3D951550">
            <w:pPr>
              <w:keepNext w:val="0"/>
              <w:keepLines w:val="0"/>
              <w:widowControl/>
              <w:suppressLineNumbers w:val="0"/>
              <w:jc w:val="right"/>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 xml:space="preserve"> 110.30 </w:t>
            </w:r>
          </w:p>
        </w:tc>
      </w:tr>
      <w:tr w14:paraId="0CC83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restart"/>
            <w:tcBorders>
              <w:tl2br w:val="nil"/>
              <w:tr2bl w:val="nil"/>
            </w:tcBorders>
            <w:shd w:val="clear" w:color="auto" w:fill="auto"/>
            <w:noWrap/>
            <w:vAlign w:val="center"/>
          </w:tcPr>
          <w:p w14:paraId="0B8245B8">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7</w:t>
            </w:r>
          </w:p>
        </w:tc>
        <w:tc>
          <w:tcPr>
            <w:tcW w:w="921" w:type="pct"/>
            <w:vMerge w:val="restart"/>
            <w:tcBorders>
              <w:tl2br w:val="nil"/>
              <w:tr2bl w:val="nil"/>
            </w:tcBorders>
            <w:shd w:val="clear" w:color="auto" w:fill="auto"/>
            <w:noWrap/>
            <w:vAlign w:val="center"/>
          </w:tcPr>
          <w:p w14:paraId="38736117">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市级专项资金</w:t>
            </w:r>
          </w:p>
        </w:tc>
        <w:tc>
          <w:tcPr>
            <w:tcW w:w="1852" w:type="pct"/>
            <w:tcBorders>
              <w:tl2br w:val="nil"/>
              <w:tr2bl w:val="nil"/>
            </w:tcBorders>
            <w:shd w:val="clear" w:color="auto" w:fill="auto"/>
            <w:noWrap/>
            <w:vAlign w:val="center"/>
          </w:tcPr>
          <w:p w14:paraId="0AA127D6">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特种设备安全监管经费</w:t>
            </w:r>
          </w:p>
        </w:tc>
        <w:tc>
          <w:tcPr>
            <w:tcW w:w="870" w:type="pct"/>
            <w:tcBorders>
              <w:tl2br w:val="nil"/>
              <w:tr2bl w:val="nil"/>
            </w:tcBorders>
            <w:shd w:val="clear" w:color="auto" w:fill="auto"/>
            <w:noWrap/>
            <w:vAlign w:val="center"/>
          </w:tcPr>
          <w:p w14:paraId="116EF529">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7.50 </w:t>
            </w:r>
          </w:p>
        </w:tc>
        <w:tc>
          <w:tcPr>
            <w:tcW w:w="937" w:type="pct"/>
            <w:tcBorders>
              <w:tl2br w:val="nil"/>
              <w:tr2bl w:val="nil"/>
            </w:tcBorders>
            <w:shd w:val="clear" w:color="auto" w:fill="auto"/>
            <w:noWrap/>
            <w:vAlign w:val="center"/>
          </w:tcPr>
          <w:p w14:paraId="234A95B7">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7.50 </w:t>
            </w:r>
          </w:p>
        </w:tc>
      </w:tr>
      <w:tr w14:paraId="6B793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19441C1F">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34483371">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2B7E35AB">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药品抽检样品购买费用</w:t>
            </w:r>
          </w:p>
        </w:tc>
        <w:tc>
          <w:tcPr>
            <w:tcW w:w="870" w:type="pct"/>
            <w:tcBorders>
              <w:tl2br w:val="nil"/>
              <w:tr2bl w:val="nil"/>
            </w:tcBorders>
            <w:shd w:val="clear" w:color="auto" w:fill="auto"/>
            <w:noWrap/>
            <w:vAlign w:val="center"/>
          </w:tcPr>
          <w:p w14:paraId="4FB96FC1">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25.00 </w:t>
            </w:r>
          </w:p>
        </w:tc>
        <w:tc>
          <w:tcPr>
            <w:tcW w:w="937" w:type="pct"/>
            <w:tcBorders>
              <w:tl2br w:val="nil"/>
              <w:tr2bl w:val="nil"/>
            </w:tcBorders>
            <w:shd w:val="clear" w:color="auto" w:fill="auto"/>
            <w:noWrap/>
            <w:vAlign w:val="center"/>
          </w:tcPr>
          <w:p w14:paraId="0A3E0213">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25.00 </w:t>
            </w:r>
          </w:p>
        </w:tc>
      </w:tr>
      <w:tr w14:paraId="3F9E1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68C33DF0">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2C991BB0">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7D142E7A">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食品综合协调</w:t>
            </w:r>
          </w:p>
        </w:tc>
        <w:tc>
          <w:tcPr>
            <w:tcW w:w="870" w:type="pct"/>
            <w:tcBorders>
              <w:tl2br w:val="nil"/>
              <w:tr2bl w:val="nil"/>
            </w:tcBorders>
            <w:shd w:val="clear" w:color="auto" w:fill="auto"/>
            <w:noWrap/>
            <w:vAlign w:val="center"/>
          </w:tcPr>
          <w:p w14:paraId="5C01E765">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10.00 </w:t>
            </w:r>
          </w:p>
        </w:tc>
        <w:tc>
          <w:tcPr>
            <w:tcW w:w="937" w:type="pct"/>
            <w:tcBorders>
              <w:tl2br w:val="nil"/>
              <w:tr2bl w:val="nil"/>
            </w:tcBorders>
            <w:shd w:val="clear" w:color="auto" w:fill="auto"/>
            <w:noWrap/>
            <w:vAlign w:val="center"/>
          </w:tcPr>
          <w:p w14:paraId="328D3265">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3.20 </w:t>
            </w:r>
          </w:p>
        </w:tc>
      </w:tr>
      <w:tr w14:paraId="11DD2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3" w:hRule="atLeast"/>
          <w:jc w:val="center"/>
        </w:trPr>
        <w:tc>
          <w:tcPr>
            <w:tcW w:w="418" w:type="pct"/>
            <w:vMerge w:val="continue"/>
            <w:tcBorders>
              <w:tl2br w:val="nil"/>
              <w:tr2bl w:val="nil"/>
            </w:tcBorders>
            <w:shd w:val="clear" w:color="auto" w:fill="auto"/>
            <w:noWrap/>
            <w:vAlign w:val="center"/>
          </w:tcPr>
          <w:p w14:paraId="5949736D">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5516E771">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598DA2DA">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市场监管领域抽检（包含食品抽检、流通领域商品抽检、成品油抽检、食盐监管）</w:t>
            </w:r>
          </w:p>
        </w:tc>
        <w:tc>
          <w:tcPr>
            <w:tcW w:w="870" w:type="pct"/>
            <w:tcBorders>
              <w:tl2br w:val="nil"/>
              <w:tr2bl w:val="nil"/>
            </w:tcBorders>
            <w:shd w:val="clear" w:color="auto" w:fill="auto"/>
            <w:noWrap/>
            <w:vAlign w:val="center"/>
          </w:tcPr>
          <w:p w14:paraId="091E9FC6">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443.00 </w:t>
            </w:r>
          </w:p>
        </w:tc>
        <w:tc>
          <w:tcPr>
            <w:tcW w:w="937" w:type="pct"/>
            <w:tcBorders>
              <w:tl2br w:val="nil"/>
              <w:tr2bl w:val="nil"/>
            </w:tcBorders>
            <w:shd w:val="clear" w:color="auto" w:fill="auto"/>
            <w:noWrap/>
            <w:vAlign w:val="center"/>
          </w:tcPr>
          <w:p w14:paraId="5F0137A4">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284.00 </w:t>
            </w:r>
          </w:p>
        </w:tc>
      </w:tr>
      <w:tr w14:paraId="01669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619AB3E3">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5B3D8943">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12D0B6FE">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消委（消协）工作保障经费</w:t>
            </w:r>
          </w:p>
        </w:tc>
        <w:tc>
          <w:tcPr>
            <w:tcW w:w="870" w:type="pct"/>
            <w:tcBorders>
              <w:tl2br w:val="nil"/>
              <w:tr2bl w:val="nil"/>
            </w:tcBorders>
            <w:shd w:val="clear" w:color="auto" w:fill="auto"/>
            <w:noWrap/>
            <w:vAlign w:val="center"/>
          </w:tcPr>
          <w:p w14:paraId="1EB8D617">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30.00 </w:t>
            </w:r>
          </w:p>
        </w:tc>
        <w:tc>
          <w:tcPr>
            <w:tcW w:w="937" w:type="pct"/>
            <w:tcBorders>
              <w:tl2br w:val="nil"/>
              <w:tr2bl w:val="nil"/>
            </w:tcBorders>
            <w:shd w:val="clear" w:color="auto" w:fill="auto"/>
            <w:noWrap/>
            <w:vAlign w:val="center"/>
          </w:tcPr>
          <w:p w14:paraId="4299BC08">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30.00 </w:t>
            </w:r>
          </w:p>
        </w:tc>
      </w:tr>
      <w:tr w14:paraId="7C6F9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5BA4D1B0">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143451B0">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4B449CE9">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政府质量工作考核专项经费</w:t>
            </w:r>
          </w:p>
        </w:tc>
        <w:tc>
          <w:tcPr>
            <w:tcW w:w="870" w:type="pct"/>
            <w:tcBorders>
              <w:tl2br w:val="nil"/>
              <w:tr2bl w:val="nil"/>
            </w:tcBorders>
            <w:shd w:val="clear" w:color="auto" w:fill="auto"/>
            <w:noWrap/>
            <w:vAlign w:val="center"/>
          </w:tcPr>
          <w:p w14:paraId="0D4850D7">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5.00 </w:t>
            </w:r>
          </w:p>
        </w:tc>
        <w:tc>
          <w:tcPr>
            <w:tcW w:w="937" w:type="pct"/>
            <w:tcBorders>
              <w:tl2br w:val="nil"/>
              <w:tr2bl w:val="nil"/>
            </w:tcBorders>
            <w:shd w:val="clear" w:color="auto" w:fill="auto"/>
            <w:noWrap/>
            <w:vAlign w:val="center"/>
          </w:tcPr>
          <w:p w14:paraId="3DACC45A">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2.00 </w:t>
            </w:r>
          </w:p>
        </w:tc>
      </w:tr>
      <w:tr w14:paraId="66842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391257D3">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2056E881">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4C193AA9">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公平竞争审查专项</w:t>
            </w:r>
          </w:p>
        </w:tc>
        <w:tc>
          <w:tcPr>
            <w:tcW w:w="870" w:type="pct"/>
            <w:tcBorders>
              <w:tl2br w:val="nil"/>
              <w:tr2bl w:val="nil"/>
            </w:tcBorders>
            <w:shd w:val="clear" w:color="auto" w:fill="auto"/>
            <w:noWrap/>
            <w:vAlign w:val="center"/>
          </w:tcPr>
          <w:p w14:paraId="4C76EC22">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5.00 </w:t>
            </w:r>
          </w:p>
        </w:tc>
        <w:tc>
          <w:tcPr>
            <w:tcW w:w="937" w:type="pct"/>
            <w:tcBorders>
              <w:tl2br w:val="nil"/>
              <w:tr2bl w:val="nil"/>
            </w:tcBorders>
            <w:shd w:val="clear" w:color="auto" w:fill="auto"/>
            <w:noWrap/>
            <w:vAlign w:val="center"/>
          </w:tcPr>
          <w:p w14:paraId="0C1333B3">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3.60 </w:t>
            </w:r>
          </w:p>
        </w:tc>
      </w:tr>
      <w:tr w14:paraId="44859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34E05206">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2793B5C4">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32067292">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打击传销工作专项经费</w:t>
            </w:r>
          </w:p>
        </w:tc>
        <w:tc>
          <w:tcPr>
            <w:tcW w:w="870" w:type="pct"/>
            <w:tcBorders>
              <w:tl2br w:val="nil"/>
              <w:tr2bl w:val="nil"/>
            </w:tcBorders>
            <w:shd w:val="clear" w:color="auto" w:fill="auto"/>
            <w:noWrap/>
            <w:vAlign w:val="center"/>
          </w:tcPr>
          <w:p w14:paraId="4820314D">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5.00 </w:t>
            </w:r>
          </w:p>
        </w:tc>
        <w:tc>
          <w:tcPr>
            <w:tcW w:w="937" w:type="pct"/>
            <w:tcBorders>
              <w:tl2br w:val="nil"/>
              <w:tr2bl w:val="nil"/>
            </w:tcBorders>
            <w:shd w:val="clear" w:color="auto" w:fill="auto"/>
            <w:noWrap/>
            <w:vAlign w:val="center"/>
          </w:tcPr>
          <w:p w14:paraId="300FD73C">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4.00 </w:t>
            </w:r>
          </w:p>
        </w:tc>
      </w:tr>
      <w:tr w14:paraId="1EED8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590D2E59">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4A8C1743">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39024EE5">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食品药品稽查打假、举报奖励</w:t>
            </w:r>
          </w:p>
        </w:tc>
        <w:tc>
          <w:tcPr>
            <w:tcW w:w="870" w:type="pct"/>
            <w:tcBorders>
              <w:tl2br w:val="nil"/>
              <w:tr2bl w:val="nil"/>
            </w:tcBorders>
            <w:shd w:val="clear" w:color="auto" w:fill="auto"/>
            <w:noWrap/>
            <w:vAlign w:val="center"/>
          </w:tcPr>
          <w:p w14:paraId="7CBBC974">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10.00 </w:t>
            </w:r>
          </w:p>
        </w:tc>
        <w:tc>
          <w:tcPr>
            <w:tcW w:w="937" w:type="pct"/>
            <w:tcBorders>
              <w:tl2br w:val="nil"/>
              <w:tr2bl w:val="nil"/>
            </w:tcBorders>
            <w:shd w:val="clear" w:color="auto" w:fill="auto"/>
            <w:noWrap/>
            <w:vAlign w:val="center"/>
          </w:tcPr>
          <w:p w14:paraId="16CB2F46">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6.00 </w:t>
            </w:r>
          </w:p>
        </w:tc>
      </w:tr>
      <w:tr w14:paraId="659E4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0897B69D">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1C383D59">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22F9D973">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食品安全“两个责任”专班经费</w:t>
            </w:r>
          </w:p>
        </w:tc>
        <w:tc>
          <w:tcPr>
            <w:tcW w:w="870" w:type="pct"/>
            <w:tcBorders>
              <w:tl2br w:val="nil"/>
              <w:tr2bl w:val="nil"/>
            </w:tcBorders>
            <w:shd w:val="clear" w:color="auto" w:fill="auto"/>
            <w:noWrap/>
            <w:vAlign w:val="center"/>
          </w:tcPr>
          <w:p w14:paraId="733B990F">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10.00 </w:t>
            </w:r>
          </w:p>
        </w:tc>
        <w:tc>
          <w:tcPr>
            <w:tcW w:w="937" w:type="pct"/>
            <w:tcBorders>
              <w:tl2br w:val="nil"/>
              <w:tr2bl w:val="nil"/>
            </w:tcBorders>
            <w:shd w:val="clear" w:color="auto" w:fill="auto"/>
            <w:noWrap/>
            <w:vAlign w:val="center"/>
          </w:tcPr>
          <w:p w14:paraId="55C77411">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2.00 </w:t>
            </w:r>
          </w:p>
        </w:tc>
      </w:tr>
      <w:tr w14:paraId="071D9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36ABB46B">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04565FA8">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4F75980B">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知识产权专项事业费（含执法费）</w:t>
            </w:r>
          </w:p>
        </w:tc>
        <w:tc>
          <w:tcPr>
            <w:tcW w:w="870" w:type="pct"/>
            <w:tcBorders>
              <w:tl2br w:val="nil"/>
              <w:tr2bl w:val="nil"/>
            </w:tcBorders>
            <w:shd w:val="clear" w:color="auto" w:fill="auto"/>
            <w:noWrap/>
            <w:vAlign w:val="center"/>
          </w:tcPr>
          <w:p w14:paraId="6777162B">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50.00 </w:t>
            </w:r>
          </w:p>
        </w:tc>
        <w:tc>
          <w:tcPr>
            <w:tcW w:w="937" w:type="pct"/>
            <w:tcBorders>
              <w:tl2br w:val="nil"/>
              <w:tr2bl w:val="nil"/>
            </w:tcBorders>
            <w:shd w:val="clear" w:color="auto" w:fill="auto"/>
            <w:noWrap/>
            <w:vAlign w:val="center"/>
          </w:tcPr>
          <w:p w14:paraId="283FDD98">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50.00 </w:t>
            </w:r>
          </w:p>
        </w:tc>
      </w:tr>
      <w:tr w14:paraId="564E7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7F5607E8">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3F7CA81A">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2BBFCAE1">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新开办企业公章刻制费</w:t>
            </w:r>
          </w:p>
        </w:tc>
        <w:tc>
          <w:tcPr>
            <w:tcW w:w="870" w:type="pct"/>
            <w:tcBorders>
              <w:tl2br w:val="nil"/>
              <w:tr2bl w:val="nil"/>
            </w:tcBorders>
            <w:shd w:val="clear" w:color="auto" w:fill="auto"/>
            <w:noWrap/>
            <w:vAlign w:val="center"/>
          </w:tcPr>
          <w:p w14:paraId="1BB30738">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20.00 </w:t>
            </w:r>
          </w:p>
        </w:tc>
        <w:tc>
          <w:tcPr>
            <w:tcW w:w="937" w:type="pct"/>
            <w:tcBorders>
              <w:tl2br w:val="nil"/>
              <w:tr2bl w:val="nil"/>
            </w:tcBorders>
            <w:shd w:val="clear" w:color="auto" w:fill="auto"/>
            <w:noWrap/>
            <w:vAlign w:val="center"/>
          </w:tcPr>
          <w:p w14:paraId="23DA9D4E">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3.00 </w:t>
            </w:r>
          </w:p>
        </w:tc>
      </w:tr>
      <w:tr w14:paraId="5433C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0E825F6A">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15C6E846">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37874C1D">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市场监督管理执法办案经费</w:t>
            </w:r>
          </w:p>
        </w:tc>
        <w:tc>
          <w:tcPr>
            <w:tcW w:w="870" w:type="pct"/>
            <w:tcBorders>
              <w:tl2br w:val="nil"/>
              <w:tr2bl w:val="nil"/>
            </w:tcBorders>
            <w:shd w:val="clear" w:color="auto" w:fill="auto"/>
            <w:noWrap/>
            <w:vAlign w:val="center"/>
          </w:tcPr>
          <w:p w14:paraId="4F708C27">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60.00 </w:t>
            </w:r>
          </w:p>
        </w:tc>
        <w:tc>
          <w:tcPr>
            <w:tcW w:w="937" w:type="pct"/>
            <w:tcBorders>
              <w:tl2br w:val="nil"/>
              <w:tr2bl w:val="nil"/>
            </w:tcBorders>
            <w:shd w:val="clear" w:color="auto" w:fill="auto"/>
            <w:noWrap/>
            <w:vAlign w:val="center"/>
          </w:tcPr>
          <w:p w14:paraId="730A25BC">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60.00 </w:t>
            </w:r>
          </w:p>
        </w:tc>
      </w:tr>
      <w:tr w14:paraId="364E9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3D925DC8">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735AB54F">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555AFB75">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食品药品保化品监测经费</w:t>
            </w:r>
          </w:p>
        </w:tc>
        <w:tc>
          <w:tcPr>
            <w:tcW w:w="870" w:type="pct"/>
            <w:tcBorders>
              <w:tl2br w:val="nil"/>
              <w:tr2bl w:val="nil"/>
            </w:tcBorders>
            <w:shd w:val="clear" w:color="auto" w:fill="auto"/>
            <w:noWrap/>
            <w:vAlign w:val="center"/>
          </w:tcPr>
          <w:p w14:paraId="39EA2059">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50.00 </w:t>
            </w:r>
          </w:p>
        </w:tc>
        <w:tc>
          <w:tcPr>
            <w:tcW w:w="937" w:type="pct"/>
            <w:tcBorders>
              <w:tl2br w:val="nil"/>
              <w:tr2bl w:val="nil"/>
            </w:tcBorders>
            <w:shd w:val="clear" w:color="auto" w:fill="auto"/>
            <w:noWrap/>
            <w:vAlign w:val="center"/>
          </w:tcPr>
          <w:p w14:paraId="3F6AB460">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12.20 </w:t>
            </w:r>
          </w:p>
        </w:tc>
      </w:tr>
      <w:tr w14:paraId="5A09E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5B4DF522">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6E1B5416">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5C59BEDD">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产商品质量监督检验费</w:t>
            </w:r>
          </w:p>
        </w:tc>
        <w:tc>
          <w:tcPr>
            <w:tcW w:w="870" w:type="pct"/>
            <w:tcBorders>
              <w:tl2br w:val="nil"/>
              <w:tr2bl w:val="nil"/>
            </w:tcBorders>
            <w:shd w:val="clear" w:color="auto" w:fill="auto"/>
            <w:noWrap/>
            <w:vAlign w:val="center"/>
          </w:tcPr>
          <w:p w14:paraId="6784F328">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25.00 </w:t>
            </w:r>
          </w:p>
        </w:tc>
        <w:tc>
          <w:tcPr>
            <w:tcW w:w="937" w:type="pct"/>
            <w:tcBorders>
              <w:tl2br w:val="nil"/>
              <w:tr2bl w:val="nil"/>
            </w:tcBorders>
            <w:shd w:val="clear" w:color="auto" w:fill="auto"/>
            <w:noWrap/>
            <w:vAlign w:val="center"/>
          </w:tcPr>
          <w:p w14:paraId="2990AA6A">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4.00 </w:t>
            </w:r>
          </w:p>
        </w:tc>
      </w:tr>
      <w:tr w14:paraId="46482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13A03B0E">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74E13188">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40DE1585">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食品相关产品抽查检验费</w:t>
            </w:r>
          </w:p>
        </w:tc>
        <w:tc>
          <w:tcPr>
            <w:tcW w:w="870" w:type="pct"/>
            <w:tcBorders>
              <w:tl2br w:val="nil"/>
              <w:tr2bl w:val="nil"/>
            </w:tcBorders>
            <w:shd w:val="clear" w:color="auto" w:fill="auto"/>
            <w:noWrap/>
            <w:vAlign w:val="center"/>
          </w:tcPr>
          <w:p w14:paraId="5DBB11E5">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15.00 </w:t>
            </w:r>
          </w:p>
        </w:tc>
        <w:tc>
          <w:tcPr>
            <w:tcW w:w="937" w:type="pct"/>
            <w:tcBorders>
              <w:tl2br w:val="nil"/>
              <w:tr2bl w:val="nil"/>
            </w:tcBorders>
            <w:shd w:val="clear" w:color="auto" w:fill="auto"/>
            <w:noWrap/>
            <w:vAlign w:val="center"/>
          </w:tcPr>
          <w:p w14:paraId="0D37D54B">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8.10 </w:t>
            </w:r>
          </w:p>
        </w:tc>
      </w:tr>
      <w:tr w14:paraId="576F9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5185A7AE">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048CCF34">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6CC45FAB">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重点工业产品抽查与检验费计量</w:t>
            </w:r>
          </w:p>
        </w:tc>
        <w:tc>
          <w:tcPr>
            <w:tcW w:w="870" w:type="pct"/>
            <w:tcBorders>
              <w:tl2br w:val="nil"/>
              <w:tr2bl w:val="nil"/>
            </w:tcBorders>
            <w:shd w:val="clear" w:color="auto" w:fill="auto"/>
            <w:noWrap/>
            <w:vAlign w:val="center"/>
          </w:tcPr>
          <w:p w14:paraId="2D0A320E">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7.50 </w:t>
            </w:r>
          </w:p>
        </w:tc>
        <w:tc>
          <w:tcPr>
            <w:tcW w:w="937" w:type="pct"/>
            <w:tcBorders>
              <w:tl2br w:val="nil"/>
              <w:tr2bl w:val="nil"/>
            </w:tcBorders>
            <w:shd w:val="clear" w:color="auto" w:fill="auto"/>
            <w:noWrap/>
            <w:vAlign w:val="center"/>
          </w:tcPr>
          <w:p w14:paraId="7DDD2791">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6.60 </w:t>
            </w:r>
          </w:p>
        </w:tc>
      </w:tr>
      <w:tr w14:paraId="210D4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681B11BE">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4F1978B2">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4E851AE1">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计量强制检定经费</w:t>
            </w:r>
          </w:p>
        </w:tc>
        <w:tc>
          <w:tcPr>
            <w:tcW w:w="870" w:type="pct"/>
            <w:tcBorders>
              <w:tl2br w:val="nil"/>
              <w:tr2bl w:val="nil"/>
            </w:tcBorders>
            <w:shd w:val="clear" w:color="auto" w:fill="auto"/>
            <w:noWrap/>
            <w:vAlign w:val="center"/>
          </w:tcPr>
          <w:p w14:paraId="1B11B89A">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50.00 </w:t>
            </w:r>
          </w:p>
        </w:tc>
        <w:tc>
          <w:tcPr>
            <w:tcW w:w="937" w:type="pct"/>
            <w:tcBorders>
              <w:tl2br w:val="nil"/>
              <w:tr2bl w:val="nil"/>
            </w:tcBorders>
            <w:shd w:val="clear" w:color="auto" w:fill="auto"/>
            <w:noWrap/>
            <w:vAlign w:val="center"/>
          </w:tcPr>
          <w:p w14:paraId="1F291535">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15.00 </w:t>
            </w:r>
          </w:p>
        </w:tc>
      </w:tr>
      <w:tr w14:paraId="7739C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2" w:hRule="atLeast"/>
          <w:jc w:val="center"/>
        </w:trPr>
        <w:tc>
          <w:tcPr>
            <w:tcW w:w="418" w:type="pct"/>
            <w:vMerge w:val="continue"/>
            <w:tcBorders>
              <w:tl2br w:val="nil"/>
              <w:tr2bl w:val="nil"/>
            </w:tcBorders>
            <w:shd w:val="clear" w:color="auto" w:fill="auto"/>
            <w:noWrap/>
            <w:vAlign w:val="center"/>
          </w:tcPr>
          <w:p w14:paraId="22C0DE95">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21" w:type="pct"/>
            <w:vMerge w:val="continue"/>
            <w:tcBorders>
              <w:tl2br w:val="nil"/>
              <w:tr2bl w:val="nil"/>
            </w:tcBorders>
            <w:shd w:val="clear" w:color="auto" w:fill="auto"/>
            <w:noWrap/>
            <w:vAlign w:val="center"/>
          </w:tcPr>
          <w:p w14:paraId="17D31924">
            <w:pPr>
              <w:jc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1852" w:type="pct"/>
            <w:tcBorders>
              <w:tl2br w:val="nil"/>
              <w:tr2bl w:val="nil"/>
            </w:tcBorders>
            <w:shd w:val="clear" w:color="auto" w:fill="auto"/>
            <w:noWrap/>
            <w:vAlign w:val="center"/>
          </w:tcPr>
          <w:p w14:paraId="554ADE86">
            <w:pPr>
              <w:keepNext w:val="0"/>
              <w:keepLines w:val="0"/>
              <w:widowControl/>
              <w:suppressLineNumbers w:val="0"/>
              <w:jc w:val="both"/>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发明专利申请补贴</w:t>
            </w:r>
          </w:p>
        </w:tc>
        <w:tc>
          <w:tcPr>
            <w:tcW w:w="870" w:type="pct"/>
            <w:tcBorders>
              <w:tl2br w:val="nil"/>
              <w:tr2bl w:val="nil"/>
            </w:tcBorders>
            <w:shd w:val="clear" w:color="auto" w:fill="auto"/>
            <w:noWrap/>
            <w:vAlign w:val="center"/>
          </w:tcPr>
          <w:p w14:paraId="66336BB3">
            <w:pPr>
              <w:jc w:val="right"/>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p>
        </w:tc>
        <w:tc>
          <w:tcPr>
            <w:tcW w:w="937" w:type="pct"/>
            <w:tcBorders>
              <w:tl2br w:val="nil"/>
              <w:tr2bl w:val="nil"/>
            </w:tcBorders>
            <w:shd w:val="clear" w:color="auto" w:fill="auto"/>
            <w:noWrap/>
            <w:vAlign w:val="center"/>
          </w:tcPr>
          <w:p w14:paraId="2B1DBAD5">
            <w:pPr>
              <w:keepNext w:val="0"/>
              <w:keepLines w:val="0"/>
              <w:widowControl/>
              <w:suppressLineNumbers w:val="0"/>
              <w:jc w:val="right"/>
              <w:textAlignment w:val="center"/>
              <w:rPr>
                <w:rFonts w:hint="default" w:ascii="Times New Roman" w:hAnsi="Times New Roman" w:eastAsia="仿宋_GB2312" w:cs="Times New Roman"/>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0"/>
                <w:szCs w:val="20"/>
                <w:u w:val="none"/>
                <w:lang w:val="en-US" w:eastAsia="zh-CN" w:bidi="ar"/>
                <w14:textFill>
                  <w14:solidFill>
                    <w14:schemeClr w14:val="tx1"/>
                  </w14:solidFill>
                </w14:textFill>
              </w:rPr>
              <w:t xml:space="preserve"> 80.00 </w:t>
            </w:r>
          </w:p>
        </w:tc>
      </w:tr>
      <w:tr w14:paraId="02CCB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2" w:hRule="atLeast"/>
          <w:jc w:val="center"/>
        </w:trPr>
        <w:tc>
          <w:tcPr>
            <w:tcW w:w="3192" w:type="pct"/>
            <w:gridSpan w:val="3"/>
            <w:tcBorders>
              <w:tl2br w:val="nil"/>
              <w:tr2bl w:val="nil"/>
            </w:tcBorders>
            <w:shd w:val="clear" w:color="auto" w:fill="auto"/>
            <w:noWrap/>
            <w:vAlign w:val="center"/>
          </w:tcPr>
          <w:p w14:paraId="003F0ED9">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市级资金小计</w:t>
            </w:r>
          </w:p>
        </w:tc>
        <w:tc>
          <w:tcPr>
            <w:tcW w:w="870" w:type="pct"/>
            <w:tcBorders>
              <w:tl2br w:val="nil"/>
              <w:tr2bl w:val="nil"/>
            </w:tcBorders>
            <w:shd w:val="clear" w:color="auto" w:fill="auto"/>
            <w:noWrap/>
            <w:vAlign w:val="center"/>
          </w:tcPr>
          <w:p w14:paraId="7E1D8DF1">
            <w:pPr>
              <w:keepNext w:val="0"/>
              <w:keepLines w:val="0"/>
              <w:widowControl/>
              <w:suppressLineNumbers w:val="0"/>
              <w:jc w:val="right"/>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 xml:space="preserve"> 828.00 </w:t>
            </w:r>
          </w:p>
        </w:tc>
        <w:tc>
          <w:tcPr>
            <w:tcW w:w="937" w:type="pct"/>
            <w:tcBorders>
              <w:tl2br w:val="nil"/>
              <w:tr2bl w:val="nil"/>
            </w:tcBorders>
            <w:shd w:val="clear" w:color="auto" w:fill="auto"/>
            <w:noWrap/>
            <w:vAlign w:val="center"/>
          </w:tcPr>
          <w:p w14:paraId="17F23C84">
            <w:pPr>
              <w:keepNext w:val="0"/>
              <w:keepLines w:val="0"/>
              <w:widowControl/>
              <w:suppressLineNumbers w:val="0"/>
              <w:jc w:val="right"/>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 xml:space="preserve"> 606.20 </w:t>
            </w:r>
          </w:p>
        </w:tc>
      </w:tr>
      <w:tr w14:paraId="72CED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2" w:hRule="atLeast"/>
          <w:jc w:val="center"/>
        </w:trPr>
        <w:tc>
          <w:tcPr>
            <w:tcW w:w="3192" w:type="pct"/>
            <w:gridSpan w:val="3"/>
            <w:tcBorders>
              <w:tl2br w:val="nil"/>
              <w:tr2bl w:val="nil"/>
            </w:tcBorders>
            <w:shd w:val="clear" w:color="auto" w:fill="auto"/>
            <w:noWrap/>
            <w:vAlign w:val="center"/>
          </w:tcPr>
          <w:p w14:paraId="6DE9869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合计</w:t>
            </w:r>
          </w:p>
        </w:tc>
        <w:tc>
          <w:tcPr>
            <w:tcW w:w="870" w:type="pct"/>
            <w:tcBorders>
              <w:tl2br w:val="nil"/>
              <w:tr2bl w:val="nil"/>
            </w:tcBorders>
            <w:shd w:val="clear" w:color="auto" w:fill="auto"/>
            <w:noWrap/>
            <w:vAlign w:val="center"/>
          </w:tcPr>
          <w:p w14:paraId="4C18FBE0">
            <w:pPr>
              <w:keepNext w:val="0"/>
              <w:keepLines w:val="0"/>
              <w:widowControl/>
              <w:suppressLineNumbers w:val="0"/>
              <w:jc w:val="right"/>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 xml:space="preserve"> 1,322.51 </w:t>
            </w:r>
          </w:p>
        </w:tc>
        <w:tc>
          <w:tcPr>
            <w:tcW w:w="937" w:type="pct"/>
            <w:tcBorders>
              <w:tl2br w:val="nil"/>
              <w:tr2bl w:val="nil"/>
            </w:tcBorders>
            <w:shd w:val="clear" w:color="auto" w:fill="auto"/>
            <w:noWrap/>
            <w:vAlign w:val="center"/>
          </w:tcPr>
          <w:p w14:paraId="1BE35111">
            <w:pPr>
              <w:keepNext w:val="0"/>
              <w:keepLines w:val="0"/>
              <w:widowControl/>
              <w:suppressLineNumbers w:val="0"/>
              <w:jc w:val="right"/>
              <w:textAlignment w:val="center"/>
              <w:rPr>
                <w:rFonts w:hint="default" w:ascii="Times New Roman" w:hAnsi="Times New Roman" w:eastAsia="仿宋_GB2312" w:cs="Times New Roman"/>
                <w:b/>
                <w:bCs/>
                <w:i w:val="0"/>
                <w:iCs w:val="0"/>
                <w:color w:val="000000" w:themeColor="text1"/>
                <w:sz w:val="20"/>
                <w:szCs w:val="20"/>
                <w:u w:val="none"/>
                <w14:textFill>
                  <w14:solidFill>
                    <w14:schemeClr w14:val="tx1"/>
                  </w14:solidFill>
                </w14:textFill>
              </w:rPr>
            </w:pPr>
            <w:r>
              <w:rPr>
                <w:rFonts w:hint="default" w:ascii="Times New Roman" w:hAnsi="Times New Roman" w:eastAsia="仿宋_GB2312" w:cs="Times New Roman"/>
                <w:b/>
                <w:bCs/>
                <w:i w:val="0"/>
                <w:iCs w:val="0"/>
                <w:color w:val="000000" w:themeColor="text1"/>
                <w:kern w:val="0"/>
                <w:sz w:val="20"/>
                <w:szCs w:val="20"/>
                <w:u w:val="none"/>
                <w:lang w:val="en-US" w:eastAsia="zh-CN" w:bidi="ar"/>
                <w14:textFill>
                  <w14:solidFill>
                    <w14:schemeClr w14:val="tx1"/>
                  </w14:solidFill>
                </w14:textFill>
              </w:rPr>
              <w:t xml:space="preserve"> 903.71 </w:t>
            </w:r>
          </w:p>
        </w:tc>
      </w:tr>
    </w:tbl>
    <w:p w14:paraId="5762EE64">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2</w:t>
      </w: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项目资金实际使用情况分析</w:t>
      </w:r>
    </w:p>
    <w:p w14:paraId="2FF5BD47">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202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年项目支出合计</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805.63</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万元，预算资金使用率</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89.15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%。按经济科目划分，其中：</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工资和福利支出10.05万元，</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商品和服务支出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783.54</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万元，资本性支出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12.04</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w:t>
      </w:r>
    </w:p>
    <w:p w14:paraId="09B68106">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按资金来源划分，其中：中央资金支出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102.23</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万元，省级资金支出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97.20</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万元，市级资金支出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606.20</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w:t>
      </w:r>
    </w:p>
    <w:p w14:paraId="5FEC2158">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3</w:t>
      </w: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项目资金管理情况分析</w:t>
      </w:r>
    </w:p>
    <w:p w14:paraId="18E6AB27">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依据《中华人民共和国预算法》《湖南省市场监督管理专项资金管理办法》，我单位制定了《关于对中央食品监管补助资金绩效管理办法》《怀化市市场监督管理局省级资金绩效管理办法（试行）》《财务管理制度》《预算管理、专项资金管理制度》等一系列管理制度，并严格按照上述管理办法执行，对专项资金进行专项核算、专款专用，确保不存在截留、挤占、挪用、虚列支出等情况，认真贯彻执行专项资金绩效管理的规章制度和具体要求，提高专项资金使用效益。</w:t>
      </w:r>
    </w:p>
    <w:p w14:paraId="11FE044B">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t>三、项目组织实施情况</w:t>
      </w:r>
    </w:p>
    <w:p w14:paraId="7F17479F">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pPr>
      <w:r>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（一）项目组织情况分析</w:t>
      </w:r>
    </w:p>
    <w:p w14:paraId="554FF9C1">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我单位项目由局本级及市检验检测中心、直属二局组织实施。我单位构建了</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决策</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管理</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执行</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三级项目组织架构，项目实施流程涵盖立项规划、执行监控、验收总结三阶段：立项规划阶段从需求提出、可行性研究到审批立项，再制定详细计划；执行监控阶段通过启动会议明确任务，执行团队依计划开展工作，管理办公室利用信息系统跟踪进度、把控质量、监管资金、应对风险；验收总结阶段，执行团队提交申请后由评</w:t>
      </w:r>
      <w:r>
        <w:rPr>
          <w:rFonts w:hint="default" w:ascii="Times New Roman Regular" w:hAnsi="Times New Roman Regular" w:eastAsia="仿宋_GB2312" w:cs="Times New Roman Regular"/>
          <w:color w:val="000000" w:themeColor="text1"/>
          <w:spacing w:val="6"/>
          <w:sz w:val="32"/>
          <w:szCs w:val="32"/>
          <w:highlight w:val="none"/>
          <w:lang w:val="en-US" w:eastAsia="zh-CN"/>
          <w14:textFill>
            <w14:solidFill>
              <w14:schemeClr w14:val="tx1"/>
            </w14:solidFill>
          </w14:textFill>
        </w:rPr>
        <w:t>审小组评估，依据结论结项或整改，最后全面总结评估以优化管理。</w:t>
      </w:r>
    </w:p>
    <w:p w14:paraId="7027F220">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2025年度，我</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单位</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严格按照国家及省、市关于政府采购、招投标、项目管理的法律法规和制度规定，对部门整体支出项目实施全过程规范化组织管理，招投标程序依法合规，项目调整严格审批，竣工验收规范有序，确保了各项目顺利实施和资金安全运行。</w:t>
      </w:r>
    </w:p>
    <w:p w14:paraId="4AB0B9E3">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pPr>
      <w:r>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（二）项目管理情况分析</w:t>
      </w:r>
    </w:p>
    <w:p w14:paraId="590E5D8B">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我单位高度重视项目管理工作，成立由主要领导任组长、分管领导任副组长、相关科室负责人为成员的项目管理工作领导小组，明确规划财务科为项目管理牵头科室，各业务科室为项目实施责任单位。按照</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谁实施、谁负责</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的原则，层层压实管理责任，做到每个项目都有明确的分管领导、责任科室和具体责任人，形成了一级抓一级、层层抓落实的工作格局。项目实施严格执行《中华人民共和国政府采购法》《政府会计制度》及上级市场监管部门和财政部门关于专项资金管理的各项规定。修订完善了《专项资金管理办法》《政府采购内控管理制度》《合同管理办法》等制度，实现了项目立项、招标采购、合同签订、项目实施、竣工验收、资金支付各环节的制度全覆盖。所有项目均纳入预算管理一体化系统，实行全过程线上留痕、动态监控。</w:t>
      </w:r>
    </w:p>
    <w:p w14:paraId="53D6913C">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t>四、资产管理情况</w:t>
      </w:r>
    </w:p>
    <w:p w14:paraId="083D74A5">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pPr>
      <w:r>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（一）资产配置情况</w:t>
      </w:r>
    </w:p>
    <w:p w14:paraId="4DE2FA11">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截至202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年12月31日，我单位国有资产总额</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493.64</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其中，</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流动资产6</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3</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.25万元；无形资产1</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2.23</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万元；固定资产</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418.16</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具体包括：</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房屋和构筑物2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39.03</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万元，占比</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57.16</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%；设备</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96.30</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万元，占比</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23.03</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%；图书和档案16.46万元，占比3.</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94</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%；家具和用具</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66.37</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万元，占比1</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.87%。202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年度我单位配置固定资产</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12.71</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万元，其中配置设备</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8.16</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万元，配置家具和用具</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4.55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w:t>
      </w:r>
    </w:p>
    <w:p w14:paraId="1FDD574A">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截至202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年12月31日，市检验检测中心国有资产</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总额</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1,</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614</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94</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其中，</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流动资产72.52万元；无形资产88.96万元；在建工程685.09万元；固定资产</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768.36</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具体包括：</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房屋和构筑物1</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58.45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万元，占比</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20.62</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%；设备</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559.51</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万元，占比</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72.82</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%；图书和档案20.08万元，占比</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2.61</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%；家具和用具</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30.32</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万元，占比3.</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95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%。202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年度市检验检测中心配置固定资产</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2.41</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万元，其中配置设备</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1.61</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万元，配置家具和用具</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0.8</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0万元。</w:t>
      </w:r>
    </w:p>
    <w:p w14:paraId="09112ADF">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截至202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年12月31日，直属二局国有资产</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总额</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45.42</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其中，</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无形资产</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44.03</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万元；固定资产2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01.39</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具体包括：</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房屋和构筑物1</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80.16</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万元，占比8</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9.46</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%；设备</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11.69</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万元，占比</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5.80</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%；家具和用具</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9.54</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万元，占比</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4.74</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%。202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年度直属二局</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无新增</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资产</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配置</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p>
    <w:p w14:paraId="760D3489">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pPr>
      <w:r>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（二）资产管理情况</w:t>
      </w:r>
    </w:p>
    <w:p w14:paraId="3CC459F5">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我单位国有资产管理工作稳步推进，依据上级文件精神，结合单位实际，制定并印发了《怀化市市场监督管理局固定资产管理细则》，极大地提升单位资产管理工作的质量和水平、运行绩效。我单位资产配置严格按照预算管理和资产配置标准执行，购置部门需在单位编报年度预算时先报预算，经财务部门汇总，待预算审批下达后严格按预算执行，无预算不得购置。购置时，使用部门提出配置申请，填写《资产配置审批表》经财务分管领导审批，报机关事务局和财政局审核，批准后在</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政府采购电子卖场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进行采购。涉及资产调拨、捐赠、报废等处置事项，均报机关事务局及财政部门批准。</w:t>
      </w:r>
    </w:p>
    <w:p w14:paraId="629FAB3A">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pPr>
      <w:r>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（三）资产处置情况</w:t>
      </w:r>
    </w:p>
    <w:p w14:paraId="1A78C758">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我单位严格执行资产管理制度要求，资产报废处置均由机关纪检、办公室、财务三部门联合勘察认定，原值10万以上资产报废经评估机构评估残值，处置收益不得低于评估值，处置收益严格执行</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收支两条线</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p>
    <w:p w14:paraId="204F1439">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202</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年度</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我单位</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处置资产122.80万元，</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均为</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无偿划转资产。直属二局处置资产</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6.35</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万元，均为达到资产使用年限进行的报废处置。</w:t>
      </w:r>
    </w:p>
    <w:p w14:paraId="42FEAD34">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t>五、政府性基金预算支出情况</w:t>
      </w:r>
    </w:p>
    <w:p w14:paraId="09B0AC72">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2025年度我单位无政府性基金预算支出。</w:t>
      </w:r>
    </w:p>
    <w:p w14:paraId="6B895012">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t>六、国有资本经营预算支出情况</w:t>
      </w:r>
    </w:p>
    <w:p w14:paraId="2121B379">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2025年度我单位无国有资本经营预算支出。</w:t>
      </w:r>
    </w:p>
    <w:p w14:paraId="27D658A1">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t>七、社会保险基金预算支出情况</w:t>
      </w:r>
    </w:p>
    <w:p w14:paraId="3F5504A3">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2025年度我单位无社会保险基金预算支出。</w:t>
      </w:r>
    </w:p>
    <w:p w14:paraId="7364F510">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t>八、部门整体支出绩效情况</w:t>
      </w:r>
    </w:p>
    <w:p w14:paraId="4C768D8C">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（一）经营主体培育实现新突破</w:t>
      </w:r>
    </w:p>
    <w:p w14:paraId="6D4924FF">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1.</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商事服务更优。</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牵头落实</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一网通办</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一窗受理</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，审批材料精简40%，时限压缩60%，企业开办全流程控制在2</w:t>
      </w:r>
      <w:bookmarkStart w:id="0" w:name="_GoBack"/>
      <w:r>
        <w:rPr>
          <w:rFonts w:hint="default" w:ascii="Times New Roman Regular" w:hAnsi="Times New Roman Regular" w:eastAsia="仿宋_GB2312" w:cs="Times New Roman Regular"/>
          <w:color w:val="000000" w:themeColor="text1"/>
          <w:spacing w:val="-6"/>
          <w:sz w:val="32"/>
          <w:szCs w:val="32"/>
          <w:highlight w:val="none"/>
          <w:lang w:val="en-US" w:eastAsia="zh-CN"/>
          <w14:textFill>
            <w14:solidFill>
              <w14:schemeClr w14:val="tx1"/>
            </w14:solidFill>
          </w14:textFill>
        </w:rPr>
        <w:t>个工作日内，全程电子化办结率98.21%，平台累计办件1459件。</w:t>
      </w:r>
      <w:bookmarkEnd w:id="0"/>
    </w:p>
    <w:p w14:paraId="493467B5">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2.</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市场运行更畅。</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严格执行市场准入负面清单，清理隐性壁垒12项。完成公平竞争审查存量政策314件，整改问题文件6件。</w:t>
      </w:r>
    </w:p>
    <w:p w14:paraId="7A1B9637">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3.</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发展动能更强。</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构建梯次培育体系，期末全市实有经营主体42.75万户（增长2.74%），其中企业9.36万户（增长6.98%）。</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四上</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企业达3124家，增长7.9%，增速全省排名第2。</w:t>
      </w:r>
    </w:p>
    <w:p w14:paraId="4203FE87">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eastAsia"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（二）服务高质量发展展现新作为</w:t>
      </w:r>
    </w:p>
    <w:p w14:paraId="30280FE3">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1.</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落实知识产权战略。</w:t>
      </w:r>
      <w:r>
        <w:rPr>
          <w:rFonts w:hint="eastAsia"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一</w:t>
      </w: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是</w:t>
      </w:r>
      <w:r>
        <w:rPr>
          <w:rFonts w:hint="default"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创新要素加速集聚。成功组建覆盖专利、商标全领域的市级知识产权专家库，专业智力支撑体系实现从无到有的突破。有效发明专利达2123件，每万人拥有量4.81件，每万人口高价值发明专利拥有量达1.5件，同比增速11.99%，位列全省第三</w:t>
      </w:r>
      <w:r>
        <w:rPr>
          <w:rFonts w:hint="eastAsia"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；二</w:t>
      </w: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是</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运用效益显著提升</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。知识产权金融创新取得关键进展，截至2025年10月实现质押融资2.298亿元，同比大幅增长69.93%，增速跃居全省第二；地理标志品牌价值持续释放，总量达52件，使用率提升至75%，稳居全省首位；三</w:t>
      </w: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是</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保护体系更加健全。知识产权纠纷多元化解机制取得实质性突破，行政执法与司法保护衔接更加顺畅，处理某珠宝店侵犯“金六福”注册商标专用权案成功入选2024年全省知识产权保护“十大优秀案例”，示范效应明显。</w:t>
      </w:r>
    </w:p>
    <w:p w14:paraId="59829C3A">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2.</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深化质量提升。</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指导建成箱包检验检测实验室和省级茯苓质检中心。出台新业态监管指引，助力实现国家级制造业单项冠军</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零的突破</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，国家级</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小巨人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企业数量翻番。</w:t>
      </w:r>
    </w:p>
    <w:p w14:paraId="7A33665A">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3.</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推进标准化建设</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。出台地方标准管理办法，助力入选国家级服务业标准化试点城市，获批联合国多功能国际口岸代码。推动我市首项国家标准获批，指导成功申报国家级高新技术标准化试点及首个省级旅游服务标准化试点。</w:t>
      </w:r>
    </w:p>
    <w:p w14:paraId="13311BD4">
      <w:pPr>
        <w:keepNext w:val="0"/>
        <w:keepLines w:val="0"/>
        <w:pageBreakBefore w:val="0"/>
        <w:widowControl w:val="0"/>
        <w:kinsoku/>
        <w:wordWrap/>
        <w:overflowPunct/>
        <w:topLinePunct w:val="0"/>
        <w:autoSpaceDE/>
        <w:autoSpaceDN/>
        <w:bidi w:val="0"/>
        <w:adjustRightInd/>
        <w:snapToGrid w:val="0"/>
        <w:spacing w:line="620" w:lineRule="exact"/>
        <w:ind w:firstLine="640" w:firstLineChars="200"/>
        <w:textAlignment w:val="auto"/>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w:t>
      </w:r>
      <w:r>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三）重点领域安全获得新提升</w:t>
      </w:r>
    </w:p>
    <w:p w14:paraId="2BD04EA4">
      <w:pPr>
        <w:keepNext w:val="0"/>
        <w:keepLines w:val="0"/>
        <w:pageBreakBefore w:val="0"/>
        <w:widowControl w:val="0"/>
        <w:kinsoku/>
        <w:wordWrap/>
        <w:overflowPunct/>
        <w:topLinePunct w:val="0"/>
        <w:autoSpaceDE/>
        <w:autoSpaceDN/>
        <w:bidi w:val="0"/>
        <w:adjustRightInd/>
        <w:snapToGrid w:val="0"/>
        <w:spacing w:line="62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1.</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强化食品安全监管。</w:t>
      </w:r>
      <w:r>
        <w:rPr>
          <w:rFonts w:hint="default"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坚持</w:t>
      </w:r>
      <w:r>
        <w:rPr>
          <w:rFonts w:hint="eastAsia"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四个最严</w:t>
      </w:r>
      <w:r>
        <w:rPr>
          <w:rFonts w:hint="eastAsia"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，重拳出击非法添加、生产经营有毒有害食品等严重违法行为，严厉打击</w:t>
      </w:r>
      <w:r>
        <w:rPr>
          <w:rFonts w:hint="eastAsia"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幽灵外卖</w:t>
      </w:r>
      <w:r>
        <w:rPr>
          <w:rFonts w:hint="eastAsia"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等影响百姓生活的隐蔽违法行为</w:t>
      </w:r>
      <w:r>
        <w:rPr>
          <w:rFonts w:hint="eastAsia"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强化大要案件查处力度，拓展深化行刑衔接。</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落实</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两个责任</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，包保覆盖率98.12%，检查主体5万余家，整改问题6053个。查处案件461件，移送公安2件。创新开展</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你点我检</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及跨区域风险会商。</w:t>
      </w:r>
    </w:p>
    <w:p w14:paraId="73267442">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2.</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强化药械化安全监管。</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严厉打击制售假药劣药、违法生产中药饮片、非法渠道购进药品</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等</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违法违规行为。聚焦集采中选医疗器械、无菌和植入性医疗器械、流行性防控诊断试剂等重点产品，严查严治制售假劣医疗器械、未经许可备案从事医疗器械生产经营等违法行为。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全年</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检查经营单位3585家次，全市系统查办各类药械化相关案件194件，罚没277.05万元。</w:t>
      </w:r>
    </w:p>
    <w:p w14:paraId="58297A0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3.</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强化工业产品安全监管。</w:t>
      </w:r>
      <w:r>
        <w:rPr>
          <w:rFonts w:hint="default"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紧盯高风险行业、领域和区域，聚焦 钢筋、消防产品、电线电缆、电动自行车、儿童学生用品等重点产品开展质量安全专项整治行动，严厉打击产品质量安全违法行为。</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监督抽查重点产品652批次，检查经营户1310家，立案查处98起。运用</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双随机、一公开</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加强证后监管。</w:t>
      </w:r>
    </w:p>
    <w:p w14:paraId="62851760">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4.</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强化特种设备安全监管。</w:t>
      </w:r>
      <w:r>
        <w:rPr>
          <w:rFonts w:hint="default"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持续强化特种设备安全日常监管与执法办案衔接，保持安全隐患高压整治态势</w:t>
      </w:r>
      <w:r>
        <w:rPr>
          <w:rFonts w:hint="eastAsia"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扎实推进安全生产治本攻坚三年行动暨安全强基固本攻坚任务，检查重点企业633家，排查整改重大隐患95处，到期整改率99%，立案查处59起。</w:t>
      </w:r>
    </w:p>
    <w:p w14:paraId="10FDE06B">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pPr>
      <w:r>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（四）公平竞争秩序达到新水平</w:t>
      </w:r>
    </w:p>
    <w:p w14:paraId="2AEFD4AC">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1.</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加大执法力度。</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全系统办理案件1416起，罚没2916.46万元。案卷评查优秀率73.9%，行政复议纠错率降至7.69%。</w:t>
      </w:r>
    </w:p>
    <w:p w14:paraId="79B10812">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2.</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体现执法温度。</w:t>
      </w:r>
      <w:r>
        <w:rPr>
          <w:rFonts w:hint="default" w:ascii="Times New Roman Regular" w:hAnsi="Times New Roman Regular" w:eastAsia="仿宋_GB2312" w:cs="Times New Roman Regular"/>
          <w:b w:val="0"/>
          <w:bCs w:val="0"/>
          <w:color w:val="000000" w:themeColor="text1"/>
          <w:sz w:val="32"/>
          <w:szCs w:val="32"/>
          <w:highlight w:val="none"/>
          <w:lang w:val="en-US" w:eastAsia="zh-CN"/>
          <w14:textFill>
            <w14:solidFill>
              <w14:schemeClr w14:val="tx1"/>
            </w14:solidFill>
          </w14:textFill>
        </w:rPr>
        <w:t>统筹执法温度与力度，柔性监管与刚性约束并重，全面推进实施市场监管总局《市场监管行政违法行为首违不罚清单（一）》《市场监管轻微行政违法行为不予处罚清单（一）》和《湖南省市场监督管理领域轻微违法行为不予处罚、减轻处罚规定》，实现执法精准度与公信力双提升。</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全面推行服务型执法，修订裁量基准，印发不予强制措施清单，全年查办各类案件1740件，柔性执法占比达85.57%。</w:t>
      </w:r>
    </w:p>
    <w:p w14:paraId="60156A64">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3.</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强化监管准度。</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构建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“‘扫码入企’</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+包容审慎</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机制，</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扫码入企</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6195次，涉企检查同比下降37%。完善企业信用分类评价，对A类企业推行</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免查清单</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p>
    <w:p w14:paraId="6D0ED79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4.</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提升防控精度。</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组建行刑衔接专家委员会，完成重点领域抽检10608批次，不合格处置率100%。培育放心消费单位7185家，建立ODR机制，高效处置投诉举报17344件，为群众挽回损失700余万元。</w:t>
      </w:r>
    </w:p>
    <w:p w14:paraId="246DD904">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拓展整治深度。</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集中整治群众身边不正之风和腐败问题，立案277起。加强反不正当竞争执法和商业秘密保护，立案21起，罚没146.27万元。加大涉企收费治理，检查企业2464家，立案64起，罚没清退金额995.12万元。</w:t>
      </w:r>
    </w:p>
    <w:p w14:paraId="08EE6DFE">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pPr>
      <w:r>
        <w:rPr>
          <w:rFonts w:hint="default" w:ascii="楷体_GB2312" w:hAnsi="楷体_GB2312" w:eastAsia="楷体_GB2312" w:cs="楷体_GB2312"/>
          <w:b w:val="0"/>
          <w:bCs w:val="0"/>
          <w:color w:val="000000" w:themeColor="text1"/>
          <w:sz w:val="32"/>
          <w:szCs w:val="32"/>
          <w:highlight w:val="none"/>
          <w:lang w:val="en-US" w:eastAsia="zh-CN"/>
          <w14:textFill>
            <w14:solidFill>
              <w14:schemeClr w14:val="tx1"/>
            </w14:solidFill>
          </w14:textFill>
        </w:rPr>
        <w:t>（五）党的建设迈上新台阶</w:t>
      </w:r>
    </w:p>
    <w:p w14:paraId="1C20CE1B">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1.</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强化政治引领。</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严格落实</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第一议题</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制度，将学习习近平新时代中国特色社会主义思想作为核心内容，确保中央及省、市各项决策部署在全市市场监管系统不折不扣落地生根。</w:t>
      </w:r>
    </w:p>
    <w:p w14:paraId="6E4C022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2.</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深化组织建设。</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开展</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四强</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党支部创建活动，创建国家级</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五星市场监管所</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1家，省级</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四星市场监管所</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2家。严格落实意识形态工作责任制，开展专题研判2次，有效处置网络舆情129起。</w:t>
      </w:r>
    </w:p>
    <w:p w14:paraId="1B6389AA">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3.</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坚持依法行政。</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严格落实行政执法公示、执法全过程记录、重大执法决定法制审核</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三项制度</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，完善重大案件集体讨论审批机制，1起案例获评全省优化营商环境普法典型案例。</w:t>
      </w:r>
    </w:p>
    <w:p w14:paraId="6E9AE2B8">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4.</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打造清廉市监。</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狠抓系统行风建设，以三年攻坚行动为抓手，深化作风纪律整顿，出台</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十个严禁</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行为规范，着力纠治审批服务中的突出问题。主动接受社会监督，设立20个市级行风观测点，选聘19名特邀监督员，排查并整改行风问题7个。</w:t>
      </w:r>
    </w:p>
    <w:p w14:paraId="2737F950">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5.</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诚恳接受监督。</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认真办理政协委员提案27件，答复率、满意率均达100%；全力以赴抓好市政协民主评议反馈问题整改落实，35项具体问题整改率达80%以上，</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其他</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需跨部门协同或制度性突破的任务正积极推进。</w:t>
      </w:r>
    </w:p>
    <w:p w14:paraId="401CAB3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t>九、存在的问题及原因分析</w:t>
      </w:r>
    </w:p>
    <w:p w14:paraId="6315409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存在的问题：</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个别绩效数量指标未能完成年度目标任务，部分专项工作推进受资金保障制约。项目支出数量指标“开展‘首席质量官’培训≥1次”，实际未开展相关培训；数量指标“商品质量检验≥100批次”，实际完成值为72批次；数量指标“检定计量器具≥30000件”，实际完成值为21161台件。</w:t>
      </w:r>
    </w:p>
    <w:p w14:paraId="17B69188">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原因分析：</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财政资金调度紧张，相关专项资金未按计划节点拨付到位，导致部分项目缺少足额资金支撑，无法按预设工作量全面铺开，直接影响产出数量指标完成。</w:t>
      </w:r>
    </w:p>
    <w:p w14:paraId="31077935">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t>十、下一步改进措施</w:t>
      </w:r>
    </w:p>
    <w:p w14:paraId="7E2EC1B0">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针对因财政资金紧张、拨付不到位导致绩效指标未完成的问题</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，我单位将进一步</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科学设定绩效目标，强化过程管控。结合历年工作实绩与财政资金保障情况，合理设置绩效指标，杜绝目标偏高或偏低；加强年中绩效动态监控，同步归集业务与财务资料，补齐过程管理短板</w:t>
      </w: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优化资金使用结构，保障重点工作。</w:t>
      </w:r>
    </w:p>
    <w:p w14:paraId="406AEF0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t>十一、绩效自评结果拟应用和公开情况</w:t>
      </w:r>
    </w:p>
    <w:p w14:paraId="1AF33D55">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1.</w:t>
      </w:r>
      <w:r>
        <w:rPr>
          <w:rFonts w:hint="eastAsia"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加强</w:t>
      </w: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绩效结果应用。</w:t>
      </w:r>
      <w:r>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我单位组织开展部门整体支出及专项资金绩效自评工作，对各项目主管科室绩效自评进行审核评价，并形成自评结果，通过开展专项资金绩效自评提高绩效评价主体的责任意识，将自评结果作为工作改进的重要依据，促进资金使用更加规范，进一步优化项目和资金管理，提高资金使用效益。</w:t>
      </w:r>
    </w:p>
    <w:p w14:paraId="1669B14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方正黑体_GBK" w:hAnsi="方正黑体_GBK" w:eastAsia="方正黑体_GBK" w:cs="方正黑体_GBK"/>
          <w:b/>
          <w:bCs/>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仿宋_GB2312" w:cs="Times New Roman Regular"/>
          <w:b/>
          <w:bCs/>
          <w:color w:val="000000" w:themeColor="text1"/>
          <w:sz w:val="32"/>
          <w:szCs w:val="32"/>
          <w:highlight w:val="none"/>
          <w:lang w:val="en-US" w:eastAsia="zh-CN"/>
          <w14:textFill>
            <w14:solidFill>
              <w14:schemeClr w14:val="tx1"/>
            </w14:solidFill>
          </w14:textFill>
        </w:rPr>
        <w:t>2.绩效评价结果将根据有关规定进行公开公示。</w:t>
      </w:r>
    </w:p>
    <w:p w14:paraId="10CCE84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default" w:ascii="黑体" w:hAnsi="黑体" w:eastAsia="黑体" w:cs="黑体"/>
          <w:b w:val="0"/>
          <w:bCs w:val="0"/>
          <w:color w:val="000000" w:themeColor="text1"/>
          <w:sz w:val="32"/>
          <w:szCs w:val="32"/>
          <w:highlight w:val="none"/>
          <w:lang w:val="en-US" w:eastAsia="zh-CN"/>
          <w14:textFill>
            <w14:solidFill>
              <w14:schemeClr w14:val="tx1"/>
            </w14:solidFill>
          </w14:textFill>
        </w:rPr>
        <w:t>十二、其他需要说明的情况</w:t>
      </w:r>
    </w:p>
    <w:p w14:paraId="65968BE0">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无。</w:t>
      </w:r>
    </w:p>
    <w:p w14:paraId="4BEA7685">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p>
    <w:p w14:paraId="2DBC3054">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附件：1.部门整体支出绩效评价基础数据表</w:t>
      </w:r>
    </w:p>
    <w:p w14:paraId="2063E127">
      <w:pPr>
        <w:keepNext w:val="0"/>
        <w:keepLines w:val="0"/>
        <w:pageBreakBefore w:val="0"/>
        <w:widowControl w:val="0"/>
        <w:kinsoku/>
        <w:wordWrap/>
        <w:overflowPunct/>
        <w:topLinePunct w:val="0"/>
        <w:autoSpaceDE/>
        <w:autoSpaceDN/>
        <w:bidi w:val="0"/>
        <w:adjustRightInd/>
        <w:snapToGrid w:val="0"/>
        <w:spacing w:line="600" w:lineRule="exact"/>
        <w:ind w:firstLine="1600" w:firstLineChars="5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2.部门整体支出绩效自评表</w:t>
      </w:r>
    </w:p>
    <w:p w14:paraId="087BF0D1">
      <w:pPr>
        <w:keepNext w:val="0"/>
        <w:keepLines w:val="0"/>
        <w:pageBreakBefore w:val="0"/>
        <w:widowControl w:val="0"/>
        <w:kinsoku/>
        <w:wordWrap/>
        <w:overflowPunct/>
        <w:topLinePunct w:val="0"/>
        <w:autoSpaceDE/>
        <w:autoSpaceDN/>
        <w:bidi w:val="0"/>
        <w:adjustRightInd/>
        <w:snapToGrid w:val="0"/>
        <w:spacing w:line="600" w:lineRule="exact"/>
        <w:ind w:firstLine="1600" w:firstLineChars="500"/>
        <w:textAlignment w:val="auto"/>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pPr>
      <w:r>
        <w:rPr>
          <w:rFonts w:hint="eastAsia" w:ascii="Times New Roman Regular" w:hAnsi="Times New Roman Regular" w:eastAsia="仿宋_GB2312" w:cs="Times New Roman Regular"/>
          <w:color w:val="000000" w:themeColor="text1"/>
          <w:sz w:val="32"/>
          <w:szCs w:val="32"/>
          <w:highlight w:val="none"/>
          <w:lang w:val="en-US" w:eastAsia="zh-CN"/>
          <w14:textFill>
            <w14:solidFill>
              <w14:schemeClr w14:val="tx1"/>
            </w14:solidFill>
          </w14:textFill>
        </w:rPr>
        <w:t>3-1.市级项目支出绩效自评表</w:t>
      </w:r>
    </w:p>
    <w:p w14:paraId="6EACD108">
      <w:pPr>
        <w:keepNext w:val="0"/>
        <w:keepLines w:val="0"/>
        <w:pageBreakBefore w:val="0"/>
        <w:widowControl w:val="0"/>
        <w:kinsoku/>
        <w:wordWrap/>
        <w:overflowPunct/>
        <w:topLinePunct w:val="0"/>
        <w:autoSpaceDE/>
        <w:autoSpaceDN/>
        <w:bidi w:val="0"/>
        <w:adjustRightInd/>
        <w:snapToGrid w:val="0"/>
        <w:spacing w:line="600" w:lineRule="exact"/>
        <w:ind w:firstLine="1600" w:firstLineChars="500"/>
        <w:textAlignment w:val="auto"/>
        <w:rPr>
          <w:rFonts w:hint="eastAsia" w:ascii="Times New Roman Regular" w:hAnsi="Times New Roman Regular" w:eastAsia="仿宋_GB2312" w:cs="Times New Roman Regular"/>
          <w:color w:val="000000" w:themeColor="text1"/>
          <w:kern w:val="2"/>
          <w:sz w:val="32"/>
          <w:szCs w:val="32"/>
          <w:highlight w:val="none"/>
          <w:lang w:val="en-US" w:eastAsia="zh-CN" w:bidi="ar-SA"/>
          <w14:textFill>
            <w14:solidFill>
              <w14:schemeClr w14:val="tx1"/>
            </w14:solidFill>
          </w14:textFill>
        </w:rPr>
      </w:pPr>
      <w:r>
        <w:rPr>
          <w:rFonts w:hint="eastAsia" w:ascii="Times New Roman Regular" w:hAnsi="Times New Roman Regular" w:eastAsia="仿宋_GB2312" w:cs="Times New Roman Regular"/>
          <w:color w:val="000000" w:themeColor="text1"/>
          <w:kern w:val="2"/>
          <w:sz w:val="32"/>
          <w:szCs w:val="32"/>
          <w:highlight w:val="none"/>
          <w:lang w:val="en-US" w:eastAsia="zh-CN" w:bidi="ar-SA"/>
          <w14:textFill>
            <w14:solidFill>
              <w14:schemeClr w14:val="tx1"/>
            </w14:solidFill>
          </w14:textFill>
        </w:rPr>
        <w:t>3-2.中央食品专项资金项目支出绩效自评表</w:t>
      </w:r>
    </w:p>
    <w:p w14:paraId="68E0FB39">
      <w:pPr>
        <w:keepNext w:val="0"/>
        <w:keepLines w:val="0"/>
        <w:pageBreakBefore w:val="0"/>
        <w:widowControl w:val="0"/>
        <w:kinsoku/>
        <w:wordWrap/>
        <w:overflowPunct/>
        <w:topLinePunct w:val="0"/>
        <w:autoSpaceDE/>
        <w:autoSpaceDN/>
        <w:bidi w:val="0"/>
        <w:adjustRightInd/>
        <w:snapToGrid w:val="0"/>
        <w:spacing w:line="600" w:lineRule="exact"/>
        <w:ind w:firstLine="1600" w:firstLineChars="500"/>
        <w:textAlignment w:val="auto"/>
        <w:rPr>
          <w:rFonts w:hint="eastAsia" w:ascii="Times New Roman Regular" w:hAnsi="Times New Roman Regular" w:eastAsia="仿宋_GB2312" w:cs="Times New Roman Regular"/>
          <w:color w:val="000000" w:themeColor="text1"/>
          <w:kern w:val="2"/>
          <w:sz w:val="32"/>
          <w:szCs w:val="32"/>
          <w:highlight w:val="none"/>
          <w:lang w:val="en-US" w:eastAsia="zh-CN" w:bidi="ar-SA"/>
          <w14:textFill>
            <w14:solidFill>
              <w14:schemeClr w14:val="tx1"/>
            </w14:solidFill>
          </w14:textFill>
        </w:rPr>
      </w:pPr>
      <w:r>
        <w:rPr>
          <w:rFonts w:hint="eastAsia" w:ascii="Times New Roman Regular" w:hAnsi="Times New Roman Regular" w:eastAsia="仿宋_GB2312" w:cs="Times New Roman Regular"/>
          <w:color w:val="000000" w:themeColor="text1"/>
          <w:kern w:val="2"/>
          <w:sz w:val="32"/>
          <w:szCs w:val="32"/>
          <w:highlight w:val="none"/>
          <w:lang w:val="en-US" w:eastAsia="zh-CN" w:bidi="ar-SA"/>
          <w14:textFill>
            <w14:solidFill>
              <w14:schemeClr w14:val="tx1"/>
            </w14:solidFill>
          </w14:textFill>
        </w:rPr>
        <w:t>3-3.省级专项资金项目支出绩效自评表</w:t>
      </w:r>
    </w:p>
    <w:p w14:paraId="769A79E5">
      <w:pPr>
        <w:keepNext w:val="0"/>
        <w:keepLines w:val="0"/>
        <w:pageBreakBefore w:val="0"/>
        <w:widowControl w:val="0"/>
        <w:kinsoku/>
        <w:wordWrap/>
        <w:overflowPunct/>
        <w:topLinePunct w:val="0"/>
        <w:autoSpaceDE/>
        <w:autoSpaceDN/>
        <w:bidi w:val="0"/>
        <w:adjustRightInd/>
        <w:snapToGrid w:val="0"/>
        <w:spacing w:line="600" w:lineRule="exact"/>
        <w:ind w:firstLine="1600" w:firstLineChars="500"/>
        <w:textAlignment w:val="auto"/>
        <w:rPr>
          <w:color w:val="000000" w:themeColor="text1"/>
          <w14:textFill>
            <w14:solidFill>
              <w14:schemeClr w14:val="tx1"/>
            </w14:solidFill>
          </w14:textFill>
        </w:rPr>
      </w:pPr>
      <w:r>
        <w:rPr>
          <w:rFonts w:hint="eastAsia" w:ascii="Times New Roman Regular" w:hAnsi="Times New Roman Regular" w:eastAsia="仿宋_GB2312" w:cs="Times New Roman Regular"/>
          <w:color w:val="000000" w:themeColor="text1"/>
          <w:kern w:val="2"/>
          <w:sz w:val="32"/>
          <w:szCs w:val="32"/>
          <w:highlight w:val="none"/>
          <w:lang w:val="en-US" w:eastAsia="zh-CN" w:bidi="ar-SA"/>
          <w14:textFill>
            <w14:solidFill>
              <w14:schemeClr w14:val="tx1"/>
            </w14:solidFill>
          </w14:textFill>
        </w:rPr>
        <w:t>3-4.中央、省级药品监管补助项目支出绩效自评表</w:t>
      </w:r>
    </w:p>
    <w:sectPr>
      <w:footerReference r:id="rId3" w:type="default"/>
      <w:pgSz w:w="11906" w:h="16838"/>
      <w:pgMar w:top="1701" w:right="1701" w:bottom="1701" w:left="170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B6FC38EB-748D-4927-8F20-62CE53798AD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9624B4A-2D7B-4707-8F81-11872DB01FF4}"/>
  </w:font>
  <w:font w:name="方正小标宋_GBK">
    <w:panose1 w:val="02000000000000000000"/>
    <w:charset w:val="86"/>
    <w:family w:val="auto"/>
    <w:pitch w:val="default"/>
    <w:sig w:usb0="A00002BF" w:usb1="38CF7CFA" w:usb2="00082016" w:usb3="00000000" w:csb0="00040001" w:csb1="00000000"/>
    <w:embedRegular r:id="rId3" w:fontKey="{50832BA1-038E-4258-A32D-A4B355E1E1B6}"/>
  </w:font>
  <w:font w:name="方正黑体_GBK">
    <w:panose1 w:val="03000509000000000000"/>
    <w:charset w:val="86"/>
    <w:family w:val="auto"/>
    <w:pitch w:val="default"/>
    <w:sig w:usb0="00000001" w:usb1="080E0000" w:usb2="00000000" w:usb3="00000000" w:csb0="00040000" w:csb1="00000000"/>
    <w:embedRegular r:id="rId4" w:fontKey="{86BF1F62-7F90-48AA-B30F-E76BEE7BBFF9}"/>
  </w:font>
  <w:font w:name="楷体_GB2312">
    <w:panose1 w:val="02010609030101010101"/>
    <w:charset w:val="86"/>
    <w:family w:val="auto"/>
    <w:pitch w:val="default"/>
    <w:sig w:usb0="00000001" w:usb1="080E0000" w:usb2="00000000" w:usb3="00000000" w:csb0="00040000" w:csb1="00000000"/>
    <w:embedRegular r:id="rId5" w:fontKey="{BB5E501C-3AA1-4157-B65C-9B089A6C805B}"/>
  </w:font>
  <w:font w:name="Times New Roman Regular">
    <w:altName w:val="Times New Roman"/>
    <w:panose1 w:val="02020603050405020304"/>
    <w:charset w:val="00"/>
    <w:family w:val="auto"/>
    <w:pitch w:val="default"/>
    <w:sig w:usb0="00000000" w:usb1="00000000" w:usb2="00000009" w:usb3="00000000" w:csb0="400001FF" w:csb1="FFFF0000"/>
    <w:embedRegular r:id="rId6" w:fontKey="{BFC302AB-09A9-43F3-841C-4B451AAAE933}"/>
  </w:font>
  <w:font w:name="仿宋_GB2312">
    <w:panose1 w:val="02010609030101010101"/>
    <w:charset w:val="86"/>
    <w:family w:val="auto"/>
    <w:pitch w:val="default"/>
    <w:sig w:usb0="00000001" w:usb1="080E0000" w:usb2="00000000" w:usb3="00000000" w:csb0="00040000" w:csb1="00000000"/>
    <w:embedRegular r:id="rId7" w:fontKey="{47CE3A24-FDB5-4A9D-81EB-8D970934F75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4632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86A19B">
                          <w:pPr>
                            <w:pStyle w:val="2"/>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86A19B">
                    <w:pPr>
                      <w:pStyle w:val="2"/>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64369E"/>
    <w:rsid w:val="2CDB3DA5"/>
    <w:rsid w:val="2E64369E"/>
    <w:rsid w:val="511B22BE"/>
    <w:rsid w:val="542D7D99"/>
    <w:rsid w:val="58AD7D32"/>
    <w:rsid w:val="5F607EE7"/>
    <w:rsid w:val="710C2A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footnote text"/>
    <w:basedOn w:val="1"/>
    <w:semiHidden/>
    <w:qFormat/>
    <w:uiPriority w:val="99"/>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14a7d853-0929-407e-b9a9-114054f68ade</errorID>
      <errorWord>资金的</errorWord>
      <group>L1_Word</group>
      <groupName>字词问题</groupName>
      <ability>L2_Typo</ability>
      <abilityName>字词错误</abilityName>
      <candidateList>
        <item>资金</item>
      </candidateList>
      <explain/>
      <paraID>3AAE9104</paraID>
      <start>2</start>
      <end>5</end>
      <status>unmodified</status>
      <modifiedWord/>
      <trackRevisions>false</trackRevisions>
    </reviewItem>
    <reviewItem>
      <errorID>90d97bd1-885b-4f84-88df-ad08284178b1</errorID>
      <errorWord>依</errorWord>
      <group>L1_Word</group>
      <groupName>字词问题</groupName>
      <ability>L2_Typo</ability>
      <abilityName>字词错误</abilityName>
      <candidateList>
        <item>依据</item>
      </candidateList>
      <explain/>
      <paraID>76A0A986</paraID>
      <start>56</start>
      <end>57</end>
      <status>unmodified</status>
      <modifiedWord/>
      <trackRevisions>false</trackRevisions>
    </reviewItem>
    <reviewItem>
      <errorID>2c8a6a0f-3a74-4223-a79b-a770376dd931</errorID>
      <errorWord>》</errorWord>
      <group>L1_Word</group>
      <groupName>字词问题</groupName>
      <ability>L2_Typo</ability>
      <abilityName>字词错误</abilityName>
      <candidateList>
        <item>》以</item>
      </candidateList>
      <explain/>
      <paraID>590E5D8B</paraID>
      <start>188</start>
      <end>189</end>
      <status>unmodified</status>
      <modifiedWord/>
      <trackRevisions>false</trackRevisions>
    </reviewItem>
    <reviewItem>
      <errorID>940bd9b3-e84f-4cb3-879c-ab5138aa4c0c</errorID>
      <errorWord>均为达到</errorWord>
      <group>L1_Word</group>
      <groupName>字词问题</groupName>
      <ability>L2_Typo</ability>
      <abilityName>字词错误</abilityName>
      <candidateList>
        <item>均未达到</item>
      </candidateList>
      <explain/>
      <paraID>204F1439</paraID>
      <start>46</start>
      <end>50</end>
      <status>unmodified</status>
      <modifiedWord/>
      <trackRevisions>false</trackRevisions>
    </reviewItem>
    <reviewItem>
      <errorID>781d6c67-d43b-4662-91ae-040f41b32d3b</errorID>
      <errorWord>特色社会主义思想作为</errorWord>
      <group>L1_Word</group>
      <groupName>字词问题</groupName>
      <ability>L2_Typo</ability>
      <abilityName>字词错误</abilityName>
      <candidateList>
        <item>特色社会主义思想为</item>
      </candidateList>
      <explain/>
      <paraID>1C20CE1B</paraID>
      <start>33</start>
      <end>43</end>
      <status>unmodified</status>
      <modifiedWord/>
      <trackRevisions>false</trackRevisions>
    </reviewItem>
    <reviewItem>
      <errorID>053c087f-0458-47d0-8db4-ebceb745e0cc</errorID>
      <errorWord>提高</errorWord>
      <group>L1_Grammar</group>
      <groupName>语法问题</groupName>
      <ability>L2_Grammar</ability>
      <abilityName>语法错误</abilityName>
      <candidateList>
        <item>增强</item>
      </candidateList>
      <explain>“提高～意识”搭配不当，建议修改为“增强～意识”。</explain>
      <paraID>1AF33D55</paraID>
      <start>75</start>
      <end>77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93d77e-ecc2-441e-953f-1082d3a4147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8657</Words>
  <Characters>9587</Characters>
  <Lines>0</Lines>
  <Paragraphs>0</Paragraphs>
  <TotalTime>7</TotalTime>
  <ScaleCrop>false</ScaleCrop>
  <LinksUpToDate>false</LinksUpToDate>
  <CharactersWithSpaces>9750</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2026-06-26T02:09:00Z</dcterms:created>
  <dc:creator>Administrator</dc:creator>
  <cp:lastModifiedBy>觜角菂、嶶笑</cp:lastModifiedBy>
  <dcterms:modified xsi:type="dcterms:W3CDTF">2026-06-26T02:25:24Z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7030BFAB4F3A49C6A10C04CCE718CD78_11</vt:lpwstr>
  </property>
  <property fmtid="{D5CDD505-2E9C-101B-9397-08002B2CF9AE}" pid="4" name="KSOTemplateDocerSaveRecord">
    <vt:lpwstr>eyJoZGlkIjoiZjc3YmMxZDkwMTdhZmQ2YzRlYWNlYTM2N2VmNWI0ODciLCJ1c2VySWQiOiIzOTg0NDg0NjMifQ==</vt:lpwstr>
  </property>
</Properties>
</file>