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BA91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411CB7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F1D5A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2025年度怀化市地震局整体支出</w:t>
      </w:r>
    </w:p>
    <w:p w14:paraId="35ADFAD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19B72E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14A2A0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201ED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B9539D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18F13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482827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8D5FCC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C0322C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D49431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0A18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B3BF03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82FCF8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1A6F54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CD7419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41259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0C0F8BE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10460A1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单位名称（盖章）：怀化市地震局</w:t>
      </w:r>
    </w:p>
    <w:p w14:paraId="13DC6C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BE476A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7ED01B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600A798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6E4E57F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786F98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机构设置情况</w:t>
      </w:r>
    </w:p>
    <w:p w14:paraId="3041AFC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怀化市地震局作为二级部门预算单位，内设科室为：综合应急科及监测防御科（怀化地震台）。</w:t>
      </w:r>
    </w:p>
    <w:p w14:paraId="14BE0D9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人员编制情况</w:t>
      </w:r>
    </w:p>
    <w:p w14:paraId="45D822E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我单位2025年末编制人数12人，年末在职人数10人。</w:t>
      </w:r>
    </w:p>
    <w:p w14:paraId="31FCA0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主要职能职责</w:t>
      </w:r>
    </w:p>
    <w:p w14:paraId="3C9D67F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（1）贯彻执行《中华人民共和国防震减灾法》等有关法律、法规和规章，负责监督、检查全市防震减灾工作，组织拟订并实施全市防震减灾有关方面的规范性文件。</w:t>
      </w:r>
    </w:p>
    <w:p w14:paraId="4E10024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（2）贯彻落实国家防震减灾工作方针、政策，牵头组织拟订全市防震减灾规划，组织制定并实施防震减灾年度工作计划。</w:t>
      </w:r>
    </w:p>
    <w:p w14:paraId="19B436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负责和监督管理全市地震监测预警和群测群防工作体系，监督管理全市地震预测、预警、预报的科学研究工作；牵头组织制定并实施地震灾害预防、预警方案；负责和监督管理地震前兆信息处理工作，负责和监督全市地震趋势分析；会同公安等部门监督管理地震监测设施和地震监测环境。</w:t>
      </w:r>
    </w:p>
    <w:p w14:paraId="61ED58F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（4）监督管理本行政区域内地震活动断裂的监测工作；负责与监督管理地震应对事件和相关次生灾害事件，维护社会稳定。</w:t>
      </w:r>
    </w:p>
    <w:p w14:paraId="64B3DF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承担市人民政府防震减灾领导机构和抗震救灾指挥机构等办事机构的日常工作职责；组织拟订并监督管理破坏性地震应急预案和地震应急避难场所规划；会同有关部门提出地震应急救援和志愿者队伍建设的建议并监督管理；负责震情通报和地震灾害报告工作；监督管理地震灾害损失评估；提出地震灾区重建规划的建议。</w:t>
      </w:r>
    </w:p>
    <w:p w14:paraId="2B8AC8E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负责和监督管理全市建设工程抗震设防标准和要求；组织拟订城市抗震防灾规划；负责和监督管理城乡建设、经济开发区、重大建设工程和可能发生严重次生灾害建设工程地震安全性评价工作；负责和监督管理地震烈度与动参数小区划；监督全市建筑物（构筑物）及重大建设工程抗震性能鉴定；参与本行政区域内建设工程抗震设防专项审查与竣工验收的监督管理工作；审核全市地震安全性评价机构资格、认证和任务登记；监督管理本行政区域内重大工程设施的抗震设防工作，会同相关部门监督管理地震次生灾害的防御工作；提出本行政区域内城乡建设规划和土地利用规划中抗震设防的建议。</w:t>
      </w:r>
    </w:p>
    <w:p w14:paraId="560ACE1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7）负责防震减灾法制工作，开展行政执法；承担本行政区域内的防震减灾行政复议、行政诉讼的责任；负责行业质量与技术监督管理工作；负责行业技术标准的宣传、贯彻、实施和执行监督；监督管理行业计量工作。</w:t>
      </w:r>
    </w:p>
    <w:p w14:paraId="440220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（8）审核防震减灾宣传报道；会同相关部门开展防震减灾宣传教育工作，普及防震减灾科学知识，提高全民防震减灾意识。</w:t>
      </w:r>
    </w:p>
    <w:p w14:paraId="3E820EA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（9）负责与指导地震科学研究、科技成果的推广应用；负责与指导防震减灾科普知识培训、交流，指导防震减灾学会、协会工作。</w:t>
      </w:r>
    </w:p>
    <w:p w14:paraId="730A0D1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(10)指导并监督县（市、区）防震减灾工作；监督管理本行政区域内县（市、区）地震台（站）业务工作；监督县（市、区）防震减灾专项经费的使用。</w:t>
      </w:r>
    </w:p>
    <w:p w14:paraId="51E9AD1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(11)承担市委、市人民政府交办的其他事项。</w:t>
      </w:r>
    </w:p>
    <w:p w14:paraId="39F382D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绩效目标设定情况</w:t>
      </w:r>
    </w:p>
    <w:p w14:paraId="7628929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（1）持续提升地震监测预报预警能力，配合省地震局完成地震预警台网建设与优化工程项目怀化分项目和视频会议会商系统建设；</w:t>
      </w:r>
    </w:p>
    <w:p w14:paraId="615B436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（2）加强全市监测台网管理维护，确保各类监测仪器稳定运行和监测数据质量稳定；</w:t>
      </w:r>
    </w:p>
    <w:p w14:paraId="6E40916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（3）积极参加上级地震部门组织开展的各类防震减灾科普活动，在“5.12”防灾减灾日、国际减灾日等重要时段继续大力开展形式多样的宣传活动；</w:t>
      </w:r>
    </w:p>
    <w:p w14:paraId="6D57389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（4）完成2所“省级防震减灾科普教育示范学校”创建  5、开展防震减灾行政执法，持续加强对全市重大建设工程地震安全性评价的监管；</w:t>
      </w:r>
    </w:p>
    <w:p w14:paraId="164CF0F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（5）进一步加强县市区防震减灾救灾体制机制建设。</w:t>
      </w:r>
    </w:p>
    <w:p w14:paraId="763942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（二）部门（单位）整体支出规模、使用方向和主要内容、涉及范围等。</w:t>
      </w:r>
    </w:p>
    <w:p w14:paraId="1DDAF3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怀化市地震局年度总收入213.22万元，一般公共预算财政拨款收入213.22万元，占比100%。怀化市地震局2025年度总支出213.22万元，其中基本支出162.23万元，项目支出50.99万元。</w:t>
      </w:r>
    </w:p>
    <w:p w14:paraId="6D92AAB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部门整体支出主要使用方向如下：</w:t>
      </w:r>
    </w:p>
    <w:p w14:paraId="2EE3668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工资福利支出157.27万元，主要用于基本工资、奖金、伙食补助费、绩效工资、机关事业单位基本养老保险缴费、职工基本医疗保险缴费、其他社会保障缴费、住房公积金等支出。</w:t>
      </w:r>
    </w:p>
    <w:p w14:paraId="447F5B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商品和服务支出51.47万元，主要用于办公费、电费、邮电费、差旅费、维修（护）费、培训费、公务接待费、专用材料费、劳务费、委托业务费、工会经费、福利费、公务用车运行维护费、其他交通费用、其他商品和服务支出等支出。</w:t>
      </w:r>
    </w:p>
    <w:p w14:paraId="4E5016B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对个人和家庭的补助3.92万元，主要用于生活补助、奖励金、其他对个人和家庭的补助等支出。</w:t>
      </w:r>
    </w:p>
    <w:p w14:paraId="44BD9CE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资本性支出</w:t>
      </w:r>
      <w:r>
        <w:rPr>
          <w:rFonts w:hint="eastAsia" w:ascii="Times New Roman Regular" w:hAnsi="Times New Roman Regular" w:eastAsia="仿宋_GB2312" w:cs="Times New Roman Regular"/>
          <w:color w:val="auto"/>
          <w:sz w:val="32"/>
          <w:szCs w:val="32"/>
          <w:highlight w:val="none"/>
          <w:lang w:val="en-US" w:eastAsia="zh-CN"/>
        </w:rPr>
        <w:t>0.56万元，主要用于办公设备购置费用。</w:t>
      </w:r>
    </w:p>
    <w:p w14:paraId="64A1FB4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110821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4077071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基本支出主要用于保障机构正常运转、完成日常工作任务所必需的支出。基本支出总支出162.23万元，主要包括：工资福利支出151.23万元、商品和服务支出7.08万元、对个人和家庭的补助3.92万元。较上年相比减少35.76万元，主要是单位本年度人员增加。</w:t>
      </w:r>
    </w:p>
    <w:p w14:paraId="7524DDE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公”经费支出0.35万元。“三公经费”总体支出比上年减少0.67万元，减少65.70%，2025年度怀化市地震局根据政策要求压减三公经费开支。其中公务用车运行维护费0.25万元，较上年减少0.35万元，减少57.60%，主要是公务用车用油的油费以及维护费减少；公务接待费0.1万元，较上年减少0.33万元，减少77.10%，主要是本年度公务接待批次减少，费用减少。</w:t>
      </w:r>
    </w:p>
    <w:p w14:paraId="51FDD38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3168398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w:t>
      </w:r>
      <w:r>
        <w:rPr>
          <w:rFonts w:hint="eastAsia" w:ascii="Times New Roman Regular" w:hAnsi="Times New Roman Regular" w:eastAsia="仿宋_GB2312" w:cs="Times New Roman Regular"/>
          <w:color w:val="auto"/>
          <w:sz w:val="32"/>
          <w:szCs w:val="32"/>
          <w:highlight w:val="none"/>
          <w:lang w:val="en-US" w:eastAsia="zh-CN"/>
        </w:rPr>
        <w:t>2025年项目支出预算安排43万元，农村民居防震保安与群测群防专项经费20万元，怀化地震台运行经费20万元，测试业务费及防震减灾专项经费3万元。本年度项目支出预算数43万元，实际到位43万元，到位率100%。</w:t>
      </w:r>
    </w:p>
    <w:p w14:paraId="1CF12C9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测试业务费及防震减灾专项经费总预算3万元，预算执行1.00万元，执行率33.33%；怀化地震台运行经费总预算20万元，预算执行20万元，执行率100%；农村民居防震保安与群测群防专项经费总预算20万元，预算执行15万元，执行率75%。</w:t>
      </w:r>
    </w:p>
    <w:p w14:paraId="7CF6D97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r>
        <w:rPr>
          <w:rFonts w:hint="eastAsia" w:ascii="Times New Roman Regular" w:hAnsi="Times New Roman Regular" w:eastAsia="仿宋_GB2312" w:cs="Times New Roman Regular"/>
          <w:color w:val="auto"/>
          <w:sz w:val="32"/>
          <w:szCs w:val="32"/>
          <w:highlight w:val="none"/>
          <w:lang w:val="en-US" w:eastAsia="zh-CN"/>
        </w:rPr>
        <w:t xml:space="preserve"> </w:t>
      </w:r>
    </w:p>
    <w:p w14:paraId="51EF8CC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市地震局结合财经法规及本地要求，建立健全项目资金、财务内控、专项资金管理等制度办法，明确资金审批、拨付、核算及监管流程，划定各岗位管理职责。制度执行整体规范，严格落实专款专用、专账核算要求，资金拨付依照项目进度依规办理，票据审核、费用报销流程完整。同时常态化开展内部自查，强化资金使用全过程监管。目前资金使用合规，未出现挤占、挪用等问题，资金使用效益良好。</w:t>
      </w:r>
    </w:p>
    <w:p w14:paraId="20DF0F6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504FDED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xml:space="preserve">（一）项目组织情况分析，主要包括项目招投标、调整、竣工验收等情况。 </w:t>
      </w:r>
    </w:p>
    <w:p w14:paraId="7F665C1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局所有项目严格遵照招投标相关规定开展工作，招标流程公开透明、程序规范。部分项目因实际建设需求、场地条件等客观因素依规履行招投标调整手续，全程留痕、报备齐全。项目完工后，按流程开展初步验收与竣工验收工作，联合相关部门及专业人员逐项核查建设内容、工程质量与完成情况。针对验收提出的问题及时督促整改，闭环落实。整体项目组织有序，招标变更、验收各环节均合规推进，项目建设成效达标。</w:t>
      </w:r>
    </w:p>
    <w:p w14:paraId="0985A88B">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xml:space="preserve">项目管理情况分析，主要包括项目管理制度建设、日常检查监督管理等情况。 </w:t>
      </w:r>
    </w:p>
    <w:p w14:paraId="4F1FE88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局立足工作实际，完善项目立项、实施、管控等配套管理制度，明确各环节工作标准与岗位职责，形成规范化管理体系。日常坚持常态化检查监督，定期实地核查项目推进进度、施工质量与现场管理，对照计划逐项梳理落实情况。对检查发现的问题当场反馈、限期整改，并做好台账记录。全程压实管理责任，强化过程管控，有效防范管理风险。整体项目运转有序，制度落地到位，监督举措切实有效，保障项目平稳推进。</w:t>
      </w:r>
    </w:p>
    <w:p w14:paraId="6AE62F2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42E1CF6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局严格落实国有资产管理规定，建立资产配置、使用、处置全流程管理制度，厘清管理职责与操作规范。资产配置坚持按需申报、依规审批，结合工作需求合理采购，严控超标配置。日常落实台账登记、定期盘点制度，做到账实、账账相符。资产处置严格执行申报、评估、审批、核销流程，手续完整、公开合规。全程强化动态监管，规范各环节操作，有效防范资产流失，资产使用与管理整体规范有序。</w:t>
      </w:r>
    </w:p>
    <w:p w14:paraId="76656B42">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2EB7FB4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本单位无政府性基金预算支出</w:t>
      </w:r>
    </w:p>
    <w:p w14:paraId="28EC230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DA6A896">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4372261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本单位无国有资本经营预算支出</w:t>
      </w:r>
    </w:p>
    <w:p w14:paraId="3B2777CA">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2C1FEA2E">
      <w:pPr>
        <w:keepNext w:val="0"/>
        <w:keepLines w:val="0"/>
        <w:pageBreakBefore w:val="0"/>
        <w:widowControl w:val="0"/>
        <w:kinsoku/>
        <w:wordWrap/>
        <w:overflowPunct/>
        <w:topLinePunct w:val="0"/>
        <w:autoSpaceDE/>
        <w:autoSpaceDN/>
        <w:bidi w:val="0"/>
        <w:adjustRightInd/>
        <w:snapToGrid w:val="0"/>
        <w:spacing w:line="520" w:lineRule="exact"/>
        <w:ind w:firstLine="320" w:firstLineChars="1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本单位无社会保险基金预算支出</w:t>
      </w:r>
    </w:p>
    <w:p w14:paraId="2EC94F0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09C9A3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（一）综合评价结论。反映自评得分及评价等级。</w:t>
      </w:r>
    </w:p>
    <w:p w14:paraId="0EDA4B2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结合部门预算申报与绩效目标和实际完成情况对比分析，反映出部分科室对绩效目标管理工作重要性认识还是存在不足之处。根据局各部门开展的自评情况，2025年度我局较好的按照年初设定的各项绩效目标执行，并且发生各项费用按照预算的执行制度执行，评价结果为优，综合得分为99.83分。</w:t>
      </w:r>
    </w:p>
    <w:p w14:paraId="5C69860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评价指标分析（或综合评价情况）。</w:t>
      </w:r>
    </w:p>
    <w:p w14:paraId="77E4F6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1.综合评价分析</w:t>
      </w:r>
    </w:p>
    <w:p w14:paraId="7A033A2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绩效目标设定方面：我局严格按照绩效目标制定的相关规定，</w:t>
      </w:r>
      <w:r>
        <w:rPr>
          <w:rFonts w:hint="default" w:ascii="Times New Roman Regular" w:hAnsi="Times New Roman Regular" w:eastAsia="仿宋_GB2312" w:cs="Times New Roman Regular"/>
          <w:color w:val="auto"/>
          <w:sz w:val="32"/>
          <w:szCs w:val="32"/>
          <w:highlight w:val="none"/>
          <w:lang w:val="en-US" w:eastAsia="zh-CN"/>
        </w:rPr>
        <w:t>围绕部门职责、行业发展规划</w:t>
      </w:r>
      <w:r>
        <w:rPr>
          <w:rFonts w:hint="eastAsia" w:ascii="Times New Roman Regular" w:hAnsi="Times New Roman Regular" w:eastAsia="仿宋_GB2312" w:cs="Times New Roman Regular"/>
          <w:color w:val="auto"/>
          <w:sz w:val="32"/>
          <w:szCs w:val="32"/>
          <w:highlight w:val="none"/>
          <w:lang w:val="en-US" w:eastAsia="zh-CN"/>
        </w:rPr>
        <w:t>，完整、合理地制定整体绩效目标，绩效指标基本做到细化量化。</w:t>
      </w:r>
    </w:p>
    <w:p w14:paraId="26B7FF8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预算配置方面：我局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23BFBA4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预算执行</w:t>
      </w:r>
      <w:r>
        <w:rPr>
          <w:rFonts w:hint="eastAsia" w:ascii="Times New Roman Regular" w:hAnsi="Times New Roman Regular" w:eastAsia="仿宋_GB2312" w:cs="Times New Roman Regular"/>
          <w:color w:val="auto"/>
          <w:sz w:val="32"/>
          <w:szCs w:val="32"/>
          <w:highlight w:val="none"/>
          <w:lang w:val="en-US" w:eastAsia="zh-CN"/>
        </w:rPr>
        <w:t>方面：严格执行批复的各项支出预算，不擅自扩大支出范围、提高开支标准，严格按照预算批复的支出用途使用资金。采取有效措施，加快预算执行进度，全年预算执行率达到100%。</w:t>
      </w:r>
    </w:p>
    <w:p w14:paraId="3756833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预算管理</w:t>
      </w:r>
      <w:r>
        <w:rPr>
          <w:rFonts w:hint="eastAsia" w:ascii="Times New Roman Regular" w:hAnsi="Times New Roman Regular" w:eastAsia="仿宋_GB2312" w:cs="Times New Roman Regular"/>
          <w:color w:val="auto"/>
          <w:sz w:val="32"/>
          <w:szCs w:val="32"/>
          <w:highlight w:val="none"/>
          <w:lang w:val="en-US" w:eastAsia="zh-CN"/>
        </w:rPr>
        <w:t>方面：我局按照预算法要求进行“一上”申报，在“一下”的基础上进行修改进行“二上”申报，形成以单位领导支持、财务部门牵头、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5DA657C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资产管理</w:t>
      </w:r>
      <w:r>
        <w:rPr>
          <w:rFonts w:hint="eastAsia" w:ascii="Times New Roman Regular" w:hAnsi="Times New Roman Regular" w:eastAsia="仿宋_GB2312" w:cs="Times New Roman Regular"/>
          <w:color w:val="auto"/>
          <w:sz w:val="32"/>
          <w:szCs w:val="32"/>
          <w:highlight w:val="none"/>
          <w:lang w:val="en-US" w:eastAsia="zh-CN"/>
        </w:rPr>
        <w:t>方面：我局严格执行资产配置、使用、处置管理办法，做到购置有预算，实物有专人管理，处置按流程，定期盘点清理资产，掌握固定资产的使用情况，确保设备完好提高利用率。资产账务管理合规、账实相符、处置规范。</w:t>
      </w:r>
    </w:p>
    <w:p w14:paraId="6BC8EF5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职责履行</w:t>
      </w:r>
      <w:r>
        <w:rPr>
          <w:rFonts w:hint="eastAsia" w:ascii="Times New Roman Regular" w:hAnsi="Times New Roman Regular" w:eastAsia="仿宋_GB2312" w:cs="Times New Roman Regular"/>
          <w:color w:val="auto"/>
          <w:sz w:val="32"/>
          <w:szCs w:val="32"/>
          <w:highlight w:val="none"/>
          <w:lang w:val="en-US" w:eastAsia="zh-CN"/>
        </w:rPr>
        <w:t>方面：我局2025年严格落实各项工作，按照市局下达的任务及本单位的目标任务，积极推进了各项工作平稳、有序的开展。</w:t>
      </w:r>
    </w:p>
    <w:p w14:paraId="45CB16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2.目标完成情况及</w:t>
      </w:r>
      <w:r>
        <w:rPr>
          <w:rFonts w:hint="default" w:ascii="Times New Roman Regular" w:hAnsi="Times New Roman Regular" w:eastAsia="仿宋_GB2312" w:cs="Times New Roman Regular"/>
          <w:color w:val="auto"/>
          <w:sz w:val="32"/>
          <w:szCs w:val="32"/>
          <w:highlight w:val="none"/>
          <w:lang w:val="en-US" w:eastAsia="zh-CN"/>
        </w:rPr>
        <w:t>指标分析</w:t>
      </w:r>
    </w:p>
    <w:p w14:paraId="61B3134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我部门2025年一般公共预算资金总体目标完成较好，具体如下：</w:t>
      </w:r>
    </w:p>
    <w:p w14:paraId="2415791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目标1：切实保障怀化台日常运维；</w:t>
      </w:r>
    </w:p>
    <w:p w14:paraId="1C9DD2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目标2：不断加强宏观观测点建设；</w:t>
      </w:r>
    </w:p>
    <w:p w14:paraId="01B79CF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目标3：高效完成芷江地震预警站选址重建；</w:t>
      </w:r>
    </w:p>
    <w:p w14:paraId="3F78EA0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目标4：扎实推动怀化地震台常态化科普接展</w:t>
      </w:r>
      <w:r>
        <w:rPr>
          <w:rFonts w:hint="default" w:ascii="Times New Roman Regular" w:hAnsi="Times New Roman Regular" w:eastAsia="仿宋_GB2312" w:cs="Times New Roman Regular"/>
          <w:color w:val="auto"/>
          <w:sz w:val="32"/>
          <w:szCs w:val="32"/>
          <w:highlight w:val="none"/>
          <w:lang w:val="en-US" w:eastAsia="zh-CN"/>
        </w:rPr>
        <w:t>。</w:t>
      </w:r>
    </w:p>
    <w:p w14:paraId="39B6053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（1）产出指标分析</w:t>
      </w:r>
    </w:p>
    <w:p w14:paraId="6D45273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利用现有观测设施设备，设置地震监测手段讲解、防震减灾科普小课堂、互动展品体验等14个科普展项及活动，面向社会各界预约参观。今年以来共举办地震台开放日活动11次，举办防震减灾科普知识趣味抢答赛2场，累计接待来台参观研学1000余人，完成年初目标。</w:t>
      </w:r>
    </w:p>
    <w:p w14:paraId="5C1B5BF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（2）效益指标分析</w:t>
      </w:r>
    </w:p>
    <w:p w14:paraId="0115D31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在重要科普时段分别采取媒体宣传、科普讲座、摆摊设点、应急演练等多种形式开展科普宣传。在5.12防灾减灾周，持续在电视台、市政府大厅、户外广告屏、公交车等电子显示屏滚动播放一系列防震减灾科普宣传片。通过电信运营商在全市范围内发送3万条防震减灾公益短信。市县两级地震和应急部门均在5.12科普宣传周期间组织开展现场宣传活动，累计发放各类宣传资料1万余份。各县市区利用“村村响”大喇叭，在乡村基层循环广播《农村如何防范地震灾害》。同时积极组织开展全国中小学生安全教育日、2025年中国地震局“地震科普 携手同行”主场活动、观看“云游防震减灾科普场馆”网络直播、唐山地震周年纪念等各项科普宣传进校园活动，完成年初目标。</w:t>
      </w:r>
    </w:p>
    <w:p w14:paraId="43F827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（3）满意度指标分析</w:t>
      </w:r>
    </w:p>
    <w:p w14:paraId="156B4CE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社会公众及服务对象满意度90%以上，完成年初目标，完成年初目标。</w:t>
      </w:r>
    </w:p>
    <w:p w14:paraId="69C4EC4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155A1E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一是年初绩效评价指标体系不完善，绩效目标设立不够明确、细化和量化。</w:t>
      </w:r>
    </w:p>
    <w:p w14:paraId="4A195B9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二是部分项目执行与预算支出指标差距较大。部分项目在预算时未能充分预料和考虑到来年的政策变化，导致实际支出与预算有差</w:t>
      </w:r>
      <w:r>
        <w:rPr>
          <w:rFonts w:hint="default" w:ascii="Times New Roman Regular" w:hAnsi="Times New Roman Regular" w:eastAsia="仿宋_GB2312" w:cs="Times New Roman Regular"/>
          <w:color w:val="auto"/>
          <w:sz w:val="32"/>
          <w:szCs w:val="32"/>
          <w:highlight w:val="none"/>
          <w:lang w:val="en-US" w:eastAsia="zh-CN"/>
        </w:rPr>
        <w:t>。</w:t>
      </w:r>
    </w:p>
    <w:p w14:paraId="3DB4C718">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766D7E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年初绩效目标设立要细化、量化。在布置预算绩效管理工作时，相关负责人要督促各项目负责人从预算编制开始，做好收集、汇总项目各个阶段的痕迹资料，提醒和督促加快资金拨付和使用等工作。</w:t>
      </w:r>
    </w:p>
    <w:p w14:paraId="585B4966">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0375DE8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局已完成项目绩效自评工作，后续将充分运用自评结果优化管理。针对自评发现的短板问题，细化整改举措，优化资金使用、项目实施及管控流程，提升整体效能。同时把绩效评价结果作为后续项目立项、资金分配、年度考核的重要参考依据。严格按照政务公开相关要求，依规整理自评报告、评分表等资料，主动接受社会与干部职工监督，确保绩效工作透明化、规范化开展。</w:t>
      </w:r>
    </w:p>
    <w:p w14:paraId="51FD5AE3">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其他需要说明的情况</w:t>
      </w:r>
    </w:p>
    <w:p w14:paraId="5BCC2BF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无</w:t>
      </w:r>
    </w:p>
    <w:p w14:paraId="42C112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05034F7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5CDC93D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716D61F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4EBDAF8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33198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45165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2C12AB0">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06AC6898">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12</w:t>
            </w:r>
          </w:p>
        </w:tc>
        <w:tc>
          <w:tcPr>
            <w:tcW w:w="2240" w:type="dxa"/>
            <w:gridSpan w:val="2"/>
            <w:noWrap w:val="0"/>
            <w:vAlign w:val="center"/>
          </w:tcPr>
          <w:p w14:paraId="1EC7A9B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w:t>
            </w:r>
            <w:r>
              <w:rPr>
                <w:rFonts w:hint="eastAsia" w:ascii="仿宋" w:hAnsi="仿宋" w:eastAsia="仿宋" w:cs="仿宋"/>
                <w:b w:val="0"/>
                <w:bCs w:val="0"/>
                <w:kern w:val="0"/>
                <w:sz w:val="20"/>
                <w:szCs w:val="20"/>
              </w:rPr>
              <w:t>　</w:t>
            </w:r>
          </w:p>
        </w:tc>
        <w:tc>
          <w:tcPr>
            <w:tcW w:w="1832" w:type="dxa"/>
            <w:gridSpan w:val="2"/>
            <w:noWrap w:val="0"/>
            <w:vAlign w:val="center"/>
          </w:tcPr>
          <w:p w14:paraId="53C72DE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83.33%</w:t>
            </w:r>
            <w:r>
              <w:rPr>
                <w:rFonts w:hint="eastAsia" w:ascii="仿宋" w:hAnsi="仿宋" w:eastAsia="仿宋" w:cs="仿宋"/>
                <w:b w:val="0"/>
                <w:bCs w:val="0"/>
                <w:kern w:val="0"/>
                <w:sz w:val="20"/>
                <w:szCs w:val="20"/>
              </w:rPr>
              <w:t>　</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1.03</w:t>
            </w:r>
            <w:r>
              <w:rPr>
                <w:rFonts w:hint="eastAsia" w:ascii="仿宋" w:hAnsi="仿宋" w:eastAsia="仿宋" w:cs="仿宋"/>
                <w:b w:val="0"/>
                <w:bCs w:val="0"/>
                <w:kern w:val="0"/>
                <w:sz w:val="20"/>
                <w:szCs w:val="20"/>
              </w:rPr>
              <w:t>　</w:t>
            </w:r>
          </w:p>
        </w:tc>
        <w:tc>
          <w:tcPr>
            <w:tcW w:w="2240" w:type="dxa"/>
            <w:gridSpan w:val="2"/>
            <w:noWrap w:val="0"/>
            <w:vAlign w:val="center"/>
          </w:tcPr>
          <w:p w14:paraId="2A721DD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2.00</w:t>
            </w:r>
            <w:r>
              <w:rPr>
                <w:rFonts w:hint="eastAsia" w:ascii="仿宋" w:hAnsi="仿宋" w:eastAsia="仿宋" w:cs="仿宋"/>
                <w:b w:val="0"/>
                <w:bCs w:val="0"/>
                <w:kern w:val="0"/>
                <w:sz w:val="20"/>
                <w:szCs w:val="20"/>
              </w:rPr>
              <w:t>　</w:t>
            </w:r>
          </w:p>
        </w:tc>
        <w:tc>
          <w:tcPr>
            <w:tcW w:w="1832" w:type="dxa"/>
            <w:gridSpan w:val="2"/>
            <w:noWrap w:val="0"/>
            <w:vAlign w:val="center"/>
          </w:tcPr>
          <w:p w14:paraId="7A2767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0.35</w:t>
            </w:r>
            <w:r>
              <w:rPr>
                <w:rFonts w:hint="eastAsia" w:ascii="仿宋" w:hAnsi="仿宋" w:eastAsia="仿宋" w:cs="仿宋"/>
                <w:b w:val="0"/>
                <w:bCs w:val="0"/>
                <w:kern w:val="0"/>
                <w:sz w:val="20"/>
                <w:szCs w:val="20"/>
              </w:rPr>
              <w:t>　</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1033C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0.60</w:t>
            </w:r>
          </w:p>
        </w:tc>
        <w:tc>
          <w:tcPr>
            <w:tcW w:w="2240" w:type="dxa"/>
            <w:gridSpan w:val="2"/>
            <w:noWrap w:val="0"/>
            <w:vAlign w:val="center"/>
          </w:tcPr>
          <w:p w14:paraId="7950725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w:t>
            </w:r>
            <w:r>
              <w:rPr>
                <w:rFonts w:hint="eastAsia" w:ascii="仿宋" w:hAnsi="仿宋" w:eastAsia="仿宋" w:cs="仿宋"/>
                <w:b w:val="0"/>
                <w:bCs w:val="0"/>
                <w:kern w:val="0"/>
                <w:sz w:val="20"/>
                <w:szCs w:val="20"/>
              </w:rPr>
              <w:t>　</w:t>
            </w:r>
          </w:p>
        </w:tc>
        <w:tc>
          <w:tcPr>
            <w:tcW w:w="1832" w:type="dxa"/>
            <w:gridSpan w:val="2"/>
            <w:noWrap w:val="0"/>
            <w:vAlign w:val="center"/>
          </w:tcPr>
          <w:p w14:paraId="43FBB47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0.25</w:t>
            </w:r>
            <w:r>
              <w:rPr>
                <w:rFonts w:hint="eastAsia" w:ascii="仿宋" w:hAnsi="仿宋" w:eastAsia="仿宋" w:cs="仿宋"/>
                <w:b w:val="0"/>
                <w:bCs w:val="0"/>
                <w:kern w:val="0"/>
                <w:sz w:val="20"/>
                <w:szCs w:val="20"/>
              </w:rPr>
              <w:t>　</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widowControl/>
              <w:jc w:val="center"/>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0.00</w:t>
            </w:r>
          </w:p>
        </w:tc>
        <w:tc>
          <w:tcPr>
            <w:tcW w:w="2240" w:type="dxa"/>
            <w:gridSpan w:val="2"/>
            <w:noWrap w:val="0"/>
            <w:vAlign w:val="center"/>
          </w:tcPr>
          <w:p w14:paraId="79D5E60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1832" w:type="dxa"/>
            <w:gridSpan w:val="2"/>
            <w:noWrap w:val="0"/>
            <w:vAlign w:val="center"/>
          </w:tcPr>
          <w:p w14:paraId="0AA6D6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0.60</w:t>
            </w:r>
            <w:r>
              <w:rPr>
                <w:rFonts w:hint="eastAsia" w:ascii="仿宋" w:hAnsi="仿宋" w:eastAsia="仿宋" w:cs="仿宋"/>
                <w:b w:val="0"/>
                <w:bCs w:val="0"/>
                <w:kern w:val="0"/>
                <w:sz w:val="20"/>
                <w:szCs w:val="20"/>
              </w:rPr>
              <w:t>　　</w:t>
            </w:r>
          </w:p>
        </w:tc>
        <w:tc>
          <w:tcPr>
            <w:tcW w:w="2240" w:type="dxa"/>
            <w:gridSpan w:val="2"/>
            <w:noWrap w:val="0"/>
            <w:vAlign w:val="center"/>
          </w:tcPr>
          <w:p w14:paraId="616B888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w:t>
            </w:r>
            <w:r>
              <w:rPr>
                <w:rFonts w:hint="eastAsia" w:ascii="仿宋" w:hAnsi="仿宋" w:eastAsia="仿宋" w:cs="仿宋"/>
                <w:b w:val="0"/>
                <w:bCs w:val="0"/>
                <w:kern w:val="0"/>
                <w:sz w:val="20"/>
                <w:szCs w:val="20"/>
              </w:rPr>
              <w:t>　</w:t>
            </w:r>
          </w:p>
        </w:tc>
        <w:tc>
          <w:tcPr>
            <w:tcW w:w="1832" w:type="dxa"/>
            <w:gridSpan w:val="2"/>
            <w:noWrap w:val="0"/>
            <w:vAlign w:val="center"/>
          </w:tcPr>
          <w:p w14:paraId="59BEE79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0.25</w:t>
            </w:r>
            <w:r>
              <w:rPr>
                <w:rFonts w:hint="eastAsia" w:ascii="仿宋" w:hAnsi="仿宋" w:eastAsia="仿宋" w:cs="仿宋"/>
                <w:b w:val="0"/>
                <w:bCs w:val="0"/>
                <w:kern w:val="0"/>
                <w:sz w:val="20"/>
                <w:szCs w:val="20"/>
              </w:rPr>
              <w:t>　</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3317BD6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1832" w:type="dxa"/>
            <w:gridSpan w:val="2"/>
            <w:noWrap w:val="0"/>
            <w:vAlign w:val="center"/>
          </w:tcPr>
          <w:p w14:paraId="6080AE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0.43</w:t>
            </w:r>
          </w:p>
        </w:tc>
        <w:tc>
          <w:tcPr>
            <w:tcW w:w="2240" w:type="dxa"/>
            <w:gridSpan w:val="2"/>
            <w:noWrap w:val="0"/>
            <w:vAlign w:val="center"/>
          </w:tcPr>
          <w:p w14:paraId="47E07CB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w:t>
            </w:r>
            <w:r>
              <w:rPr>
                <w:rFonts w:hint="eastAsia" w:ascii="仿宋" w:hAnsi="仿宋" w:eastAsia="仿宋" w:cs="仿宋"/>
                <w:b w:val="0"/>
                <w:bCs w:val="0"/>
                <w:kern w:val="0"/>
                <w:sz w:val="20"/>
                <w:szCs w:val="20"/>
              </w:rPr>
              <w:t>　</w:t>
            </w:r>
          </w:p>
        </w:tc>
        <w:tc>
          <w:tcPr>
            <w:tcW w:w="1832" w:type="dxa"/>
            <w:gridSpan w:val="2"/>
            <w:noWrap w:val="0"/>
            <w:vAlign w:val="center"/>
          </w:tcPr>
          <w:p w14:paraId="73AEDD4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0.10</w:t>
            </w:r>
            <w:r>
              <w:rPr>
                <w:rFonts w:hint="eastAsia" w:ascii="仿宋" w:hAnsi="仿宋" w:eastAsia="仿宋" w:cs="仿宋"/>
                <w:b w:val="0"/>
                <w:bCs w:val="0"/>
                <w:kern w:val="0"/>
                <w:sz w:val="20"/>
                <w:szCs w:val="20"/>
              </w:rPr>
              <w:t>　</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61.94</w:t>
            </w:r>
            <w:r>
              <w:rPr>
                <w:rFonts w:hint="eastAsia" w:ascii="仿宋" w:hAnsi="仿宋" w:eastAsia="仿宋" w:cs="仿宋"/>
                <w:b w:val="0"/>
                <w:bCs w:val="0"/>
                <w:kern w:val="0"/>
                <w:sz w:val="20"/>
                <w:szCs w:val="20"/>
              </w:rPr>
              <w:t>　</w:t>
            </w:r>
          </w:p>
        </w:tc>
        <w:tc>
          <w:tcPr>
            <w:tcW w:w="2240" w:type="dxa"/>
            <w:gridSpan w:val="2"/>
            <w:noWrap w:val="0"/>
            <w:vAlign w:val="center"/>
          </w:tcPr>
          <w:p w14:paraId="4D80701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43.00</w:t>
            </w:r>
            <w:r>
              <w:rPr>
                <w:rFonts w:hint="eastAsia" w:ascii="仿宋" w:hAnsi="仿宋" w:eastAsia="仿宋" w:cs="仿宋"/>
                <w:b w:val="0"/>
                <w:bCs w:val="0"/>
                <w:kern w:val="0"/>
                <w:sz w:val="20"/>
                <w:szCs w:val="20"/>
              </w:rPr>
              <w:t>　</w:t>
            </w:r>
          </w:p>
        </w:tc>
        <w:tc>
          <w:tcPr>
            <w:tcW w:w="1832" w:type="dxa"/>
            <w:gridSpan w:val="2"/>
            <w:noWrap w:val="0"/>
            <w:vAlign w:val="center"/>
          </w:tcPr>
          <w:p w14:paraId="5CA3106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50.99</w:t>
            </w:r>
            <w:r>
              <w:rPr>
                <w:rFonts w:hint="eastAsia" w:ascii="仿宋" w:hAnsi="仿宋" w:eastAsia="仿宋" w:cs="仿宋"/>
                <w:b w:val="0"/>
                <w:bCs w:val="0"/>
                <w:kern w:val="0"/>
                <w:sz w:val="20"/>
                <w:szCs w:val="20"/>
              </w:rPr>
              <w:t>　</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76187FF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0C8274C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49802F0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61.94</w:t>
            </w:r>
            <w:r>
              <w:rPr>
                <w:rFonts w:hint="eastAsia" w:ascii="仿宋" w:hAnsi="仿宋" w:eastAsia="仿宋" w:cs="仿宋"/>
                <w:b w:val="0"/>
                <w:bCs w:val="0"/>
                <w:kern w:val="0"/>
                <w:sz w:val="20"/>
                <w:szCs w:val="20"/>
              </w:rPr>
              <w:t>　</w:t>
            </w:r>
          </w:p>
        </w:tc>
        <w:tc>
          <w:tcPr>
            <w:tcW w:w="2240" w:type="dxa"/>
            <w:gridSpan w:val="2"/>
            <w:noWrap w:val="0"/>
            <w:vAlign w:val="center"/>
          </w:tcPr>
          <w:p w14:paraId="46E9D1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43.00</w:t>
            </w:r>
            <w:r>
              <w:rPr>
                <w:rFonts w:hint="eastAsia" w:ascii="仿宋" w:hAnsi="仿宋" w:eastAsia="仿宋" w:cs="仿宋"/>
                <w:b w:val="0"/>
                <w:bCs w:val="0"/>
                <w:kern w:val="0"/>
                <w:sz w:val="20"/>
                <w:szCs w:val="20"/>
              </w:rPr>
              <w:t>　</w:t>
            </w:r>
          </w:p>
        </w:tc>
        <w:tc>
          <w:tcPr>
            <w:tcW w:w="1832" w:type="dxa"/>
            <w:gridSpan w:val="2"/>
            <w:noWrap w:val="0"/>
            <w:vAlign w:val="center"/>
          </w:tcPr>
          <w:p w14:paraId="7383453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50.99</w:t>
            </w:r>
            <w:r>
              <w:rPr>
                <w:rFonts w:hint="eastAsia" w:ascii="仿宋" w:hAnsi="仿宋" w:eastAsia="仿宋" w:cs="仿宋"/>
                <w:b w:val="0"/>
                <w:bCs w:val="0"/>
                <w:kern w:val="0"/>
                <w:sz w:val="20"/>
                <w:szCs w:val="20"/>
              </w:rPr>
              <w:t>　</w:t>
            </w: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34606551">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10F65A93">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3EDCEEE6">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335FDCF3">
            <w:pPr>
              <w:widowControl/>
              <w:jc w:val="center"/>
              <w:rPr>
                <w:rFonts w:hint="eastAsia" w:ascii="仿宋" w:hAnsi="仿宋" w:eastAsia="仿宋" w:cs="仿宋"/>
                <w:b w:val="0"/>
                <w:bCs w:val="0"/>
                <w:kern w:val="0"/>
                <w:sz w:val="20"/>
                <w:szCs w:val="20"/>
              </w:rPr>
            </w:pP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CE08B3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8A3ACA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EDC8E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04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FE6F7C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noWrap w:val="0"/>
            <w:vAlign w:val="center"/>
          </w:tcPr>
          <w:p w14:paraId="251C297F">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4813B1B9">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46E43EA3">
            <w:pPr>
              <w:widowControl/>
              <w:jc w:val="center"/>
              <w:rPr>
                <w:rFonts w:hint="eastAsia" w:ascii="仿宋" w:hAnsi="仿宋" w:eastAsia="仿宋" w:cs="仿宋"/>
                <w:b w:val="0"/>
                <w:bCs w:val="0"/>
                <w:kern w:val="0"/>
                <w:sz w:val="20"/>
                <w:szCs w:val="20"/>
              </w:rPr>
            </w:pP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5.78</w:t>
            </w:r>
            <w:r>
              <w:rPr>
                <w:rFonts w:hint="eastAsia" w:ascii="仿宋" w:hAnsi="仿宋" w:eastAsia="仿宋" w:cs="仿宋"/>
                <w:b w:val="0"/>
                <w:bCs w:val="0"/>
                <w:kern w:val="0"/>
                <w:sz w:val="20"/>
                <w:szCs w:val="20"/>
              </w:rPr>
              <w:t>　</w:t>
            </w:r>
          </w:p>
        </w:tc>
        <w:tc>
          <w:tcPr>
            <w:tcW w:w="2240" w:type="dxa"/>
            <w:gridSpan w:val="2"/>
            <w:noWrap w:val="0"/>
            <w:vAlign w:val="center"/>
          </w:tcPr>
          <w:p w14:paraId="102828A1">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12.87</w:t>
            </w:r>
            <w:r>
              <w:rPr>
                <w:rFonts w:hint="eastAsia" w:ascii="仿宋" w:hAnsi="仿宋" w:eastAsia="仿宋" w:cs="仿宋"/>
                <w:b w:val="0"/>
                <w:bCs w:val="0"/>
                <w:color w:val="auto"/>
                <w:kern w:val="0"/>
                <w:sz w:val="20"/>
                <w:szCs w:val="20"/>
              </w:rPr>
              <w:t>　</w:t>
            </w:r>
          </w:p>
        </w:tc>
        <w:tc>
          <w:tcPr>
            <w:tcW w:w="1832" w:type="dxa"/>
            <w:gridSpan w:val="2"/>
            <w:noWrap w:val="0"/>
            <w:vAlign w:val="center"/>
          </w:tcPr>
          <w:p w14:paraId="6F675DD0">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7.08</w:t>
            </w:r>
            <w:r>
              <w:rPr>
                <w:rFonts w:hint="eastAsia" w:ascii="仿宋" w:hAnsi="仿宋" w:eastAsia="仿宋" w:cs="仿宋"/>
                <w:b w:val="0"/>
                <w:bCs w:val="0"/>
                <w:color w:val="auto"/>
                <w:kern w:val="0"/>
                <w:sz w:val="20"/>
                <w:szCs w:val="20"/>
              </w:rPr>
              <w:t>　</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4ACED147">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06F4A58F">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rPr>
              <w:t>　</w:t>
            </w:r>
            <w:r>
              <w:rPr>
                <w:rFonts w:hint="eastAsia" w:ascii="仿宋" w:hAnsi="仿宋" w:eastAsia="仿宋" w:cs="仿宋"/>
                <w:b w:val="0"/>
                <w:bCs w:val="0"/>
                <w:color w:val="auto"/>
                <w:kern w:val="0"/>
                <w:sz w:val="20"/>
                <w:szCs w:val="20"/>
                <w:lang w:val="en-US" w:eastAsia="zh-CN"/>
              </w:rPr>
              <w:t>0</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2891DCE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2</w:t>
            </w:r>
            <w:r>
              <w:rPr>
                <w:rFonts w:hint="eastAsia" w:ascii="仿宋" w:hAnsi="仿宋" w:eastAsia="仿宋" w:cs="仿宋"/>
                <w:b w:val="0"/>
                <w:bCs w:val="0"/>
                <w:color w:val="auto"/>
                <w:kern w:val="0"/>
                <w:sz w:val="20"/>
                <w:szCs w:val="20"/>
              </w:rPr>
              <w:t>　</w:t>
            </w:r>
          </w:p>
        </w:tc>
        <w:tc>
          <w:tcPr>
            <w:tcW w:w="1832" w:type="dxa"/>
            <w:gridSpan w:val="2"/>
            <w:noWrap w:val="0"/>
            <w:vAlign w:val="center"/>
          </w:tcPr>
          <w:p w14:paraId="7622164D">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2.17</w:t>
            </w:r>
            <w:r>
              <w:rPr>
                <w:rFonts w:hint="eastAsia" w:ascii="仿宋" w:hAnsi="仿宋" w:eastAsia="仿宋" w:cs="仿宋"/>
                <w:b w:val="0"/>
                <w:bCs w:val="0"/>
                <w:color w:val="auto"/>
                <w:kern w:val="0"/>
                <w:sz w:val="20"/>
                <w:szCs w:val="20"/>
              </w:rPr>
              <w:t>　</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18A83968">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p>
        </w:tc>
        <w:tc>
          <w:tcPr>
            <w:tcW w:w="1832" w:type="dxa"/>
            <w:gridSpan w:val="2"/>
            <w:noWrap w:val="0"/>
            <w:vAlign w:val="center"/>
          </w:tcPr>
          <w:p w14:paraId="3206C23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ED0C37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3.94</w:t>
            </w:r>
            <w:r>
              <w:rPr>
                <w:rFonts w:hint="eastAsia" w:ascii="仿宋" w:hAnsi="仿宋" w:eastAsia="仿宋" w:cs="仿宋"/>
                <w:b w:val="0"/>
                <w:bCs w:val="0"/>
                <w:kern w:val="0"/>
                <w:sz w:val="20"/>
                <w:szCs w:val="20"/>
              </w:rPr>
              <w:t>　</w:t>
            </w:r>
          </w:p>
        </w:tc>
        <w:tc>
          <w:tcPr>
            <w:tcW w:w="1832" w:type="dxa"/>
            <w:gridSpan w:val="2"/>
            <w:noWrap w:val="0"/>
            <w:vAlign w:val="center"/>
          </w:tcPr>
          <w:p w14:paraId="785F6FF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3.94</w:t>
            </w:r>
            <w:r>
              <w:rPr>
                <w:rFonts w:hint="eastAsia" w:ascii="仿宋" w:hAnsi="仿宋" w:eastAsia="仿宋" w:cs="仿宋"/>
                <w:b w:val="0"/>
                <w:bCs w:val="0"/>
                <w:kern w:val="0"/>
                <w:sz w:val="20"/>
                <w:szCs w:val="20"/>
              </w:rPr>
              <w:t>　</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CD31B24">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129.16</w:t>
            </w:r>
          </w:p>
        </w:tc>
        <w:tc>
          <w:tcPr>
            <w:tcW w:w="1832" w:type="dxa"/>
            <w:gridSpan w:val="2"/>
            <w:noWrap w:val="0"/>
            <w:vAlign w:val="center"/>
          </w:tcPr>
          <w:p w14:paraId="5735980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162.23</w:t>
            </w:r>
            <w:r>
              <w:rPr>
                <w:rFonts w:hint="eastAsia" w:ascii="仿宋" w:hAnsi="仿宋" w:eastAsia="仿宋" w:cs="仿宋"/>
                <w:b w:val="0"/>
                <w:bCs w:val="0"/>
                <w:kern w:val="0"/>
                <w:sz w:val="20"/>
                <w:szCs w:val="20"/>
              </w:rPr>
              <w:t>　</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widowControl/>
              <w:jc w:val="left"/>
              <w:rPr>
                <w:rFonts w:hint="eastAsia" w:ascii="仿宋" w:hAnsi="仿宋" w:eastAsia="仿宋" w:cs="仿宋"/>
                <w:b w:val="0"/>
                <w:b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49" w:type="dxa"/>
            <w:noWrap w:val="0"/>
            <w:vAlign w:val="center"/>
          </w:tcPr>
          <w:p w14:paraId="1B100B4D">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29" w:type="dxa"/>
            <w:noWrap w:val="0"/>
            <w:vAlign w:val="center"/>
          </w:tcPr>
          <w:p w14:paraId="7F8628FE">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11" w:type="dxa"/>
            <w:noWrap w:val="0"/>
            <w:vAlign w:val="center"/>
          </w:tcPr>
          <w:p w14:paraId="0EBDDCAF">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969" w:type="dxa"/>
            <w:noWrap w:val="0"/>
            <w:vAlign w:val="center"/>
          </w:tcPr>
          <w:p w14:paraId="090CB1AB">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63" w:type="dxa"/>
            <w:noWrap w:val="0"/>
            <w:vAlign w:val="center"/>
          </w:tcPr>
          <w:p w14:paraId="67F15FFA">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制定了差旅费管理制度、公务接待管理制度、公务用车管理制度、财务管理制度等</w:t>
            </w:r>
            <w:r>
              <w:rPr>
                <w:rFonts w:hint="eastAsia" w:ascii="仿宋" w:hAnsi="仿宋" w:eastAsia="仿宋" w:cs="仿宋"/>
                <w:b w:val="0"/>
                <w:bCs w:val="0"/>
                <w:kern w:val="0"/>
                <w:sz w:val="20"/>
                <w:szCs w:val="20"/>
              </w:rPr>
              <w:t>　　</w:t>
            </w:r>
          </w:p>
        </w:tc>
      </w:tr>
    </w:tbl>
    <w:p w14:paraId="00F6D30B">
      <w:pPr>
        <w:pStyle w:val="11"/>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31605FB4">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陈平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2026.6.10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17774559518 </w:t>
      </w:r>
    </w:p>
    <w:p w14:paraId="5D0A20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1164"/>
        <w:gridCol w:w="1116"/>
        <w:gridCol w:w="995"/>
        <w:gridCol w:w="94"/>
        <w:gridCol w:w="1193"/>
        <w:gridCol w:w="1129"/>
        <w:gridCol w:w="706"/>
        <w:gridCol w:w="816"/>
        <w:gridCol w:w="889"/>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60"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02" w:type="dxa"/>
            <w:gridSpan w:val="9"/>
            <w:noWrap w:val="0"/>
            <w:vAlign w:val="center"/>
          </w:tcPr>
          <w:p w14:paraId="6CCEFD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怀化市地震局</w:t>
            </w:r>
            <w:r>
              <w:rPr>
                <w:rFonts w:hint="eastAsia" w:ascii="仿宋" w:hAnsi="仿宋" w:eastAsia="仿宋" w:cs="仿宋"/>
                <w:color w:val="000000"/>
                <w:kern w:val="0"/>
                <w:sz w:val="20"/>
                <w:szCs w:val="20"/>
              </w:rPr>
              <w:t>　</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60"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195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280"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95"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9F893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87"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29"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BA5B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06"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889"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0"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280"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95"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172.16</w:t>
            </w:r>
          </w:p>
        </w:tc>
        <w:tc>
          <w:tcPr>
            <w:tcW w:w="1287"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216.85</w:t>
            </w:r>
          </w:p>
        </w:tc>
        <w:tc>
          <w:tcPr>
            <w:tcW w:w="1129"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213.22</w:t>
            </w:r>
          </w:p>
        </w:tc>
        <w:tc>
          <w:tcPr>
            <w:tcW w:w="706"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98.32%</w:t>
            </w:r>
          </w:p>
        </w:tc>
        <w:tc>
          <w:tcPr>
            <w:tcW w:w="889"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9.83</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0"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62"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540"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0"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62"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213.22</w:t>
            </w:r>
          </w:p>
        </w:tc>
        <w:tc>
          <w:tcPr>
            <w:tcW w:w="3540"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162.23</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0"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62"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540"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50.99</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0"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62"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540"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60"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62"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540"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60"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62"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540"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60"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62" w:type="dxa"/>
            <w:gridSpan w:val="5"/>
            <w:noWrap w:val="0"/>
            <w:vAlign w:val="center"/>
          </w:tcPr>
          <w:p w14:paraId="5A5A24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1、持续提升地震监测预报预警能力，配合省地震局完成地震预警台网建设与优化工程项目怀化分项目和视频会议会商系统建设；</w:t>
            </w:r>
          </w:p>
          <w:p w14:paraId="27F4CC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2、加强全市监测台网管理维护，确保各类监测仪器稳定运行和监测数据质量稳定；</w:t>
            </w:r>
          </w:p>
          <w:p w14:paraId="307AC0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3、积极参加上级地震部门组织开展的各类防震减灾科普活动，在“5.12”防灾减灾日、国际减灾日等重要时段继续大力开展形式多样的宣传活动；</w:t>
            </w:r>
          </w:p>
          <w:p w14:paraId="4668F8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4、完成2所“省级防震减灾科普教育示范学校”创建  5、开展防震减灾行政执法，持续加强对全市重大建设工程地震安全性评价的监管；</w:t>
            </w:r>
          </w:p>
          <w:p w14:paraId="5ECC208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6、进一步加强县市区防震减灾救灾体制机制建设。　　</w:t>
            </w:r>
          </w:p>
        </w:tc>
        <w:tc>
          <w:tcPr>
            <w:tcW w:w="3540" w:type="dxa"/>
            <w:gridSpan w:val="4"/>
            <w:noWrap w:val="0"/>
            <w:vAlign w:val="center"/>
          </w:tcPr>
          <w:p w14:paraId="244FF7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1、切实保障怀化台日常运维</w:t>
            </w:r>
            <w:r>
              <w:rPr>
                <w:rFonts w:hint="eastAsia" w:ascii="仿宋" w:hAnsi="仿宋" w:eastAsia="仿宋" w:cs="仿宋"/>
                <w:color w:val="000000"/>
                <w:kern w:val="0"/>
                <w:sz w:val="20"/>
                <w:szCs w:val="20"/>
                <w:lang w:eastAsia="zh-CN"/>
              </w:rPr>
              <w:t>。</w:t>
            </w:r>
          </w:p>
          <w:p w14:paraId="02289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2、不断加强宏观观测点建设。</w:t>
            </w:r>
          </w:p>
          <w:p w14:paraId="76B926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3、高效完成芷江地震预警站选址重建。</w:t>
            </w:r>
          </w:p>
          <w:p w14:paraId="6D8A51D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4、认真做好地震趋势会商。</w:t>
            </w:r>
          </w:p>
          <w:p w14:paraId="555679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5、积极为全市重大建设工程提供报批咨询服务。</w:t>
            </w:r>
          </w:p>
          <w:p w14:paraId="5500C57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6、着力开展农村建筑工匠抗震设防技术培训。</w:t>
            </w:r>
          </w:p>
          <w:p w14:paraId="430113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7、首次举办全市地震应急救护培训。</w:t>
            </w: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60"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E2BAC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97578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93635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64"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116"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89"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93"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D299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29"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74CF9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06"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889" w:type="dxa"/>
            <w:noWrap w:val="0"/>
            <w:vAlign w:val="top"/>
          </w:tcPr>
          <w:p w14:paraId="1DE8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5AE2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4FB1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60"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116" w:type="dxa"/>
            <w:noWrap w:val="0"/>
            <w:vAlign w:val="center"/>
          </w:tcPr>
          <w:p w14:paraId="7C736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89" w:type="dxa"/>
            <w:gridSpan w:val="2"/>
            <w:noWrap w:val="0"/>
            <w:vAlign w:val="center"/>
          </w:tcPr>
          <w:p w14:paraId="4B9E4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93" w:type="dxa"/>
            <w:noWrap w:val="0"/>
            <w:vAlign w:val="center"/>
          </w:tcPr>
          <w:p w14:paraId="6A9256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w:t>
            </w:r>
            <w:r>
              <w:rPr>
                <w:rFonts w:hint="eastAsia" w:ascii="仿宋" w:hAnsi="仿宋" w:eastAsia="仿宋" w:cs="仿宋"/>
                <w:sz w:val="20"/>
                <w:szCs w:val="20"/>
                <w:lang w:val="en-US" w:eastAsia="zh-CN"/>
              </w:rPr>
              <w:t>216.85</w:t>
            </w:r>
            <w:r>
              <w:rPr>
                <w:rFonts w:hint="eastAsia" w:ascii="仿宋" w:hAnsi="仿宋" w:eastAsia="仿宋" w:cs="仿宋"/>
                <w:color w:val="000000"/>
                <w:kern w:val="0"/>
                <w:sz w:val="20"/>
                <w:szCs w:val="20"/>
                <w:lang w:val="en-US" w:eastAsia="zh-CN"/>
              </w:rPr>
              <w:t>万元</w:t>
            </w:r>
          </w:p>
        </w:tc>
        <w:tc>
          <w:tcPr>
            <w:tcW w:w="1129" w:type="dxa"/>
            <w:noWrap w:val="0"/>
            <w:vAlign w:val="center"/>
          </w:tcPr>
          <w:p w14:paraId="2817CC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213.22万元</w:t>
            </w:r>
          </w:p>
        </w:tc>
        <w:tc>
          <w:tcPr>
            <w:tcW w:w="706" w:type="dxa"/>
            <w:noWrap w:val="0"/>
            <w:vAlign w:val="center"/>
          </w:tcPr>
          <w:p w14:paraId="4B0CE4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B98CB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9"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0"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16"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89" w:type="dxa"/>
            <w:gridSpan w:val="2"/>
            <w:noWrap w:val="0"/>
            <w:vAlign w:val="center"/>
          </w:tcPr>
          <w:p w14:paraId="3CFDD7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193" w:type="dxa"/>
            <w:noWrap w:val="0"/>
            <w:vAlign w:val="center"/>
          </w:tcPr>
          <w:p w14:paraId="2F49BCB0">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29" w:type="dxa"/>
            <w:noWrap w:val="0"/>
            <w:vAlign w:val="center"/>
          </w:tcPr>
          <w:p w14:paraId="2609C8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706" w:type="dxa"/>
            <w:noWrap w:val="0"/>
            <w:vAlign w:val="center"/>
          </w:tcPr>
          <w:p w14:paraId="34415B60">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180B5BD">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9" w:type="dxa"/>
            <w:noWrap w:val="0"/>
            <w:vAlign w:val="center"/>
          </w:tcPr>
          <w:p w14:paraId="505947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0"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16"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89" w:type="dxa"/>
            <w:gridSpan w:val="2"/>
            <w:noWrap w:val="0"/>
            <w:vAlign w:val="center"/>
          </w:tcPr>
          <w:p w14:paraId="33AE98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93" w:type="dxa"/>
            <w:noWrap w:val="0"/>
            <w:vAlign w:val="center"/>
          </w:tcPr>
          <w:p w14:paraId="3BEEE16C">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29" w:type="dxa"/>
            <w:noWrap w:val="0"/>
            <w:vAlign w:val="center"/>
          </w:tcPr>
          <w:p w14:paraId="5C9C3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706" w:type="dxa"/>
            <w:noWrap w:val="0"/>
            <w:vAlign w:val="center"/>
          </w:tcPr>
          <w:p w14:paraId="707D8561">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E4BFE35">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9"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160"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restart"/>
            <w:noWrap w:val="0"/>
            <w:vAlign w:val="center"/>
          </w:tcPr>
          <w:p w14:paraId="2E21A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104B1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16" w:type="dxa"/>
            <w:vMerge w:val="restart"/>
            <w:noWrap w:val="0"/>
            <w:vAlign w:val="center"/>
          </w:tcPr>
          <w:p w14:paraId="0467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E769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9" w:type="dxa"/>
            <w:gridSpan w:val="2"/>
            <w:noWrap w:val="0"/>
            <w:vAlign w:val="center"/>
          </w:tcPr>
          <w:p w14:paraId="2B3FDD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台站运维数量</w:t>
            </w:r>
          </w:p>
        </w:tc>
        <w:tc>
          <w:tcPr>
            <w:tcW w:w="1193" w:type="dxa"/>
            <w:noWrap w:val="0"/>
            <w:vAlign w:val="center"/>
          </w:tcPr>
          <w:p w14:paraId="1AF521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23个</w:t>
            </w:r>
          </w:p>
        </w:tc>
        <w:tc>
          <w:tcPr>
            <w:tcW w:w="1129" w:type="dxa"/>
            <w:noWrap w:val="0"/>
            <w:vAlign w:val="center"/>
          </w:tcPr>
          <w:p w14:paraId="6AABE7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23个</w:t>
            </w:r>
          </w:p>
        </w:tc>
        <w:tc>
          <w:tcPr>
            <w:tcW w:w="706" w:type="dxa"/>
            <w:noWrap w:val="0"/>
            <w:vAlign w:val="center"/>
          </w:tcPr>
          <w:p w14:paraId="5E18AE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816" w:type="dxa"/>
            <w:noWrap w:val="0"/>
            <w:vAlign w:val="center"/>
          </w:tcPr>
          <w:p w14:paraId="6D0A00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889"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3D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60" w:type="dxa"/>
            <w:vMerge w:val="continue"/>
            <w:noWrap w:val="0"/>
            <w:vAlign w:val="center"/>
          </w:tcPr>
          <w:p w14:paraId="44C2C1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4482C8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16" w:type="dxa"/>
            <w:vMerge w:val="continue"/>
            <w:noWrap w:val="0"/>
            <w:vAlign w:val="center"/>
          </w:tcPr>
          <w:p w14:paraId="09D770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9" w:type="dxa"/>
            <w:gridSpan w:val="2"/>
            <w:noWrap w:val="0"/>
            <w:vAlign w:val="center"/>
          </w:tcPr>
          <w:p w14:paraId="1CB167F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开展巡检次数</w:t>
            </w:r>
          </w:p>
        </w:tc>
        <w:tc>
          <w:tcPr>
            <w:tcW w:w="1193" w:type="dxa"/>
            <w:noWrap w:val="0"/>
            <w:vAlign w:val="center"/>
          </w:tcPr>
          <w:p w14:paraId="6D5D01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3次</w:t>
            </w:r>
          </w:p>
        </w:tc>
        <w:tc>
          <w:tcPr>
            <w:tcW w:w="1129" w:type="dxa"/>
            <w:noWrap w:val="0"/>
            <w:vAlign w:val="center"/>
          </w:tcPr>
          <w:p w14:paraId="56A7DF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3次</w:t>
            </w:r>
          </w:p>
        </w:tc>
        <w:tc>
          <w:tcPr>
            <w:tcW w:w="706" w:type="dxa"/>
            <w:noWrap w:val="0"/>
            <w:vAlign w:val="center"/>
          </w:tcPr>
          <w:p w14:paraId="4C9A57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30DDB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89" w:type="dxa"/>
            <w:noWrap w:val="0"/>
            <w:vAlign w:val="center"/>
          </w:tcPr>
          <w:p w14:paraId="442615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1C7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160" w:type="dxa"/>
            <w:vMerge w:val="continue"/>
            <w:noWrap w:val="0"/>
            <w:vAlign w:val="center"/>
          </w:tcPr>
          <w:p w14:paraId="08BDAF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2F745F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16" w:type="dxa"/>
            <w:vMerge w:val="continue"/>
            <w:noWrap w:val="0"/>
            <w:vAlign w:val="center"/>
          </w:tcPr>
          <w:p w14:paraId="127374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9" w:type="dxa"/>
            <w:gridSpan w:val="2"/>
            <w:noWrap w:val="0"/>
            <w:vAlign w:val="center"/>
          </w:tcPr>
          <w:p w14:paraId="3E5ADC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开展技术培训</w:t>
            </w:r>
          </w:p>
        </w:tc>
        <w:tc>
          <w:tcPr>
            <w:tcW w:w="1193" w:type="dxa"/>
            <w:noWrap w:val="0"/>
            <w:vAlign w:val="center"/>
          </w:tcPr>
          <w:p w14:paraId="52578E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3次</w:t>
            </w:r>
          </w:p>
        </w:tc>
        <w:tc>
          <w:tcPr>
            <w:tcW w:w="1129" w:type="dxa"/>
            <w:noWrap w:val="0"/>
            <w:vAlign w:val="center"/>
          </w:tcPr>
          <w:p w14:paraId="1C8F66F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3次</w:t>
            </w:r>
          </w:p>
        </w:tc>
        <w:tc>
          <w:tcPr>
            <w:tcW w:w="706" w:type="dxa"/>
            <w:noWrap w:val="0"/>
            <w:vAlign w:val="center"/>
          </w:tcPr>
          <w:p w14:paraId="1229DE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3963D2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89" w:type="dxa"/>
            <w:noWrap w:val="0"/>
            <w:vAlign w:val="center"/>
          </w:tcPr>
          <w:p w14:paraId="61A398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59C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160" w:type="dxa"/>
            <w:vMerge w:val="continue"/>
            <w:noWrap w:val="0"/>
            <w:vAlign w:val="center"/>
          </w:tcPr>
          <w:p w14:paraId="5F875E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6AE445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16" w:type="dxa"/>
            <w:vMerge w:val="continue"/>
            <w:noWrap w:val="0"/>
            <w:vAlign w:val="center"/>
          </w:tcPr>
          <w:p w14:paraId="560DE9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9" w:type="dxa"/>
            <w:gridSpan w:val="2"/>
            <w:noWrap w:val="0"/>
            <w:vAlign w:val="center"/>
          </w:tcPr>
          <w:p w14:paraId="10070A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开展科普和宣传活动</w:t>
            </w:r>
          </w:p>
        </w:tc>
        <w:tc>
          <w:tcPr>
            <w:tcW w:w="1193" w:type="dxa"/>
            <w:noWrap w:val="0"/>
            <w:vAlign w:val="center"/>
          </w:tcPr>
          <w:p w14:paraId="0A5B3D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6次</w:t>
            </w:r>
          </w:p>
        </w:tc>
        <w:tc>
          <w:tcPr>
            <w:tcW w:w="1129" w:type="dxa"/>
            <w:noWrap w:val="0"/>
            <w:vAlign w:val="center"/>
          </w:tcPr>
          <w:p w14:paraId="33327A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6次</w:t>
            </w:r>
          </w:p>
        </w:tc>
        <w:tc>
          <w:tcPr>
            <w:tcW w:w="706" w:type="dxa"/>
            <w:noWrap w:val="0"/>
            <w:vAlign w:val="center"/>
          </w:tcPr>
          <w:p w14:paraId="1985582A">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50FECC47">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89" w:type="dxa"/>
            <w:noWrap w:val="0"/>
            <w:vAlign w:val="center"/>
          </w:tcPr>
          <w:p w14:paraId="6EF31CA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0" w:type="dxa"/>
            <w:vMerge w:val="continue"/>
            <w:noWrap w:val="0"/>
            <w:vAlign w:val="center"/>
          </w:tcPr>
          <w:p w14:paraId="07C60C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16" w:type="dxa"/>
            <w:vMerge w:val="restart"/>
            <w:noWrap w:val="0"/>
            <w:vAlign w:val="center"/>
          </w:tcPr>
          <w:p w14:paraId="341CD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91D7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9" w:type="dxa"/>
            <w:gridSpan w:val="2"/>
            <w:noWrap w:val="0"/>
            <w:vAlign w:val="center"/>
          </w:tcPr>
          <w:p w14:paraId="45C528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台站运维达标率</w:t>
            </w:r>
          </w:p>
        </w:tc>
        <w:tc>
          <w:tcPr>
            <w:tcW w:w="1193" w:type="dxa"/>
            <w:noWrap w:val="0"/>
            <w:vAlign w:val="center"/>
          </w:tcPr>
          <w:p w14:paraId="57A008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29" w:type="dxa"/>
            <w:noWrap w:val="0"/>
            <w:vAlign w:val="center"/>
          </w:tcPr>
          <w:p w14:paraId="2AE24C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6" w:type="dxa"/>
            <w:noWrap w:val="0"/>
            <w:vAlign w:val="center"/>
          </w:tcPr>
          <w:p w14:paraId="3624F2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816" w:type="dxa"/>
            <w:noWrap w:val="0"/>
            <w:vAlign w:val="center"/>
          </w:tcPr>
          <w:p w14:paraId="24AF83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889"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ADF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60" w:type="dxa"/>
            <w:vMerge w:val="continue"/>
            <w:noWrap w:val="0"/>
            <w:vAlign w:val="center"/>
          </w:tcPr>
          <w:p w14:paraId="654AC4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502254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16" w:type="dxa"/>
            <w:vMerge w:val="continue"/>
            <w:noWrap w:val="0"/>
            <w:vAlign w:val="center"/>
          </w:tcPr>
          <w:p w14:paraId="6A7730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9" w:type="dxa"/>
            <w:gridSpan w:val="2"/>
            <w:noWrap w:val="0"/>
            <w:vAlign w:val="center"/>
          </w:tcPr>
          <w:p w14:paraId="4C3920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技术培训合格率</w:t>
            </w:r>
          </w:p>
        </w:tc>
        <w:tc>
          <w:tcPr>
            <w:tcW w:w="1193" w:type="dxa"/>
            <w:noWrap w:val="0"/>
            <w:vAlign w:val="center"/>
          </w:tcPr>
          <w:p w14:paraId="3DC7E2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29" w:type="dxa"/>
            <w:noWrap w:val="0"/>
            <w:vAlign w:val="center"/>
          </w:tcPr>
          <w:p w14:paraId="27F00E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6" w:type="dxa"/>
            <w:noWrap w:val="0"/>
            <w:vAlign w:val="center"/>
          </w:tcPr>
          <w:p w14:paraId="39ED12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816" w:type="dxa"/>
            <w:noWrap w:val="0"/>
            <w:vAlign w:val="center"/>
          </w:tcPr>
          <w:p w14:paraId="1855AAD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889" w:type="dxa"/>
            <w:noWrap w:val="0"/>
            <w:vAlign w:val="center"/>
          </w:tcPr>
          <w:p w14:paraId="79BD58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60" w:type="dxa"/>
            <w:vMerge w:val="continue"/>
            <w:noWrap w:val="0"/>
            <w:vAlign w:val="center"/>
          </w:tcPr>
          <w:p w14:paraId="40CB3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16"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53BCE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9" w:type="dxa"/>
            <w:gridSpan w:val="2"/>
            <w:noWrap w:val="0"/>
            <w:vAlign w:val="center"/>
          </w:tcPr>
          <w:p w14:paraId="109C7F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93" w:type="dxa"/>
            <w:noWrap w:val="0"/>
            <w:vAlign w:val="center"/>
          </w:tcPr>
          <w:p w14:paraId="243A6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129" w:type="dxa"/>
            <w:noWrap w:val="0"/>
            <w:vAlign w:val="center"/>
          </w:tcPr>
          <w:p w14:paraId="461FBF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706" w:type="dxa"/>
            <w:noWrap w:val="0"/>
            <w:vAlign w:val="center"/>
          </w:tcPr>
          <w:p w14:paraId="21A58C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w:t>
            </w:r>
          </w:p>
        </w:tc>
        <w:tc>
          <w:tcPr>
            <w:tcW w:w="816" w:type="dxa"/>
            <w:noWrap w:val="0"/>
            <w:vAlign w:val="center"/>
          </w:tcPr>
          <w:p w14:paraId="2843FC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w:t>
            </w:r>
          </w:p>
        </w:tc>
        <w:tc>
          <w:tcPr>
            <w:tcW w:w="889"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60"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restart"/>
            <w:noWrap w:val="0"/>
            <w:vAlign w:val="center"/>
          </w:tcPr>
          <w:p w14:paraId="191E7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248A1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16" w:type="dxa"/>
            <w:noWrap w:val="0"/>
            <w:vAlign w:val="center"/>
          </w:tcPr>
          <w:p w14:paraId="13801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128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9" w:type="dxa"/>
            <w:gridSpan w:val="2"/>
            <w:noWrap w:val="0"/>
            <w:vAlign w:val="center"/>
          </w:tcPr>
          <w:p w14:paraId="3EBBE3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减轻地震带来的损失</w:t>
            </w:r>
          </w:p>
        </w:tc>
        <w:tc>
          <w:tcPr>
            <w:tcW w:w="1193" w:type="dxa"/>
            <w:noWrap w:val="0"/>
            <w:vAlign w:val="center"/>
          </w:tcPr>
          <w:p w14:paraId="474A5D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29" w:type="dxa"/>
            <w:noWrap w:val="0"/>
            <w:vAlign w:val="center"/>
          </w:tcPr>
          <w:p w14:paraId="26DFEC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706" w:type="dxa"/>
            <w:noWrap w:val="0"/>
            <w:vAlign w:val="center"/>
          </w:tcPr>
          <w:p w14:paraId="521580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16" w:type="dxa"/>
            <w:noWrap w:val="0"/>
            <w:vAlign w:val="center"/>
          </w:tcPr>
          <w:p w14:paraId="631292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89"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60"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16" w:type="dxa"/>
            <w:noWrap w:val="0"/>
            <w:vAlign w:val="center"/>
          </w:tcPr>
          <w:p w14:paraId="0528A1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C64D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9" w:type="dxa"/>
            <w:gridSpan w:val="2"/>
            <w:noWrap w:val="0"/>
            <w:vAlign w:val="center"/>
          </w:tcPr>
          <w:p w14:paraId="3D88BD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及时预警，保障人民群众生命财产安全</w:t>
            </w:r>
          </w:p>
        </w:tc>
        <w:tc>
          <w:tcPr>
            <w:tcW w:w="1193" w:type="dxa"/>
            <w:noWrap w:val="0"/>
            <w:vAlign w:val="center"/>
          </w:tcPr>
          <w:p w14:paraId="520528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29" w:type="dxa"/>
            <w:noWrap w:val="0"/>
            <w:vAlign w:val="center"/>
          </w:tcPr>
          <w:p w14:paraId="026456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706" w:type="dxa"/>
            <w:noWrap w:val="0"/>
            <w:vAlign w:val="center"/>
          </w:tcPr>
          <w:p w14:paraId="2083A1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16" w:type="dxa"/>
            <w:noWrap w:val="0"/>
            <w:vAlign w:val="center"/>
          </w:tcPr>
          <w:p w14:paraId="4633CB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89"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60"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16"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09FF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9" w:type="dxa"/>
            <w:gridSpan w:val="2"/>
            <w:noWrap w:val="0"/>
            <w:vAlign w:val="center"/>
          </w:tcPr>
          <w:p w14:paraId="075BE7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93" w:type="dxa"/>
            <w:noWrap w:val="0"/>
            <w:vAlign w:val="center"/>
          </w:tcPr>
          <w:p w14:paraId="14C862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29" w:type="dxa"/>
            <w:noWrap w:val="0"/>
            <w:vAlign w:val="center"/>
          </w:tcPr>
          <w:p w14:paraId="00E949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706" w:type="dxa"/>
            <w:noWrap w:val="0"/>
            <w:vAlign w:val="center"/>
          </w:tcPr>
          <w:p w14:paraId="0A922A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16" w:type="dxa"/>
            <w:noWrap w:val="0"/>
            <w:vAlign w:val="center"/>
          </w:tcPr>
          <w:p w14:paraId="2D00C3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89"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60"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64"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16"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89" w:type="dxa"/>
            <w:gridSpan w:val="2"/>
            <w:noWrap w:val="0"/>
            <w:vAlign w:val="center"/>
          </w:tcPr>
          <w:p w14:paraId="11D79D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形成一套有效预警机制</w:t>
            </w:r>
          </w:p>
        </w:tc>
        <w:tc>
          <w:tcPr>
            <w:tcW w:w="1193" w:type="dxa"/>
            <w:noWrap w:val="0"/>
            <w:vAlign w:val="center"/>
          </w:tcPr>
          <w:p w14:paraId="08C69C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29" w:type="dxa"/>
            <w:noWrap w:val="0"/>
            <w:vAlign w:val="center"/>
          </w:tcPr>
          <w:p w14:paraId="0B3C7A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706" w:type="dxa"/>
            <w:noWrap w:val="0"/>
            <w:vAlign w:val="center"/>
          </w:tcPr>
          <w:p w14:paraId="017F88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16" w:type="dxa"/>
            <w:noWrap w:val="0"/>
            <w:vAlign w:val="center"/>
          </w:tcPr>
          <w:p w14:paraId="2FC6B3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89"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60"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64" w:type="dxa"/>
            <w:noWrap w:val="0"/>
            <w:vAlign w:val="center"/>
          </w:tcPr>
          <w:p w14:paraId="4853C1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A82D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C2F0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16"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89" w:type="dxa"/>
            <w:gridSpan w:val="2"/>
            <w:noWrap w:val="0"/>
            <w:vAlign w:val="center"/>
          </w:tcPr>
          <w:p w14:paraId="02D08B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社会公众满意度</w:t>
            </w:r>
          </w:p>
        </w:tc>
        <w:tc>
          <w:tcPr>
            <w:tcW w:w="1193" w:type="dxa"/>
            <w:noWrap w:val="0"/>
            <w:vAlign w:val="center"/>
          </w:tcPr>
          <w:p w14:paraId="11C74467">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29" w:type="dxa"/>
            <w:noWrap w:val="0"/>
            <w:vAlign w:val="center"/>
          </w:tcPr>
          <w:p w14:paraId="388717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706" w:type="dxa"/>
            <w:noWrap w:val="0"/>
            <w:vAlign w:val="center"/>
          </w:tcPr>
          <w:p w14:paraId="43A71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16" w:type="dxa"/>
            <w:noWrap w:val="0"/>
            <w:vAlign w:val="center"/>
          </w:tcPr>
          <w:p w14:paraId="7B513B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89"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51"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06"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7E1C4A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99.83</w:t>
            </w:r>
          </w:p>
        </w:tc>
        <w:tc>
          <w:tcPr>
            <w:tcW w:w="889"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B1A0232">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陈平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2026.6.10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17774559518 </w:t>
      </w:r>
    </w:p>
    <w:p w14:paraId="7FF7D1BE">
      <w:pPr>
        <w:rPr>
          <w:rFonts w:hint="default"/>
          <w:lang w:val="en-US" w:eastAsia="zh-CN"/>
        </w:rPr>
      </w:pPr>
      <w:r>
        <w:rPr>
          <w:rFonts w:hint="default"/>
          <w:lang w:val="en-US" w:eastAsia="zh-CN"/>
        </w:rPr>
        <w:br w:type="page"/>
      </w:r>
      <w:bookmarkStart w:id="0" w:name="_GoBack"/>
      <w:bookmarkEnd w:id="0"/>
    </w:p>
    <w:p w14:paraId="082BD1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w:t>
      </w:r>
    </w:p>
    <w:p w14:paraId="7394163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0A2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14941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E8C98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5FECA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农村民居防震保安与群策群防专项经费　</w:t>
            </w:r>
          </w:p>
        </w:tc>
      </w:tr>
      <w:tr w14:paraId="75DF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1DF23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6C424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怀化市应急管理局</w:t>
            </w:r>
          </w:p>
        </w:tc>
        <w:tc>
          <w:tcPr>
            <w:tcW w:w="1134" w:type="dxa"/>
            <w:noWrap w:val="0"/>
            <w:vAlign w:val="center"/>
          </w:tcPr>
          <w:p w14:paraId="4E0AD5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D0A23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b w:val="0"/>
                <w:bCs w:val="0"/>
                <w:kern w:val="0"/>
                <w:sz w:val="20"/>
                <w:szCs w:val="20"/>
                <w:lang w:val="en-US" w:eastAsia="zh-CN"/>
              </w:rPr>
              <w:t>怀化市地震局</w:t>
            </w:r>
            <w:r>
              <w:rPr>
                <w:rFonts w:hint="eastAsia" w:ascii="仿宋" w:hAnsi="仿宋" w:eastAsia="仿宋" w:cs="仿宋"/>
                <w:color w:val="000000"/>
                <w:kern w:val="0"/>
                <w:sz w:val="20"/>
                <w:szCs w:val="20"/>
              </w:rPr>
              <w:t>　</w:t>
            </w:r>
          </w:p>
        </w:tc>
      </w:tr>
      <w:tr w14:paraId="36F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1F01E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315DDF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3DEA5A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F876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8331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043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803C3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8518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A8B3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B5335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07FA8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8E4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90E6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916A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48BDF8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209" w:type="dxa"/>
            <w:noWrap w:val="0"/>
            <w:vAlign w:val="center"/>
          </w:tcPr>
          <w:p w14:paraId="3FBD9D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noWrap w:val="0"/>
            <w:vAlign w:val="center"/>
          </w:tcPr>
          <w:p w14:paraId="330888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828" w:type="dxa"/>
            <w:noWrap w:val="0"/>
            <w:vAlign w:val="center"/>
          </w:tcPr>
          <w:p w14:paraId="143FCB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B57F2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75%</w:t>
            </w:r>
          </w:p>
        </w:tc>
        <w:tc>
          <w:tcPr>
            <w:tcW w:w="1418" w:type="dxa"/>
            <w:noWrap w:val="0"/>
            <w:vAlign w:val="center"/>
          </w:tcPr>
          <w:p w14:paraId="00043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7.5</w:t>
            </w:r>
          </w:p>
        </w:tc>
      </w:tr>
      <w:tr w14:paraId="4089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5A7C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9F39A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shd w:val="clear" w:color="auto" w:fill="auto"/>
            <w:noWrap w:val="0"/>
            <w:vAlign w:val="center"/>
          </w:tcPr>
          <w:p w14:paraId="733C80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209" w:type="dxa"/>
            <w:shd w:val="clear" w:color="auto" w:fill="auto"/>
            <w:noWrap w:val="0"/>
            <w:vAlign w:val="center"/>
          </w:tcPr>
          <w:p w14:paraId="3FDF8C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shd w:val="clear" w:color="auto" w:fill="auto"/>
            <w:noWrap w:val="0"/>
            <w:vAlign w:val="center"/>
          </w:tcPr>
          <w:p w14:paraId="0DFB80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828" w:type="dxa"/>
            <w:shd w:val="clear" w:color="auto" w:fill="auto"/>
            <w:noWrap w:val="0"/>
            <w:vAlign w:val="center"/>
          </w:tcPr>
          <w:p w14:paraId="1FC36F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10</w:t>
            </w:r>
          </w:p>
        </w:tc>
        <w:tc>
          <w:tcPr>
            <w:tcW w:w="873" w:type="dxa"/>
            <w:shd w:val="clear" w:color="auto" w:fill="auto"/>
            <w:noWrap w:val="0"/>
            <w:vAlign w:val="center"/>
          </w:tcPr>
          <w:p w14:paraId="1751F1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75%</w:t>
            </w:r>
          </w:p>
        </w:tc>
        <w:tc>
          <w:tcPr>
            <w:tcW w:w="1418" w:type="dxa"/>
            <w:shd w:val="clear" w:color="auto" w:fill="auto"/>
            <w:noWrap w:val="0"/>
            <w:vAlign w:val="center"/>
          </w:tcPr>
          <w:p w14:paraId="1E591D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7.5</w:t>
            </w:r>
          </w:p>
        </w:tc>
      </w:tr>
      <w:tr w14:paraId="51F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CBAAE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3C881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105225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39FA6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0B0AE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3977C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5AE99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7542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30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50AD5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805573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345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E737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96D47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E7E0F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BD7CD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4C0FB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DF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41A7F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A2D85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BDC5E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0B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CAB80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04BC1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开展全市农村民居地震安全示范工程建设、防震减灾科普示范学校创建、防震减灾示范社区创建、地震群测群防宏观观测点建设、防震减灾科普宣传等工作经费。　</w:t>
            </w:r>
          </w:p>
        </w:tc>
        <w:tc>
          <w:tcPr>
            <w:tcW w:w="4253" w:type="dxa"/>
            <w:gridSpan w:val="4"/>
            <w:noWrap w:val="0"/>
            <w:vAlign w:val="center"/>
          </w:tcPr>
          <w:p w14:paraId="6E88D1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开展全市农村民居地震安全示范工程建设、防震减灾科普示范学校创建、防震减灾示范社区创建、地震群测群防宏观观测点建设、防震减灾科普宣传等工作经费。</w:t>
            </w:r>
          </w:p>
        </w:tc>
      </w:tr>
      <w:tr w14:paraId="756F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BF25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D6882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D8FE8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7C70F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59FE3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18AEF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C0D86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C4712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CF1D9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2AC4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A374F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E3915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5852C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3222F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FB88F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1E8E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AD4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4B07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7BF34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02A2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shd w:val="clear" w:color="auto" w:fill="auto"/>
            <w:noWrap w:val="0"/>
            <w:vAlign w:val="center"/>
          </w:tcPr>
          <w:p w14:paraId="3FF80F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农村民居防震保安与群测群防专项经费</w:t>
            </w:r>
          </w:p>
        </w:tc>
        <w:tc>
          <w:tcPr>
            <w:tcW w:w="1209" w:type="dxa"/>
            <w:noWrap w:val="0"/>
            <w:vAlign w:val="center"/>
          </w:tcPr>
          <w:p w14:paraId="5D8797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20</w:t>
            </w:r>
          </w:p>
        </w:tc>
        <w:tc>
          <w:tcPr>
            <w:tcW w:w="1134" w:type="dxa"/>
            <w:noWrap w:val="0"/>
            <w:vAlign w:val="center"/>
          </w:tcPr>
          <w:p w14:paraId="258594C6">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828" w:type="dxa"/>
            <w:noWrap w:val="0"/>
            <w:vAlign w:val="center"/>
          </w:tcPr>
          <w:p w14:paraId="0A606A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A2E37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309BE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5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9C893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F339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55836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502BEA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209" w:type="dxa"/>
            <w:noWrap w:val="0"/>
            <w:vAlign w:val="center"/>
          </w:tcPr>
          <w:p w14:paraId="6EDF71BD">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2F2AB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590D74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A4EFB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7502D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1E6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91D36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3528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B3B8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6A3F15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209" w:type="dxa"/>
            <w:noWrap w:val="0"/>
            <w:vAlign w:val="center"/>
          </w:tcPr>
          <w:p w14:paraId="0CC801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1134" w:type="dxa"/>
            <w:noWrap w:val="0"/>
            <w:vAlign w:val="center"/>
          </w:tcPr>
          <w:p w14:paraId="56E806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1A93B4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B20AC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550A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0E3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8561D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DBB5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A956E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vMerge w:val="restart"/>
            <w:noWrap w:val="0"/>
            <w:vAlign w:val="center"/>
          </w:tcPr>
          <w:p w14:paraId="67EF58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DC0BF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建设符合要求的群测群防点数量</w:t>
            </w:r>
          </w:p>
        </w:tc>
        <w:tc>
          <w:tcPr>
            <w:tcW w:w="1209" w:type="dxa"/>
            <w:noWrap w:val="0"/>
            <w:vAlign w:val="center"/>
          </w:tcPr>
          <w:p w14:paraId="5A55B0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2个</w:t>
            </w:r>
          </w:p>
        </w:tc>
        <w:tc>
          <w:tcPr>
            <w:tcW w:w="1134" w:type="dxa"/>
            <w:noWrap w:val="0"/>
            <w:vAlign w:val="center"/>
          </w:tcPr>
          <w:p w14:paraId="47F9DC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3个</w:t>
            </w:r>
          </w:p>
        </w:tc>
        <w:tc>
          <w:tcPr>
            <w:tcW w:w="828" w:type="dxa"/>
            <w:noWrap w:val="0"/>
            <w:vAlign w:val="center"/>
          </w:tcPr>
          <w:p w14:paraId="56EE86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63EB25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D491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822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B93FE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ACC94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vMerge w:val="continue"/>
            <w:noWrap w:val="0"/>
            <w:vAlign w:val="center"/>
          </w:tcPr>
          <w:p w14:paraId="0CE0FB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180911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开展防震减灾科普宣传次数</w:t>
            </w:r>
          </w:p>
        </w:tc>
        <w:tc>
          <w:tcPr>
            <w:tcW w:w="1209" w:type="dxa"/>
            <w:noWrap w:val="0"/>
            <w:vAlign w:val="center"/>
          </w:tcPr>
          <w:p w14:paraId="234E32EF">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6次</w:t>
            </w:r>
          </w:p>
        </w:tc>
        <w:tc>
          <w:tcPr>
            <w:tcW w:w="1134" w:type="dxa"/>
            <w:noWrap w:val="0"/>
            <w:vAlign w:val="center"/>
          </w:tcPr>
          <w:p w14:paraId="7ECAD8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6次</w:t>
            </w:r>
          </w:p>
        </w:tc>
        <w:tc>
          <w:tcPr>
            <w:tcW w:w="828" w:type="dxa"/>
            <w:noWrap w:val="0"/>
            <w:vAlign w:val="center"/>
          </w:tcPr>
          <w:p w14:paraId="0FDFE6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1F1A15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2B87F5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3A7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580DD6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2A30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5C725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09070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地震群测群防宏观观测点验收合格率</w:t>
            </w:r>
          </w:p>
        </w:tc>
        <w:tc>
          <w:tcPr>
            <w:tcW w:w="1209" w:type="dxa"/>
            <w:noWrap w:val="0"/>
            <w:vAlign w:val="center"/>
          </w:tcPr>
          <w:p w14:paraId="194F17A9">
            <w:pPr>
              <w:keepNext w:val="0"/>
              <w:keepLines w:val="0"/>
              <w:widowControl/>
              <w:suppressLineNumbers w:val="0"/>
              <w:jc w:val="center"/>
              <w:textAlignment w:val="center"/>
              <w:rPr>
                <w:rFonts w:hint="default" w:ascii="仿宋" w:hAnsi="仿宋" w:eastAsia="仿宋" w:cs="仿宋"/>
                <w:color w:val="000000"/>
                <w:kern w:val="0"/>
                <w:sz w:val="20"/>
                <w:szCs w:val="20"/>
                <w:lang w:val="en-US"/>
              </w:rPr>
            </w:pPr>
            <w:r>
              <w:rPr>
                <w:rFonts w:hint="eastAsia" w:ascii="宋体" w:hAnsi="宋体" w:eastAsia="宋体" w:cs="宋体"/>
                <w:i w:val="0"/>
                <w:iCs w:val="0"/>
                <w:color w:val="000000"/>
                <w:kern w:val="0"/>
                <w:sz w:val="18"/>
                <w:szCs w:val="18"/>
                <w:u w:val="none"/>
                <w:lang w:val="en-US" w:eastAsia="zh-CN" w:bidi="ar"/>
              </w:rPr>
              <w:t>100%</w:t>
            </w:r>
          </w:p>
        </w:tc>
        <w:tc>
          <w:tcPr>
            <w:tcW w:w="1134" w:type="dxa"/>
            <w:noWrap w:val="0"/>
            <w:vAlign w:val="center"/>
          </w:tcPr>
          <w:p w14:paraId="2FCBDB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113D00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59AEFB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2FACC7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5B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0965F2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A8A48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4ABD4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2535F1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1209" w:type="dxa"/>
            <w:noWrap w:val="0"/>
            <w:vAlign w:val="center"/>
          </w:tcPr>
          <w:p w14:paraId="5217E911">
            <w:pPr>
              <w:keepNext w:val="0"/>
              <w:keepLines w:val="0"/>
              <w:widowControl/>
              <w:suppressLineNumbers w:val="0"/>
              <w:jc w:val="center"/>
              <w:textAlignment w:val="center"/>
              <w:rPr>
                <w:rFonts w:hint="default" w:ascii="仿宋" w:hAnsi="仿宋" w:eastAsia="仿宋" w:cs="仿宋"/>
                <w:color w:val="000000"/>
                <w:kern w:val="0"/>
                <w:sz w:val="20"/>
                <w:szCs w:val="20"/>
                <w:lang w:val="en-US"/>
              </w:rPr>
            </w:pPr>
            <w:r>
              <w:rPr>
                <w:rFonts w:hint="eastAsia" w:ascii="宋体" w:hAnsi="宋体" w:eastAsia="宋体" w:cs="宋体"/>
                <w:i w:val="0"/>
                <w:iCs w:val="0"/>
                <w:color w:val="000000"/>
                <w:kern w:val="0"/>
                <w:sz w:val="18"/>
                <w:szCs w:val="18"/>
                <w:u w:val="none"/>
                <w:lang w:val="en-US" w:eastAsia="zh-CN" w:bidi="ar"/>
              </w:rPr>
              <w:t>100%</w:t>
            </w:r>
          </w:p>
        </w:tc>
        <w:tc>
          <w:tcPr>
            <w:tcW w:w="1134" w:type="dxa"/>
            <w:noWrap w:val="0"/>
            <w:vAlign w:val="center"/>
          </w:tcPr>
          <w:p w14:paraId="2AAD0B60">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DB27C1D">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EB7E255">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2F3CC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3C3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080" w:type="dxa"/>
            <w:vMerge w:val="continue"/>
            <w:noWrap w:val="0"/>
            <w:vAlign w:val="center"/>
          </w:tcPr>
          <w:p w14:paraId="6F4A0C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8BC67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904B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2FF5FC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0E9E79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134" w:type="dxa"/>
            <w:noWrap w:val="0"/>
            <w:vAlign w:val="center"/>
          </w:tcPr>
          <w:p w14:paraId="4DF7B5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828" w:type="dxa"/>
            <w:noWrap w:val="0"/>
            <w:vAlign w:val="center"/>
          </w:tcPr>
          <w:p w14:paraId="43F6BF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B4F90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7E9FA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89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7E81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2FCD1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FE926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F5A79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4E69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ADEAE4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发挥财政资金使用效益，服务经济发展</w:t>
            </w:r>
          </w:p>
        </w:tc>
        <w:tc>
          <w:tcPr>
            <w:tcW w:w="1209" w:type="dxa"/>
            <w:noWrap w:val="0"/>
            <w:vAlign w:val="center"/>
          </w:tcPr>
          <w:p w14:paraId="5093FE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2434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70A099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47EEE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B6FBA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79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E86C8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D93E7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56255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F6E80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77E1B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及时预警，保障人民群众生命财产安全</w:t>
            </w:r>
          </w:p>
        </w:tc>
        <w:tc>
          <w:tcPr>
            <w:tcW w:w="1209" w:type="dxa"/>
            <w:noWrap w:val="0"/>
            <w:vAlign w:val="center"/>
          </w:tcPr>
          <w:p w14:paraId="359B39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75905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4DF34F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1ED0F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D23D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BE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F7336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012E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2A06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1C61D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97FA5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noWrap w:val="0"/>
            <w:vAlign w:val="center"/>
          </w:tcPr>
          <w:p w14:paraId="1F5702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77A349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3635D0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61329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043A5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75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3111A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D30C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1DB2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793351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形成一套有效预警机制</w:t>
            </w:r>
          </w:p>
        </w:tc>
        <w:tc>
          <w:tcPr>
            <w:tcW w:w="1209" w:type="dxa"/>
            <w:noWrap w:val="0"/>
            <w:vAlign w:val="center"/>
          </w:tcPr>
          <w:p w14:paraId="064DAD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66CD10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1C5C1E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124311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B1F65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AA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ADC2D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2340A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D7CC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F27DE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D9C24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7CE7ED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人民群众满意度</w:t>
            </w:r>
          </w:p>
        </w:tc>
        <w:tc>
          <w:tcPr>
            <w:tcW w:w="1209" w:type="dxa"/>
            <w:noWrap w:val="0"/>
            <w:vAlign w:val="center"/>
          </w:tcPr>
          <w:p w14:paraId="458E70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4405DE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6F9D3A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C4491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ECCFD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E05A6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5D95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A45BC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97.5</w:t>
            </w:r>
          </w:p>
        </w:tc>
        <w:tc>
          <w:tcPr>
            <w:tcW w:w="1418" w:type="dxa"/>
            <w:noWrap w:val="0"/>
            <w:vAlign w:val="center"/>
          </w:tcPr>
          <w:p w14:paraId="51C7A3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2E142D0">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陈平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2026.6.10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17774559518 </w:t>
      </w:r>
    </w:p>
    <w:p w14:paraId="607492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C8FE9A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2EA48E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87613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729951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C62C4E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CDA169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07BC2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EA843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0F7336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5B9B9B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059172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31156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DE069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附件3-2</w:t>
      </w:r>
    </w:p>
    <w:p w14:paraId="76846EA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22B6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F1FF3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BA831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206042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怀化市地震台运行经费</w:t>
            </w:r>
          </w:p>
        </w:tc>
      </w:tr>
      <w:tr w14:paraId="72C4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88842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6FE65F0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怀化市应急管理局</w:t>
            </w:r>
          </w:p>
        </w:tc>
        <w:tc>
          <w:tcPr>
            <w:tcW w:w="1134" w:type="dxa"/>
            <w:noWrap w:val="0"/>
            <w:vAlign w:val="center"/>
          </w:tcPr>
          <w:p w14:paraId="481B6E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1951FA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b w:val="0"/>
                <w:bCs w:val="0"/>
                <w:kern w:val="0"/>
                <w:sz w:val="20"/>
                <w:szCs w:val="20"/>
                <w:lang w:val="en-US" w:eastAsia="zh-CN"/>
              </w:rPr>
              <w:t>怀化市地震局</w:t>
            </w:r>
            <w:r>
              <w:rPr>
                <w:rFonts w:hint="eastAsia" w:ascii="仿宋" w:hAnsi="仿宋" w:eastAsia="仿宋" w:cs="仿宋"/>
                <w:color w:val="000000"/>
                <w:kern w:val="0"/>
                <w:sz w:val="20"/>
                <w:szCs w:val="20"/>
              </w:rPr>
              <w:t>　</w:t>
            </w:r>
          </w:p>
        </w:tc>
      </w:tr>
      <w:tr w14:paraId="00BE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233A10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664600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0AEEC0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39D5E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30BDB7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ACE45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072203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38DE5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855EA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7955D6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2AD274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1288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7A687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BCDB8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096A7D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209" w:type="dxa"/>
            <w:noWrap w:val="0"/>
            <w:vAlign w:val="center"/>
          </w:tcPr>
          <w:p w14:paraId="038E95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noWrap w:val="0"/>
            <w:vAlign w:val="center"/>
          </w:tcPr>
          <w:p w14:paraId="0D58C0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828" w:type="dxa"/>
            <w:noWrap w:val="0"/>
            <w:vAlign w:val="center"/>
          </w:tcPr>
          <w:p w14:paraId="1C7D09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400A89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77A698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480E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8245C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87DA1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shd w:val="clear" w:color="auto" w:fill="auto"/>
            <w:noWrap w:val="0"/>
            <w:vAlign w:val="center"/>
          </w:tcPr>
          <w:p w14:paraId="4A1258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209" w:type="dxa"/>
            <w:shd w:val="clear" w:color="auto" w:fill="auto"/>
            <w:noWrap w:val="0"/>
            <w:vAlign w:val="center"/>
          </w:tcPr>
          <w:p w14:paraId="16903F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shd w:val="clear" w:color="auto" w:fill="auto"/>
            <w:noWrap w:val="0"/>
            <w:vAlign w:val="center"/>
          </w:tcPr>
          <w:p w14:paraId="7E6190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828" w:type="dxa"/>
            <w:shd w:val="clear" w:color="auto" w:fill="auto"/>
            <w:noWrap w:val="0"/>
            <w:vAlign w:val="center"/>
          </w:tcPr>
          <w:p w14:paraId="185C35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10</w:t>
            </w:r>
          </w:p>
        </w:tc>
        <w:tc>
          <w:tcPr>
            <w:tcW w:w="873" w:type="dxa"/>
            <w:shd w:val="clear" w:color="auto" w:fill="auto"/>
            <w:noWrap w:val="0"/>
            <w:vAlign w:val="center"/>
          </w:tcPr>
          <w:p w14:paraId="082D84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100%</w:t>
            </w:r>
          </w:p>
        </w:tc>
        <w:tc>
          <w:tcPr>
            <w:tcW w:w="1418" w:type="dxa"/>
            <w:shd w:val="clear" w:color="auto" w:fill="auto"/>
            <w:noWrap w:val="0"/>
            <w:vAlign w:val="center"/>
          </w:tcPr>
          <w:p w14:paraId="3C27B8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r>
      <w:tr w14:paraId="4685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02DBC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C4EFE76">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4A5F74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742B1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636074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BC233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5296D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DC55B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1E1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481B9A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1A2CCEC">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74892D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0982C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01732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E1800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76A31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95D31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83C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1405C1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55A210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7272B2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1A38A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58E854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41CECB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开展全市农村民居地震安全示范工程建设、防震减灾科普示范学校创建、防震减灾示范社区创建、地震群测群防宏观观测点建设、防震减灾科普宣传等工作经费。　</w:t>
            </w:r>
          </w:p>
        </w:tc>
        <w:tc>
          <w:tcPr>
            <w:tcW w:w="4253" w:type="dxa"/>
            <w:gridSpan w:val="4"/>
            <w:noWrap w:val="0"/>
            <w:vAlign w:val="center"/>
          </w:tcPr>
          <w:p w14:paraId="2168DD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开展全市农村民居地震安全示范工程建设、防震减灾科普示范学校创建、防震减灾示范社区创建、地震群测群防宏观观测点建设、防震减灾科普宣传等工作经费。</w:t>
            </w:r>
          </w:p>
        </w:tc>
      </w:tr>
      <w:tr w14:paraId="68BC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42EB4F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5EB537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A4A92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CC52F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D34F1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04B289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1FE340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14E52C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433B8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3FB761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81EE3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0D5ABB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237DB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E2036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5738F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A3147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6DF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3BCA8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F50BD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2A206C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shd w:val="clear" w:color="auto" w:fill="auto"/>
            <w:noWrap w:val="0"/>
            <w:vAlign w:val="center"/>
          </w:tcPr>
          <w:p w14:paraId="0F9F982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仿宋" w:hAnsi="仿宋" w:eastAsia="仿宋" w:cs="仿宋"/>
                <w:color w:val="000000"/>
                <w:kern w:val="0"/>
                <w:sz w:val="20"/>
                <w:szCs w:val="20"/>
              </w:rPr>
              <w:t>怀化市地震台运行经费</w:t>
            </w:r>
          </w:p>
        </w:tc>
        <w:tc>
          <w:tcPr>
            <w:tcW w:w="1209" w:type="dxa"/>
            <w:noWrap w:val="0"/>
            <w:vAlign w:val="center"/>
          </w:tcPr>
          <w:p w14:paraId="3CD9C2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20</w:t>
            </w:r>
          </w:p>
        </w:tc>
        <w:tc>
          <w:tcPr>
            <w:tcW w:w="1134" w:type="dxa"/>
            <w:noWrap w:val="0"/>
            <w:vAlign w:val="center"/>
          </w:tcPr>
          <w:p w14:paraId="0546931D">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828" w:type="dxa"/>
            <w:noWrap w:val="0"/>
            <w:vAlign w:val="center"/>
          </w:tcPr>
          <w:p w14:paraId="29DADF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5F31C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D3C27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226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3FF64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2364A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286F4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3055BC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209" w:type="dxa"/>
            <w:noWrap w:val="0"/>
            <w:vAlign w:val="center"/>
          </w:tcPr>
          <w:p w14:paraId="638DE23F">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1E0C82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0FC9D4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5ABFC3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25FA97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2F9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2A39D4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D76FB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089CA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02CE3C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209" w:type="dxa"/>
            <w:noWrap w:val="0"/>
            <w:vAlign w:val="center"/>
          </w:tcPr>
          <w:p w14:paraId="5EBA45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1134" w:type="dxa"/>
            <w:noWrap w:val="0"/>
            <w:vAlign w:val="center"/>
          </w:tcPr>
          <w:p w14:paraId="01BB14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01B974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37416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4575E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942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D0B71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3BB5C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8D0AE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vMerge w:val="restart"/>
            <w:noWrap w:val="0"/>
            <w:vAlign w:val="center"/>
          </w:tcPr>
          <w:p w14:paraId="2498D6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693767A5">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召开会议及培训次数</w:t>
            </w:r>
          </w:p>
        </w:tc>
        <w:tc>
          <w:tcPr>
            <w:tcW w:w="1209" w:type="dxa"/>
            <w:noWrap w:val="0"/>
            <w:vAlign w:val="center"/>
          </w:tcPr>
          <w:p w14:paraId="1F0EB5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3次</w:t>
            </w:r>
          </w:p>
        </w:tc>
        <w:tc>
          <w:tcPr>
            <w:tcW w:w="1134" w:type="dxa"/>
            <w:noWrap w:val="0"/>
            <w:vAlign w:val="center"/>
          </w:tcPr>
          <w:p w14:paraId="1FF582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3次</w:t>
            </w:r>
          </w:p>
        </w:tc>
        <w:tc>
          <w:tcPr>
            <w:tcW w:w="828" w:type="dxa"/>
            <w:noWrap w:val="0"/>
            <w:vAlign w:val="center"/>
          </w:tcPr>
          <w:p w14:paraId="472FFC3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6671FD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7743FF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E11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5D5216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7AB26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vMerge w:val="continue"/>
            <w:noWrap w:val="0"/>
            <w:vAlign w:val="center"/>
          </w:tcPr>
          <w:p w14:paraId="6F0B2D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22FFAF53">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编外人员人数</w:t>
            </w:r>
          </w:p>
        </w:tc>
        <w:tc>
          <w:tcPr>
            <w:tcW w:w="1209" w:type="dxa"/>
            <w:noWrap w:val="0"/>
            <w:vAlign w:val="center"/>
          </w:tcPr>
          <w:p w14:paraId="363B90D0">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2人</w:t>
            </w:r>
          </w:p>
        </w:tc>
        <w:tc>
          <w:tcPr>
            <w:tcW w:w="1134" w:type="dxa"/>
            <w:noWrap w:val="0"/>
            <w:vAlign w:val="center"/>
          </w:tcPr>
          <w:p w14:paraId="464B2E77">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2人</w:t>
            </w:r>
          </w:p>
        </w:tc>
        <w:tc>
          <w:tcPr>
            <w:tcW w:w="828" w:type="dxa"/>
            <w:noWrap w:val="0"/>
            <w:vAlign w:val="center"/>
          </w:tcPr>
          <w:p w14:paraId="7CC591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CE11C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B7278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D90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730DA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425B9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1377C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3A511F61">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设备维护合格率</w:t>
            </w:r>
          </w:p>
        </w:tc>
        <w:tc>
          <w:tcPr>
            <w:tcW w:w="1209" w:type="dxa"/>
            <w:noWrap w:val="0"/>
            <w:vAlign w:val="center"/>
          </w:tcPr>
          <w:p w14:paraId="467655E3">
            <w:pPr>
              <w:keepNext w:val="0"/>
              <w:keepLines w:val="0"/>
              <w:widowControl/>
              <w:suppressLineNumbers w:val="0"/>
              <w:jc w:val="center"/>
              <w:textAlignment w:val="center"/>
              <w:rPr>
                <w:rFonts w:hint="default" w:ascii="仿宋" w:hAnsi="仿宋" w:eastAsia="仿宋" w:cs="仿宋"/>
                <w:color w:val="000000"/>
                <w:kern w:val="0"/>
                <w:sz w:val="20"/>
                <w:szCs w:val="20"/>
                <w:lang w:val="en-US"/>
              </w:rPr>
            </w:pPr>
            <w:r>
              <w:rPr>
                <w:rFonts w:hint="eastAsia" w:ascii="宋体" w:hAnsi="宋体" w:eastAsia="宋体" w:cs="宋体"/>
                <w:i w:val="0"/>
                <w:iCs w:val="0"/>
                <w:color w:val="000000"/>
                <w:kern w:val="0"/>
                <w:sz w:val="18"/>
                <w:szCs w:val="18"/>
                <w:u w:val="none"/>
                <w:lang w:val="en-US" w:eastAsia="zh-CN" w:bidi="ar"/>
              </w:rPr>
              <w:t>100%</w:t>
            </w:r>
          </w:p>
        </w:tc>
        <w:tc>
          <w:tcPr>
            <w:tcW w:w="1134" w:type="dxa"/>
            <w:noWrap w:val="0"/>
            <w:vAlign w:val="center"/>
          </w:tcPr>
          <w:p w14:paraId="63EB15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129212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726EC2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5A2CED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073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4D8596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D8121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C3667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595DAC7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1209" w:type="dxa"/>
            <w:noWrap w:val="0"/>
            <w:vAlign w:val="center"/>
          </w:tcPr>
          <w:p w14:paraId="3907EE73">
            <w:pPr>
              <w:keepNext w:val="0"/>
              <w:keepLines w:val="0"/>
              <w:widowControl/>
              <w:suppressLineNumbers w:val="0"/>
              <w:jc w:val="center"/>
              <w:textAlignment w:val="center"/>
              <w:rPr>
                <w:rFonts w:hint="default" w:ascii="仿宋" w:hAnsi="仿宋" w:eastAsia="仿宋" w:cs="仿宋"/>
                <w:color w:val="000000"/>
                <w:kern w:val="0"/>
                <w:sz w:val="20"/>
                <w:szCs w:val="20"/>
                <w:lang w:val="en-US"/>
              </w:rPr>
            </w:pPr>
            <w:r>
              <w:rPr>
                <w:rFonts w:hint="eastAsia" w:ascii="宋体" w:hAnsi="宋体" w:eastAsia="宋体" w:cs="宋体"/>
                <w:i w:val="0"/>
                <w:iCs w:val="0"/>
                <w:color w:val="000000"/>
                <w:kern w:val="0"/>
                <w:sz w:val="18"/>
                <w:szCs w:val="18"/>
                <w:u w:val="none"/>
                <w:lang w:val="en-US" w:eastAsia="zh-CN" w:bidi="ar"/>
              </w:rPr>
              <w:t>100%</w:t>
            </w:r>
          </w:p>
        </w:tc>
        <w:tc>
          <w:tcPr>
            <w:tcW w:w="1134" w:type="dxa"/>
            <w:noWrap w:val="0"/>
            <w:vAlign w:val="center"/>
          </w:tcPr>
          <w:p w14:paraId="68A3FF8F">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5937B9A4">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2CEE9D7">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94660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BC5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080" w:type="dxa"/>
            <w:vMerge w:val="continue"/>
            <w:noWrap w:val="0"/>
            <w:vAlign w:val="center"/>
          </w:tcPr>
          <w:p w14:paraId="52D418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5F592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2D103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43773C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63F4EA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134" w:type="dxa"/>
            <w:noWrap w:val="0"/>
            <w:vAlign w:val="center"/>
          </w:tcPr>
          <w:p w14:paraId="6A838C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828" w:type="dxa"/>
            <w:noWrap w:val="0"/>
            <w:vAlign w:val="center"/>
          </w:tcPr>
          <w:p w14:paraId="240D60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7C0D0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A7F88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B8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31C11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FB314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4F59B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67F0A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D7E16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D12F655">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发挥财政资金使用效益，服务经济发展</w:t>
            </w:r>
          </w:p>
        </w:tc>
        <w:tc>
          <w:tcPr>
            <w:tcW w:w="1209" w:type="dxa"/>
            <w:noWrap w:val="0"/>
            <w:vAlign w:val="center"/>
          </w:tcPr>
          <w:p w14:paraId="24CE81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77A516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75BA8B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C7361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410AB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BC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1A32C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E0D65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38C7E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5B350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60C729C">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保障地震台的正常运行</w:t>
            </w:r>
          </w:p>
        </w:tc>
        <w:tc>
          <w:tcPr>
            <w:tcW w:w="1209" w:type="dxa"/>
            <w:noWrap w:val="0"/>
            <w:vAlign w:val="center"/>
          </w:tcPr>
          <w:p w14:paraId="55004A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52459A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1AD49F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E0E5A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B12BA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DB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624BFC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072BF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140AD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2D8F10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3E21311">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生态效益情况</w:t>
            </w:r>
          </w:p>
        </w:tc>
        <w:tc>
          <w:tcPr>
            <w:tcW w:w="1209" w:type="dxa"/>
            <w:noWrap w:val="0"/>
            <w:vAlign w:val="center"/>
          </w:tcPr>
          <w:p w14:paraId="133EEB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701D5E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651539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7EAD4B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61C6D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7EC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14076E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9975E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3DD91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109CFE9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形成一套有效预警机制</w:t>
            </w:r>
          </w:p>
        </w:tc>
        <w:tc>
          <w:tcPr>
            <w:tcW w:w="1209" w:type="dxa"/>
            <w:noWrap w:val="0"/>
            <w:vAlign w:val="center"/>
          </w:tcPr>
          <w:p w14:paraId="54440A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648DC7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3FB76C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063622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7E23A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4A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31291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11652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54A4A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3E9DA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3EA10D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2DBBB76B">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工作人员满意度</w:t>
            </w:r>
          </w:p>
        </w:tc>
        <w:tc>
          <w:tcPr>
            <w:tcW w:w="1209" w:type="dxa"/>
            <w:noWrap w:val="0"/>
            <w:vAlign w:val="center"/>
          </w:tcPr>
          <w:p w14:paraId="537CE7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30E0B6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44F8E5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30232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9A92C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0D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0FDBE2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0EF12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22D1E3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03F0B2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FC7A486">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陈平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2026.6.10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17774559518 </w:t>
      </w:r>
    </w:p>
    <w:p w14:paraId="3D7A480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52F33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F42C13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29366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74381E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60D91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D91EC4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03965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8AA923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DDEF54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6CB54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B1DC68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C8BBD2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8C6C5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A3113F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430019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CAE6F7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附件3-3</w:t>
      </w:r>
    </w:p>
    <w:p w14:paraId="655E21D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1BC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6FBC80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86FEE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3537AF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测试业务费及防震减灾专项经费</w:t>
            </w:r>
          </w:p>
        </w:tc>
      </w:tr>
      <w:tr w14:paraId="73F8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1C22CB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3E0009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怀化市应急管理局</w:t>
            </w:r>
          </w:p>
        </w:tc>
        <w:tc>
          <w:tcPr>
            <w:tcW w:w="1134" w:type="dxa"/>
            <w:noWrap w:val="0"/>
            <w:vAlign w:val="center"/>
          </w:tcPr>
          <w:p w14:paraId="72487D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5CEA0E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b w:val="0"/>
                <w:bCs w:val="0"/>
                <w:kern w:val="0"/>
                <w:sz w:val="20"/>
                <w:szCs w:val="20"/>
                <w:lang w:val="en-US" w:eastAsia="zh-CN"/>
              </w:rPr>
              <w:t>怀化市地震局</w:t>
            </w:r>
            <w:r>
              <w:rPr>
                <w:rFonts w:hint="eastAsia" w:ascii="仿宋" w:hAnsi="仿宋" w:eastAsia="仿宋" w:cs="仿宋"/>
                <w:color w:val="000000"/>
                <w:kern w:val="0"/>
                <w:sz w:val="20"/>
                <w:szCs w:val="20"/>
              </w:rPr>
              <w:t>　</w:t>
            </w:r>
          </w:p>
        </w:tc>
      </w:tr>
      <w:tr w14:paraId="3180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186FD2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6BC83B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00F8B7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8A1F3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11977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4BF57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23D44E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D0E2C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19F25F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CFCC3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6DB501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09F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ACC67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78352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1E800D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209" w:type="dxa"/>
            <w:noWrap w:val="0"/>
            <w:vAlign w:val="center"/>
          </w:tcPr>
          <w:p w14:paraId="407461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134" w:type="dxa"/>
            <w:noWrap w:val="0"/>
            <w:vAlign w:val="center"/>
          </w:tcPr>
          <w:p w14:paraId="3E427A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w:t>
            </w:r>
          </w:p>
        </w:tc>
        <w:tc>
          <w:tcPr>
            <w:tcW w:w="828" w:type="dxa"/>
            <w:noWrap w:val="0"/>
            <w:vAlign w:val="center"/>
          </w:tcPr>
          <w:p w14:paraId="0082FA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7F464B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33.33%</w:t>
            </w:r>
          </w:p>
        </w:tc>
        <w:tc>
          <w:tcPr>
            <w:tcW w:w="1418" w:type="dxa"/>
            <w:noWrap w:val="0"/>
            <w:vAlign w:val="center"/>
          </w:tcPr>
          <w:p w14:paraId="7AA900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3.33</w:t>
            </w:r>
          </w:p>
        </w:tc>
      </w:tr>
      <w:tr w14:paraId="6A4C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EF2C7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23120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shd w:val="clear" w:color="auto" w:fill="auto"/>
            <w:noWrap w:val="0"/>
            <w:vAlign w:val="center"/>
          </w:tcPr>
          <w:p w14:paraId="690F5B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209" w:type="dxa"/>
            <w:shd w:val="clear" w:color="auto" w:fill="auto"/>
            <w:noWrap w:val="0"/>
            <w:vAlign w:val="center"/>
          </w:tcPr>
          <w:p w14:paraId="71581A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134" w:type="dxa"/>
            <w:shd w:val="clear" w:color="auto" w:fill="auto"/>
            <w:noWrap w:val="0"/>
            <w:vAlign w:val="center"/>
          </w:tcPr>
          <w:p w14:paraId="70F1B3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w:t>
            </w:r>
          </w:p>
        </w:tc>
        <w:tc>
          <w:tcPr>
            <w:tcW w:w="828" w:type="dxa"/>
            <w:shd w:val="clear" w:color="auto" w:fill="auto"/>
            <w:noWrap w:val="0"/>
            <w:vAlign w:val="center"/>
          </w:tcPr>
          <w:p w14:paraId="317E8F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10</w:t>
            </w:r>
          </w:p>
        </w:tc>
        <w:tc>
          <w:tcPr>
            <w:tcW w:w="873" w:type="dxa"/>
            <w:shd w:val="clear" w:color="auto" w:fill="auto"/>
            <w:noWrap w:val="0"/>
            <w:vAlign w:val="center"/>
          </w:tcPr>
          <w:p w14:paraId="62FFD1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33.33%</w:t>
            </w:r>
          </w:p>
        </w:tc>
        <w:tc>
          <w:tcPr>
            <w:tcW w:w="1418" w:type="dxa"/>
            <w:shd w:val="clear" w:color="auto" w:fill="auto"/>
            <w:noWrap w:val="0"/>
            <w:vAlign w:val="center"/>
          </w:tcPr>
          <w:p w14:paraId="3A1E07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3.33</w:t>
            </w:r>
          </w:p>
        </w:tc>
      </w:tr>
      <w:tr w14:paraId="0BB4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2E5D0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F3ADDA8">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3866A17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3325BF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40FA98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33920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20AEF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5B799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8AD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314F29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C2D0F90">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692CEF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F1E54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63177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3ECB44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E271F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6714E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C6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258506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847E0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140621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440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7BC0B8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214BCE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开展全市农村民居地震安全示范工程建设、防震减灾科普示范学校创建、防震减灾示范社区创建、地震群测群防宏观观测点建设、防震减灾科普宣传等工作经费。　</w:t>
            </w:r>
          </w:p>
        </w:tc>
        <w:tc>
          <w:tcPr>
            <w:tcW w:w="4253" w:type="dxa"/>
            <w:gridSpan w:val="4"/>
            <w:noWrap w:val="0"/>
            <w:vAlign w:val="center"/>
          </w:tcPr>
          <w:p w14:paraId="7C0F2A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开展全市农村民居地震安全示范工程建设、防震减灾科普示范学校创建、防震减灾示范社区创建、地震群测群防宏观观测点建设、防震减灾科普宣传等工作经费。</w:t>
            </w:r>
          </w:p>
        </w:tc>
      </w:tr>
      <w:tr w14:paraId="2677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00957E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EDDF8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262F6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36AFD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7CB4D0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74C916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1698F4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6C7DB2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35FAD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41D4D4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6D635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07CD88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02A77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2F0BF4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07A93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301558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016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50C69E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4E842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1CA2FA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shd w:val="clear" w:color="auto" w:fill="auto"/>
            <w:noWrap w:val="0"/>
            <w:vAlign w:val="center"/>
          </w:tcPr>
          <w:p w14:paraId="4DFA80B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仿宋" w:hAnsi="仿宋" w:eastAsia="仿宋" w:cs="仿宋"/>
                <w:color w:val="000000"/>
                <w:kern w:val="0"/>
                <w:sz w:val="20"/>
                <w:szCs w:val="20"/>
              </w:rPr>
              <w:t>测试业务费及防震减灾专项经费</w:t>
            </w:r>
          </w:p>
        </w:tc>
        <w:tc>
          <w:tcPr>
            <w:tcW w:w="1209" w:type="dxa"/>
            <w:noWrap w:val="0"/>
            <w:vAlign w:val="center"/>
          </w:tcPr>
          <w:p w14:paraId="284A98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3</w:t>
            </w:r>
          </w:p>
        </w:tc>
        <w:tc>
          <w:tcPr>
            <w:tcW w:w="1134" w:type="dxa"/>
            <w:noWrap w:val="0"/>
            <w:vAlign w:val="center"/>
          </w:tcPr>
          <w:p w14:paraId="7BD7886F">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w:t>
            </w:r>
          </w:p>
        </w:tc>
        <w:tc>
          <w:tcPr>
            <w:tcW w:w="828" w:type="dxa"/>
            <w:noWrap w:val="0"/>
            <w:vAlign w:val="center"/>
          </w:tcPr>
          <w:p w14:paraId="249091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3DC1F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A589C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3C5A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7DBD53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362D6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9CB06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2C8A3D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209" w:type="dxa"/>
            <w:noWrap w:val="0"/>
            <w:vAlign w:val="center"/>
          </w:tcPr>
          <w:p w14:paraId="5683D794">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05AEAF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62EB35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028A83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241678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7B6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24D0C8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D6439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23047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754758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209" w:type="dxa"/>
            <w:noWrap w:val="0"/>
            <w:vAlign w:val="center"/>
          </w:tcPr>
          <w:p w14:paraId="12E64E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1134" w:type="dxa"/>
            <w:noWrap w:val="0"/>
            <w:vAlign w:val="center"/>
          </w:tcPr>
          <w:p w14:paraId="06F5B8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761182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7FC82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07789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07E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032A4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027F1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AA583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A043D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shd w:val="clear" w:color="auto" w:fill="auto"/>
            <w:noWrap w:val="0"/>
            <w:vAlign w:val="center"/>
          </w:tcPr>
          <w:p w14:paraId="23E03045">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开展基层防震减灾工作调查</w:t>
            </w:r>
          </w:p>
        </w:tc>
        <w:tc>
          <w:tcPr>
            <w:tcW w:w="1209" w:type="dxa"/>
            <w:noWrap w:val="0"/>
            <w:vAlign w:val="center"/>
          </w:tcPr>
          <w:p w14:paraId="7AAFE0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1134" w:type="dxa"/>
            <w:noWrap w:val="0"/>
            <w:vAlign w:val="center"/>
          </w:tcPr>
          <w:p w14:paraId="6FAF9E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828" w:type="dxa"/>
            <w:noWrap w:val="0"/>
            <w:vAlign w:val="center"/>
          </w:tcPr>
          <w:p w14:paraId="160678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72839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658F4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514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5214E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779CF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A4DCA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07648520">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基层防震减灾工作调查完成率</w:t>
            </w:r>
          </w:p>
        </w:tc>
        <w:tc>
          <w:tcPr>
            <w:tcW w:w="1209" w:type="dxa"/>
            <w:noWrap w:val="0"/>
            <w:vAlign w:val="center"/>
          </w:tcPr>
          <w:p w14:paraId="2CB0FD19">
            <w:pPr>
              <w:keepNext w:val="0"/>
              <w:keepLines w:val="0"/>
              <w:widowControl/>
              <w:suppressLineNumbers w:val="0"/>
              <w:jc w:val="center"/>
              <w:textAlignment w:val="center"/>
              <w:rPr>
                <w:rFonts w:hint="default" w:ascii="仿宋" w:hAnsi="仿宋" w:eastAsia="仿宋" w:cs="仿宋"/>
                <w:color w:val="000000"/>
                <w:kern w:val="0"/>
                <w:sz w:val="20"/>
                <w:szCs w:val="20"/>
                <w:lang w:val="en-US"/>
              </w:rPr>
            </w:pPr>
            <w:r>
              <w:rPr>
                <w:rFonts w:hint="eastAsia" w:ascii="宋体" w:hAnsi="宋体" w:eastAsia="宋体" w:cs="宋体"/>
                <w:i w:val="0"/>
                <w:iCs w:val="0"/>
                <w:color w:val="000000"/>
                <w:kern w:val="0"/>
                <w:sz w:val="18"/>
                <w:szCs w:val="18"/>
                <w:u w:val="none"/>
                <w:lang w:val="en-US" w:eastAsia="zh-CN" w:bidi="ar"/>
              </w:rPr>
              <w:t>100%</w:t>
            </w:r>
          </w:p>
        </w:tc>
        <w:tc>
          <w:tcPr>
            <w:tcW w:w="1134" w:type="dxa"/>
            <w:noWrap w:val="0"/>
            <w:vAlign w:val="center"/>
          </w:tcPr>
          <w:p w14:paraId="1D6BB0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35778B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30B697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127081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A8C7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23C6E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D7CB1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ACAF5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35847EA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1209" w:type="dxa"/>
            <w:noWrap w:val="0"/>
            <w:vAlign w:val="center"/>
          </w:tcPr>
          <w:p w14:paraId="334FDEC4">
            <w:pPr>
              <w:keepNext w:val="0"/>
              <w:keepLines w:val="0"/>
              <w:widowControl/>
              <w:suppressLineNumbers w:val="0"/>
              <w:jc w:val="center"/>
              <w:textAlignment w:val="center"/>
              <w:rPr>
                <w:rFonts w:hint="default" w:ascii="仿宋" w:hAnsi="仿宋" w:eastAsia="仿宋" w:cs="仿宋"/>
                <w:color w:val="000000"/>
                <w:kern w:val="0"/>
                <w:sz w:val="20"/>
                <w:szCs w:val="20"/>
                <w:lang w:val="en-US"/>
              </w:rPr>
            </w:pPr>
            <w:r>
              <w:rPr>
                <w:rFonts w:hint="eastAsia" w:ascii="宋体" w:hAnsi="宋体" w:eastAsia="宋体" w:cs="宋体"/>
                <w:i w:val="0"/>
                <w:iCs w:val="0"/>
                <w:color w:val="000000"/>
                <w:kern w:val="0"/>
                <w:sz w:val="18"/>
                <w:szCs w:val="18"/>
                <w:u w:val="none"/>
                <w:lang w:val="en-US" w:eastAsia="zh-CN" w:bidi="ar"/>
              </w:rPr>
              <w:t>100%</w:t>
            </w:r>
          </w:p>
        </w:tc>
        <w:tc>
          <w:tcPr>
            <w:tcW w:w="1134" w:type="dxa"/>
            <w:noWrap w:val="0"/>
            <w:vAlign w:val="center"/>
          </w:tcPr>
          <w:p w14:paraId="68DCB27E">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01BB0774">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CD54064">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47B41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0AF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080" w:type="dxa"/>
            <w:vMerge w:val="continue"/>
            <w:noWrap w:val="0"/>
            <w:vAlign w:val="center"/>
          </w:tcPr>
          <w:p w14:paraId="32FA8A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949C1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6297D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52B2B5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339437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134" w:type="dxa"/>
            <w:noWrap w:val="0"/>
            <w:vAlign w:val="center"/>
          </w:tcPr>
          <w:p w14:paraId="00555F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828" w:type="dxa"/>
            <w:noWrap w:val="0"/>
            <w:vAlign w:val="center"/>
          </w:tcPr>
          <w:p w14:paraId="2667B0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A2C84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5549C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DC1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CA63C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4489A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92B1F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8F15A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EE83C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8A3B0B9">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发挥财政资金使用效益，服务经济发展</w:t>
            </w:r>
          </w:p>
        </w:tc>
        <w:tc>
          <w:tcPr>
            <w:tcW w:w="1209" w:type="dxa"/>
            <w:noWrap w:val="0"/>
            <w:vAlign w:val="center"/>
          </w:tcPr>
          <w:p w14:paraId="544799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7DB5A8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5705C0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E3664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C204E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AE2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D9234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E3A54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0C548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47A4C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41854DF">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及时预警，保障人民群众生命财产安全</w:t>
            </w:r>
          </w:p>
        </w:tc>
        <w:tc>
          <w:tcPr>
            <w:tcW w:w="1209" w:type="dxa"/>
            <w:noWrap w:val="0"/>
            <w:vAlign w:val="center"/>
          </w:tcPr>
          <w:p w14:paraId="54672B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61F84F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327FA7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31CD1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6365F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71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0A407F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BA80D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C69A1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B5ACD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F9A3E6E">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生态效益情况</w:t>
            </w:r>
          </w:p>
        </w:tc>
        <w:tc>
          <w:tcPr>
            <w:tcW w:w="1209" w:type="dxa"/>
            <w:noWrap w:val="0"/>
            <w:vAlign w:val="center"/>
          </w:tcPr>
          <w:p w14:paraId="4CB437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7F4C44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7B4A08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3AECCD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69BD6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959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599EE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3D613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1C78C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3B6F855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形成一套有效预警机制</w:t>
            </w:r>
          </w:p>
        </w:tc>
        <w:tc>
          <w:tcPr>
            <w:tcW w:w="1209" w:type="dxa"/>
            <w:noWrap w:val="0"/>
            <w:vAlign w:val="center"/>
          </w:tcPr>
          <w:p w14:paraId="52BC8E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6BE6B0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05CF29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659C71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53734A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D4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2801A7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93A03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836A4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A059E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62E506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6AA10D38">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209" w:type="dxa"/>
            <w:noWrap w:val="0"/>
            <w:vAlign w:val="center"/>
          </w:tcPr>
          <w:p w14:paraId="02D45F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7F5A09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4EEF1D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375C7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37DDCF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54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1A04F9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69526CF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220DC1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93.33</w:t>
            </w:r>
          </w:p>
        </w:tc>
        <w:tc>
          <w:tcPr>
            <w:tcW w:w="1418" w:type="dxa"/>
            <w:noWrap w:val="0"/>
            <w:vAlign w:val="center"/>
          </w:tcPr>
          <w:p w14:paraId="7776DD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FBDA19C">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陈平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2026.6.10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17774559518 </w:t>
      </w:r>
    </w:p>
    <w:p w14:paraId="180B37F2">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p>
    <w:p w14:paraId="6D46FADD">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4D93C55F">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298D1484">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37FC6932">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40993C95">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2FBF8E2B">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08BD5AAB">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3F2FE8A8">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479FDB36">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5E73BB25">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embedRegular r:id="rId1" w:fontKey="{D863C740-4810-4ABE-8BAB-4396C4920E96}"/>
  </w:font>
  <w:font w:name="微软雅黑">
    <w:panose1 w:val="020B0503020204020204"/>
    <w:charset w:val="86"/>
    <w:family w:val="auto"/>
    <w:pitch w:val="default"/>
    <w:sig w:usb0="80000287" w:usb1="280F3C52" w:usb2="00000016" w:usb3="00000000" w:csb0="0004001F" w:csb1="00000000"/>
  </w:font>
  <w:font w:name="方正黑体_GBK">
    <w:altName w:val="微软雅黑"/>
    <w:panose1 w:val="02000000000000000000"/>
    <w:charset w:val="86"/>
    <w:family w:val="auto"/>
    <w:pitch w:val="default"/>
    <w:sig w:usb0="00000000" w:usb1="00000000" w:usb2="00000000" w:usb3="00000000" w:csb0="00040000" w:csb1="00000000"/>
    <w:embedRegular r:id="rId2" w:fontKey="{79EB63CC-76B6-4E21-8AD2-02D86847C222}"/>
  </w:font>
  <w:font w:name="Times New Roman Regular">
    <w:altName w:val="Times New Roman"/>
    <w:panose1 w:val="02020603050405020304"/>
    <w:charset w:val="00"/>
    <w:family w:val="auto"/>
    <w:pitch w:val="default"/>
    <w:sig w:usb0="00000000" w:usb1="00000000" w:usb2="00000009" w:usb3="00000000" w:csb0="400001FF" w:csb1="FFFF0000"/>
    <w:embedRegular r:id="rId3" w:fontKey="{43DBE76F-60E9-411D-A6AC-5E2EE6E37BD7}"/>
  </w:font>
  <w:font w:name="仿宋_GB2312">
    <w:panose1 w:val="02010609030101010101"/>
    <w:charset w:val="86"/>
    <w:family w:val="auto"/>
    <w:pitch w:val="default"/>
    <w:sig w:usb0="00000001" w:usb1="080E0000" w:usb2="00000000" w:usb3="00000000" w:csb0="00040000" w:csb1="00000000"/>
    <w:embedRegular r:id="rId4" w:fontKey="{4F438D91-8881-4703-B72B-B40BC4F296EE}"/>
  </w:font>
  <w:font w:name="方正小标宋简体">
    <w:panose1 w:val="02010600010101010101"/>
    <w:charset w:val="86"/>
    <w:family w:val="auto"/>
    <w:pitch w:val="default"/>
    <w:sig w:usb0="00000001" w:usb1="080E0000" w:usb2="00000000" w:usb3="00000000" w:csb0="00040000" w:csb1="00000000"/>
    <w:embedRegular r:id="rId5" w:fontKey="{0C6A4692-9E4C-43C0-927B-5A15D7100522}"/>
  </w:font>
  <w:font w:name="仿宋">
    <w:panose1 w:val="02010609060101010101"/>
    <w:charset w:val="86"/>
    <w:family w:val="auto"/>
    <w:pitch w:val="default"/>
    <w:sig w:usb0="800002BF" w:usb1="38CF7CFA" w:usb2="00000016" w:usb3="00000000" w:csb0="00040001" w:csb1="00000000"/>
    <w:embedRegular r:id="rId6" w:fontKey="{95E36DCF-2943-4C0B-BC75-9CCE8B050572}"/>
  </w:font>
  <w:font w:name="WPSEMBED1">
    <w:panose1 w:val="02010609030101010101"/>
    <w:charset w:val="86"/>
    <w:family w:val="auto"/>
    <w:pitch w:val="default"/>
    <w:sig w:usb0="00000001" w:usb1="080E0000" w:usb2="00000000" w:usb3="00000000" w:csb0="00040000" w:csb1="00000000"/>
  </w:font>
  <w:font w:name="WPSEMBED2">
    <w:panose1 w:val="0201060001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6E1C2D"/>
    <w:multiLevelType w:val="singleLevel"/>
    <w:tmpl w:val="AF6E1C2D"/>
    <w:lvl w:ilvl="0" w:tentative="0">
      <w:start w:val="5"/>
      <w:numFmt w:val="chineseCounting"/>
      <w:suff w:val="nothing"/>
      <w:lvlText w:val="%1、"/>
      <w:lvlJc w:val="left"/>
      <w:rPr>
        <w:rFonts w:hint="eastAsia"/>
      </w:rPr>
    </w:lvl>
  </w:abstractNum>
  <w:abstractNum w:abstractNumId="1">
    <w:nsid w:val="F0CC5F52"/>
    <w:multiLevelType w:val="singleLevel"/>
    <w:tmpl w:val="F0CC5F52"/>
    <w:lvl w:ilvl="0" w:tentative="0">
      <w:start w:val="10"/>
      <w:numFmt w:val="chineseCounting"/>
      <w:suff w:val="nothing"/>
      <w:lvlText w:val="%1、"/>
      <w:lvlJc w:val="left"/>
      <w:rPr>
        <w:rFonts w:hint="eastAsia"/>
      </w:rPr>
    </w:lvl>
  </w:abstractNum>
  <w:abstractNum w:abstractNumId="2">
    <w:nsid w:val="550527B7"/>
    <w:multiLevelType w:val="singleLevel"/>
    <w:tmpl w:val="550527B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3550AC"/>
    <w:rsid w:val="00D70859"/>
    <w:rsid w:val="00E80370"/>
    <w:rsid w:val="00FB62F5"/>
    <w:rsid w:val="00FE7B94"/>
    <w:rsid w:val="01325A8F"/>
    <w:rsid w:val="01B6046E"/>
    <w:rsid w:val="01DF5C17"/>
    <w:rsid w:val="021C29C7"/>
    <w:rsid w:val="024B505A"/>
    <w:rsid w:val="025A704C"/>
    <w:rsid w:val="027C16B8"/>
    <w:rsid w:val="0284231A"/>
    <w:rsid w:val="0286634E"/>
    <w:rsid w:val="032A1114"/>
    <w:rsid w:val="038A3960"/>
    <w:rsid w:val="03906A9D"/>
    <w:rsid w:val="03A762C0"/>
    <w:rsid w:val="03E2379C"/>
    <w:rsid w:val="03FE7EAB"/>
    <w:rsid w:val="040E4592"/>
    <w:rsid w:val="043F474B"/>
    <w:rsid w:val="04425FE9"/>
    <w:rsid w:val="05B9052D"/>
    <w:rsid w:val="05E95AA6"/>
    <w:rsid w:val="060C4B01"/>
    <w:rsid w:val="06112117"/>
    <w:rsid w:val="0616772D"/>
    <w:rsid w:val="06654211"/>
    <w:rsid w:val="0680729D"/>
    <w:rsid w:val="0696086E"/>
    <w:rsid w:val="06B56F46"/>
    <w:rsid w:val="06F21F49"/>
    <w:rsid w:val="06F537E7"/>
    <w:rsid w:val="070677A2"/>
    <w:rsid w:val="07133C6D"/>
    <w:rsid w:val="073E6F3C"/>
    <w:rsid w:val="075E313A"/>
    <w:rsid w:val="07634BF4"/>
    <w:rsid w:val="07797F74"/>
    <w:rsid w:val="078608E3"/>
    <w:rsid w:val="07B471FE"/>
    <w:rsid w:val="08251EAA"/>
    <w:rsid w:val="083245C7"/>
    <w:rsid w:val="085D1644"/>
    <w:rsid w:val="086F75C9"/>
    <w:rsid w:val="088F37C7"/>
    <w:rsid w:val="08CE0793"/>
    <w:rsid w:val="08DD09D6"/>
    <w:rsid w:val="09000221"/>
    <w:rsid w:val="0935611C"/>
    <w:rsid w:val="094822F4"/>
    <w:rsid w:val="094C3466"/>
    <w:rsid w:val="09554A11"/>
    <w:rsid w:val="099C619C"/>
    <w:rsid w:val="09DA7986"/>
    <w:rsid w:val="09DC2A3C"/>
    <w:rsid w:val="09FE6E56"/>
    <w:rsid w:val="0A0124A3"/>
    <w:rsid w:val="0A157CFC"/>
    <w:rsid w:val="0A310FDA"/>
    <w:rsid w:val="0A424F95"/>
    <w:rsid w:val="0A650C83"/>
    <w:rsid w:val="0A943317"/>
    <w:rsid w:val="0AD35BED"/>
    <w:rsid w:val="0AD41965"/>
    <w:rsid w:val="0B097861"/>
    <w:rsid w:val="0B460AB5"/>
    <w:rsid w:val="0B61769D"/>
    <w:rsid w:val="0B770C6E"/>
    <w:rsid w:val="0B7A69B0"/>
    <w:rsid w:val="0B9F3D21"/>
    <w:rsid w:val="0BC11EE9"/>
    <w:rsid w:val="0BC35C62"/>
    <w:rsid w:val="0BC83278"/>
    <w:rsid w:val="0BE107DE"/>
    <w:rsid w:val="0C142961"/>
    <w:rsid w:val="0C180A78"/>
    <w:rsid w:val="0C2A5CE1"/>
    <w:rsid w:val="0C580AA0"/>
    <w:rsid w:val="0C721436"/>
    <w:rsid w:val="0C782EF0"/>
    <w:rsid w:val="0C796C68"/>
    <w:rsid w:val="0C9B6BDE"/>
    <w:rsid w:val="0CD21ED4"/>
    <w:rsid w:val="0CF63E15"/>
    <w:rsid w:val="0D0A78C0"/>
    <w:rsid w:val="0D272220"/>
    <w:rsid w:val="0D276746"/>
    <w:rsid w:val="0D38267F"/>
    <w:rsid w:val="0D444B80"/>
    <w:rsid w:val="0D464D9C"/>
    <w:rsid w:val="0D49663A"/>
    <w:rsid w:val="0D5F7C0C"/>
    <w:rsid w:val="0D643474"/>
    <w:rsid w:val="0D951880"/>
    <w:rsid w:val="0DA47D15"/>
    <w:rsid w:val="0DBF06AB"/>
    <w:rsid w:val="0DD52794"/>
    <w:rsid w:val="0E1B7FD7"/>
    <w:rsid w:val="0E4B63E2"/>
    <w:rsid w:val="0E5B6625"/>
    <w:rsid w:val="0E956870"/>
    <w:rsid w:val="0ECC7523"/>
    <w:rsid w:val="0ECE5A23"/>
    <w:rsid w:val="0EED1247"/>
    <w:rsid w:val="0EEF6D6E"/>
    <w:rsid w:val="0F16079E"/>
    <w:rsid w:val="0F4E618A"/>
    <w:rsid w:val="0F566DED"/>
    <w:rsid w:val="0F5C08A7"/>
    <w:rsid w:val="0F930041"/>
    <w:rsid w:val="0FCC70AF"/>
    <w:rsid w:val="100B5E29"/>
    <w:rsid w:val="104A4BA3"/>
    <w:rsid w:val="10765998"/>
    <w:rsid w:val="107B4D5D"/>
    <w:rsid w:val="10967DE9"/>
    <w:rsid w:val="109A0F5B"/>
    <w:rsid w:val="10A36E1D"/>
    <w:rsid w:val="10B65D95"/>
    <w:rsid w:val="10C666A5"/>
    <w:rsid w:val="111807FE"/>
    <w:rsid w:val="115B06EA"/>
    <w:rsid w:val="11643A43"/>
    <w:rsid w:val="116E48C1"/>
    <w:rsid w:val="1181021D"/>
    <w:rsid w:val="118934A9"/>
    <w:rsid w:val="11C91AF8"/>
    <w:rsid w:val="11EB5F12"/>
    <w:rsid w:val="1211524D"/>
    <w:rsid w:val="1212349F"/>
    <w:rsid w:val="1223366A"/>
    <w:rsid w:val="124F46F3"/>
    <w:rsid w:val="125735A8"/>
    <w:rsid w:val="12647A72"/>
    <w:rsid w:val="13076D7C"/>
    <w:rsid w:val="13143247"/>
    <w:rsid w:val="136A2E67"/>
    <w:rsid w:val="13963C5C"/>
    <w:rsid w:val="13B62550"/>
    <w:rsid w:val="143877FD"/>
    <w:rsid w:val="146124BC"/>
    <w:rsid w:val="14B00D4D"/>
    <w:rsid w:val="14B80712"/>
    <w:rsid w:val="14C447F8"/>
    <w:rsid w:val="15282FD9"/>
    <w:rsid w:val="15883A78"/>
    <w:rsid w:val="15CE1DD3"/>
    <w:rsid w:val="162C08A7"/>
    <w:rsid w:val="165247B2"/>
    <w:rsid w:val="16556050"/>
    <w:rsid w:val="165E3157"/>
    <w:rsid w:val="1663076D"/>
    <w:rsid w:val="168E1562"/>
    <w:rsid w:val="168E3310"/>
    <w:rsid w:val="1695469E"/>
    <w:rsid w:val="16DA0303"/>
    <w:rsid w:val="17345C65"/>
    <w:rsid w:val="1743234C"/>
    <w:rsid w:val="175E0F34"/>
    <w:rsid w:val="17742506"/>
    <w:rsid w:val="17A50911"/>
    <w:rsid w:val="17E256C1"/>
    <w:rsid w:val="17EC02EE"/>
    <w:rsid w:val="17FCFFF6"/>
    <w:rsid w:val="17FE0021"/>
    <w:rsid w:val="18025D64"/>
    <w:rsid w:val="181D494B"/>
    <w:rsid w:val="1833416F"/>
    <w:rsid w:val="184C5231"/>
    <w:rsid w:val="18626802"/>
    <w:rsid w:val="18CE20EA"/>
    <w:rsid w:val="19856C4C"/>
    <w:rsid w:val="198729C4"/>
    <w:rsid w:val="1990114D"/>
    <w:rsid w:val="19AA66B3"/>
    <w:rsid w:val="19B72B7E"/>
    <w:rsid w:val="19DC4392"/>
    <w:rsid w:val="19E805B2"/>
    <w:rsid w:val="19F31E08"/>
    <w:rsid w:val="1A1678A4"/>
    <w:rsid w:val="1A444411"/>
    <w:rsid w:val="1A676352"/>
    <w:rsid w:val="1A705206"/>
    <w:rsid w:val="1A9609E5"/>
    <w:rsid w:val="1A9A2283"/>
    <w:rsid w:val="1AB62E35"/>
    <w:rsid w:val="1AC612CA"/>
    <w:rsid w:val="1B18764C"/>
    <w:rsid w:val="1B362680"/>
    <w:rsid w:val="1B522B5E"/>
    <w:rsid w:val="1B5E1503"/>
    <w:rsid w:val="1B6603B7"/>
    <w:rsid w:val="1B6F54BE"/>
    <w:rsid w:val="1BA17641"/>
    <w:rsid w:val="1BA23AE5"/>
    <w:rsid w:val="1BBE4697"/>
    <w:rsid w:val="1BC11A92"/>
    <w:rsid w:val="1BCC0B62"/>
    <w:rsid w:val="1BD9502D"/>
    <w:rsid w:val="1C424981"/>
    <w:rsid w:val="1C4C57FF"/>
    <w:rsid w:val="1C84143D"/>
    <w:rsid w:val="1C9176B6"/>
    <w:rsid w:val="1CBF872E"/>
    <w:rsid w:val="1CC932F4"/>
    <w:rsid w:val="1CD04682"/>
    <w:rsid w:val="1CF2284B"/>
    <w:rsid w:val="1D167BBB"/>
    <w:rsid w:val="1D6848BB"/>
    <w:rsid w:val="1E153155"/>
    <w:rsid w:val="1E214A6A"/>
    <w:rsid w:val="1E257553"/>
    <w:rsid w:val="1E764DB5"/>
    <w:rsid w:val="1EA81514"/>
    <w:rsid w:val="1EC27FFB"/>
    <w:rsid w:val="1ECB5101"/>
    <w:rsid w:val="1EDD4E34"/>
    <w:rsid w:val="1F0979D8"/>
    <w:rsid w:val="1F226CEB"/>
    <w:rsid w:val="1F901EA7"/>
    <w:rsid w:val="20036B1D"/>
    <w:rsid w:val="202D3B9A"/>
    <w:rsid w:val="20AD0837"/>
    <w:rsid w:val="210C1A01"/>
    <w:rsid w:val="211803A6"/>
    <w:rsid w:val="211B1C44"/>
    <w:rsid w:val="21464F26"/>
    <w:rsid w:val="216655B5"/>
    <w:rsid w:val="216929AF"/>
    <w:rsid w:val="219F63D1"/>
    <w:rsid w:val="21A41C3A"/>
    <w:rsid w:val="21B55BF5"/>
    <w:rsid w:val="21D95D87"/>
    <w:rsid w:val="223E3E3C"/>
    <w:rsid w:val="2245341D"/>
    <w:rsid w:val="225E44DE"/>
    <w:rsid w:val="227635D6"/>
    <w:rsid w:val="22FE234B"/>
    <w:rsid w:val="23056708"/>
    <w:rsid w:val="23A777BF"/>
    <w:rsid w:val="23F66812"/>
    <w:rsid w:val="24134E54"/>
    <w:rsid w:val="24150BCD"/>
    <w:rsid w:val="247022A7"/>
    <w:rsid w:val="247753E3"/>
    <w:rsid w:val="248B0E8F"/>
    <w:rsid w:val="24F46A34"/>
    <w:rsid w:val="251175E6"/>
    <w:rsid w:val="251470D6"/>
    <w:rsid w:val="258E50DA"/>
    <w:rsid w:val="26440727"/>
    <w:rsid w:val="26502390"/>
    <w:rsid w:val="265754CC"/>
    <w:rsid w:val="265A6D6B"/>
    <w:rsid w:val="26663961"/>
    <w:rsid w:val="26A12BEB"/>
    <w:rsid w:val="26AB5818"/>
    <w:rsid w:val="26B26BA7"/>
    <w:rsid w:val="26F70A5D"/>
    <w:rsid w:val="27133AE9"/>
    <w:rsid w:val="271C2272"/>
    <w:rsid w:val="2734580E"/>
    <w:rsid w:val="27427F2B"/>
    <w:rsid w:val="277E6F02"/>
    <w:rsid w:val="27CC3C98"/>
    <w:rsid w:val="27E616A2"/>
    <w:rsid w:val="27E70AD2"/>
    <w:rsid w:val="27FC155E"/>
    <w:rsid w:val="28090A48"/>
    <w:rsid w:val="28125B4F"/>
    <w:rsid w:val="28445F24"/>
    <w:rsid w:val="28643ED1"/>
    <w:rsid w:val="286839C1"/>
    <w:rsid w:val="28A864B3"/>
    <w:rsid w:val="28AD5878"/>
    <w:rsid w:val="28C3509B"/>
    <w:rsid w:val="28FB4835"/>
    <w:rsid w:val="29543F45"/>
    <w:rsid w:val="295E6B72"/>
    <w:rsid w:val="29785E86"/>
    <w:rsid w:val="29787C34"/>
    <w:rsid w:val="29934A6D"/>
    <w:rsid w:val="29990575"/>
    <w:rsid w:val="29A46C7B"/>
    <w:rsid w:val="29B13146"/>
    <w:rsid w:val="29BF3AB4"/>
    <w:rsid w:val="29CF181E"/>
    <w:rsid w:val="29F55728"/>
    <w:rsid w:val="2A070FB7"/>
    <w:rsid w:val="2A4D10C0"/>
    <w:rsid w:val="2A571F3F"/>
    <w:rsid w:val="2AB96756"/>
    <w:rsid w:val="2AF6742D"/>
    <w:rsid w:val="2AF94DA4"/>
    <w:rsid w:val="2B006133"/>
    <w:rsid w:val="2B1E0CAF"/>
    <w:rsid w:val="2B2D0EF2"/>
    <w:rsid w:val="2B2F6A18"/>
    <w:rsid w:val="2B522706"/>
    <w:rsid w:val="2B8C79C6"/>
    <w:rsid w:val="2B91322F"/>
    <w:rsid w:val="2BE041B6"/>
    <w:rsid w:val="2BE94E19"/>
    <w:rsid w:val="2BEC66B7"/>
    <w:rsid w:val="2BEF61A7"/>
    <w:rsid w:val="2C695F59"/>
    <w:rsid w:val="2C8608B9"/>
    <w:rsid w:val="2CC82C80"/>
    <w:rsid w:val="2CCF04B2"/>
    <w:rsid w:val="2CD45AC9"/>
    <w:rsid w:val="2D23435A"/>
    <w:rsid w:val="2D4D13D7"/>
    <w:rsid w:val="2D5E1836"/>
    <w:rsid w:val="2D7E5FF2"/>
    <w:rsid w:val="2D9E60D7"/>
    <w:rsid w:val="2DD13DB6"/>
    <w:rsid w:val="2DE81100"/>
    <w:rsid w:val="2DFE0923"/>
    <w:rsid w:val="2E057F04"/>
    <w:rsid w:val="2E093550"/>
    <w:rsid w:val="2E2A1718"/>
    <w:rsid w:val="2E4B1DBB"/>
    <w:rsid w:val="2E5F37E3"/>
    <w:rsid w:val="2E777EF3"/>
    <w:rsid w:val="2EF53AD4"/>
    <w:rsid w:val="2F067A90"/>
    <w:rsid w:val="2F3A598B"/>
    <w:rsid w:val="2F546A4D"/>
    <w:rsid w:val="2F754C15"/>
    <w:rsid w:val="2F7E3ACA"/>
    <w:rsid w:val="2F9257C7"/>
    <w:rsid w:val="2FAC6889"/>
    <w:rsid w:val="2FB83480"/>
    <w:rsid w:val="2FC8743B"/>
    <w:rsid w:val="2FCF07C9"/>
    <w:rsid w:val="305A4537"/>
    <w:rsid w:val="30656A38"/>
    <w:rsid w:val="308570DA"/>
    <w:rsid w:val="309335A5"/>
    <w:rsid w:val="30F75AD1"/>
    <w:rsid w:val="30FD4EC2"/>
    <w:rsid w:val="312A2265"/>
    <w:rsid w:val="315E1E05"/>
    <w:rsid w:val="31CD2AE7"/>
    <w:rsid w:val="32290665"/>
    <w:rsid w:val="322A7F39"/>
    <w:rsid w:val="32313075"/>
    <w:rsid w:val="32807B59"/>
    <w:rsid w:val="32967772"/>
    <w:rsid w:val="32990C1B"/>
    <w:rsid w:val="330D3AE3"/>
    <w:rsid w:val="33174961"/>
    <w:rsid w:val="333F3E43"/>
    <w:rsid w:val="3344502A"/>
    <w:rsid w:val="334B2B34"/>
    <w:rsid w:val="335F3C12"/>
    <w:rsid w:val="33A45AC9"/>
    <w:rsid w:val="33BC2E13"/>
    <w:rsid w:val="33ED56C2"/>
    <w:rsid w:val="342015F4"/>
    <w:rsid w:val="34232E92"/>
    <w:rsid w:val="342D3D10"/>
    <w:rsid w:val="343B467F"/>
    <w:rsid w:val="34605E94"/>
    <w:rsid w:val="347D6A46"/>
    <w:rsid w:val="34871673"/>
    <w:rsid w:val="348A2F11"/>
    <w:rsid w:val="34A55F9D"/>
    <w:rsid w:val="351F3659"/>
    <w:rsid w:val="352E5F92"/>
    <w:rsid w:val="35415CC5"/>
    <w:rsid w:val="35725E7F"/>
    <w:rsid w:val="359A53D6"/>
    <w:rsid w:val="35AD6EB7"/>
    <w:rsid w:val="36015455"/>
    <w:rsid w:val="361C228F"/>
    <w:rsid w:val="36341386"/>
    <w:rsid w:val="36637EBD"/>
    <w:rsid w:val="369E2CA4"/>
    <w:rsid w:val="36FC0F5D"/>
    <w:rsid w:val="375773F8"/>
    <w:rsid w:val="375A6BCB"/>
    <w:rsid w:val="380D00E1"/>
    <w:rsid w:val="38683569"/>
    <w:rsid w:val="386B4E07"/>
    <w:rsid w:val="38877E93"/>
    <w:rsid w:val="38B93DC5"/>
    <w:rsid w:val="38BF0C9D"/>
    <w:rsid w:val="393E32BB"/>
    <w:rsid w:val="395064D7"/>
    <w:rsid w:val="39783C80"/>
    <w:rsid w:val="39C96289"/>
    <w:rsid w:val="39D52E80"/>
    <w:rsid w:val="3A4B4EF0"/>
    <w:rsid w:val="3A543DA5"/>
    <w:rsid w:val="3A663AD8"/>
    <w:rsid w:val="3A6E28F0"/>
    <w:rsid w:val="3AA36ADA"/>
    <w:rsid w:val="3ACA22B9"/>
    <w:rsid w:val="3ACC4283"/>
    <w:rsid w:val="3B1D4ADF"/>
    <w:rsid w:val="3B225C51"/>
    <w:rsid w:val="3B4200A1"/>
    <w:rsid w:val="3B5A363D"/>
    <w:rsid w:val="3B660234"/>
    <w:rsid w:val="3B7A3CDF"/>
    <w:rsid w:val="3BA90120"/>
    <w:rsid w:val="3C8B7826"/>
    <w:rsid w:val="3C940DD1"/>
    <w:rsid w:val="3CA32DC2"/>
    <w:rsid w:val="3D0E0B83"/>
    <w:rsid w:val="3D491BBB"/>
    <w:rsid w:val="3D74650C"/>
    <w:rsid w:val="3DB57251"/>
    <w:rsid w:val="3DE11DF4"/>
    <w:rsid w:val="3ECD2378"/>
    <w:rsid w:val="3EEB27FE"/>
    <w:rsid w:val="3EFDDE87"/>
    <w:rsid w:val="3F373C95"/>
    <w:rsid w:val="3F5D36FC"/>
    <w:rsid w:val="3F732F1F"/>
    <w:rsid w:val="3FF1653A"/>
    <w:rsid w:val="3FFA719D"/>
    <w:rsid w:val="3FFF2A05"/>
    <w:rsid w:val="4000052B"/>
    <w:rsid w:val="400C6ED0"/>
    <w:rsid w:val="40153FD6"/>
    <w:rsid w:val="4033445D"/>
    <w:rsid w:val="407451A1"/>
    <w:rsid w:val="4081166C"/>
    <w:rsid w:val="40A92971"/>
    <w:rsid w:val="40AF61D9"/>
    <w:rsid w:val="40D479EE"/>
    <w:rsid w:val="40F63E08"/>
    <w:rsid w:val="41635215"/>
    <w:rsid w:val="41654AEA"/>
    <w:rsid w:val="418331C2"/>
    <w:rsid w:val="41874A60"/>
    <w:rsid w:val="418C02C8"/>
    <w:rsid w:val="419B2857"/>
    <w:rsid w:val="419E7FFC"/>
    <w:rsid w:val="41A41AB6"/>
    <w:rsid w:val="41D67795"/>
    <w:rsid w:val="41D71DA8"/>
    <w:rsid w:val="421D3616"/>
    <w:rsid w:val="425F778B"/>
    <w:rsid w:val="42B07FE6"/>
    <w:rsid w:val="43100A85"/>
    <w:rsid w:val="431E13F4"/>
    <w:rsid w:val="432F58B1"/>
    <w:rsid w:val="4339622E"/>
    <w:rsid w:val="435766B4"/>
    <w:rsid w:val="439B2A45"/>
    <w:rsid w:val="43C755E8"/>
    <w:rsid w:val="43F959BD"/>
    <w:rsid w:val="440920A4"/>
    <w:rsid w:val="44315157"/>
    <w:rsid w:val="445350CD"/>
    <w:rsid w:val="446F7A2D"/>
    <w:rsid w:val="44AD6ED3"/>
    <w:rsid w:val="45912351"/>
    <w:rsid w:val="46205483"/>
    <w:rsid w:val="46366A55"/>
    <w:rsid w:val="46841EB6"/>
    <w:rsid w:val="471C3E9C"/>
    <w:rsid w:val="473A2575"/>
    <w:rsid w:val="47637D1D"/>
    <w:rsid w:val="478657BA"/>
    <w:rsid w:val="47A3636C"/>
    <w:rsid w:val="47A81BD4"/>
    <w:rsid w:val="47C00CCC"/>
    <w:rsid w:val="47CF0F0F"/>
    <w:rsid w:val="4819662E"/>
    <w:rsid w:val="48382F58"/>
    <w:rsid w:val="48C23A7D"/>
    <w:rsid w:val="48DF1625"/>
    <w:rsid w:val="48E1539E"/>
    <w:rsid w:val="491F7C74"/>
    <w:rsid w:val="4929464F"/>
    <w:rsid w:val="4933371F"/>
    <w:rsid w:val="493F20C4"/>
    <w:rsid w:val="49667651"/>
    <w:rsid w:val="49AA39E1"/>
    <w:rsid w:val="49C425C9"/>
    <w:rsid w:val="49E36EF3"/>
    <w:rsid w:val="4A842484"/>
    <w:rsid w:val="4AC22FAD"/>
    <w:rsid w:val="4AE178D7"/>
    <w:rsid w:val="4AEC627C"/>
    <w:rsid w:val="4AF03931"/>
    <w:rsid w:val="4B2652EA"/>
    <w:rsid w:val="4B2B0B52"/>
    <w:rsid w:val="4B6422B6"/>
    <w:rsid w:val="4B8D7117"/>
    <w:rsid w:val="4BA97CC9"/>
    <w:rsid w:val="4BC62629"/>
    <w:rsid w:val="4BE551A5"/>
    <w:rsid w:val="4C4579F1"/>
    <w:rsid w:val="4C4F6AC2"/>
    <w:rsid w:val="4C6611ED"/>
    <w:rsid w:val="4C793B3F"/>
    <w:rsid w:val="4C87000A"/>
    <w:rsid w:val="4CAD5597"/>
    <w:rsid w:val="4CB93F3C"/>
    <w:rsid w:val="4CBA03DF"/>
    <w:rsid w:val="4D5D3BD3"/>
    <w:rsid w:val="4D97427D"/>
    <w:rsid w:val="4DA22C22"/>
    <w:rsid w:val="4DA644C0"/>
    <w:rsid w:val="4DAB5F7A"/>
    <w:rsid w:val="4DEC3CAD"/>
    <w:rsid w:val="4E1753BE"/>
    <w:rsid w:val="4E3046D1"/>
    <w:rsid w:val="4E6323B1"/>
    <w:rsid w:val="4E6F51FA"/>
    <w:rsid w:val="4E802F63"/>
    <w:rsid w:val="4E8862BB"/>
    <w:rsid w:val="4E964534"/>
    <w:rsid w:val="4EB62E28"/>
    <w:rsid w:val="4EB7F892"/>
    <w:rsid w:val="4EC72940"/>
    <w:rsid w:val="4EF37BD9"/>
    <w:rsid w:val="4F0F42E7"/>
    <w:rsid w:val="4F2E29BF"/>
    <w:rsid w:val="4FA2515B"/>
    <w:rsid w:val="5023004A"/>
    <w:rsid w:val="50770396"/>
    <w:rsid w:val="507772AC"/>
    <w:rsid w:val="507C3A71"/>
    <w:rsid w:val="50A54F03"/>
    <w:rsid w:val="50D94BAC"/>
    <w:rsid w:val="50E35A2B"/>
    <w:rsid w:val="51025EB1"/>
    <w:rsid w:val="511D718F"/>
    <w:rsid w:val="51234079"/>
    <w:rsid w:val="512978E2"/>
    <w:rsid w:val="512C73D2"/>
    <w:rsid w:val="5164091A"/>
    <w:rsid w:val="517F7502"/>
    <w:rsid w:val="518C7E71"/>
    <w:rsid w:val="518E1E3B"/>
    <w:rsid w:val="518F170F"/>
    <w:rsid w:val="51956D25"/>
    <w:rsid w:val="51C23892"/>
    <w:rsid w:val="524E5126"/>
    <w:rsid w:val="526A6E03"/>
    <w:rsid w:val="527252B8"/>
    <w:rsid w:val="52C04276"/>
    <w:rsid w:val="52E02222"/>
    <w:rsid w:val="53035F10"/>
    <w:rsid w:val="532A5B93"/>
    <w:rsid w:val="53397B84"/>
    <w:rsid w:val="533C1422"/>
    <w:rsid w:val="53803A05"/>
    <w:rsid w:val="5386726D"/>
    <w:rsid w:val="539B25ED"/>
    <w:rsid w:val="53D5512C"/>
    <w:rsid w:val="53E45D42"/>
    <w:rsid w:val="544B4013"/>
    <w:rsid w:val="54694499"/>
    <w:rsid w:val="54843081"/>
    <w:rsid w:val="54AF6350"/>
    <w:rsid w:val="54D062C6"/>
    <w:rsid w:val="54E51D72"/>
    <w:rsid w:val="552A0475"/>
    <w:rsid w:val="554D7917"/>
    <w:rsid w:val="556233C2"/>
    <w:rsid w:val="5563713A"/>
    <w:rsid w:val="55FD30EB"/>
    <w:rsid w:val="55FF50B5"/>
    <w:rsid w:val="56513437"/>
    <w:rsid w:val="56530F5D"/>
    <w:rsid w:val="567315FF"/>
    <w:rsid w:val="567809C3"/>
    <w:rsid w:val="56D025AE"/>
    <w:rsid w:val="570A5ABF"/>
    <w:rsid w:val="571B5F1F"/>
    <w:rsid w:val="574014E1"/>
    <w:rsid w:val="577B69BD"/>
    <w:rsid w:val="578A05D1"/>
    <w:rsid w:val="578D10CB"/>
    <w:rsid w:val="57F347A6"/>
    <w:rsid w:val="58117322"/>
    <w:rsid w:val="58240E03"/>
    <w:rsid w:val="58290C57"/>
    <w:rsid w:val="5847689F"/>
    <w:rsid w:val="58A837E2"/>
    <w:rsid w:val="58C12AF6"/>
    <w:rsid w:val="58F76517"/>
    <w:rsid w:val="597D4C6F"/>
    <w:rsid w:val="59847E70"/>
    <w:rsid w:val="598F6750"/>
    <w:rsid w:val="59A71CEC"/>
    <w:rsid w:val="5A032C9A"/>
    <w:rsid w:val="5A13112F"/>
    <w:rsid w:val="5A2F3A8F"/>
    <w:rsid w:val="5A3540C7"/>
    <w:rsid w:val="5A4968FF"/>
    <w:rsid w:val="5A5915AC"/>
    <w:rsid w:val="5A6279C1"/>
    <w:rsid w:val="5A9102A6"/>
    <w:rsid w:val="5A921945"/>
    <w:rsid w:val="5A9A53AC"/>
    <w:rsid w:val="5AA75D1B"/>
    <w:rsid w:val="5ABBC979"/>
    <w:rsid w:val="5ABF4E13"/>
    <w:rsid w:val="5AE825BC"/>
    <w:rsid w:val="5AFF16B3"/>
    <w:rsid w:val="5B0B62AA"/>
    <w:rsid w:val="5B7976B8"/>
    <w:rsid w:val="5B8A5421"/>
    <w:rsid w:val="5BB66216"/>
    <w:rsid w:val="5BF3644A"/>
    <w:rsid w:val="5BFC7B3B"/>
    <w:rsid w:val="5C423F4D"/>
    <w:rsid w:val="5C4E46A0"/>
    <w:rsid w:val="5C6739B4"/>
    <w:rsid w:val="5C761E49"/>
    <w:rsid w:val="5CA97B29"/>
    <w:rsid w:val="5CBC5AAE"/>
    <w:rsid w:val="5CD01559"/>
    <w:rsid w:val="5CED3EB9"/>
    <w:rsid w:val="5CEE19DF"/>
    <w:rsid w:val="5CF54B1C"/>
    <w:rsid w:val="5CFE60C6"/>
    <w:rsid w:val="5D245401"/>
    <w:rsid w:val="5D753EAF"/>
    <w:rsid w:val="5D8B36D2"/>
    <w:rsid w:val="5D8B722E"/>
    <w:rsid w:val="5DAD189A"/>
    <w:rsid w:val="5DE54B90"/>
    <w:rsid w:val="5E77C7C6"/>
    <w:rsid w:val="5E7B54F5"/>
    <w:rsid w:val="5E9345EC"/>
    <w:rsid w:val="5E99597B"/>
    <w:rsid w:val="5EB36A3D"/>
    <w:rsid w:val="5ED35331"/>
    <w:rsid w:val="5F125E59"/>
    <w:rsid w:val="5F166FCB"/>
    <w:rsid w:val="5F61293D"/>
    <w:rsid w:val="5F697A43"/>
    <w:rsid w:val="5F702B80"/>
    <w:rsid w:val="5F773F0E"/>
    <w:rsid w:val="5FBB029F"/>
    <w:rsid w:val="5FCB6008"/>
    <w:rsid w:val="5FDE5D3B"/>
    <w:rsid w:val="5FEB2206"/>
    <w:rsid w:val="5FF23595"/>
    <w:rsid w:val="5FF76DFD"/>
    <w:rsid w:val="5FFC4413"/>
    <w:rsid w:val="5FFFAAE0"/>
    <w:rsid w:val="60017C7C"/>
    <w:rsid w:val="600D6620"/>
    <w:rsid w:val="602776E2"/>
    <w:rsid w:val="60830691"/>
    <w:rsid w:val="60BF3DBF"/>
    <w:rsid w:val="60F021CA"/>
    <w:rsid w:val="61021EFD"/>
    <w:rsid w:val="61120392"/>
    <w:rsid w:val="61842912"/>
    <w:rsid w:val="618D7A19"/>
    <w:rsid w:val="61A15272"/>
    <w:rsid w:val="61B72CE8"/>
    <w:rsid w:val="61D3463B"/>
    <w:rsid w:val="621517BC"/>
    <w:rsid w:val="62500A46"/>
    <w:rsid w:val="625642AF"/>
    <w:rsid w:val="62650996"/>
    <w:rsid w:val="62944DD7"/>
    <w:rsid w:val="62AD7C47"/>
    <w:rsid w:val="62F6339C"/>
    <w:rsid w:val="63065CD5"/>
    <w:rsid w:val="63163A3E"/>
    <w:rsid w:val="63220635"/>
    <w:rsid w:val="63471E49"/>
    <w:rsid w:val="637644DD"/>
    <w:rsid w:val="637B1AF3"/>
    <w:rsid w:val="639C3F43"/>
    <w:rsid w:val="63CE60C7"/>
    <w:rsid w:val="64430863"/>
    <w:rsid w:val="644545DB"/>
    <w:rsid w:val="64654C7D"/>
    <w:rsid w:val="646F3406"/>
    <w:rsid w:val="64740A51"/>
    <w:rsid w:val="64874BF3"/>
    <w:rsid w:val="64942E6C"/>
    <w:rsid w:val="64A55079"/>
    <w:rsid w:val="64C71494"/>
    <w:rsid w:val="64F8164D"/>
    <w:rsid w:val="650049A6"/>
    <w:rsid w:val="655C6080"/>
    <w:rsid w:val="65847385"/>
    <w:rsid w:val="659D0447"/>
    <w:rsid w:val="65EE47FE"/>
    <w:rsid w:val="65FF4C5D"/>
    <w:rsid w:val="660D2ED6"/>
    <w:rsid w:val="661204ED"/>
    <w:rsid w:val="661A55F3"/>
    <w:rsid w:val="662326FA"/>
    <w:rsid w:val="662B15AE"/>
    <w:rsid w:val="66347B2F"/>
    <w:rsid w:val="663761A5"/>
    <w:rsid w:val="663E7534"/>
    <w:rsid w:val="665E7BD6"/>
    <w:rsid w:val="667FD72C"/>
    <w:rsid w:val="66815672"/>
    <w:rsid w:val="66BC2B4E"/>
    <w:rsid w:val="674072DB"/>
    <w:rsid w:val="67530DBD"/>
    <w:rsid w:val="675E59B4"/>
    <w:rsid w:val="679118E5"/>
    <w:rsid w:val="67AB6E4B"/>
    <w:rsid w:val="67F85E08"/>
    <w:rsid w:val="685E5C6B"/>
    <w:rsid w:val="68D0468F"/>
    <w:rsid w:val="68D45F2D"/>
    <w:rsid w:val="68F62348"/>
    <w:rsid w:val="69197DE4"/>
    <w:rsid w:val="691B1DAE"/>
    <w:rsid w:val="6942558D"/>
    <w:rsid w:val="694A61EF"/>
    <w:rsid w:val="697E40EB"/>
    <w:rsid w:val="69C75A92"/>
    <w:rsid w:val="69E5416A"/>
    <w:rsid w:val="6A12486A"/>
    <w:rsid w:val="6A4470E3"/>
    <w:rsid w:val="6A5E63F6"/>
    <w:rsid w:val="6A681023"/>
    <w:rsid w:val="6A773014"/>
    <w:rsid w:val="6A813E93"/>
    <w:rsid w:val="6A9040D6"/>
    <w:rsid w:val="6AA116A2"/>
    <w:rsid w:val="6ABE64BE"/>
    <w:rsid w:val="6AD42215"/>
    <w:rsid w:val="6ADF6E0B"/>
    <w:rsid w:val="6AE306AA"/>
    <w:rsid w:val="6B3709F5"/>
    <w:rsid w:val="6B4A697B"/>
    <w:rsid w:val="6B5D66AE"/>
    <w:rsid w:val="6B5F16C5"/>
    <w:rsid w:val="6B726D70"/>
    <w:rsid w:val="6B7E4876"/>
    <w:rsid w:val="6BD3071E"/>
    <w:rsid w:val="6C270A6A"/>
    <w:rsid w:val="6C4C04D0"/>
    <w:rsid w:val="6C77554D"/>
    <w:rsid w:val="6C97799E"/>
    <w:rsid w:val="6C9C1458"/>
    <w:rsid w:val="6CA4030D"/>
    <w:rsid w:val="6CB57E24"/>
    <w:rsid w:val="6CC85DA9"/>
    <w:rsid w:val="6CF03552"/>
    <w:rsid w:val="6CF3094C"/>
    <w:rsid w:val="6CF3EA5A"/>
    <w:rsid w:val="6D4A4A10"/>
    <w:rsid w:val="6D7970A3"/>
    <w:rsid w:val="6D9914F3"/>
    <w:rsid w:val="6DD16EDF"/>
    <w:rsid w:val="6DDE33AA"/>
    <w:rsid w:val="6DE2733E"/>
    <w:rsid w:val="6DF332FA"/>
    <w:rsid w:val="6EA463A2"/>
    <w:rsid w:val="6F176B74"/>
    <w:rsid w:val="6F280D81"/>
    <w:rsid w:val="6FC0720B"/>
    <w:rsid w:val="6FE0340A"/>
    <w:rsid w:val="702C664F"/>
    <w:rsid w:val="7036127C"/>
    <w:rsid w:val="703E747C"/>
    <w:rsid w:val="703F45D4"/>
    <w:rsid w:val="70622071"/>
    <w:rsid w:val="70626515"/>
    <w:rsid w:val="70A64653"/>
    <w:rsid w:val="70A72179"/>
    <w:rsid w:val="70A95EF1"/>
    <w:rsid w:val="70F21646"/>
    <w:rsid w:val="710650F2"/>
    <w:rsid w:val="711F61B4"/>
    <w:rsid w:val="714B6FA9"/>
    <w:rsid w:val="715C7408"/>
    <w:rsid w:val="71A30B93"/>
    <w:rsid w:val="71B132B0"/>
    <w:rsid w:val="71BA7C8A"/>
    <w:rsid w:val="71CA25C3"/>
    <w:rsid w:val="72141A90"/>
    <w:rsid w:val="722F2426"/>
    <w:rsid w:val="72606A84"/>
    <w:rsid w:val="72B8241C"/>
    <w:rsid w:val="72DF5BFA"/>
    <w:rsid w:val="72F86CBC"/>
    <w:rsid w:val="73155AC0"/>
    <w:rsid w:val="73263829"/>
    <w:rsid w:val="734819F2"/>
    <w:rsid w:val="734939BC"/>
    <w:rsid w:val="73577E87"/>
    <w:rsid w:val="737547B1"/>
    <w:rsid w:val="738844E4"/>
    <w:rsid w:val="740A5D1A"/>
    <w:rsid w:val="741B2C62"/>
    <w:rsid w:val="74213FF1"/>
    <w:rsid w:val="745919DD"/>
    <w:rsid w:val="747800B5"/>
    <w:rsid w:val="748C590E"/>
    <w:rsid w:val="749A44CF"/>
    <w:rsid w:val="74B813BD"/>
    <w:rsid w:val="74D86DA5"/>
    <w:rsid w:val="74FB2A94"/>
    <w:rsid w:val="75047B9A"/>
    <w:rsid w:val="753C4E9B"/>
    <w:rsid w:val="754B57C9"/>
    <w:rsid w:val="757545F4"/>
    <w:rsid w:val="75812F99"/>
    <w:rsid w:val="75B4336E"/>
    <w:rsid w:val="75B55338"/>
    <w:rsid w:val="75CF01A8"/>
    <w:rsid w:val="76524935"/>
    <w:rsid w:val="76650B0D"/>
    <w:rsid w:val="769B7804"/>
    <w:rsid w:val="76A74C81"/>
    <w:rsid w:val="76B31618"/>
    <w:rsid w:val="76BE1FCB"/>
    <w:rsid w:val="76F51E90"/>
    <w:rsid w:val="77100A78"/>
    <w:rsid w:val="777A2396"/>
    <w:rsid w:val="77996CC0"/>
    <w:rsid w:val="779C67B0"/>
    <w:rsid w:val="779FCBF0"/>
    <w:rsid w:val="77BE04D4"/>
    <w:rsid w:val="77F7E21B"/>
    <w:rsid w:val="781113A7"/>
    <w:rsid w:val="78236589"/>
    <w:rsid w:val="785E3A65"/>
    <w:rsid w:val="78746DE5"/>
    <w:rsid w:val="788C05D2"/>
    <w:rsid w:val="78D87374"/>
    <w:rsid w:val="78F87A16"/>
    <w:rsid w:val="791365FE"/>
    <w:rsid w:val="791E6510"/>
    <w:rsid w:val="79C21DD2"/>
    <w:rsid w:val="79E2F975"/>
    <w:rsid w:val="79F71A7C"/>
    <w:rsid w:val="79FA77BE"/>
    <w:rsid w:val="7A1C14E2"/>
    <w:rsid w:val="7A2D36EF"/>
    <w:rsid w:val="7A9B68AB"/>
    <w:rsid w:val="7AA8721A"/>
    <w:rsid w:val="7AE95EC8"/>
    <w:rsid w:val="7B0E3521"/>
    <w:rsid w:val="7B334D35"/>
    <w:rsid w:val="7B3BDBF2"/>
    <w:rsid w:val="7BC97448"/>
    <w:rsid w:val="7BDC717B"/>
    <w:rsid w:val="7BED75DA"/>
    <w:rsid w:val="7C016BE2"/>
    <w:rsid w:val="7C444D20"/>
    <w:rsid w:val="7C480CB4"/>
    <w:rsid w:val="7C8D4A41"/>
    <w:rsid w:val="7C9F63FA"/>
    <w:rsid w:val="7CB63E70"/>
    <w:rsid w:val="7D0E5A5A"/>
    <w:rsid w:val="7D172435"/>
    <w:rsid w:val="7D250FF6"/>
    <w:rsid w:val="7D513857"/>
    <w:rsid w:val="7D9677FD"/>
    <w:rsid w:val="7DD24CD9"/>
    <w:rsid w:val="7DE14F1D"/>
    <w:rsid w:val="7DE22A43"/>
    <w:rsid w:val="7E3F1C43"/>
    <w:rsid w:val="7E4E1E86"/>
    <w:rsid w:val="7E584AB3"/>
    <w:rsid w:val="7EBDCBBF"/>
    <w:rsid w:val="7EC74CC1"/>
    <w:rsid w:val="7ED20D09"/>
    <w:rsid w:val="7EDC3936"/>
    <w:rsid w:val="7EE6408F"/>
    <w:rsid w:val="7EE84089"/>
    <w:rsid w:val="7EEB5927"/>
    <w:rsid w:val="7EFE38AC"/>
    <w:rsid w:val="7F3EB32E"/>
    <w:rsid w:val="7F5F3F3B"/>
    <w:rsid w:val="7F5FE5E8"/>
    <w:rsid w:val="7F7FC8C5"/>
    <w:rsid w:val="7FE44850"/>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autoRedefine/>
    <w:unhideWhenUsed/>
    <w:qFormat/>
    <w:uiPriority w:val="0"/>
    <w:pPr>
      <w:spacing w:beforeLines="0" w:afterLines="0"/>
      <w:ind w:firstLine="640" w:firstLineChars="200"/>
    </w:pPr>
    <w:rPr>
      <w:rFonts w:hint="default"/>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autoRedefine/>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autoRedefine/>
    <w:qFormat/>
    <w:uiPriority w:val="0"/>
    <w:rPr>
      <w:rFonts w:eastAsia="黑体"/>
    </w:rPr>
  </w:style>
  <w:style w:type="paragraph" w:customStyle="1" w:styleId="12">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6474</Words>
  <Characters>6929</Characters>
  <Lines>0</Lines>
  <Paragraphs>0</Paragraphs>
  <TotalTime>4</TotalTime>
  <ScaleCrop>false</ScaleCrop>
  <LinksUpToDate>false</LinksUpToDate>
  <CharactersWithSpaces>7214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李述湘</cp:lastModifiedBy>
  <cp:lastPrinted>2026-03-25T02:10:00Z</cp:lastPrinted>
  <dcterms:modified xsi:type="dcterms:W3CDTF">2026-09-10T08:14:22Z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D280FFA5B8944F65B5F53A62B2973844_13</vt:lpwstr>
  </property>
  <property fmtid="{D5CDD505-2E9C-101B-9397-08002B2CF9AE}" pid="4" name="KSOTemplateDocerSaveRecord">
    <vt:lpwstr>eyJoZGlkIjoiZGU3ZDA5MjM5YmI4MmEwM2I4NzBjZTc3Y2Q3ZmJjYjIiLCJ1c2VySWQiOiIzMzgwMjUyMjIifQ==</vt:lpwstr>
  </property>
</Properties>
</file>