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8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省级公共卫生中医药专项-国家随机监督抽检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怀化市卫生计生综合监督执法局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 xml:space="preserve">1.所有抽查均应通过平台统一实施。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做好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国家随机监督抽检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任务与日常监督工作的衔接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 xml:space="preserve">做到“双随机、一公开”监督覆盖率100%。 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.所有双随机抽查均通过湖南省“双随机、一公开”监管工作平台（以下简称“省级平台”）统一实施，“双随机、一公开”抽查结果及违法行为查处情况已全部通报，并在怀化市卫健委、县（市、区卫健局）门户网站向社会公开，接受社会监督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2.2023年，全市共接收国家双随机抽检任务数1100单，截止11月24日，全市监督完成1100单，监督覆盖率100%，任务完成1074单，任务关闭25单，任务完成率97.64%，任务完结率99.91%。案件查处178件，案件率16.18%。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发放群众满意度调查问卷份数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 xml:space="preserve"> 58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偏差原因：对调查问卷工作重视度不够。改进措施：按照绩效目标完成工作任务。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监督覆盖县市区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发现违法行为督促整改率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监督覆盖率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针对违法行为进行立案查处率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按时完成相关案件办理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是/否按时完成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是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按时完成辖区内国家随机抽检监督单位的检查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是/否按时完成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是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工作经费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充分发挥专项资金效益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优化营商环境知晓率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85%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群众对“双随机、一公开”政策知晓率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85%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被监管单位相关法律法规知晓率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85%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生态效益情况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color="auto" w:fill="FFFFFF"/>
              </w:rPr>
              <w:t>推动卫生健康事业高质量发展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效果良好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产生偏差的原因：基层执法人员过少，难以实现执法人员随机抽取。改进措施：加大招录，改善卫生监督队伍人员结构层次。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使用人员满意度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王婵媛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2024.6.24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0745-2248517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EBF8CAE-E72C-49A0-898E-83232353555B}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745DEEF4-C5EF-485D-BFE2-528D3B2C744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55C2EAD5-707F-4A0B-B6DF-8B86E279D63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A864CD01-4853-4194-B572-CBFD64367295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2A39239B-2F68-4DB5-AF47-5FED1EC075E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M2Y2YWE2NTE2MGRiNjk3MjIzM2MyYmY3MDUyMWIifQ=="/>
    <w:docVar w:name="KSO_WPS_MARK_KEY" w:val="9920a277-c0c3-43b4-93d3-1636fe398e0b"/>
  </w:docVars>
  <w:rsids>
    <w:rsidRoot w:val="753C4E9B"/>
    <w:rsid w:val="05E95AA6"/>
    <w:rsid w:val="0A9A6DA5"/>
    <w:rsid w:val="0C180A78"/>
    <w:rsid w:val="0D276746"/>
    <w:rsid w:val="0D464D9C"/>
    <w:rsid w:val="0DD52794"/>
    <w:rsid w:val="0E956870"/>
    <w:rsid w:val="10C666A5"/>
    <w:rsid w:val="1223366A"/>
    <w:rsid w:val="143877FD"/>
    <w:rsid w:val="19E805B2"/>
    <w:rsid w:val="22FE234B"/>
    <w:rsid w:val="277E6F02"/>
    <w:rsid w:val="29990575"/>
    <w:rsid w:val="2AF6742D"/>
    <w:rsid w:val="2E4722CA"/>
    <w:rsid w:val="2E833798"/>
    <w:rsid w:val="312A2265"/>
    <w:rsid w:val="36FC0F5D"/>
    <w:rsid w:val="375773F8"/>
    <w:rsid w:val="393E32BB"/>
    <w:rsid w:val="419B2857"/>
    <w:rsid w:val="41D71DA8"/>
    <w:rsid w:val="46E37D85"/>
    <w:rsid w:val="4C1A2647"/>
    <w:rsid w:val="4C6611ED"/>
    <w:rsid w:val="4CA574C5"/>
    <w:rsid w:val="4FBD188F"/>
    <w:rsid w:val="552A0475"/>
    <w:rsid w:val="578A4005"/>
    <w:rsid w:val="578D10CB"/>
    <w:rsid w:val="5A5915AC"/>
    <w:rsid w:val="602C1457"/>
    <w:rsid w:val="627F4D39"/>
    <w:rsid w:val="664B1C51"/>
    <w:rsid w:val="6A12486A"/>
    <w:rsid w:val="753C4E9B"/>
    <w:rsid w:val="781113A7"/>
    <w:rsid w:val="791E6510"/>
    <w:rsid w:val="7C8D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0">
    <w:name w:val="标题1"/>
    <w:basedOn w:val="2"/>
    <w:autoRedefine/>
    <w:qFormat/>
    <w:uiPriority w:val="0"/>
    <w:rPr>
      <w:rFonts w:eastAsia="黑体"/>
    </w:rPr>
  </w:style>
  <w:style w:type="paragraph" w:customStyle="1" w:styleId="11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890</Words>
  <Characters>1024</Characters>
  <Lines>0</Lines>
  <Paragraphs>0</Paragraphs>
  <TotalTime>0</TotalTime>
  <ScaleCrop>false</ScaleCrop>
  <LinksUpToDate>false</LinksUpToDate>
  <CharactersWithSpaces>1099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2024-02-22T02:03:00Z</dcterms:created>
  <dc:creator>1402836399</dc:creator>
  <cp:lastModifiedBy>苓萱</cp:lastModifiedBy>
  <cp:lastPrinted>2024-02-26T03:24:00Z</cp:lastPrinted>
  <dcterms:modified xsi:type="dcterms:W3CDTF">2024-07-05T09:34:59Z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4B545E2748234224AA7888E0D1AE4147_13</vt:lpwstr>
  </property>
</Properties>
</file>