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怀化市文化旅游广电体育局普法责任清单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黑体" w:cs="仿宋_GB2312"/>
          <w:b w:val="0"/>
          <w:bCs/>
          <w:color w:val="000000"/>
          <w:spacing w:val="0"/>
          <w:sz w:val="32"/>
          <w:szCs w:val="32"/>
          <w:lang w:val="en" w:eastAsia="zh-CN"/>
        </w:rPr>
      </w:pPr>
      <w:r>
        <w:rPr>
          <w:rFonts w:hint="eastAsia" w:ascii="Times New Roman" w:hAnsi="Times New Roman" w:eastAsia="黑体" w:cs="仿宋_GB2312"/>
          <w:b w:val="0"/>
          <w:bCs/>
          <w:color w:val="000000"/>
          <w:spacing w:val="0"/>
          <w:sz w:val="32"/>
          <w:szCs w:val="32"/>
          <w:lang w:val="en" w:eastAsia="zh-CN"/>
        </w:rPr>
        <w:t>一、共性清单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000000"/>
          <w:spacing w:val="0"/>
          <w:sz w:val="32"/>
          <w:szCs w:val="32"/>
          <w:lang w:val="en" w:eastAsia="zh-CN"/>
        </w:rPr>
      </w:pPr>
      <w:r>
        <w:rPr>
          <w:rFonts w:hint="eastAsia" w:ascii="Times New Roman" w:hAnsi="Times New Roman" w:eastAsia="仿宋_GB2312" w:cs="仿宋_GB2312"/>
          <w:b w:val="0"/>
          <w:bCs/>
          <w:color w:val="000000"/>
          <w:spacing w:val="0"/>
          <w:sz w:val="32"/>
          <w:szCs w:val="32"/>
          <w:lang w:val="en" w:eastAsia="zh-CN"/>
        </w:rPr>
        <w:t>突出学习宣传贯彻习近平法治思想，持续深入开展宪法宣传教育，深入开展民法典的宣传普及，深入宣传促进高质量发展、助推“三高四新”战略实施，</w:t>
      </w:r>
      <w:r>
        <w:rPr>
          <w:rFonts w:hint="eastAsia" w:ascii="Times New Roman" w:hAnsi="Times New Roman" w:eastAsia="仿宋_GB2312" w:cs="仿宋_GB2312"/>
          <w:b w:val="0"/>
          <w:bCs/>
          <w:color w:val="000000"/>
          <w:spacing w:val="0"/>
          <w:sz w:val="32"/>
          <w:szCs w:val="32"/>
          <w:lang w:val="en-US" w:eastAsia="zh-CN"/>
        </w:rPr>
        <w:t>加快</w:t>
      </w:r>
      <w:r>
        <w:rPr>
          <w:rFonts w:hint="eastAsia" w:ascii="Times New Roman" w:hAnsi="Times New Roman" w:eastAsia="仿宋_GB2312" w:cs="仿宋_GB2312"/>
          <w:b w:val="0"/>
          <w:bCs/>
          <w:color w:val="000000"/>
          <w:spacing w:val="0"/>
          <w:sz w:val="32"/>
          <w:szCs w:val="32"/>
          <w:lang w:val="en" w:eastAsia="zh-CN"/>
        </w:rPr>
        <w:t>建设现代化新怀化相关的法律法规，深入宣传与社会治理现代化密切相关的法律法规，深入学习宣传与本部门职责、管理、执法和服务相关的法律法规，深入学习宣传党内法规。（机关各科室、局属各单位）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黑体" w:cs="仿宋_GB2312"/>
          <w:b w:val="0"/>
          <w:bCs/>
          <w:color w:val="000000"/>
          <w:spacing w:val="0"/>
          <w:sz w:val="32"/>
          <w:szCs w:val="32"/>
          <w:lang w:val="en-US" w:eastAsia="zh-CN"/>
        </w:rPr>
      </w:pPr>
      <w:r>
        <w:rPr>
          <w:rFonts w:hint="eastAsia" w:ascii="Times New Roman" w:hAnsi="Times New Roman" w:eastAsia="黑体" w:cs="仿宋_GB2312"/>
          <w:b w:val="0"/>
          <w:bCs/>
          <w:color w:val="000000"/>
          <w:spacing w:val="0"/>
          <w:sz w:val="32"/>
          <w:szCs w:val="32"/>
          <w:lang w:val="en-US" w:eastAsia="zh-CN"/>
        </w:rPr>
        <w:t>二、个性清单</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000000"/>
          <w:spacing w:val="0"/>
          <w:kern w:val="0"/>
          <w:sz w:val="32"/>
          <w:szCs w:val="32"/>
          <w:lang w:val="en-US" w:eastAsia="zh-CN" w:bidi="ar-SA"/>
        </w:rPr>
      </w:pPr>
      <w:r>
        <w:rPr>
          <w:rFonts w:hint="eastAsia" w:ascii="Times New Roman" w:hAnsi="Times New Roman" w:cs="仿宋_GB2312"/>
          <w:b w:val="0"/>
          <w:bCs/>
          <w:color w:val="000000"/>
          <w:spacing w:val="0"/>
          <w:kern w:val="0"/>
          <w:sz w:val="32"/>
          <w:szCs w:val="32"/>
          <w:lang w:val="en-US" w:eastAsia="zh-CN" w:bidi="ar-SA"/>
        </w:rPr>
        <w:t>1.重点宣传普及文物保护法、非物质文化遗产法、博物馆条例、湖南省红色资源保护和利用条例等为主的文物及非遗相关法律法规及规章。（文物保护科、市文化遗产保护中心）</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000000"/>
          <w:spacing w:val="0"/>
          <w:kern w:val="0"/>
          <w:sz w:val="32"/>
          <w:szCs w:val="32"/>
          <w:lang w:val="en-US" w:eastAsia="zh-CN" w:bidi="ar-SA"/>
        </w:rPr>
      </w:pPr>
      <w:r>
        <w:rPr>
          <w:rFonts w:hint="eastAsia" w:ascii="Times New Roman" w:hAnsi="Times New Roman" w:cs="仿宋_GB2312"/>
          <w:b w:val="0"/>
          <w:bCs/>
          <w:color w:val="000000"/>
          <w:spacing w:val="0"/>
          <w:kern w:val="0"/>
          <w:sz w:val="32"/>
          <w:szCs w:val="32"/>
          <w:lang w:val="en-US" w:eastAsia="zh-CN" w:bidi="ar-SA"/>
        </w:rPr>
        <w:t xml:space="preserve">2.重点宣传普及公共文化服务保障法、公共图书馆法、湖南省实施《中华人民共和国公共文化服务保障法》办法、公共文化体育设施条例等。（文艺科、市图书馆、市文化馆）   </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000000"/>
          <w:spacing w:val="0"/>
          <w:kern w:val="0"/>
          <w:sz w:val="32"/>
          <w:szCs w:val="32"/>
          <w:lang w:val="en-US" w:eastAsia="zh-CN" w:bidi="ar-SA"/>
        </w:rPr>
      </w:pPr>
      <w:r>
        <w:rPr>
          <w:rFonts w:hint="eastAsia" w:ascii="Times New Roman" w:hAnsi="Times New Roman" w:cs="仿宋_GB2312"/>
          <w:b w:val="0"/>
          <w:bCs/>
          <w:color w:val="000000"/>
          <w:spacing w:val="0"/>
          <w:kern w:val="0"/>
          <w:sz w:val="32"/>
          <w:szCs w:val="32"/>
          <w:lang w:val="en-US" w:eastAsia="zh-CN" w:bidi="ar-SA"/>
        </w:rPr>
        <w:t>3.重点宣传普及旅游法、导游人员管理条例为主的旅游相关法律法规及规章。（市旅游发展事务中心）</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000000"/>
          <w:spacing w:val="0"/>
          <w:kern w:val="0"/>
          <w:sz w:val="32"/>
          <w:szCs w:val="32"/>
          <w:lang w:val="en-US" w:eastAsia="zh-CN" w:bidi="ar-SA"/>
        </w:rPr>
      </w:pPr>
      <w:r>
        <w:rPr>
          <w:rFonts w:hint="eastAsia" w:ascii="Times New Roman" w:hAnsi="Times New Roman" w:cs="仿宋_GB2312"/>
          <w:b w:val="0"/>
          <w:bCs/>
          <w:color w:val="000000"/>
          <w:spacing w:val="0"/>
          <w:kern w:val="0"/>
          <w:sz w:val="32"/>
          <w:szCs w:val="32"/>
          <w:lang w:val="en-US" w:eastAsia="zh-CN" w:bidi="ar-SA"/>
        </w:rPr>
        <w:t>4.重点宣传普及旅游法、营业性演出管理条例、娱乐场所管理条例、互联网上网服务营业场所管理条例、旅行社条例、导游人员管理条例、湖南省红色资源保护和利用条例、全国文化市场黑名单管理办法、经营高危险性体育项目许可管理办法。（市场管理科、市文化市场综合行政执法支队）</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cs="仿宋_GB2312"/>
          <w:b w:val="0"/>
          <w:bCs/>
          <w:color w:val="000000"/>
          <w:spacing w:val="0"/>
          <w:kern w:val="0"/>
          <w:sz w:val="32"/>
          <w:szCs w:val="32"/>
          <w:lang w:val="en-US" w:eastAsia="zh-CN" w:bidi="ar-SA"/>
        </w:rPr>
        <w:t>5.</w:t>
      </w:r>
      <w:r>
        <w:rPr>
          <w:rFonts w:hint="eastAsia" w:ascii="Times New Roman" w:hAnsi="Times New Roman" w:eastAsia="仿宋_GB2312" w:cs="仿宋_GB2312"/>
          <w:b w:val="0"/>
          <w:bCs/>
          <w:color w:val="000000"/>
          <w:spacing w:val="0"/>
          <w:kern w:val="0"/>
          <w:sz w:val="32"/>
          <w:szCs w:val="32"/>
          <w:lang w:val="en-US" w:eastAsia="zh-CN" w:bidi="ar-SA"/>
        </w:rPr>
        <w:t>广播电视管理条例、广播电视设施保护条例、</w:t>
      </w:r>
      <w:r>
        <w:rPr>
          <w:rFonts w:hint="eastAsia" w:ascii="仿宋_GB2312" w:hAnsi="仿宋_GB2312" w:eastAsia="仿宋_GB2312" w:cs="仿宋_GB2312"/>
          <w:sz w:val="32"/>
          <w:szCs w:val="32"/>
          <w:lang w:val="en-US" w:eastAsia="zh-CN"/>
        </w:rPr>
        <w:t>卫星电视广播地面接收设施管理规定</w:t>
      </w:r>
      <w:r>
        <w:rPr>
          <w:rFonts w:hint="eastAsia" w:hAnsi="仿宋_GB2312" w:cs="仿宋_GB2312"/>
          <w:sz w:val="32"/>
          <w:szCs w:val="32"/>
          <w:lang w:val="en-US" w:eastAsia="zh-CN"/>
        </w:rPr>
        <w:t>。（广电科、市广播电视监测中心）</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000000"/>
          <w:spacing w:val="0"/>
          <w:kern w:val="0"/>
          <w:sz w:val="32"/>
          <w:szCs w:val="32"/>
          <w:lang w:val="en-US" w:eastAsia="zh-CN" w:bidi="ar-SA"/>
        </w:rPr>
      </w:pPr>
      <w:r>
        <w:rPr>
          <w:rFonts w:hint="eastAsia" w:ascii="Times New Roman" w:hAnsi="Times New Roman" w:cs="仿宋_GB2312"/>
          <w:b w:val="0"/>
          <w:bCs/>
          <w:color w:val="000000"/>
          <w:spacing w:val="0"/>
          <w:kern w:val="0"/>
          <w:sz w:val="32"/>
          <w:szCs w:val="32"/>
          <w:lang w:val="en-US" w:eastAsia="zh-CN" w:bidi="ar-SA"/>
        </w:rPr>
        <w:t>6.</w:t>
      </w:r>
      <w:r>
        <w:rPr>
          <w:rFonts w:hint="eastAsia" w:ascii="Times New Roman" w:hAnsi="Times New Roman" w:eastAsia="仿宋_GB2312" w:cs="仿宋_GB2312"/>
          <w:b w:val="0"/>
          <w:bCs/>
          <w:color w:val="000000"/>
          <w:spacing w:val="0"/>
          <w:kern w:val="0"/>
          <w:sz w:val="32"/>
          <w:szCs w:val="32"/>
          <w:lang w:val="en-US" w:eastAsia="zh-CN" w:bidi="ar-SA"/>
        </w:rPr>
        <w:t>体育法、反兴奋剂条例、全民健身条例</w:t>
      </w:r>
      <w:r>
        <w:rPr>
          <w:rFonts w:hint="eastAsia" w:ascii="Times New Roman" w:hAnsi="Times New Roman" w:cs="仿宋_GB2312"/>
          <w:b w:val="0"/>
          <w:bCs/>
          <w:color w:val="000000"/>
          <w:spacing w:val="0"/>
          <w:kern w:val="0"/>
          <w:sz w:val="32"/>
          <w:szCs w:val="32"/>
          <w:lang w:val="en-US" w:eastAsia="zh-CN" w:bidi="ar-SA"/>
        </w:rPr>
        <w:t>等法律法规。（群体科、全民健身服务中心重点宣传体育法和全民健身条例，竞训科、市体育学校重点宣传体育法和</w:t>
      </w:r>
      <w:r>
        <w:rPr>
          <w:rFonts w:hint="eastAsia" w:ascii="Times New Roman" w:hAnsi="Times New Roman" w:eastAsia="仿宋_GB2312" w:cs="仿宋_GB2312"/>
          <w:b w:val="0"/>
          <w:bCs/>
          <w:color w:val="000000"/>
          <w:spacing w:val="0"/>
          <w:kern w:val="0"/>
          <w:sz w:val="32"/>
          <w:szCs w:val="32"/>
          <w:lang w:val="en-US" w:eastAsia="zh-CN" w:bidi="ar-SA"/>
        </w:rPr>
        <w:t>反兴奋剂条例</w:t>
      </w:r>
      <w:r>
        <w:rPr>
          <w:rFonts w:hint="eastAsia" w:ascii="Times New Roman" w:hAnsi="Times New Roman" w:cs="仿宋_GB2312"/>
          <w:b w:val="0"/>
          <w:bCs/>
          <w:color w:val="000000"/>
          <w:spacing w:val="0"/>
          <w:kern w:val="0"/>
          <w:sz w:val="32"/>
          <w:szCs w:val="32"/>
          <w:lang w:val="en-US" w:eastAsia="zh-CN" w:bidi="ar-SA"/>
        </w:rPr>
        <w:t>）</w:t>
      </w:r>
    </w:p>
    <w:p>
      <w:pPr>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pPr>
        <w:pStyle w:val="4"/>
        <w:rPr>
          <w:rFonts w:hint="eastAsia" w:ascii="Times New Roman" w:hAnsi="Times New Roman" w:cs="仿宋_GB2312"/>
          <w:b w:val="0"/>
          <w:bCs/>
          <w:color w:val="000000"/>
          <w:spacing w:val="0"/>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简体">
    <w:altName w:val="方正仿宋_GBK"/>
    <w:panose1 w:val="03000509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8A411"/>
    <w:rsid w:val="67F8A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00" w:firstLineChars="200"/>
    </w:pPr>
    <w:rPr>
      <w:rFonts w:ascii="仿宋_GB2312" w:hAnsi="宋体" w:eastAsia="仿宋_GB2312" w:cs="Arial"/>
      <w:bCs/>
      <w:sz w:val="30"/>
      <w:szCs w:val="28"/>
    </w:rPr>
  </w:style>
  <w:style w:type="paragraph" w:styleId="3">
    <w:name w:val="envelope return"/>
    <w:basedOn w:val="1"/>
    <w:qFormat/>
    <w:uiPriority w:val="0"/>
    <w:pPr>
      <w:snapToGrid w:val="0"/>
    </w:pPr>
    <w:rPr>
      <w:rFonts w:ascii="Arial" w:hAnsi="Arial" w:eastAsia="宋体" w:cs="Times New Roman"/>
    </w:rPr>
  </w:style>
  <w:style w:type="paragraph" w:styleId="4">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5">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2022-08-25T16:12:00Z</dcterms:created>
  <dc:creator>greatwall</dc:creator>
  <cp:lastModifiedBy>greatwall</cp:lastModifiedBy>
  <dcterms:modified xsi:type="dcterms:W3CDTF">2022-08-25T16:12:46Z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