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61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2023年度怀化市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退役军人事务局</w:t>
      </w:r>
    </w:p>
    <w:p w14:paraId="7D19F3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部门整体支出绩效自评报告</w:t>
      </w:r>
    </w:p>
    <w:p w14:paraId="25F66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8B3E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一、部门、单位基本情况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>（一）机构设置情况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怀化市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退役军人事务局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是正处级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全额拨款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一级预算单位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内设7个科室：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办公室、思想政治和权益维护科（政策法规科）、规划财务科、移交安置科、就业创业和军休管理科、拥军优抚科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、机关党委（人事科）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F896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二级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预算单位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个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怀化市军队离退休干部休养所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怀化市军用饮食供应站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怀化市荣军褒扬服务所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 xml:space="preserve">二）人员编制情况 </w:t>
      </w:r>
      <w:r>
        <w:rPr>
          <w:rFonts w:hint="eastAsia" w:ascii="楷体" w:hAnsi="楷体" w:eastAsia="楷体" w:cs="楷体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2023年末，我单位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年末职工编制数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人，在职实有人数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人，离退休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人。其中：行政编16人，非参公事业编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>（三）主要职能职责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贯彻执行党和国家关于退役军人思想政治、管理保障和安置优抚等工作政策法规，拟定全市退役军人发展规划和政策，并组织实施；褒扬彰显退役军人为党、国家和人民牺牲奉献的精神风范和价值导向。负责全市军队转业干部、复原干部、离退休干部、退役士兵和无军籍退休退职职工的移交安置工作和自主择业、就业退役军人服务管理工作。组织指导全市退役军人教育培训工作，协调扶持退役军人和随军随调家属就业创业。贯彻落实国家关于退役军人的特殊保障政策，会同有关部门制定相关政策，并组织实施。组织协调落实全市移交地方的离休退休军人、符合条件的其他退役军人和无军籍退休退职职工的住房保障工作，以及退役军人医疗保障、社会保险等待遇保障工作。组织指导全市伤病残退役军人服务管理和抚恤工作，贯彻落实有关退役军人医疗、疗养、养老等机构的规划政策并指导实施。承担全市不适宜继续服役的伤病残军人相关工作。组织指导全市军供服务保障工作。组织指导全市拥军优属工作。负责全市现役军人、退役军人、军队文职人员和军属优待、抚恤等工作；贯彻执行国家关于国民党抗战老兵等有关人员优待政策并指导实施。负责全市烈士及退役军人荣誉奖励、军人公墓管理维护、纪念活动等工作，依法承担英雄烈士保护相关工作，审核拟列入全市重点保护单位的烈士纪念建筑物名录，总结表彰和宣扬退役军人、退役军人工作单位和个人先进典型事迹。指导并监督检查关于退役军人相关法律法规和政策措施的落实；开展全市退役军人权益维护和有关人员的帮扶援助工作。完成市委、市政府交办的其他任务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 xml:space="preserve">（四）绩效目标设定情况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我单位在编制2023年年初预算时，对单位整体资金及项目资金设定了相关绩效目标。对年初预算整体资金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1680.76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万元，设定了整体绩效目标，对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驻怀部队随军家属生活补贴经费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、双拥“两节”及常态化走访慰问经费、退役士兵待安置期间生活补助及社保费用、自主择业军转干部社保补助、退役军人及其他优抚对象特殊困难援助资金、双拥模范城专项经费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等专项资金共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1151.13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万元，均设定了项目绩效目标。      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二、部门整体支出管理及使用情况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 xml:space="preserve">（一）预算执行、使用、管理总体情况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2023年年初预算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1680.76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万元，全年预算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1895.91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万元,预算执行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1895.91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万元,预算执行率为100%。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2023年年初预算收入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1680.76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万元,其中一般公共预算经费拨款收入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1680.76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万元。全年调整预算数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1895.91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万元,其中：一般公共预算财政经费拨款收入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1895.91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 w14:paraId="6013F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2023年支出年初总预算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1680.76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529.63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1151.13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。调整预算支出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1895.91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489.29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1406.61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在编制预算时，坚持量入为出，在全力保障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退役军人事务工作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前提下，突出重点，进一步编细、编实项目预算内容，确保预算的增长与业务工作相匹配。在预算执行上，严格按项目用途开支，做到专款专用，杜绝公用经费、人员经费挤占专项资金的现象，合理安排各项经费支出，根据形势与任务要求，合理调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经费使用计划，提高资金配置的整体效能。 </w:t>
      </w:r>
    </w:p>
    <w:p w14:paraId="02C93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此外，我单位还根据《政府会计准则》、《预算法》等相关法律法规制定了单位层面管理制度、业务层面管理制度及内控管理制度，特别就“三公经费”等规范了经费支出流程，制定了公务接待、公务用车、差旅费、办公费等相关实施细则，厉行节约、严控“三公经费”和日常公用经费；接待制度对人员、标准、接待程序都予以规范，用车制度对车辆管理、维修、其他费用支出都进行了明确。同时，按照怀化市财政局要求实行“整体部门预算”、“三公经费”预算、“政府采购”预算公开制度，有效控制了实际支出没有超出预算规模、范围和标准。 </w:t>
      </w:r>
    </w:p>
    <w:p w14:paraId="58E46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（二）部门预算执行情况 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1、基本支出情况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489.29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万元，其中人员经费支出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447.82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万元，公用经费支出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41.48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。基本支出系保障我单位机构正常运转、完成日常工作任务而发生的各项支出，包括用于在职和离退休人员基本工资、津贴补贴等人员经费以及办公费、印刷费、水电费、维修费、办公设备购置等日常公用经费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2、项目支出情况（因部分项目信息涉密，不予公开说明）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专项资金安排落实、总投入情况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2023年度我局专项经费调整后预算共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项，总金额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1406.61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万元，其中：（按调整预算后口径）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1）就业补助资金45.04万元；</w:t>
      </w:r>
    </w:p>
    <w:p w14:paraId="760BE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2）退役军人创业创新大赛15.46万元；</w:t>
      </w:r>
    </w:p>
    <w:p w14:paraId="13BC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（3）社保接续专项资金17.68万元；</w:t>
      </w:r>
    </w:p>
    <w:p w14:paraId="5E4F5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（4）企业军转干部补助解困资金192.32万元；</w:t>
      </w:r>
    </w:p>
    <w:p w14:paraId="23E97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（5）自主择业军转干部社保补助391.29万元；</w:t>
      </w:r>
    </w:p>
    <w:p w14:paraId="7EEBE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（6）待安置期间生活及社保补助10.05万元；</w:t>
      </w:r>
    </w:p>
    <w:p w14:paraId="726F6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（7）自主择业军转干部独生子女费1.26万元；</w:t>
      </w:r>
    </w:p>
    <w:p w14:paraId="16BC9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（8）退役军人培训费3.63万元；</w:t>
      </w:r>
    </w:p>
    <w:p w14:paraId="72624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（9）双拥两节慰问经费121.65万元；</w:t>
      </w:r>
    </w:p>
    <w:p w14:paraId="5033D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（10）追加预算双拥慰问武陵支队经费10万元；</w:t>
      </w:r>
    </w:p>
    <w:p w14:paraId="64F39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（11）随军家属生活补助129.95万元；</w:t>
      </w:r>
    </w:p>
    <w:p w14:paraId="1DDE2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（12）特殊困难援助26.59万元；</w:t>
      </w:r>
    </w:p>
    <w:p w14:paraId="685AF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（13）自主择业管理服务经费19.5万元；</w:t>
      </w:r>
    </w:p>
    <w:p w14:paraId="4D0B7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（14）双拥模范城建设108.89万元；</w:t>
      </w:r>
    </w:p>
    <w:p w14:paraId="65F63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（15）就业创业服务经费13.97万元；</w:t>
      </w:r>
    </w:p>
    <w:p w14:paraId="0BFC3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（16）基层退役军人服务体系运行补助经费37.5万元；</w:t>
      </w:r>
    </w:p>
    <w:p w14:paraId="214D0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（17）县级自主就业士兵培训配套经费51.88万元；</w:t>
      </w:r>
    </w:p>
    <w:p w14:paraId="2AE5B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40" w:hanging="640" w:hanging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（19）其他工作经费（共10项）209.95万元。</w:t>
      </w:r>
    </w:p>
    <w:p w14:paraId="5A29A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2023年度实际收到专项资金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1406.61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万元,预算资金总体到位率100.00%，其中:（按决算口径） </w:t>
      </w:r>
    </w:p>
    <w:p w14:paraId="6B2E2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（1）就业补助资金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45.04万元；</w:t>
      </w:r>
    </w:p>
    <w:p w14:paraId="366C4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（2）退役军人创业创新大赛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15.46万元；</w:t>
      </w:r>
    </w:p>
    <w:p w14:paraId="13129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（3）社保接续专项资金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17.68万元；</w:t>
      </w:r>
    </w:p>
    <w:p w14:paraId="10B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（4）企业军转干部补助解困资金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192.32万元；</w:t>
      </w:r>
    </w:p>
    <w:p w14:paraId="30030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（5）自主择业军转干部社保补助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391.29万元；</w:t>
      </w:r>
    </w:p>
    <w:p w14:paraId="1250E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（6）待安置期间生活及社保补助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10.05万元；</w:t>
      </w:r>
    </w:p>
    <w:p w14:paraId="3A6FA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（7）自主择业军转干部独生子女费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1.26万元；</w:t>
      </w:r>
    </w:p>
    <w:p w14:paraId="2E678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（8）退役军人培训费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3.63万元；</w:t>
      </w:r>
    </w:p>
    <w:p w14:paraId="1274F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（9）双拥两节慰问经费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121.65万元；</w:t>
      </w:r>
    </w:p>
    <w:p w14:paraId="66BB5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（10）追加预算双拥慰问武陵支队经费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10万元；</w:t>
      </w:r>
    </w:p>
    <w:p w14:paraId="6F5513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（11）随军家属生活补助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129.95万元；</w:t>
      </w:r>
    </w:p>
    <w:p w14:paraId="60CAC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（12）特殊困难援助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26.59万元；</w:t>
      </w:r>
    </w:p>
    <w:p w14:paraId="5F70F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（13）自主择业管理服务经费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19.5万元；</w:t>
      </w:r>
    </w:p>
    <w:p w14:paraId="52934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（14）双拥模范城建设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108.89万元；</w:t>
      </w:r>
    </w:p>
    <w:p w14:paraId="4F5D3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（15）就业创业服务经费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13.97万元；</w:t>
      </w:r>
    </w:p>
    <w:p w14:paraId="56A8B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（16）基层退役军人服务体系运行补助经费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37.5万元；</w:t>
      </w:r>
    </w:p>
    <w:p w14:paraId="71333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（17）县级自主就业士兵培训配套经费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51.88万元；</w:t>
      </w:r>
    </w:p>
    <w:p w14:paraId="2049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20" w:hanging="320" w:hangingChars="1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（19）其他工作经费（共10项）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实际收入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209.95万元。</w:t>
      </w:r>
    </w:p>
    <w:p w14:paraId="6A596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专项资金使用情况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2023年专项资金实际支出万元,其中: </w:t>
      </w:r>
    </w:p>
    <w:p w14:paraId="22AE9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（1）就业补助资金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万元，预算执行率100%； </w:t>
      </w:r>
    </w:p>
    <w:p w14:paraId="0D7F6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（2）退役军人创业创新大赛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45.04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万元，预算执行率100%； </w:t>
      </w:r>
    </w:p>
    <w:p w14:paraId="7D6CE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（3）社保接续专项资金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17.68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17.68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4FC9D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（4）企业军转干部补助解困资金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192.32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192.32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0BEE3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（5）自主择业军转干部社保补助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391.29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391.29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264EC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（6）待安置期间生活及社保补助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10.05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10.05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08B2F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（7）自主择业军转干部独生子女费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1.26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1.26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3C151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（8）退役军人培训费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1B8AE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（9）双拥两节慰问经费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121.65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121.65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64E65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（10）追加预算双拥慰问武陵支队经费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2ED27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（11）随军家属生活补助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129.95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129.95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3B056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（12）特殊困难援助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26.59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26.59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142E0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（13）自主择业管理服务经费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19.5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19.5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29596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（14）双拥模范城建设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108.89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108.89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2C4A1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（15）就业创业服务经费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13.97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13.97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56B6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（16）基层退役军人服务体系运行补助经费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37.5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37.5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3F762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（17）县级自主就业士兵培训配套经费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51.88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51.88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万元，预算执行率100%；</w:t>
      </w:r>
    </w:p>
    <w:p w14:paraId="6F54C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（19）其他工作经费（共10项）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预算支出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209.95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万元,实际支出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209.95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万元，预算执行率100%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0D764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（三）“三公”经费使用和管理情况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2023年“三公”经费控制数为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6.46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万元，其中公务接待费为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万元，公务用车运行维护费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万元。2023年“三公”经费实际支出合计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5.93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万元，在年初预算控制数内。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其中：公务接待费支出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1.35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万元，比上年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万元减少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0.16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万元，降低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10.60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%。比预算控制数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万元减少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0.16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万元，降低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10.60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%。主要原因为：一是全局上下厉行节约，严格落实过紧日子的要求，从财务管理制度上严控招待费指标，严格报账审核程序，实行经费超标领导绩效问责通报制度；二是强化公务卡结算管理，对于超额不使用公务卡也不转账付款的一律不报账；三是应用互联网公务监督系统，严格了接待标准，控制陪餐人数，对接待附件实行网上公开；四是采用了公函和接待清单制度，开支更加公开透明；五是严格公务接待纪律，不超规格、超标准接待，不送土特产、纪念品和其他礼品等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公务用车购置及运行维护费支出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4.58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万元，与上年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减少0.37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下降7.47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比预算控制数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万元减少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0.37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万元，降低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7.47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%。主要原因为：我局贯彻落实中央八项规定精神，规范公车管理，严禁公车私用，严格实行派车单制度，使得公车运维费未超出年初预算控制数。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三、政府性基金预算支出情况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2023年我单位无政府性基金预算支出。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四、国有资本经营预算支出情况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2023年我单位无国有资本经营预算支出。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五、社会保险基金预算支出情况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2023年我单位无社会保险基金预算支出。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   </w:t>
      </w:r>
      <w:r>
        <w:rPr>
          <w:rFonts w:hint="eastAsia" w:ascii="黑体" w:hAnsi="黑体" w:eastAsia="黑体" w:cs="黑体"/>
          <w:sz w:val="32"/>
          <w:szCs w:val="32"/>
        </w:rPr>
        <w:t>六、部门整体支出绩效情况（因部分项目信息涉密，不予公开说明）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 xml:space="preserve">（一）综合评价结论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根据年初预算设定的部门整体绩效目标，我单位已完成相关绩效指标内容，整体部门绩效自评得分为98分。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sz w:val="32"/>
          <w:szCs w:val="32"/>
        </w:rPr>
        <w:t xml:space="preserve">（二）综合评价情况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1、部门履职情况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是全面贯彻落实党的二十大精神的开局之年。一年来，我们打赢了清明烈士祭扫、“两参”人员身份认定核查工作两大信访稳定攻坚仗，全市没有发生一起规模性聚集上访、没有发生一起涉访个人极端事件、没有发生一起重大负面舆情炒作，2021年9月以来保持28个月到退役军人事务部“零上访”，退役军人信访稳定工作连续5年排在全省第一方阵，相关做法在全省退役军人工作会议上作经验交流发言。年度移交安置任务完成率达100%排在全省前列，转业军官行政岗位安置比例、退役士兵事业单位安置比例实现2个100%（全省相关安置比例分别为91%、83%），全国转业军官安置办法座谈会在怀化召开。双拥创建工作走在全省前列，被谢春厅长会上多次点名表扬，衡阳、株洲、张家界等兄弟市州先后来怀化学习交流。就业创业、社保接续、信息宣传、信访稳定、“每日一星”等工作被省厅评为优秀，移交安置、就业创业、烈士褒扬等工作《湖南退役军人工作简报》刊发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2、部门整体支出成本（预算）控制、节约情况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本年预算配置控制较好，财政供养人员控制在预算编制以内， 编制内在职人员控制率100.00%。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基本支出严格按预算执行，支出总额控制在预算总额以内。人员经费预算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478.63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447.82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万元，预算支出控制率100%。日常公用经费压价预算后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万元，实际支出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41.48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万元，预算支出控制率100%。其中2023年“三公”经费控制数为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6.46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万元，其中公务接待费控制数为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万元，公务用车运行维护费控制数为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4.95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 2023年“三公”经费实际支出合计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5.93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万元，较2023年控制数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6.46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万元减少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0.53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万元，降幅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8.20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%。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此外，项目支出总体上严格按预算执行，支出总额控制在预算总额的一定范围内。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3、部门专项组织实施情况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（1）专项组织情况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局相关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科室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年年中对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年度专项资金的收入和支出作出预算，并上报财政，获得相关部门的预算批复。专项资金的使用也由对口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科室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和财务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根据《专项资金管理制度》进行管理。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（2）专项管理情况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根据专项资金管理的要求，我局制定了多项管理办法，并严格按照管理办法执行。一是严格按预算开支，没有超标准、超规模、超范围开支；二是严格开支管理，做到了专款专用，不存在截流、挤占、挪用的情况；三是加强内部检查和审计，进行定期或不定期的检查、审计，确保专项资金落实到位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4、资产管理情况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《行政单位国有资产管理暂行办法》(财政部令第35号）的规定，我局建立健全资产管理的各项规章制度，有购置、申领、使用、报废处置等内部控制制度，保障资产管理落实到位。在执行中按规定落实国有资产清查、登记、上报制度，设置固定资产卡片、总账及明细账簿，并定期进行了清查盘点，及时更新国有资产管理系统，并配备专项管理人员，明确责任并履行好职责，进一步加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局国有资产管理，确保国有资产安全完整有效利用。   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七、存在的主要问题及原因分析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预算编制不够精准</w:t>
      </w:r>
    </w:p>
    <w:p w14:paraId="3A83F1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存在年中追加预算项目的情况，预算经济科目不够精准。</w:t>
      </w:r>
    </w:p>
    <w:p w14:paraId="5B34F59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预算执行进度偏慢</w:t>
      </w:r>
    </w:p>
    <w:p w14:paraId="026EC74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年中进行预算执行进度审查时，我单位仍有大部分项目资金使用执行率较低。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八、下一步改进措施及有关建议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（一）科学合理编制预算，严格执行预算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对预算事项充分论证，加强业务学习，并结合上一年度预算执行情况和本年度预算收支变化因素，科学、合理地编织预算草案，将预算编制内容全面化、明细化。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（二）采取得力措施减缩开支，向节约要保障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一是制定具体可行、科学合理的预算计划，围绕年度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退役军人事务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工作，结合本单位实际支出情况，本着节约原则进行合理安排，严格核定各项支出指标。二是压缩一般性开支，严格“三公经费”管理，设备采购严格落实政府采购手续。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BC954-FD67-4ED6-8B78-4E97BC7BDD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E46E77-3FC4-4B8C-A61B-C7DEECBDA6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43B660-CB2C-405B-A94D-1F15502F7A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E2D37"/>
    <w:multiLevelType w:val="singleLevel"/>
    <w:tmpl w:val="D68E2D37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zUzY2ViOGVmODRlNGQyMDNlYzI4ODA5YTI5NWEifQ=="/>
  </w:docVars>
  <w:rsids>
    <w:rsidRoot w:val="00000000"/>
    <w:rsid w:val="034C5DB5"/>
    <w:rsid w:val="0ABD38EA"/>
    <w:rsid w:val="0E9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2024-09-25T01:17:20Z</dcterms:created>
  <dc:creator>Administrator</dc:creator>
  <cp:lastModifiedBy>WPS_1608525663</cp:lastModifiedBy>
  <dcterms:modified xsi:type="dcterms:W3CDTF">2024-09-25T02:59:54Z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A8D081D2131C457693A4C12C0428C98B_12</vt:lpwstr>
  </property>
</Properties>
</file>