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213A1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怀化市水利局（汇总）</w:t>
      </w:r>
    </w:p>
    <w:p w14:paraId="08E9B9B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2025年度整体支出绩效自评报告</w:t>
      </w:r>
      <mc:AlternateContent>
        <mc:Choice Requires="wpsCustomData">
          <wpsCustomData:docfieldEnd id="0"/>
        </mc:Choice>
      </mc:AlternateContent>
    </w:p>
    <w:p w14:paraId="2C2D636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textAlignment w:val="auto"/>
        <w:rPr>
          <w:rFonts w:hint="eastAsia"/>
          <w:lang w:eastAsia="zh-CN"/>
        </w:rPr>
      </w:pPr>
      <w:bookmarkStart w:id="0" w:name="heading_0"/>
    </w:p>
    <w:p w14:paraId="5DD50726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部门概况</w:t>
      </w:r>
      <w:bookmarkEnd w:id="0"/>
    </w:p>
    <w:p w14:paraId="15117A4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怀化市水利局系统包含局本级及所属怀化市水旱灾害防御事务中心、怀化市水利技术事务中心两个二级预算单位。局本级为市政府工作部门，承担全市水资源合理开发利用、水旱灾害防御、河湖生态保护、水利工程建设管理等核心职能，内设9个职能科室。怀化市水旱灾害防御事务中心为公益一类事业单位，承担水旱灾害防治技术支持、应急调度、信息化运维等职能。怀化市水利技术事务中心为正科级公益二类差额拨款事业单位，承担全市水利规划编制、技术审查、科技推广等职能。</w:t>
      </w:r>
    </w:p>
    <w:p w14:paraId="0583A5D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2025年末，全系统财政供养人员编制共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136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人，实际在职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132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人，人员编制控制率9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7.06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％，人员配置符合编制管理规定，队伍结构能够支撑日常业务与重点工作有序运转。</w:t>
      </w:r>
    </w:p>
    <w:p w14:paraId="33C7073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全系统整体支出年初预算数为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3056.42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万元，年中调整后全年预算数为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3562.81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万元，全年实际执行数为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3508.46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万元。支出涵盖基本支出与项目支出两大类，基本支出用于保障机构正常运转与人员薪酬，项目支出聚焦水利建设、防汛抗旱、河湖治理、农村水利等核心业务，资金覆盖全市13个县市区，全方位支撑全市水安全、粮食安全与生态安全格局构建。</w:t>
      </w:r>
    </w:p>
    <w:p w14:paraId="0BFFFC0A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1" w:name="heading_1"/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一般公共预算支出情况</w:t>
      </w:r>
      <w:bookmarkEnd w:id="1"/>
    </w:p>
    <w:p w14:paraId="3386BC15"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eastAsia="楷体_GB2312"/>
          <w:b w:val="0"/>
          <w:bCs w:val="0"/>
          <w:sz w:val="32"/>
          <w:szCs w:val="32"/>
          <w:bdr w:val="none" w:sz="0" w:space="0"/>
        </w:rPr>
      </w:pPr>
      <w:bookmarkStart w:id="2" w:name="heading_2"/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基本支出</w:t>
      </w:r>
      <w:bookmarkEnd w:id="2"/>
    </w:p>
    <w:p w14:paraId="77A96AA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2025年，全系统一般公共预算基本支出严格按照预算批复执行，优先保障人员薪酬发放与机构正常运转。人员经费支出严格执行国家工资福利政策，按时足额发放基本工资、津贴补贴、绩效工资，足额缴纳各项社会保险与住房公积金，按标准发放离退休人员待遇。公用经费坚持厉行节约、保障重点原则，优先保障办公运转、执法执勤、业务开展等必要开支，从严控制非必要支出。</w:t>
      </w:r>
    </w:p>
    <w:p w14:paraId="0FB473C5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全系统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三公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经费管理严格落实中央八项规定精神，执行只减不增要求。全年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三公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经费决算数为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14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87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万元，全部为公务用车运行维护费，无公务用车购置、公务接待、因公出国境支出，较上年大幅下降，经费管控成效显著。基本支出管理严格执行财务管理制度，规范审批流程，所有支出实行国库集中支付，坚持先预算后支出，支出凭证合法合规，审批手续齐全。</w:t>
      </w:r>
    </w:p>
    <w:p w14:paraId="3173788E"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eastAsia="楷体_GB2312"/>
          <w:b w:val="0"/>
          <w:bCs w:val="0"/>
          <w:sz w:val="32"/>
          <w:szCs w:val="32"/>
          <w:bdr w:val="none" w:sz="0" w:space="0"/>
        </w:rPr>
      </w:pPr>
      <w:bookmarkStart w:id="3" w:name="heading_3"/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项目支出</w:t>
      </w:r>
      <w:bookmarkEnd w:id="3"/>
    </w:p>
    <w:p w14:paraId="51397E4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2025年，全系统项目支出围绕年度水利工作重点设置，资金来源以市级财政拨款为主，辅以省级专项补助及上年结转资金，全年项目支出实际执行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248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64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万元，涵盖十余项专项业务。局本级项目包括河小青行动</w:t>
      </w:r>
      <w:bookmarkStart w:id="14" w:name="_GoBack"/>
      <w:bookmarkEnd w:id="14"/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运行经费、河湖健康评价编制、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十五五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水安全保障规划编制、中小河流治理方案编制、灌溉试验站维修养护补助、舞水河清淤、水利科技项目资金、AK替代专项中央预算内基建资金等。怀化市水旱灾害防御事务中心项目包括数字孪生应用探究、水旱灾害防御工作专项、防汛信息化平台运维专项。怀化市水利技术事务中心无项目支出。</w:t>
      </w:r>
    </w:p>
    <w:p w14:paraId="0128278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项目资金严格按照批复用途使用，未发生截留、挤占、挪用情况，支出进度与项目实施进度基本匹配。项目管理建立四级审批流程，明确专款专用、台账管理要求，达到招标限额的项目全部履行政府采购程序，全程加强合同管理，规范价款结算。</w:t>
      </w:r>
    </w:p>
    <w:p w14:paraId="4FA6A95C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4" w:name="heading_4"/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项目组织实施情况</w:t>
      </w:r>
      <w:bookmarkEnd w:id="4"/>
    </w:p>
    <w:p w14:paraId="5F4ADEE6"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eastAsia="楷体_GB2312"/>
          <w:b w:val="0"/>
          <w:bCs w:val="0"/>
          <w:sz w:val="32"/>
          <w:szCs w:val="32"/>
          <w:bdr w:val="none" w:sz="0" w:space="0"/>
        </w:rPr>
      </w:pPr>
      <w:bookmarkStart w:id="5" w:name="heading_5"/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项目组织情况</w:t>
      </w:r>
      <w:bookmarkEnd w:id="5"/>
    </w:p>
    <w:p w14:paraId="2E07926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招投标管理规范透明，所有达到招标限额的项目均履行公开招标程序，全程接受监管，保障公平公正。项目调整严格履行内部集体审议程序，未发生擅自变更项目内容、调整资金用途的情况。项目验收严格把关，完工项目由业务科室牵头组织专家验收，对照合同与绩效目标核查成果质量，全年完工项目全部通过验收，验收合格率100％。</w:t>
      </w:r>
    </w:p>
    <w:p w14:paraId="33E76471">
      <w:pPr>
        <w:pStyle w:val="3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eastAsia="楷体_GB2312"/>
          <w:b w:val="0"/>
          <w:bCs w:val="0"/>
          <w:sz w:val="32"/>
          <w:szCs w:val="32"/>
          <w:bdr w:val="none" w:sz="0" w:space="0"/>
        </w:rPr>
      </w:pPr>
      <w:bookmarkStart w:id="6" w:name="heading_6"/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项目管理情况</w:t>
      </w:r>
      <w:bookmarkEnd w:id="6"/>
    </w:p>
    <w:p w14:paraId="488B67F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建立健全项目管理制度体系，覆盖项目立项、实施、验收全流程，明确各环节责任主体与时间节点。实行月调度、季检查工作机制，业务科室每月调度进度，每季度实地核查，重点检查资金使用规范性、成果质量与节点完成情况，全年开展专项检查4次，督促整改问题8个，保障项目按计划推进。</w:t>
      </w:r>
    </w:p>
    <w:p w14:paraId="7926E7F6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7" w:name="heading_7"/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资产管理情况</w:t>
      </w:r>
      <w:bookmarkEnd w:id="7"/>
    </w:p>
    <w:p w14:paraId="2F24E7EB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全系统制定完善固定资产管理制度，对资产配置、使用、处置全流程作出明确规定，推行一物一卡一码台账管理，规范资产清查、产权登记、处置审批程序。</w:t>
      </w:r>
    </w:p>
    <w:p w14:paraId="0698DEE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资产配置严格按照标准与年度预算执行，所有购置均通过政府采购，无超标准超预算配置情况。资产使用建立完善台账，每年开展两次全面清查，确保账实相符；公务用车实行统一调度派车制度，专业设备专人保管定期维护。资产处置严格履行审批程序，报废资产经财政部门审批后公开处置，处置收入全额上缴国库，未发生国有资产流失情况。</w:t>
      </w:r>
    </w:p>
    <w:p w14:paraId="66A70362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8" w:name="heading_8"/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政府性基金、国有资本经营、社会保险基金预算支出情况</w:t>
      </w:r>
      <w:bookmarkEnd w:id="8"/>
    </w:p>
    <w:p w14:paraId="29FDD96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2025年，全系统无政府性基金预算支出，无国有资本经营预算支出，无社会保险基金预算支出，相关情况与部门预算公开说明一致。</w:t>
      </w:r>
    </w:p>
    <w:p w14:paraId="2E0C892F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9" w:name="heading_9"/>
      <w:r>
        <w:rPr>
          <w:rFonts w:hint="eastAsia" w:cs="黑体"/>
          <w:b w:val="0"/>
          <w:bCs w:val="0"/>
          <w:sz w:val="32"/>
          <w:szCs w:val="32"/>
          <w:lang w:eastAsia="zh-CN"/>
        </w:rPr>
        <w:t>六、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部门整体支出绩效情况</w:t>
      </w:r>
      <w:bookmarkEnd w:id="9"/>
    </w:p>
    <w:p w14:paraId="43206AF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2025年，全系统围绕市委市政府决策部署，统筹推进各项水利工作，整体支出绩效成效显著。</w:t>
      </w:r>
    </w:p>
    <w:p w14:paraId="725D2DD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运行成本管控成效显著，基本支出人均公用经费控制在合理区间，项目支出单位成本控制合理，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三公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经费持续压减，厉行节约要求落实到位。管理效率稳步提升，预算整体执行率保持较高水平，项目实施周期优化，内部流程精简，办公与审批效率显著提升。</w:t>
      </w:r>
    </w:p>
    <w:p w14:paraId="395896E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履职效能全面增强。水利投资建设取得突破，全年落实水利建设资金41.31亿元，超额完成省定目标，228个水利项目全部开工，舞水大型灌区工程创新投融资模式，纳入国家标志性工程清单。水旱灾害防御夺取全面胜利，成功应对11轮强降雨过程，科学调度水库群削减洪峰，保障群众生命财产安全；开展4轮隐患排查，整改隐患248个，发布洪水调度令62条，启动应急响应67次。河湖生态治理扎实推进，完成舞水城区段2.93万立方米清淤，完成246个河湖健康评价，数量居全省第一；完成水土保持治理面积30平方公里，全市水土保持率达86.65％。农村水利基础持续巩固，农村自来水普及率提升至93.46％，超额完成小农水建设任务，完成102座小型水库除险加固。重点改革深入推进，水生态产品价值实现取得突破，首单水土保持生态产品交易成交额506.2万元；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机器管招投标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全面推行，13个项目实现全流程电子化。</w:t>
      </w:r>
    </w:p>
    <w:p w14:paraId="7BDA447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社会效应持续显现，农村供水保障水平提升，农田灌溉能力增强，水利建设带动就业，群众安全感显著提升。可持续发展能力不断增强，325处水利工程完成标准化管理，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十五五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水安全规划启动编制，智慧水利逐步推进。经测评，全系统服务对象综合满意度达95％以上，履职成效得到充分肯定。</w:t>
      </w:r>
    </w:p>
    <w:p w14:paraId="7A310FB7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10" w:name="heading_10"/>
      <w:r>
        <w:rPr>
          <w:rFonts w:hint="eastAsia" w:cs="黑体"/>
          <w:b w:val="0"/>
          <w:bCs w:val="0"/>
          <w:sz w:val="32"/>
          <w:szCs w:val="32"/>
          <w:lang w:eastAsia="zh-CN"/>
        </w:rPr>
        <w:t>七、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存在的问题及原因分析</w:t>
      </w:r>
      <w:bookmarkEnd w:id="10"/>
    </w:p>
    <w:p w14:paraId="4789CC6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一是资金保障压力较大，水利建设资金需求大，部分县市区配套资金到位率低，小型农田水利项目自筹缺口突出。二是监管执法效能有待提升，河湖监管任务重，水行政执法力量薄弱，基层执法巡查频次下降，跨部门联合执法机制有待深化。三是人才技术支撑亟待加强，专业技术人才短缺、队伍老化，新兴领域专业力量不足，基层水利管护力量薄弱。四是风险防控仍需常抓不懈，水利工程廉政风险防控需持续加压，小型分散工程常态化精细化监管机制有待完善。</w:t>
      </w:r>
    </w:p>
    <w:p w14:paraId="388EABAE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11" w:name="heading_11"/>
      <w:r>
        <w:rPr>
          <w:rFonts w:hint="eastAsia" w:cs="黑体"/>
          <w:b w:val="0"/>
          <w:bCs w:val="0"/>
          <w:sz w:val="32"/>
          <w:szCs w:val="32"/>
          <w:lang w:eastAsia="zh-CN"/>
        </w:rPr>
        <w:t>八、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下一步改进措施</w:t>
      </w:r>
      <w:bookmarkEnd w:id="11"/>
    </w:p>
    <w:p w14:paraId="742449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一是全力推进项目建设，科学谋划年度投资计划，积极争取上级资金，推进重大项目建设，做深做细项目储备。二是筑牢水安全屏障，压实防汛抗旱责任，完善预案体系，提升监测预警和工程调度水平。三是深化河湖生态治理，全面强化河湖长制，推进幸福河湖建设。四是强化水资源管理，实施最严格水资源管理制度，推进国家节水行动。五是加强队伍建设，引进培养专业技术人才，提升基层管护能力。六是强化风险防控，深化廉政风险防控，完善工程监管机制。</w:t>
      </w:r>
    </w:p>
    <w:p w14:paraId="236F793A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12" w:name="heading_12"/>
      <w:r>
        <w:rPr>
          <w:rFonts w:hint="eastAsia" w:cs="黑体"/>
          <w:b w:val="0"/>
          <w:bCs w:val="0"/>
          <w:sz w:val="32"/>
          <w:szCs w:val="32"/>
          <w:lang w:eastAsia="zh-CN"/>
        </w:rPr>
        <w:t>九、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绩效自评结果拟应用和公开情况</w:t>
      </w:r>
      <w:bookmarkEnd w:id="12"/>
    </w:p>
    <w:p w14:paraId="7995E8A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将绩效自评结果作为下年度预算编制的重要依据，对绩效优良的项目优先保障资金，对执行滞后的项目调整资金规模；将自评结果与科室考核挂钩，推动改进管理薄弱环节。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br w:type="textWrapping"/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绩效自评报告将按规定在怀化市人民政府门户网站公开，内容包括整体支出规模、绩效目标完成情况、存在问题及整改措施等，接受社会监督，确保公开透明。</w:t>
      </w:r>
    </w:p>
    <w:p w14:paraId="2A60F38C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eastAsia="黑体"/>
          <w:b w:val="0"/>
          <w:bCs w:val="0"/>
          <w:sz w:val="32"/>
          <w:szCs w:val="32"/>
          <w:bdr w:val="none" w:sz="0" w:space="0"/>
        </w:rPr>
      </w:pPr>
      <w:bookmarkStart w:id="13" w:name="heading_13"/>
      <w:r>
        <w:rPr>
          <w:rFonts w:hint="eastAsia" w:cs="黑体"/>
          <w:b w:val="0"/>
          <w:bCs w:val="0"/>
          <w:sz w:val="32"/>
          <w:szCs w:val="32"/>
          <w:lang w:eastAsia="zh-CN"/>
        </w:rPr>
        <w:t>十、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其他需要说明的情况</w:t>
      </w:r>
      <w:bookmarkEnd w:id="13"/>
    </w:p>
    <w:p w14:paraId="35CDF87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全系统严格执行厉行节约要求，规范财务审批与采购流程，坚持非必要不采购。全年无楼堂馆所建设项目，无违规发放津贴补贴情况，未发生重大审计问题，部门运行合规有序。</w:t>
      </w:r>
    </w:p>
    <w:p w14:paraId="5986BF6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3BA9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185F6E5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EvjmXRAAAA&#10;BgEAAA8AAAAAAAAAAQAgAAAAIgAAAGRycy9kb3ducmV2LnhtbFBLAQIUABQAAAAIAIdO4kCNsDni&#10;6wEAANEDAAAOAAAAAAAAAAEAIAAAACABAABkcnMvZTJvRG9jLnhtbFBLBQYAAAAABgAGAFkBAAB9&#10;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185F6E5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CA9E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973BB3C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xL45l0QAA&#10;AAYBAAAPAAAAAAAAAAEAIAAAACIAAABkcnMvZG93bnJldi54bWxQSwECFAAUAAAACACHTuJA+0dY&#10;1+wBAADRAwAADgAAAAAAAAABACAAAAAgAQAAZHJzL2Uyb0RvYy54bWxQSwUGAAAAAAYABgBZAQAA&#10;fg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0973BB3C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E8CE8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9802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hdrShapeDefaults>
    <o:shapelayout v:ext="edit">
      <o:idmap v:ext="edit" data="2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B71CC3"/>
    <w:rsid w:val="413C4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3138</Words>
  <Characters>3239</Characters>
  <TotalTime>5</TotalTime>
  <ScaleCrop>false</ScaleCrop>
  <LinksUpToDate>false</LinksUpToDate>
  <CharactersWithSpaces>3310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2026-09-20T13:17:00Z</dcterms:created>
  <dc:creator>Apache POI</dc:creator>
  <cp:lastModifiedBy>超级豆丁</cp:lastModifiedBy>
  <dcterms:modified xsi:type="dcterms:W3CDTF">2026-09-20T13:26:26Z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{"Label":"1","ContentProducer":"001191110102MACQD9K64010000","ProduceID":"7687605964036820161","ReservedCode1":"","ContentPropagator":"","PropagateID":"","ReservedCode2":""}</vt:lpwstr>
  </property>
  <property fmtid="{D5CDD505-2E9C-101B-9397-08002B2CF9AE}" pid="3" name="KSOTemplateDocerSaveRecord">
    <vt:lpwstr>eyJoZGlkIjoiMWExYjhhMTUzOGFjOGE3ZmU1YTRmZTExNzE1Nzg0NzgiLCJ1c2VySWQiOiIxNjQwNTUxMjk3In0=</vt:lpwstr>
  </property>
  <property fmtid="{D5CDD505-2E9C-101B-9397-08002B2CF9AE}" pid="4" name="KSOProductBuildVer">
    <vt:lpwstr>2052-12.1.0.28505</vt:lpwstr>
  </property>
  <property fmtid="{D5CDD505-2E9C-101B-9397-08002B2CF9AE}" pid="5" name="ICV">
    <vt:lpwstr>C328A6E998B846C68FAC9E2035C58FBE_13</vt:lpwstr>
  </property>
</Properties>
</file>