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94F6E">
      <w:pPr>
        <w:pStyle w:val="15"/>
      </w:pPr>
      <mc:AlternateContent>
        <mc:Choice Requires="wpsCustomData">
          <wpsCustomData:docfieldStart id="0" docfieldname="标题_1" hidden="0" print="1" readonly="0" index="1"/>
        </mc:Choice>
      </mc:AlternateContent>
      <w:r>
        <w:t>2025年度怀化市水利局</w:t>
      </w:r>
    </w:p>
    <w:p w14:paraId="00C88717">
      <w:pPr>
        <w:pStyle w:val="15"/>
      </w:pPr>
      <w:r>
        <w:t>项目支出自评结果汇总分析报告</w:t>
      </w:r>
      <mc:AlternateContent>
        <mc:Choice Requires="wpsCustomData">
          <wpsCustomData:docfieldEnd id="0"/>
        </mc:Choice>
      </mc:AlternateContent>
    </w:p>
    <w:p w14:paraId="3F1AF06F">
      <w:pPr>
        <w:pStyle w:val="11"/>
        <w:bidi w:val="0"/>
        <w:spacing w:beforeAutospacing="0" w:afterAutospacing="0" w:line="300" w:lineRule="exact"/>
        <w:rPr>
          <w:rFonts w:hint="eastAsia"/>
          <w:lang w:eastAsia="zh-CN"/>
        </w:rPr>
      </w:pPr>
      <w:bookmarkStart w:id="0" w:name="heading_0"/>
    </w:p>
    <w:p w14:paraId="7C616671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  <w:bdr w:val="none" w:sz="0" w:space="0"/>
        </w:rPr>
      </w:pPr>
      <w:r>
        <w:rPr>
          <w:rFonts w:hint="eastAsia"/>
          <w:sz w:val="29"/>
          <w:szCs w:val="29"/>
          <w:lang w:eastAsia="zh-CN"/>
        </w:rPr>
        <w:t>一、</w:t>
      </w:r>
      <w:r>
        <w:rPr>
          <w:sz w:val="29"/>
          <w:szCs w:val="29"/>
        </w:rPr>
        <w:t>项目支出基本情况</w:t>
      </w:r>
      <w:bookmarkEnd w:id="0"/>
    </w:p>
    <w:p w14:paraId="599C610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怀化市水利局作为市级水行政主管部门，承担全市水资源合理开发利用、水旱灾害防御、河湖生态治</w:t>
      </w:r>
      <w:bookmarkStart w:id="19" w:name="_GoBack"/>
      <w:bookmarkEnd w:id="19"/>
      <w:r>
        <w:rPr>
          <w:rFonts w:ascii="Times New Roman" w:hAnsi="Times New Roman" w:eastAsia="仿宋_GB2312" w:cs="仿宋_GB2312"/>
          <w:sz w:val="29"/>
          <w:szCs w:val="29"/>
        </w:rPr>
        <w:t>理、水利工程建设管理、农村水利保障、水土保持等核心职能。2025年，局党组紧紧围绕市委、市政府决策部署，聚焦新阶段水利高质量发展要求，统筹推进水安全、水资源、水生态、水环境系统治理，各项工作取得显著成效。为保障年度重点工作任务落地实施，市水利局通过部门预算安排各类专项项目支出，全部纳入财政预算管理，实现绩效目标全覆盖。</w:t>
      </w:r>
    </w:p>
    <w:p w14:paraId="3A94828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2025年度纳入绩效自评范围的项目支出共8项，涵盖河长制运行、河湖健康评价、水利规划编制、流域治理方案、灌溉试验养护、河道清淤治理、水利科技推广、基建专项补助等多个业务领域，全面覆盖河湖管理、规划计划、农村水利、水生态治理、科技信息、建设管理等核心业务板块，与全市水利中心工作高度契合。2025年度项目支出全年预算总额为201.76万元，全部为财政拨款资金，其中一般公共预算资金200.62万元，中央预算内基建资金1.14万元；全年实际执行金额201.76万元，预算执行率达到100％。各项目基本情况如下：</w:t>
      </w:r>
    </w:p>
    <w:p w14:paraId="52A84322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r>
        <w:rPr>
          <w:rStyle w:val="19"/>
          <w:rFonts w:hint="eastAsia" w:eastAsia="楷体_GB2312"/>
          <w:sz w:val="29"/>
          <w:szCs w:val="29"/>
          <w:lang w:eastAsia="zh-CN"/>
        </w:rPr>
        <w:t>（一）</w:t>
      </w:r>
      <w:r>
        <w:rPr>
          <w:rStyle w:val="19"/>
          <w:sz w:val="29"/>
          <w:szCs w:val="29"/>
        </w:rPr>
        <w:t>河小青行动运行经费</w:t>
      </w:r>
      <w:r>
        <w:rPr>
          <w:rFonts w:ascii="Times New Roman" w:hAnsi="Times New Roman" w:eastAsia="仿宋_GB2312" w:cs="仿宋_GB2312"/>
          <w:sz w:val="29"/>
          <w:szCs w:val="29"/>
        </w:rPr>
        <w:t>。该项目年度预算25.00万元，全年执行25.00万元，资金主要用于河小青行动日常运行、基层河长与保洁员及民间河长培训激励、河湖管护宣传引导等方面。项目实施旨在进一步健全河湖长制工作体系，强化基层河湖管护力量，切实解决河湖管护“上热下冷”问题，推动河湖长制从“有名有责”向“有能有效”转变，保障全市河湖管护工作常态化、规范化开展。结合2025年全市河湖长制工作部署，该项目重点支撑乡、村河长、保洁员及民间河长的能力提升与激励保障，助力打通河湖管护“最后一公里”。</w:t>
      </w:r>
    </w:p>
    <w:p w14:paraId="59DE34E3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r>
        <w:rPr>
          <w:rStyle w:val="19"/>
          <w:rFonts w:hint="eastAsia" w:eastAsia="楷体_GB2312"/>
          <w:sz w:val="29"/>
          <w:szCs w:val="29"/>
          <w:lang w:eastAsia="zh-CN"/>
        </w:rPr>
        <w:t>（二）</w:t>
      </w:r>
      <w:r>
        <w:rPr>
          <w:rStyle w:val="19"/>
          <w:sz w:val="29"/>
          <w:szCs w:val="29"/>
        </w:rPr>
        <w:t>河湖健康评价编制（辰水、溆水）</w:t>
      </w:r>
      <w:r>
        <w:rPr>
          <w:rFonts w:ascii="Times New Roman" w:hAnsi="Times New Roman" w:eastAsia="仿宋_GB2312" w:cs="仿宋_GB2312"/>
          <w:sz w:val="29"/>
          <w:szCs w:val="29"/>
        </w:rPr>
        <w:t>。该项目年初预算55.00万元，全年预算调整为34.30万元，全年执行34.30万元，资金主要用于辰水、溆水两条河流的健康评价技术服务、基础资料收集、现场勘查监测、报告编制与建档等工作。项目实施目的是系统评估两条河流的健康状态，明确河流健康等级，形成规范的评价报告与档案成果，为河湖治理、生态修复与长效管理提供科学依据，支撑全市水生态保护与修复工作科学开展。</w:t>
      </w:r>
    </w:p>
    <w:p w14:paraId="07881CFF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r>
        <w:rPr>
          <w:rStyle w:val="19"/>
          <w:rFonts w:hint="eastAsia" w:eastAsia="楷体_GB2312"/>
          <w:sz w:val="29"/>
          <w:szCs w:val="29"/>
          <w:lang w:eastAsia="zh-CN"/>
        </w:rPr>
        <w:t>（三）</w:t>
      </w:r>
      <w:r>
        <w:rPr>
          <w:rStyle w:val="19"/>
          <w:sz w:val="29"/>
          <w:szCs w:val="29"/>
        </w:rPr>
        <w:t>怀化市“十五五”水安全保障规划编制</w:t>
      </w:r>
      <w:r>
        <w:rPr>
          <w:rFonts w:ascii="Times New Roman" w:hAnsi="Times New Roman" w:eastAsia="仿宋_GB2312" w:cs="仿宋_GB2312"/>
          <w:sz w:val="29"/>
          <w:szCs w:val="29"/>
        </w:rPr>
        <w:t>。该项目年度预算9.60万元，全年执行9.60万元，资金主要用于规划编制的资料调研、专题研究、文本编制、专家咨询论证等方面。项目旨在系统谋划“十五五”时期全市水安全保障总体布局、重点任务与重大项目，构建与现代化新怀化建设相适应的水安全保障体系，为未来五年水利改革发展提供规划引领和行动遵循。</w:t>
      </w:r>
    </w:p>
    <w:p w14:paraId="5DF68C05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r>
        <w:rPr>
          <w:rStyle w:val="19"/>
          <w:rFonts w:hint="eastAsia" w:eastAsia="楷体_GB2312"/>
          <w:sz w:val="29"/>
          <w:szCs w:val="29"/>
          <w:lang w:eastAsia="zh-CN"/>
        </w:rPr>
        <w:t>（四）</w:t>
      </w:r>
      <w:r>
        <w:rPr>
          <w:rStyle w:val="19"/>
          <w:sz w:val="29"/>
          <w:szCs w:val="29"/>
        </w:rPr>
        <w:t>怀化市7条中小河流及2条水系单元治理方案编制及怀化市水网建设</w:t>
      </w:r>
      <w:r>
        <w:rPr>
          <w:rFonts w:ascii="Times New Roman" w:hAnsi="Times New Roman" w:eastAsia="仿宋_GB2312" w:cs="仿宋_GB2312"/>
          <w:sz w:val="29"/>
          <w:szCs w:val="29"/>
        </w:rPr>
        <w:t>。该项目年度预算11.78万元，全年执行11.78万元，资金主要用于7条中小河流治理方案、2条水系单元治理方案的编制，以及水网建设前期研究相关工作。项目实施旨在摸清中小河流与水系单元的治理需求，形成科学可行的治理方案，同步开展水网建设布局研究，为后续流域治理项目申报、实施和全市水网建设推进提供技术支撑与项目储备。</w:t>
      </w:r>
    </w:p>
    <w:p w14:paraId="6BD35AB4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r>
        <w:rPr>
          <w:rStyle w:val="19"/>
          <w:rFonts w:hint="eastAsia" w:eastAsia="楷体_GB2312"/>
          <w:sz w:val="29"/>
          <w:szCs w:val="29"/>
          <w:lang w:eastAsia="zh-CN"/>
        </w:rPr>
        <w:t>（五）</w:t>
      </w:r>
      <w:r>
        <w:rPr>
          <w:rStyle w:val="19"/>
          <w:sz w:val="29"/>
          <w:szCs w:val="29"/>
        </w:rPr>
        <w:t>灌溉试验站维修养护补助</w:t>
      </w:r>
      <w:r>
        <w:rPr>
          <w:rFonts w:ascii="Times New Roman" w:hAnsi="Times New Roman" w:eastAsia="仿宋_GB2312" w:cs="仿宋_GB2312"/>
          <w:sz w:val="29"/>
          <w:szCs w:val="29"/>
        </w:rPr>
        <w:t>。该项目年度预算20.00万元，全年执行20.00万元，资金主要用于灌溉试验站设施设备的维修养护、试验场地维护、仪器设备校准调试等方面。项目旨在保障灌溉试验站正常运行，持续开展农田灌溉试验研究，为全市农田灌溉技术推广、灌区现代化改造、节水农业发展提供科学试验数据与技术支撑，助力农村水利高质量发展和乡村全面振兴。</w:t>
      </w:r>
    </w:p>
    <w:p w14:paraId="4B0ED796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r>
        <w:rPr>
          <w:rStyle w:val="19"/>
          <w:rFonts w:hint="eastAsia" w:eastAsia="楷体_GB2312"/>
          <w:sz w:val="29"/>
          <w:szCs w:val="29"/>
          <w:lang w:eastAsia="zh-CN"/>
        </w:rPr>
        <w:t>（六）</w:t>
      </w:r>
      <w:r>
        <w:rPr>
          <w:rStyle w:val="19"/>
          <w:sz w:val="29"/>
          <w:szCs w:val="29"/>
        </w:rPr>
        <w:t>舞水河清淤项目</w:t>
      </w:r>
      <w:r>
        <w:rPr>
          <w:rFonts w:ascii="Times New Roman" w:hAnsi="Times New Roman" w:eastAsia="仿宋_GB2312" w:cs="仿宋_GB2312"/>
          <w:sz w:val="29"/>
          <w:szCs w:val="29"/>
        </w:rPr>
        <w:t>。该项目年度预算94.73万元，全年执行94.73万元，资金主要用于舞水河主城区指定河段的清淤清障工程施工、淤泥无害化处置、施工场地清理恢复等方面。项目实施旨在清除河道淤积物与障碍物，提升河道行洪能力，改善水生态环境与城市河湖面貌，保障第五届湖南旅游发展大会水环境质量，助力提升城市人居环境品质。</w:t>
      </w:r>
    </w:p>
    <w:p w14:paraId="3F22B3D1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r>
        <w:rPr>
          <w:rStyle w:val="19"/>
          <w:rFonts w:hint="eastAsia" w:eastAsia="楷体_GB2312"/>
          <w:sz w:val="29"/>
          <w:szCs w:val="29"/>
          <w:lang w:eastAsia="zh-CN"/>
        </w:rPr>
        <w:t>（七）</w:t>
      </w:r>
      <w:r>
        <w:rPr>
          <w:rStyle w:val="19"/>
          <w:sz w:val="29"/>
          <w:szCs w:val="29"/>
        </w:rPr>
        <w:t>水利科技项目资金</w:t>
      </w:r>
      <w:r>
        <w:rPr>
          <w:rFonts w:ascii="Times New Roman" w:hAnsi="Times New Roman" w:eastAsia="仿宋_GB2312" w:cs="仿宋_GB2312"/>
          <w:sz w:val="29"/>
          <w:szCs w:val="29"/>
        </w:rPr>
        <w:t>。该项目年度预算5.21万元，全年执行5.21万元，资金主要用于水利新技术推广、智慧水利技术应用、水利科技培训交流等方面。项目旨在推进智慧水利、节水技术等科技成果在水利领域的落地应用，提升全市水利行业科技水平与数字化管理能力，以科技创新赋能水利高质量发展。</w:t>
      </w:r>
    </w:p>
    <w:p w14:paraId="43DCBD9C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9"/>
          <w:rFonts w:hint="eastAsia" w:eastAsia="楷体_GB2312"/>
          <w:sz w:val="29"/>
          <w:szCs w:val="29"/>
          <w:lang w:eastAsia="zh-CN"/>
        </w:rPr>
        <w:t>（八）</w:t>
      </w:r>
      <w:r>
        <w:rPr>
          <w:rStyle w:val="19"/>
          <w:sz w:val="29"/>
          <w:szCs w:val="29"/>
        </w:rPr>
        <w:t>AK替代专项中央预算内基建资金</w:t>
      </w:r>
      <w:r>
        <w:rPr>
          <w:rFonts w:ascii="Times New Roman" w:hAnsi="Times New Roman" w:eastAsia="仿宋_GB2312" w:cs="仿宋_GB2312"/>
          <w:sz w:val="29"/>
          <w:szCs w:val="29"/>
        </w:rPr>
        <w:t>。该项目年度预算1.14万元，全部为中央预算内基建资金，全年执行1.14万元，资金严格按照中央预算内基建资金管理规定使用，主要用于AK替代专项对应基建项目的建设实施，保障专项基建任务按期完成，提升水利基础设施保障能力。</w:t>
      </w:r>
    </w:p>
    <w:p w14:paraId="493083CF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  <w:bdr w:val="none" w:sz="0" w:space="0"/>
        </w:rPr>
      </w:pPr>
      <w:bookmarkStart w:id="1" w:name="heading_1"/>
      <w:r>
        <w:rPr>
          <w:rFonts w:hint="eastAsia"/>
          <w:sz w:val="29"/>
          <w:szCs w:val="29"/>
          <w:lang w:eastAsia="zh-CN"/>
        </w:rPr>
        <w:t>二、</w:t>
      </w:r>
      <w:r>
        <w:rPr>
          <w:sz w:val="29"/>
          <w:szCs w:val="29"/>
        </w:rPr>
        <w:t>项目自评工作开展情况</w:t>
      </w:r>
      <w:bookmarkEnd w:id="1"/>
    </w:p>
    <w:p w14:paraId="4C6CBF3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为全面落实预算绩效管理要求，科学评价项目支出成效，提升财政资金使用效益，怀化市水利局严格按照市财政局关于开展2025年度预算绩效自评工作的统一部署，结合本局工作实际，精心组织开展了2025年度项目支出绩效自评工作。</w:t>
      </w:r>
    </w:p>
    <w:p w14:paraId="213F3976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2" w:name="heading_2"/>
      <w:r>
        <w:rPr>
          <w:rFonts w:hint="eastAsia"/>
          <w:sz w:val="29"/>
          <w:szCs w:val="29"/>
          <w:lang w:eastAsia="zh-CN"/>
        </w:rPr>
        <w:t>（一）</w:t>
      </w:r>
      <w:r>
        <w:rPr>
          <w:sz w:val="29"/>
          <w:szCs w:val="29"/>
        </w:rPr>
        <w:t>自评工作覆盖情况</w:t>
      </w:r>
      <w:bookmarkEnd w:id="2"/>
    </w:p>
    <w:p w14:paraId="157218C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本次绩效自评范围覆盖市水利局2025年度所有纳入部门预算管理的项目支出，共计8个项目，涉及预算资金201.76万元，实现了项目支出绩效自评全覆盖，无遗漏项目。自评内容涵盖项目资金管理、产出完成情况、效益实现情况、服务对象满意度等各个维度，全面反映项目支出的实际绩效水平。</w:t>
      </w:r>
    </w:p>
    <w:p w14:paraId="607D5C27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3" w:name="heading_3"/>
      <w:r>
        <w:rPr>
          <w:rFonts w:hint="eastAsia"/>
          <w:sz w:val="29"/>
          <w:szCs w:val="29"/>
          <w:lang w:eastAsia="zh-CN"/>
        </w:rPr>
        <w:t>（二）</w:t>
      </w:r>
      <w:r>
        <w:rPr>
          <w:sz w:val="29"/>
          <w:szCs w:val="29"/>
        </w:rPr>
        <w:t>自评工作组织程序</w:t>
      </w:r>
      <w:bookmarkEnd w:id="3"/>
    </w:p>
    <w:p w14:paraId="79BACE4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本次自评工作按照“统一部署、分工负责、逐级审核、客观公正”的原则有序推进，具体工作流程如下：</w:t>
      </w:r>
    </w:p>
    <w:p w14:paraId="05EC829E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加强组织领导，明确责任分工</w:t>
      </w:r>
      <w:r>
        <w:rPr>
          <w:rFonts w:ascii="Times New Roman" w:hAnsi="Times New Roman" w:eastAsia="仿宋_GB2312" w:cs="仿宋_GB2312"/>
          <w:sz w:val="29"/>
          <w:szCs w:val="29"/>
        </w:rPr>
        <w:t>。局党组高度重视预算绩效自评工作，将其作为强化预算管理、提升资金效能的重要抓手，明确由局主要领导负总责，分管财务工作的领导具体牵头，人事财务科作为绩效管理牵头科室负责统筹协调、业务指导和结果汇总；各业务科室作为项目实施责任单位，分别负责各自牵头项目的自评具体工作，明确每个项目的经办人员和负责人，形成了“一级抓一级、层层抓落实”的工作责任体系，为自评工作顺利开展提供了坚实的组织保障。</w:t>
      </w:r>
    </w:p>
    <w:p w14:paraId="3027EB0B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制定工作方案，统一规范要求</w:t>
      </w:r>
      <w:r>
        <w:rPr>
          <w:rFonts w:ascii="Times New Roman" w:hAnsi="Times New Roman" w:eastAsia="仿宋_GB2312" w:cs="仿宋_GB2312"/>
          <w:sz w:val="29"/>
          <w:szCs w:val="29"/>
        </w:rPr>
        <w:t>。人事财务科根据财政部门自评工作要求，结合本局项目实际，制定了明确的自评工作方案，细化了自评工作的时间节点、填报要求、审核标准和报送格式，对绩效指标完成值填报、偏差原因分析、佐证材料准备等提出具体规范要求，确保各项目自评工作标准统一、口径一致、内容完整。</w:t>
      </w:r>
    </w:p>
    <w:p w14:paraId="6E952D33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开展项目自评，如实填报数据</w:t>
      </w:r>
      <w:r>
        <w:rPr>
          <w:rFonts w:ascii="Times New Roman" w:hAnsi="Times New Roman" w:eastAsia="仿宋_GB2312" w:cs="仿宋_GB2312"/>
          <w:sz w:val="29"/>
          <w:szCs w:val="29"/>
        </w:rPr>
        <w:t>。各项目责任科室对照年度绩效目标和绩效指标，全面梳理项目实施全过程，收集整理项目审批文件、资金拨付凭证、工程验收资料、成果证明材料等相关佐证资料，逐项核对每个绩效指标的年度指标值与实际完成值，据实填报项目支出绩效自评表，撰写项目绩效说明，确保自评数据真实准确、有据可查，不夸大、不缩水、不隐瞒。</w:t>
      </w:r>
    </w:p>
    <w:p w14:paraId="5515DEA7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严格审核把关，确保自评质量</w:t>
      </w:r>
      <w:r>
        <w:rPr>
          <w:rFonts w:ascii="Times New Roman" w:hAnsi="Times New Roman" w:eastAsia="仿宋_GB2312" w:cs="仿宋_GB2312"/>
          <w:sz w:val="29"/>
          <w:szCs w:val="29"/>
        </w:rPr>
        <w:t>。各项目自评材料完成后，先由科室负责人进行初审，重点审核数据真实性、指标完成情况准确性和内容完整性；初审通过后报送人事财务科进行复核，人事财务科对所有项目的预算执行数据、绩效指标完成情况、自评得分计算等进行逐一核对，对数据逻辑不符、填报不规范的内容及时反馈相关科室进行修正完善；复核无误后，报请局领导审定，最终形成全局项目支出自评结果。整个审核过程严格规范，有效保障了自评结果的客观性和准确性。</w:t>
      </w:r>
    </w:p>
    <w:p w14:paraId="72E28264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4" w:name="heading_4"/>
      <w:r>
        <w:rPr>
          <w:rFonts w:hint="eastAsia"/>
          <w:sz w:val="29"/>
          <w:szCs w:val="29"/>
          <w:lang w:eastAsia="zh-CN"/>
        </w:rPr>
        <w:t>（三）</w:t>
      </w:r>
      <w:r>
        <w:rPr>
          <w:sz w:val="29"/>
          <w:szCs w:val="29"/>
        </w:rPr>
        <w:t>自评工作整体成效</w:t>
      </w:r>
      <w:bookmarkEnd w:id="4"/>
    </w:p>
    <w:p w14:paraId="7460756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通过本次绩效自评工作，全面梳理了2025年度各项目的实施成效和资金使用情况，系统检验了年度绩效目标的完成程度，既总结了项目实施中的好经验好做法，也排查了存在的问题与不足，为后续优化预算安排、提升项目管理水平提供了重要依据。从自评整体情况看，各项目责任科室绩效管理意识明显增强，绩效目标管理理念逐步融入项目日常管理，项目实施的规范性和资金使用的效益性持续提升。</w:t>
      </w:r>
    </w:p>
    <w:p w14:paraId="39F103C9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  <w:bdr w:val="none" w:sz="0" w:space="0"/>
        </w:rPr>
      </w:pPr>
      <w:bookmarkStart w:id="5" w:name="heading_5"/>
      <w:r>
        <w:rPr>
          <w:rFonts w:hint="eastAsia"/>
          <w:sz w:val="29"/>
          <w:szCs w:val="29"/>
          <w:lang w:eastAsia="zh-CN"/>
        </w:rPr>
        <w:t>三、</w:t>
      </w:r>
      <w:r>
        <w:rPr>
          <w:sz w:val="29"/>
          <w:szCs w:val="29"/>
        </w:rPr>
        <w:t>项目自评结果及分析</w:t>
      </w:r>
      <w:bookmarkEnd w:id="5"/>
    </w:p>
    <w:p w14:paraId="0F8AB94E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6" w:name="heading_6"/>
      <w:r>
        <w:rPr>
          <w:rFonts w:hint="eastAsia"/>
          <w:sz w:val="29"/>
          <w:szCs w:val="29"/>
          <w:lang w:eastAsia="zh-CN"/>
        </w:rPr>
        <w:t>（一）</w:t>
      </w:r>
      <w:r>
        <w:rPr>
          <w:sz w:val="29"/>
          <w:szCs w:val="29"/>
        </w:rPr>
        <w:t>项目自评总体结果</w:t>
      </w:r>
      <w:bookmarkEnd w:id="6"/>
    </w:p>
    <w:p w14:paraId="5F0C14D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经综合评价，2025年度怀化市水利局8个参评项目的自评得分均为100分，平均得分100分，整体绩效等级为“优”。所有项目均圆满完成年度绩效目标，资金使用规范有序，项目实施成效显著，达到了预期的经济效益、社会效益和生态效益，服务对象满意度较高。</w:t>
      </w:r>
    </w:p>
    <w:p w14:paraId="62ACFC91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7" w:name="heading_7"/>
      <w:r>
        <w:rPr>
          <w:rFonts w:hint="eastAsia"/>
          <w:sz w:val="29"/>
          <w:szCs w:val="29"/>
          <w:lang w:eastAsia="zh-CN"/>
        </w:rPr>
        <w:t>（二）</w:t>
      </w:r>
      <w:r>
        <w:rPr>
          <w:sz w:val="29"/>
          <w:szCs w:val="29"/>
        </w:rPr>
        <w:t>预算执行情况分析</w:t>
      </w:r>
      <w:bookmarkEnd w:id="7"/>
    </w:p>
    <w:p w14:paraId="6C47EB8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2025年度全局项目支出全年预算总额201.76万元，全部为财政拨款资金，其中一般公共预算资金200.62万元，中央预算内基建资金1.14万元。全年实际执行总额201.76万元，预算执行率100％，所有项目均完成全年预算支出，无结转结余资金。</w:t>
      </w:r>
    </w:p>
    <w:p w14:paraId="2D000F9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分项目来看，河小青行动运行经费全年预算25.00万元，执行25.00万元，执行率100％；河湖健康评价编制（辰水、溆水）全年预算34.30万元，执行34.30万元，执行率100％；怀化市“十五五”水安全保障规划编制全年预算9.60万元，执行9.60万元，执行率100％；怀化市7条中小河流及2条水系单元治理方案编制及怀化市水网建设全年预算11.78万元，执行11.78万元，执行率100％；灌溉试验站维修养护补助全年预算20.00万元，执行20.00万元，执行率100％；舞水河清淤项目全年预算94.73万元，执行94.73万元，执行率100％；水利科技项目资金全年预算5.21万元，执行5.21万元，执行率100％；AK替代专项中央预算内基建资金全年预算1.14万元，执行1.14万元，执行率100％。</w:t>
      </w:r>
    </w:p>
    <w:p w14:paraId="6B4D010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从预算执行进度看，各项目均能按照年度工作计划有序推进，资金拨付与项目实施进度相匹配，无资金闲置、拨付不及时等情况，有效保障了各项工作任务的顺利开展。其中，工程类、服务类项目均严格按照合同约定和实施进度支付资金，资金支付流程规范，进度管控合理。部分项目年初预算与全年预算存在差异，主要是根据年度工作任务实际调整和资金统筹安排进行的优化调整，调整程序合规，调整后的预算全部执行完毕，资金使用效率较高。</w:t>
      </w:r>
    </w:p>
    <w:p w14:paraId="0B72B8D3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8" w:name="heading_8"/>
      <w:r>
        <w:rPr>
          <w:rFonts w:hint="eastAsia"/>
          <w:sz w:val="29"/>
          <w:szCs w:val="29"/>
          <w:lang w:eastAsia="zh-CN"/>
        </w:rPr>
        <w:t>（三）</w:t>
      </w:r>
      <w:r>
        <w:rPr>
          <w:sz w:val="29"/>
          <w:szCs w:val="29"/>
        </w:rPr>
        <w:t>资金管理情况分析</w:t>
      </w:r>
      <w:bookmarkEnd w:id="8"/>
    </w:p>
    <w:p w14:paraId="02B2186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在资金管理方面，市水利局严格执行国家财经法律法规和财政资金管理制度，建立健全了项目资金管理机制，确保资金安全规范高效使用。</w:t>
      </w:r>
    </w:p>
    <w:p w14:paraId="3A0C8805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严格资金审批程序</w:t>
      </w:r>
      <w:r>
        <w:rPr>
          <w:rFonts w:ascii="Times New Roman" w:hAnsi="Times New Roman" w:eastAsia="仿宋_GB2312" w:cs="仿宋_GB2312"/>
          <w:sz w:val="29"/>
          <w:szCs w:val="29"/>
        </w:rPr>
        <w:t>。所有项目资金支出均严格按照单位财务管理制度执行，实行“先审批、后支出”的流程，每笔支出均需由业务科室提出申请，经财务部门审核、分管领导审批、主要领导签批后支付，审批环节齐全，责任明确，从流程上保障了资金使用的合规性。</w:t>
      </w:r>
    </w:p>
    <w:p w14:paraId="2167A2CB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实行专款专用管理</w:t>
      </w:r>
      <w:r>
        <w:rPr>
          <w:rFonts w:ascii="Times New Roman" w:hAnsi="Times New Roman" w:eastAsia="仿宋_GB2312" w:cs="仿宋_GB2312"/>
          <w:sz w:val="29"/>
          <w:szCs w:val="29"/>
        </w:rPr>
        <w:t>。各项目资金均按照预算规定的用途使用，严格限定资金开支范围，不存在截留、挤占、挪用、虚列支出等违规情况，不存在擅自改变资金用途、扩大开支范围、提高开支标准等问题。特别是中央预算内基建资金，严格按照中央专项资金管理办法要求，实行专项管理、专款专用，确保资金全部用于指定的建设任务。</w:t>
      </w:r>
    </w:p>
    <w:p w14:paraId="7C351751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规范资金支付方式</w:t>
      </w:r>
      <w:r>
        <w:rPr>
          <w:rFonts w:ascii="Times New Roman" w:hAnsi="Times New Roman" w:eastAsia="仿宋_GB2312" w:cs="仿宋_GB2312"/>
          <w:sz w:val="29"/>
          <w:szCs w:val="29"/>
        </w:rPr>
        <w:t>。所有财政资金均实行国库集中支付，按照国库集中支付管理规定办理资金拨付手续，资金直接支付到供应商或施工单位，减少中间环节，提高资金拨付效率，保障资金支付安全。</w:t>
      </w:r>
    </w:p>
    <w:p w14:paraId="5AB7456A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强化财务核算管理</w:t>
      </w:r>
      <w:r>
        <w:rPr>
          <w:rFonts w:ascii="Times New Roman" w:hAnsi="Times New Roman" w:eastAsia="仿宋_GB2312" w:cs="仿宋_GB2312"/>
          <w:sz w:val="29"/>
          <w:szCs w:val="29"/>
        </w:rPr>
        <w:t>。财务部门按照政府会计制度要求，对各项目资金进行单独核算，准确归集项目成本，清晰反映项目资金收支情况，会计核算规范，账目清晰，财务数据真实准确。同时，各项目档案资料齐全，资金支付凭证、合同协议、验收资料等归档完整，可追溯、可核查。</w:t>
      </w:r>
    </w:p>
    <w:p w14:paraId="429D1D2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总体来看，2025年度所有项目资金管理规范，使用合规，资金使用合规率达到100％，未发生任何违反财经纪律的问题，资金管理水平持续提升。</w:t>
      </w:r>
    </w:p>
    <w:p w14:paraId="013839E7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9" w:name="heading_9"/>
      <w:r>
        <w:rPr>
          <w:rFonts w:hint="eastAsia"/>
          <w:sz w:val="29"/>
          <w:szCs w:val="29"/>
          <w:lang w:eastAsia="zh-CN"/>
        </w:rPr>
        <w:t>（四）</w:t>
      </w:r>
      <w:r>
        <w:rPr>
          <w:sz w:val="29"/>
          <w:szCs w:val="29"/>
        </w:rPr>
        <w:t>总体绩效目标完成情况分析</w:t>
      </w:r>
      <w:bookmarkEnd w:id="9"/>
    </w:p>
    <w:p w14:paraId="4FB837B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8个项目均全面完成年度总体绩效目标，各项目具体完成情况如下：</w:t>
      </w:r>
    </w:p>
    <w:p w14:paraId="389B7631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河小青行动运行经费</w:t>
      </w:r>
      <w:r>
        <w:rPr>
          <w:rFonts w:ascii="Times New Roman" w:hAnsi="Times New Roman" w:eastAsia="仿宋_GB2312" w:cs="仿宋_GB2312"/>
          <w:sz w:val="29"/>
          <w:szCs w:val="29"/>
        </w:rPr>
        <w:t>。项目全年有序推进，有效保障了河小青行动常态化开展，强化了乡、村河长、保洁员及民间河长的培训激励机制，基层河湖管护人员的业务能力和责任意识显著提升，河湖管护的基层力量得到充实加强，切实打通了河湖管护“最后一公里”，有效缓解了河湖管护“上热下冷”问题，推动全市河湖长制工作走深走实，圆满完成项目年度运行目标，为持续改善河湖面貌、维护河湖健康提供了有力保障。</w:t>
      </w:r>
    </w:p>
    <w:p w14:paraId="2761815A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河湖健康评价编制（辰水、溆水）</w:t>
      </w:r>
      <w:r>
        <w:rPr>
          <w:rFonts w:ascii="Times New Roman" w:hAnsi="Times New Roman" w:eastAsia="仿宋_GB2312" w:cs="仿宋_GB2312"/>
          <w:sz w:val="29"/>
          <w:szCs w:val="29"/>
        </w:rPr>
        <w:t>。2025年高质量完成辰水、溆水两条河流的健康评价编制与建档工作，形成了规范完整的评价报告和档案资料，成果全部通过审核并上报水利部系统。经评价，两条河流均达到“健康”及以上等级，全面摸清了河流健康底数，明确了河流生态保护与治理的重点方向，为后续河湖系统治理、生态修复工程设计、长效管护机制完善提供了科学的技术支撑，圆满完成年度预期目标。</w:t>
      </w:r>
    </w:p>
    <w:p w14:paraId="61BA690F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怀化市“十五五”水安全保障规划编制</w:t>
      </w:r>
      <w:r>
        <w:rPr>
          <w:rFonts w:ascii="Times New Roman" w:hAnsi="Times New Roman" w:eastAsia="仿宋_GB2312" w:cs="仿宋_GB2312"/>
          <w:sz w:val="29"/>
          <w:szCs w:val="29"/>
        </w:rPr>
        <w:t>。《怀化市“十五五”水安全保障规划》已形成初稿，规划全面覆盖水旱灾害防御、水资源保障、水生态修复、水网建设、智慧水利、水利改革等6个重点领域，系统谋划了“十五五”时期全市水利发展的总体思路、主要目标、重点任务和重大项目清单，构建了与现代化新怀化建设相适应的水安全保障战略布局，为全市未来五年水利改革发展奠定了坚实的规划基础，完成年度编制任务目标。</w:t>
      </w:r>
    </w:p>
    <w:p w14:paraId="773F880B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怀化市7条中小河流及2条水系单元治理方案编制及怀化市水网建设</w:t>
      </w:r>
      <w:r>
        <w:rPr>
          <w:rFonts w:ascii="Times New Roman" w:hAnsi="Times New Roman" w:eastAsia="仿宋_GB2312" w:cs="仿宋_GB2312"/>
          <w:sz w:val="29"/>
          <w:szCs w:val="29"/>
        </w:rPr>
        <w:t>。已全面完成7条中小河流治理方案和2条水系单元治理方案的编制工作，方案紧密结合各流域实际情况，科学谋划治理思路、工程布局和实施路径，具备较强的针对性和可操作性，符合流域治理需求和相关技术规范。同步推进水网建设前期研究，形成了阶段性研究成果，明确了全市水网建设的初步框架和重点方向。上述成果为后续流域治理项目的申报、储备和实施提供了扎实的技术依据，也为全市水网建设全面启动奠定了基础，达到年度工作目标。</w:t>
      </w:r>
    </w:p>
    <w:p w14:paraId="2880057A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5.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灌溉试验站维修养护补助</w:t>
      </w:r>
      <w:r>
        <w:rPr>
          <w:rFonts w:ascii="Times New Roman" w:hAnsi="Times New Roman" w:eastAsia="仿宋_GB2312" w:cs="仿宋_GB2312"/>
          <w:sz w:val="29"/>
          <w:szCs w:val="29"/>
        </w:rPr>
        <w:t>。已全面完成灌溉试验站各类设施设备的维修养护任务，站内试验场地、仪器设备、配套设施的完好状态显著提升，设施设备完好率达到98％，保障了试验站正常稳定运行。年度内有序开展了3项灌溉试验研究项目，试验数据记录完整规范，数据准确率达到97％，为全市农田灌溉技术推广、灌区现代化改造、节水农业发展提供了可靠的试验数据和技术支撑，有效助力农村水利高质量发展和乡村振兴，完成年度绩效目标。</w:t>
      </w:r>
    </w:p>
    <w:p w14:paraId="659CD6A5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6.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舞水河清淤项目</w:t>
      </w:r>
      <w:r>
        <w:rPr>
          <w:rFonts w:ascii="Times New Roman" w:hAnsi="Times New Roman" w:eastAsia="仿宋_GB2312" w:cs="仿宋_GB2312"/>
          <w:sz w:val="29"/>
          <w:szCs w:val="29"/>
        </w:rPr>
        <w:t>。已完成舞水河主城区太平溪河口、青山溪河口及滨江美墅3处河段的清淤清障任务，累计治理河道长度725米，完成清淤清障总工程量29287.66立方米。工程严格按照设计标准施工，全部通过验收，验收合格率100％。通过清淤治理，河道行洪能力显著提升，达到行洪安全标准；河道淤积物和障碍物得到彻底清除，水生态环境显著改善，河湖面貌明显提升，有效保障了旅发大会期间的水环境质量，沿岸居民的获得感和满意度持续提升，圆满完成年度建设目标。</w:t>
      </w:r>
    </w:p>
    <w:p w14:paraId="1321E313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7.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水利科技项目资金</w:t>
      </w:r>
      <w:r>
        <w:rPr>
          <w:rFonts w:ascii="Times New Roman" w:hAnsi="Times New Roman" w:eastAsia="仿宋_GB2312" w:cs="仿宋_GB2312"/>
          <w:sz w:val="29"/>
          <w:szCs w:val="29"/>
        </w:rPr>
        <w:t>。年度水利科技各项任务全面完成，成功推广应用智慧水利、节水技术等3项水利先进技术，推动科技成果在工程建设、河湖管理、水资源管控等领域落地应用；组织开展2次水利技术培训，提升了水利系统干部职工的科技素养和业务能力。通过项目实施，全市水利行业科技水平和数字化管理能力持续提升，科技创新对水利高质量发展的支撑作用进一步增强，科技创新应用取得新进展，完成年度科技工作目标。</w:t>
      </w:r>
    </w:p>
    <w:p w14:paraId="18ECF21F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8.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AK替代专项中央预算内基建资金</w:t>
      </w:r>
      <w:r>
        <w:rPr>
          <w:rFonts w:ascii="Times New Roman" w:hAnsi="Times New Roman" w:eastAsia="仿宋_GB2312" w:cs="仿宋_GB2312"/>
          <w:sz w:val="29"/>
          <w:szCs w:val="29"/>
        </w:rPr>
        <w:t>。严格执行中央预算内资金管理的各项规定，规范资金使用流程，按计划完成AK替代专项对应的全部建设任务，项目按期完工，工程质量符合标准，验收合格。资金使用全程合规，档案资料完整规范，达到了预期的建设目标，有效提升了对应水利基础设施的保障能力，发挥了中央基建资金的使用效益。</w:t>
      </w:r>
    </w:p>
    <w:p w14:paraId="788A436A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10" w:name="heading_10"/>
      <w:r>
        <w:rPr>
          <w:rFonts w:hint="eastAsia"/>
          <w:sz w:val="29"/>
          <w:szCs w:val="29"/>
          <w:lang w:eastAsia="zh-CN"/>
        </w:rPr>
        <w:t>（五）</w:t>
      </w:r>
      <w:r>
        <w:rPr>
          <w:sz w:val="29"/>
          <w:szCs w:val="29"/>
        </w:rPr>
        <w:t>绩效指标完成情况分析</w:t>
      </w:r>
      <w:bookmarkEnd w:id="10"/>
    </w:p>
    <w:p w14:paraId="5E0498E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本次自评的绩效指标体系包含成本指标、产出指标、效益指标、满意度指标四大类，各类指标完成情况具体分析如下：</w:t>
      </w:r>
    </w:p>
    <w:p w14:paraId="2AA1FCEB">
      <w:pPr>
        <w:pStyle w:val="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  <w:bdr w:val="none" w:sz="0" w:space="0"/>
        </w:rPr>
      </w:pPr>
      <w:r>
        <w:rPr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 xml:space="preserve"> </w:t>
      </w:r>
      <w:r>
        <w:rPr>
          <w:sz w:val="29"/>
          <w:szCs w:val="29"/>
        </w:rPr>
        <w:t>成本指标完成情况</w:t>
      </w:r>
    </w:p>
    <w:p w14:paraId="064518C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成本指标包括经济成本指标、社会成本指标和生态环境成本指标三个二级指标，所有项目的成本指标均全部达标。</w:t>
      </w:r>
    </w:p>
    <w:p w14:paraId="0660809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经济成本指标方面，各项目均严格控制总支出规模，项目实际总支出均未超过年度预算限额，成本管控成效良好。其中，河湖健康评价项目年度预算控制值为55万元，实际支出34.30万元，节约了财政资金；舞水河清淤项目、灌溉试验站维修养护等项目均严格控制在预算额度内支出，无超预算情况。通过合理安排支出、优化实施方案，各项目均实现了以合理的资金投入完成既定工作任务的目标，财政资金使用效益得到有效保障。</w:t>
      </w:r>
    </w:p>
    <w:p w14:paraId="7972526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社会成本指标和生态环境成本指标方面，所有项目实施过程中均严格遵守相关管理规定，采取有效措施防范和降低对社会、生态环境的负面影响，未产生额外的社会成本和生态环境成本，社会成本节约率和生态环境成本节约率均为0％，符合项目管理要求。</w:t>
      </w:r>
    </w:p>
    <w:p w14:paraId="3E5B95E4">
      <w:pPr>
        <w:pStyle w:val="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  <w:bdr w:val="none" w:sz="0" w:space="0"/>
        </w:rPr>
      </w:pPr>
      <w:r>
        <w:rPr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 xml:space="preserve"> </w:t>
      </w:r>
      <w:r>
        <w:rPr>
          <w:sz w:val="29"/>
          <w:szCs w:val="29"/>
        </w:rPr>
        <w:t>产出指标完成情况</w:t>
      </w:r>
    </w:p>
    <w:p w14:paraId="5D2FF9D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产出指标包括数量指标、质量指标和时效指标三个二级指标，是衡量项目实施直接成果的核心指标，各项目产出指标均超额或足额完成。</w:t>
      </w:r>
    </w:p>
    <w:p w14:paraId="1EC634F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数量指标方面，各项目均全面完成年度数量任务，部分项目超额完成指标。河湖健康评价项目完成2条河流的评价工作，编制2份正式评价报告，完成2条河流的健康档案建立，全部达到年度数量指标要求；“十五五”水安全保障规划编制项目形成1份规划初稿，规划覆盖6个重点领域，超过年度≥5个领域的指标要求；中小河流及水系单元治理方案项目完成7条中小河流治理方案、2条水系单元治理方案编制，水网建设形成阶段性研究成果，全部完成数量指标；灌溉试验站维修养护项目完成全部应修设施设备的养护工作，年度开展3项试验研究项目，超过年度≥2项的指标要求，试验数据记录完整规范；舞水河清淤项目完成治理河道长度725米，超过年度≥700米的指标要求，完成清淤清障工程量29287.66立方米，超过年度≥2.8万立方米的指标要求，完成3处河段治理，达到年度指标；水利科技项目推广应用3项先进技术，超过年度≥2项的指标要求，开展2次技术培训，超过年度≥1次的指标要求，形成的科技成果资料完整齐全。整体来看，各项目数量任务完成质量高、数量足，充分保障了项目产出规模。</w:t>
      </w:r>
    </w:p>
    <w:p w14:paraId="6421C4F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质量指标方面，所有项目产出质量均达到或超过年度标准要求。河湖健康评价项目报告审核通过率达到100％，河流健康等级全部达到健康及以上，符合技术规范要求；“十五五”规划编制成果完全符合国家和省相关政策要求，规划内容科学合理，具备较强的指导性和可操作性；中小河流治理方案编制符合相关技术规范，方案具备可操作性，能够直接指导后续项目实施；灌溉试验站设施设备完好率达到98％，高于年度≥95％的指标要求，试验数据准确率达到97％，高于年度≥95％的指标要求；舞水河清淤工程验收合格率100％，河道行洪能力达到设计标准；水利科技项目技术应用达标率达到100％，高于年度≥90％的指标要求，成果资料规范达标；AK替代专项工程验收合格率100％，资金使用完全合规。各项目均建立了严格的质量管控机制，确保产出成果符合规范标准，质量达标率100％。</w:t>
      </w:r>
    </w:p>
    <w:p w14:paraId="51DB94B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时效指标方面，所有项目均严格按照年度时间节点推进，全部在2025年12月31日前完成年度工作任务，完成及时率达到100％，无逾期未完成的任务。各项目实施单位均制定了详细的实施计划，倒排工期、挂图作战，定期调度进度，及时解决实施中的问题，保障了项目按期完工，特别是舞水河清淤等时间要求紧的项目，通过优化施工组织、强化现场管理，确保了任务按期高质量完成。</w:t>
      </w:r>
    </w:p>
    <w:p w14:paraId="6DCE5446">
      <w:pPr>
        <w:pStyle w:val="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  <w:bdr w:val="none" w:sz="0" w:space="0"/>
        </w:rPr>
      </w:pPr>
      <w:r>
        <w:rPr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 xml:space="preserve"> </w:t>
      </w:r>
      <w:r>
        <w:rPr>
          <w:sz w:val="29"/>
          <w:szCs w:val="29"/>
        </w:rPr>
        <w:t>效益指标完成情况</w:t>
      </w:r>
    </w:p>
    <w:p w14:paraId="5CF728D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效益指标包括经济效益指标、社会效益指标、生态效益指标和可持续影响指标四个二级指标，反映项目实施带来的综合效益，各项目效益指标均达到预期效果。</w:t>
      </w:r>
    </w:p>
    <w:p w14:paraId="77A36E5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经济效益指标方面，各项目在各自领域均发挥了明显的经济效益，有效指导生态修复工程优化设计，降低工程建设成本，提升资金使用效率，为水利经济发展提供了有力支撑。例如，河湖健康评价、治理方案编制等技术类项目，为后续工程建设提供了科学的设计依据，有助于优化工程方案、减少无效投资，提升水利建设的经济效益；灌溉试验站推广的节水灌溉技术，有助于降低农业灌溉成本，提升农业生产效益；河道清淤工程提升了行洪能力，减少了洪涝灾害带来的经济损失，保障了沿岸经济社会稳定发展。各项目对水利建设经济发展的指导效果明显，达到预期经济效益目标。</w:t>
      </w:r>
    </w:p>
    <w:p w14:paraId="042FD0B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社会效益指标方面，各项目从不同维度发挥了良好的社会效益，有效支撑了全市经济社会发展。河湖健康评价、规划编制、治理方案等项目，为水利治理决策提供了有效支撑，提升了水利决策的科学性和精准性；基建专项、河道清淤等项目，有效提升了水利基础设施保障能力和行洪安全保障能力，保障了人民群众生命财产安全；灌溉试验站项目为农村灌溉技术发展提供了有效支撑，助力乡村振兴和粮食安全；水利科技项目有效提升了水利管理效率，推动水利治理能力现代化。各项目的社会效益显著，得到了相关部门和群众的广泛认可。</w:t>
      </w:r>
    </w:p>
    <w:p w14:paraId="0A7C372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生态效益指标方面，各项目均对水生态环境保护发挥了积极作用，生态效益显著。河道清淤项目直接改善了河流水环境质量，提升了河湖生态功能；河湖健康评价为水生态保护提供了有效指引，明确了生态修复的重点方向；中小河流治理方案系统谋划了流域生态治理路径，为后续生态修复提供了遵循；灌溉试验站推广的节水技术，有助于减少水资源消耗，促进水资源节约保护；水利科技项目推广的生态技术，为生态治理提供了技术支撑。通过各类项目的协同实施，全市水生态环境持续改善，生态保护底色更加鲜亮，符合生态文明建设要求。</w:t>
      </w:r>
    </w:p>
    <w:p w14:paraId="27AA2E1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可持续影响指标方面，各项目均对水利长远发展具有长效支撑作用，可持续影响显著。河湖健康评价工作完善了河流健康管理体系，为河湖长效管护提供了持续支撑；“十五五”规划和治理方案编制，为未来五年乃至更长时期的水利发展和流域治理提供了长远指引；水网建设研究夯实了全市水网建设的基础，为后续水网工程全面推进创造了条件；灌溉试验站的持续运行，为水利科技研究和技术推广提供了长期稳定的平台；河道清淤工程对河湖长效管理形成了有效支撑，为持续维护河湖健康奠定了基础；水利科技项目推动了行业科技长效发展，为水利现代化建设积蓄了动能。各项目的实施不仅完成了年度任务，更为水利事业长远可持续发展注入了持久动力。</w:t>
      </w:r>
    </w:p>
    <w:p w14:paraId="747B4E22">
      <w:pPr>
        <w:pStyle w:val="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  <w:bdr w:val="none" w:sz="0" w:space="0"/>
        </w:rPr>
      </w:pPr>
      <w:r>
        <w:rPr>
          <w:rFonts w:hint="eastAsia"/>
          <w:sz w:val="29"/>
          <w:szCs w:val="29"/>
          <w:lang w:eastAsia="zh-CN"/>
        </w:rPr>
        <w:t>4.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 xml:space="preserve"> </w:t>
      </w:r>
      <w:r>
        <w:rPr>
          <w:sz w:val="29"/>
          <w:szCs w:val="29"/>
        </w:rPr>
        <w:t>满意度指标完成情况</w:t>
      </w:r>
    </w:p>
    <w:p w14:paraId="158CF48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满意度指标为服务对象满意度指标，反映项目受益群体对项目实施成效的满意程度。本次参评的8个项目服务对象满意度均超过90％，全部达到并超过年度满意度指标要求。其中，河湖健康评价项目管理部门满意度达到96％，水利科技项目业务人员满意度达到96.3％，是满意度较高的两个项目；“十五五”规划编制项目相关部门满意度93.5％，舞水河清淤项目沿岸群众满意度93.5％，均处于较高水平；中小河流治理方案项目业务部门满意度92％，灌溉试验站项目基层水利站满意度91.8％，AK替代专项项目管理部门满意度91.4％，均满足年度≥90％的满意度指标要求。整体来看，各项目实施成效得到了服务对象的充分认可，群众和相关部门的获得感、满意度持续提升。</w:t>
      </w:r>
    </w:p>
    <w:p w14:paraId="14980295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11" w:name="heading_11"/>
      <w:r>
        <w:rPr>
          <w:rFonts w:hint="eastAsia"/>
          <w:sz w:val="29"/>
          <w:szCs w:val="29"/>
          <w:lang w:eastAsia="zh-CN"/>
        </w:rPr>
        <w:t>（六）</w:t>
      </w:r>
      <w:r>
        <w:rPr>
          <w:sz w:val="29"/>
          <w:szCs w:val="29"/>
        </w:rPr>
        <w:t>绩效偏差情况分析</w:t>
      </w:r>
      <w:bookmarkEnd w:id="11"/>
    </w:p>
    <w:p w14:paraId="45ADFA1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2025年度所有项目均全面完成年度总体绩效目标，各项绩效指标均达到或超过年度指标值，不存在年度总体绩效目标未完成的项目，也不存在绩效指标完成情况偏差超过30％的情况。部分项目实际完成值高于年度指标值，主要是因为项目实施过程中主动提升工作标准、加大推进力度，在完成规定任务的基础上进一步提质扩面，体现了良好的工作成效。部分项目年初预算与全年执行数存在差异，是根据年度工作任务实际调整进行的合规调整，不属于绩效偏差范畴。总体来看，各项目绩效目标设置科学合理，与项目实际任务匹配度较高，项目实施管控到位，绩效目标完成情况良好。</w:t>
      </w:r>
    </w:p>
    <w:p w14:paraId="179EF700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  <w:bdr w:val="none" w:sz="0" w:space="0"/>
        </w:rPr>
      </w:pPr>
      <w:bookmarkStart w:id="12" w:name="heading_12"/>
      <w:r>
        <w:rPr>
          <w:rFonts w:hint="eastAsia"/>
          <w:sz w:val="29"/>
          <w:szCs w:val="29"/>
          <w:lang w:eastAsia="zh-CN"/>
        </w:rPr>
        <w:t>四、</w:t>
      </w:r>
      <w:r>
        <w:rPr>
          <w:sz w:val="29"/>
          <w:szCs w:val="29"/>
        </w:rPr>
        <w:t>项目自评发现的问题及整改措施</w:t>
      </w:r>
      <w:bookmarkEnd w:id="12"/>
    </w:p>
    <w:p w14:paraId="58B28760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13" w:name="heading_13"/>
      <w:r>
        <w:rPr>
          <w:rFonts w:hint="eastAsia"/>
          <w:sz w:val="29"/>
          <w:szCs w:val="29"/>
          <w:lang w:eastAsia="zh-CN"/>
        </w:rPr>
        <w:t>（一）</w:t>
      </w:r>
      <w:r>
        <w:rPr>
          <w:sz w:val="29"/>
          <w:szCs w:val="29"/>
        </w:rPr>
        <w:t>存在的主要问题</w:t>
      </w:r>
      <w:bookmarkEnd w:id="13"/>
    </w:p>
    <w:p w14:paraId="08C733C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在肯定成绩的同时，通过本次绩效自评也发现，项目支出管理和绩效管理工作中还存在一些短板和不足，主要体现在以下几个方面：</w:t>
      </w:r>
    </w:p>
    <w:p w14:paraId="1B968D3A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预算编制精准性有待进一步提升</w:t>
      </w:r>
      <w:r>
        <w:rPr>
          <w:rFonts w:ascii="Times New Roman" w:hAnsi="Times New Roman" w:eastAsia="仿宋_GB2312" w:cs="仿宋_GB2312"/>
          <w:sz w:val="29"/>
          <w:szCs w:val="29"/>
        </w:rPr>
        <w:t>。部分项目年初预算规模与全年实际执行规模存在一定差异，如河湖健康评价编制项目年初预算55万元，全年实际执行34.30万元，预算编制与实际需求的契合度有待加强。主要原因是部分项目在年初预算编制阶段，对年度工作任务的具体体量、市场价格波动、实施条件变化等因素预判不够充分，导致预算测算的精准度不足，一定程度上影响了预算的刚性约束作用。</w:t>
      </w:r>
    </w:p>
    <w:p w14:paraId="7A8D2422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绩效指标体系精细化程度不足</w:t>
      </w:r>
      <w:r>
        <w:rPr>
          <w:rFonts w:ascii="Times New Roman" w:hAnsi="Times New Roman" w:eastAsia="仿宋_GB2312" w:cs="仿宋_GB2312"/>
          <w:sz w:val="29"/>
          <w:szCs w:val="29"/>
        </w:rPr>
        <w:t>。部分项目的绩效指标设置还不够精细，尤其是效益类指标中定性指标占比较高，量化程度不足，部分表述较为宏观，虽然能够反映项目的效益方向，但在绩效评价中难以进行精准的量化衡量，一定程度上影响了绩效评价的精准度和可比性。同时，部分项目的三级指标设置不够丰富，对项目产出和效益的反映不够全面。</w:t>
      </w:r>
    </w:p>
    <w:p w14:paraId="18146928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项目成果转化应用深度有待拓展</w:t>
      </w:r>
      <w:r>
        <w:rPr>
          <w:rFonts w:ascii="Times New Roman" w:hAnsi="Times New Roman" w:eastAsia="仿宋_GB2312" w:cs="仿宋_GB2312"/>
          <w:sz w:val="29"/>
          <w:szCs w:val="29"/>
        </w:rPr>
        <w:t>。部分规划编制、方案设计、技术研究类项目，虽然按期完成了成果编制任务，但成果转化应用的机制不够健全，成果向项目储备、工程实施、日常管理转化的路径不够畅通，部分成果停留在纸面上，未能充分转化为推动水利工作的实际举措，技术成果对水利实践的指导作用尚未得到充分发挥。</w:t>
      </w:r>
    </w:p>
    <w:p w14:paraId="66F99B47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基层水利支撑能力与项目需求存在差距</w:t>
      </w:r>
      <w:r>
        <w:rPr>
          <w:rFonts w:ascii="Times New Roman" w:hAnsi="Times New Roman" w:eastAsia="仿宋_GB2312" w:cs="仿宋_GB2312"/>
          <w:sz w:val="29"/>
          <w:szCs w:val="29"/>
        </w:rPr>
        <w:t>。部分水利项目的实施和长效效益发挥，依赖基层水利机构和人员的支撑，但当前基层水利部门普遍存在专业技术人才短缺、管护力量薄弱的问题，尤其是农村水利、河湖管护等领域，基层人员专业能力不足、队伍老化等问题较为突出，一定程度上影响了项目落地见效和长效效益的持续发挥。</w:t>
      </w:r>
    </w:p>
    <w:p w14:paraId="6BA26E2D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5.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绩效管理与项目管理融合度有待加强</w:t>
      </w:r>
      <w:r>
        <w:rPr>
          <w:rFonts w:ascii="Times New Roman" w:hAnsi="Times New Roman" w:eastAsia="仿宋_GB2312" w:cs="仿宋_GB2312"/>
          <w:sz w:val="29"/>
          <w:szCs w:val="29"/>
        </w:rPr>
        <w:t>。部分业务科室对绩效管理的认识还停留在流程性工作层面，尚未真正将绩效管理理念融入项目谋划、实施、验收的全过程，绩效运行监控的主动性不足，事前绩效评估、事中绩效监控的作用发挥不够充分，绩效管理与业务管理融合不够紧密的现象在一定程度上仍然存在。</w:t>
      </w:r>
    </w:p>
    <w:p w14:paraId="7B06E7C0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14" w:name="heading_14"/>
      <w:r>
        <w:rPr>
          <w:rFonts w:hint="eastAsia"/>
          <w:sz w:val="29"/>
          <w:szCs w:val="29"/>
          <w:lang w:eastAsia="zh-CN"/>
        </w:rPr>
        <w:t>（二）</w:t>
      </w:r>
      <w:r>
        <w:rPr>
          <w:sz w:val="29"/>
          <w:szCs w:val="29"/>
        </w:rPr>
        <w:t>整改措施</w:t>
      </w:r>
      <w:bookmarkEnd w:id="14"/>
    </w:p>
    <w:p w14:paraId="7C33A4F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针对上述问题，市水利局将坚持问题导向，采取针对性措施切实加以整改，不断提升项目管理和绩效管理水平。</w:t>
      </w:r>
    </w:p>
    <w:p w14:paraId="6CA65E88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深化预算编制管理，提升预算精准度</w:t>
      </w:r>
      <w:r>
        <w:rPr>
          <w:rFonts w:ascii="Times New Roman" w:hAnsi="Times New Roman" w:eastAsia="仿宋_GB2312" w:cs="仿宋_GB2312"/>
          <w:sz w:val="29"/>
          <w:szCs w:val="29"/>
        </w:rPr>
        <w:t>。一是做实做细项目前期论证，在预算编制前，对每个项目的工作任务、实施内容、资金需求进行充分调研和科学测算，结合往年项目执行数据和市场价格水平，合理确定预算规模，减少预算编制的盲目性。二是建立预算动态调整机制，在年中根据工作任务变化和项目实施进度，按规定程序合理调整预算，增强预算的适应性。三是加强预算执行分析，定期梳理预算执行进度，及时发现预算执行偏差，督促项目实施科室加快推进项目，提升预算执行的均衡性和有效性。</w:t>
      </w:r>
    </w:p>
    <w:p w14:paraId="46AB7629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优化绩效指标体系，提升绩效管理精细化水平</w:t>
      </w:r>
      <w:r>
        <w:rPr>
          <w:rFonts w:ascii="Times New Roman" w:hAnsi="Times New Roman" w:eastAsia="仿宋_GB2312" w:cs="仿宋_GB2312"/>
          <w:sz w:val="29"/>
          <w:szCs w:val="29"/>
        </w:rPr>
        <w:t>。一是在后续年度绩效目标编制中，进一步细化量化绩效指标，优先设置定量指标，对确实难以量化的定性指标，尽可能明确评价标准和判断依据，减少模糊性表述，增强绩效指标的可衡量性和可考核性。二是丰富三级指标设置，围绕项目核心产出和核心效益，设置更加全面、更具针对性的绩效指标，全面反映项目实施成效。三是加强绩效目标审核，人事财务科对各科室报送的绩效目标进行严格审核，对指标设置不规范、量化程度不够的，退回修改完善，从源头提升绩效目标质量。</w:t>
      </w:r>
    </w:p>
    <w:p w14:paraId="73E132CC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健全成果转化机制，最大化发挥项目效能</w:t>
      </w:r>
      <w:r>
        <w:rPr>
          <w:rFonts w:ascii="Times New Roman" w:hAnsi="Times New Roman" w:eastAsia="仿宋_GB2312" w:cs="仿宋_GB2312"/>
          <w:sz w:val="29"/>
          <w:szCs w:val="29"/>
        </w:rPr>
        <w:t>。一是建立技术成果动态管理和应用推广机制，对规划、方案、研究等成果，明确后续应用的责任科室、时间节点和工作要求，推动成果与项目储备、年度计划、工程建设深度衔接。二是建立成果落地跟踪机制，定期跟踪调度成果应用情况，及时协调解决成果转化中的问题，确保技术成果切实转化为推动水利工作的实际成效。三是加强成果共享应用，将各类技术成果在全市水利系统内共享推广，提升成果的辐射带动效应，实现“一次编制、多方应用”，放大项目效益。</w:t>
      </w:r>
    </w:p>
    <w:p w14:paraId="6B0415B6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加强基层能力建设，夯实水利发展基础</w:t>
      </w:r>
      <w:r>
        <w:rPr>
          <w:rFonts w:ascii="Times New Roman" w:hAnsi="Times New Roman" w:eastAsia="仿宋_GB2312" w:cs="仿宋_GB2312"/>
          <w:sz w:val="29"/>
          <w:szCs w:val="29"/>
        </w:rPr>
        <w:t>。一是加大基层水利人才培养力度，通过业务培训、技术帮扶、挂职锻炼、以干代训等多种方式，提升基层水利人员的专业能力和业务水平，重点加强河湖管护、农村供水、工程运行管理等领域的基层队伍建设。二是完善基层水利工程管护机制，探索政府购买服务、专业化管护等多元化管护模式，充实基层管护力量，保障各类水利工程和项目建成后能够持续稳定发挥效益。三是推动管理重心下移，加强对基层水利工作的指导和支持，帮助基层解决实际困难，提升基层水利治理能力。</w:t>
      </w:r>
    </w:p>
    <w:p w14:paraId="634922DE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5.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深化绩效理念融合，推动全过程绩效管理</w:t>
      </w:r>
      <w:r>
        <w:rPr>
          <w:rFonts w:ascii="Times New Roman" w:hAnsi="Times New Roman" w:eastAsia="仿宋_GB2312" w:cs="仿宋_GB2312"/>
          <w:sz w:val="29"/>
          <w:szCs w:val="29"/>
        </w:rPr>
        <w:t>。一是加强绩效管理宣传培训，引导各业务科室充分认识绩效管理的重要意义，树立“花钱必问效、无效必问责”的理念，将绩效思维融入项目管理全过程。二是健全绩效运行监控机制，建立年中绩效调度制度，对项目绩效目标完成情况进行跟踪监控，及时发现偏差并督促整改，做到“事前有目标、事中有监控、事后有评价”。三是强化绩效结果应用，将项目绩效自评结果与年度预算安排、项目评优、科室考核挂钩，对绩效好的项目优先保障资金，对绩效差的项目相应压减预算，形成鲜明的绩效导向。</w:t>
      </w:r>
    </w:p>
    <w:p w14:paraId="122682C3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  <w:bdr w:val="none" w:sz="0" w:space="0"/>
        </w:rPr>
      </w:pPr>
      <w:bookmarkStart w:id="15" w:name="heading_15"/>
      <w:r>
        <w:rPr>
          <w:rFonts w:hint="eastAsia"/>
          <w:sz w:val="29"/>
          <w:szCs w:val="29"/>
          <w:lang w:eastAsia="zh-CN"/>
        </w:rPr>
        <w:t>五、</w:t>
      </w:r>
      <w:r>
        <w:rPr>
          <w:sz w:val="29"/>
          <w:szCs w:val="29"/>
        </w:rPr>
        <w:t>项目自评工作建议及预算安排建议</w:t>
      </w:r>
      <w:bookmarkEnd w:id="15"/>
    </w:p>
    <w:p w14:paraId="0A670270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16" w:name="heading_16"/>
      <w:r>
        <w:rPr>
          <w:rFonts w:hint="eastAsia"/>
          <w:sz w:val="29"/>
          <w:szCs w:val="29"/>
          <w:lang w:eastAsia="zh-CN"/>
        </w:rPr>
        <w:t>（一）</w:t>
      </w:r>
      <w:r>
        <w:rPr>
          <w:sz w:val="29"/>
          <w:szCs w:val="29"/>
        </w:rPr>
        <w:t>自评工作建议</w:t>
      </w:r>
      <w:bookmarkEnd w:id="16"/>
    </w:p>
    <w:p w14:paraId="2BAD2978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加强业务培训指导，提升绩效管理能力</w:t>
      </w:r>
      <w:r>
        <w:rPr>
          <w:rFonts w:ascii="Times New Roman" w:hAnsi="Times New Roman" w:eastAsia="仿宋_GB2312" w:cs="仿宋_GB2312"/>
          <w:sz w:val="29"/>
          <w:szCs w:val="29"/>
        </w:rPr>
        <w:t>。建议财政部门定期组织开展预算绩效管理专题培训，针对绩效目标编制、绩效运行监控、绩效自评、绩效评价等全流程内容进行系统讲解，结合实际案例进行实操指导，提升部门财务人员和业务人员的绩效管理专业能力。同时，建立常态化的业务咨询渠道，及时解答部门在绩效管理工作中遇到的问题，提升绩效管理工作的整体质量。</w:t>
      </w:r>
    </w:p>
    <w:p w14:paraId="35395600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完善共性绩效指标体系，强化规范指引</w:t>
      </w:r>
      <w:r>
        <w:rPr>
          <w:rFonts w:ascii="Times New Roman" w:hAnsi="Times New Roman" w:eastAsia="仿宋_GB2312" w:cs="仿宋_GB2312"/>
          <w:sz w:val="29"/>
          <w:szCs w:val="29"/>
        </w:rPr>
        <w:t>。建议针对水利等行业特点，分类制定分行业的共性绩效指标体系和绩效评价指引，明确各类项目的核心绩效指标和评价标准，为部门设置绩效指标、开展绩效评价提供参考依据，提升绩效指标设置的科学性和规范性，减少部门自行设置指标的随意性。</w:t>
      </w:r>
    </w:p>
    <w:p w14:paraId="2302932F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推广先进经验做法，提升绩效管理整体水平</w:t>
      </w:r>
      <w:r>
        <w:rPr>
          <w:rFonts w:ascii="Times New Roman" w:hAnsi="Times New Roman" w:eastAsia="仿宋_GB2312" w:cs="仿宋_GB2312"/>
          <w:sz w:val="29"/>
          <w:szCs w:val="29"/>
        </w:rPr>
        <w:t>。建议财政部门及时总结推广预算绩效管理工作中的好经验、好做法，组织部门之间开展交流学习，发挥示范带动作用，推动各部门绩效管理水平整体提升。同时，加强对部门绩效管理工作的督导检查，及时发现问题并督促整改，推动全过程预算绩效管理落地见效。</w:t>
      </w:r>
    </w:p>
    <w:p w14:paraId="7325438D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楷体_GB2312" w:hAnsi="楷体_GB2312" w:eastAsia="楷体_GB2312" w:cs="楷体_GB2312"/>
          <w:b w:val="0"/>
          <w:sz w:val="29"/>
          <w:szCs w:val="29"/>
          <w:bdr w:val="none" w:sz="0" w:space="0"/>
        </w:rPr>
      </w:pPr>
      <w:bookmarkStart w:id="17" w:name="heading_17"/>
      <w:r>
        <w:rPr>
          <w:rFonts w:hint="eastAsia"/>
          <w:sz w:val="29"/>
          <w:szCs w:val="29"/>
          <w:lang w:eastAsia="zh-CN"/>
        </w:rPr>
        <w:t>（二）</w:t>
      </w:r>
      <w:r>
        <w:rPr>
          <w:sz w:val="29"/>
          <w:szCs w:val="29"/>
        </w:rPr>
        <w:t>预算安排建议</w:t>
      </w:r>
      <w:bookmarkEnd w:id="17"/>
    </w:p>
    <w:p w14:paraId="3A6EF642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优先保障水利重点领域资金需求</w:t>
      </w:r>
      <w:r>
        <w:rPr>
          <w:rFonts w:ascii="Times New Roman" w:hAnsi="Times New Roman" w:eastAsia="仿宋_GB2312" w:cs="仿宋_GB2312"/>
          <w:sz w:val="29"/>
          <w:szCs w:val="29"/>
        </w:rPr>
        <w:t>。围绕市委、市政府中心工作，聚焦“守护好一江碧水”、水旱灾害防御、农村水利保障、幸福河湖建设、智慧水利发展等重点领域，优先保障相关项目预算安排，支持重大水利工程前期工作、河湖生态治理、农村供水保障、水利信息化建设等重点任务推进，为全市水利高质量发展提供坚实的资金保障，更好发挥水利在经济社会发展中的支撑保障作用。</w:t>
      </w:r>
    </w:p>
    <w:p w14:paraId="7CB967FE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动态优化项目支出结构</w:t>
      </w:r>
      <w:r>
        <w:rPr>
          <w:rFonts w:ascii="Times New Roman" w:hAnsi="Times New Roman" w:eastAsia="仿宋_GB2312" w:cs="仿宋_GB2312"/>
          <w:sz w:val="29"/>
          <w:szCs w:val="29"/>
        </w:rPr>
        <w:t>。结合年度水利工作任务变化和项目实施绩效，动态调整项目预算结构，优化资金配置。对实施成效好、示范带动作用强的项目，如幸福河湖建设、水生态产品价值实现、智慧水利等领域的项目，适当加大资金支持力度；对阶段性任务已完成、实施效果不佳的项目，合理压减或取消预算，集中资金保障重点工作，提升财政资金配置效率。</w:t>
      </w:r>
    </w:p>
    <w:p w14:paraId="6F6EC28F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加大上级资金争取力度</w:t>
      </w:r>
      <w:r>
        <w:rPr>
          <w:rFonts w:ascii="Times New Roman" w:hAnsi="Times New Roman" w:eastAsia="仿宋_GB2312" w:cs="仿宋_GB2312"/>
          <w:sz w:val="29"/>
          <w:szCs w:val="29"/>
        </w:rPr>
        <w:t>。在做好本级预算安排的基础上，紧扣国家、省水利投资政策导向，聚焦国家水网建设、流域综合治理、水生态保护修复、灌区现代化改造等重点方向，加大项目谋划和储备力度，做深做细项目前期工作，积极争取中央、省级水利专项资金和地方政府专项债券支持，多渠道筹措水利建设资金，缓解本级财政压力，推动更多重大水利项目落地实施。</w:t>
      </w:r>
    </w:p>
    <w:p w14:paraId="4E34D4F7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29"/>
          <w:szCs w:val="29"/>
          <w:bdr w:val="none" w:sz="0" w:space="0"/>
        </w:rPr>
      </w:pPr>
      <w:r>
        <w:rPr>
          <w:rStyle w:val="18"/>
          <w:rFonts w:hint="eastAsia"/>
          <w:sz w:val="29"/>
          <w:szCs w:val="29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29"/>
          <w:szCs w:val="29"/>
          <w:lang w:eastAsia="zh-CN"/>
        </w:rPr>
        <w:t xml:space="preserve"> </w:t>
      </w:r>
      <w:r>
        <w:rPr>
          <w:rStyle w:val="18"/>
          <w:sz w:val="29"/>
          <w:szCs w:val="29"/>
        </w:rPr>
        <w:t>强化项目前期经费保障</w:t>
      </w:r>
      <w:r>
        <w:rPr>
          <w:rFonts w:ascii="Times New Roman" w:hAnsi="Times New Roman" w:eastAsia="仿宋_GB2312" w:cs="仿宋_GB2312"/>
          <w:sz w:val="29"/>
          <w:szCs w:val="29"/>
        </w:rPr>
        <w:t>。水利项目前期工作周期长、投入大，前期工作深度直接影响项目申报和落地效率。建议适当增加水利项目前期工作经费预算，支持重大水利项目、重点规划、治理方案等前期工作，做深做细项目储备，为争取上级资金、推进项目建设奠定基础，形成“储备一批、开工一批、建设一批”的良性循环。</w:t>
      </w:r>
    </w:p>
    <w:p w14:paraId="454226DC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b w:val="0"/>
          <w:sz w:val="29"/>
          <w:szCs w:val="29"/>
          <w:bdr w:val="none" w:sz="0" w:space="0"/>
        </w:rPr>
      </w:pPr>
      <w:bookmarkStart w:id="18" w:name="heading_18"/>
      <w:r>
        <w:rPr>
          <w:rFonts w:hint="eastAsia"/>
          <w:sz w:val="29"/>
          <w:szCs w:val="29"/>
          <w:lang w:eastAsia="zh-CN"/>
        </w:rPr>
        <w:t>六、</w:t>
      </w:r>
      <w:r>
        <w:rPr>
          <w:sz w:val="29"/>
          <w:szCs w:val="29"/>
        </w:rPr>
        <w:t>其他需要说明的问题</w:t>
      </w:r>
      <w:bookmarkEnd w:id="18"/>
    </w:p>
    <w:p w14:paraId="04CEB90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本次2025年度项目支出绩效自评工作，严格按照《中华人民共和国预算法》《中共中央国务院关于全面实施预算绩效管理的意见》等法律法规和财政部门相关要求开展，自评工作程序规范、方法科学、依据充分。所有自评数据均来源于项目实施资料、财务会计核算资料、工作总结成果、验收报告、满意度调查等正式材料，客观真实地反映了市水利局2025年度项目支出的实际绩效情况，不存在弄虚作假、虚报瞒报等情况。</w:t>
      </w:r>
    </w:p>
    <w:p w14:paraId="61B76C1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本次纳入自评范围的8个项目，均严格按照预算规定用途使用资金，项目实施符合国家相关政策和行业规范，未发生重大违法违规问题，未发生安全生产责任事故，未造成重大生态环境破坏和不良社会影响。</w:t>
      </w:r>
    </w:p>
    <w:p w14:paraId="4EBF51B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29"/>
          <w:szCs w:val="29"/>
        </w:rPr>
      </w:pPr>
      <w:r>
        <w:rPr>
          <w:rFonts w:ascii="Times New Roman" w:hAnsi="Times New Roman" w:eastAsia="仿宋_GB2312" w:cs="仿宋_GB2312"/>
          <w:sz w:val="29"/>
          <w:szCs w:val="29"/>
        </w:rPr>
        <w:t>下一步，怀化市水利局将以本次绩效自评为契机，认真总结经验，补齐工作短板，持续深化预算绩效管理改革，不断完善绩效管理机制，提升项目管理精细化水平和财政资金使用效益，切实将绩效理念贯穿水利工作全过程，以高质量绩效管理推动水利高质量发展，为加快建设现代化新怀化提供更加坚实的水利支撑。</w:t>
      </w:r>
    </w:p>
    <w:p w14:paraId="660F342E">
      <w:pPr>
        <w:pStyle w:val="11"/>
        <w:bidi w:val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111F1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2B3FB6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EvjmXRAAAA&#10;BgEAAA8AAAAAAAAAAQAgAAAAIgAAAGRycy9kb3ducmV2LnhtbFBLAQIUABQAAAAIAIdO4kCNsDni&#10;6wEAANEDAAAOAAAAAAAAAAEAIAAAACABAABkcnMvZTJvRG9jLnhtbFBLBQYAAAAABgAGAFkBAAB9&#10;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12B3FB6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CA4A0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40DFCC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xL45l0QAA&#10;AAYBAAAPAAAAAAAAAAEAIAAAACIAAABkcnMvZG93bnJldi54bWxQSwECFAAUAAAACACHTuJA+0dY&#10;1+wBAADRAwAADgAAAAAAAAABACAAAAAgAQAAZHJzL2Uyb0RvYy54bWxQSwUGAAAAAAYABgBZAQAA&#10;fg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340DFCC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27C8E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E3A0E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677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9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1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uiPriority w:val="0"/>
  </w:style>
  <w:style w:type="table" w:default="1" w:styleId="1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18">
    <w:name w:val="标题 3 Char"/>
    <w:link w:val="4"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19">
    <w:name w:val="标题 2 Char"/>
    <w:link w:val="3"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22</Pages>
  <Words>12570</Words>
  <Characters>12937</Characters>
  <TotalTime>2</TotalTime>
  <ScaleCrop>false</ScaleCrop>
  <LinksUpToDate>false</LinksUpToDate>
  <CharactersWithSpaces>13227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2026-07-08T18:05:00Z</dcterms:created>
  <dc:creator>Apache POI</dc:creator>
  <cp:lastModifiedBy>超级豆丁</cp:lastModifiedBy>
  <dcterms:modified xsi:type="dcterms:W3CDTF">2026-07-08T18:08:44Z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{"Label":"1","ContentProducer":"001191110102MACQD9K64010000","ProduceID":"7660219759992392635","ReservedCode1":"","ContentPropagator":"","PropagateID":"","ReservedCode2":""}</vt:lpwstr>
  </property>
  <property fmtid="{D5CDD505-2E9C-101B-9397-08002B2CF9AE}" pid="3" name="KSOTemplateDocerSaveRecord">
    <vt:lpwstr>eyJoZGlkIjoiNTM3OGM4MGExNjA1Y2VjOGM0YjAxZmZlNzNhNGI2ODciLCJ1c2VySWQiOiIxNjQwNTUxMjk3In0=</vt:lpwstr>
  </property>
  <property fmtid="{D5CDD505-2E9C-101B-9397-08002B2CF9AE}" pid="4" name="KSOProductBuildVer">
    <vt:lpwstr>2052-12.1.0.26375</vt:lpwstr>
  </property>
  <property fmtid="{D5CDD505-2E9C-101B-9397-08002B2CF9AE}" pid="5" name="ICV">
    <vt:lpwstr>2B7978F2D00F461CB787A0ABFA25E7AC_13</vt:lpwstr>
  </property>
</Properties>
</file>