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BC6A2">
      <w:pPr>
        <w:pStyle w:val="15"/>
      </w:pPr>
      <mc:AlternateContent>
        <mc:Choice Requires="wpsCustomData">
          <wpsCustomData:docfieldStart id="0" docfieldname="标题_1" hidden="0" print="1" readonly="0" index="1"/>
        </mc:Choice>
      </mc:AlternateContent>
      <w:r>
        <w:t>怀化市水利局</w:t>
      </w:r>
    </w:p>
    <w:p w14:paraId="7F21719E">
      <w:pPr>
        <w:pStyle w:val="15"/>
      </w:pPr>
      <w:r>
        <w:t>舞水河清淤项目支出绩效自评报告</w:t>
      </w:r>
      <mc:AlternateContent>
        <mc:Choice Requires="wpsCustomData">
          <wpsCustomData:docfieldEnd id="0"/>
        </mc:Choice>
      </mc:AlternateContent>
    </w:p>
    <w:p w14:paraId="41F611B6">
      <w:pPr>
        <w:pStyle w:val="11"/>
        <w:bidi w:val="0"/>
        <w:spacing w:beforeAutospacing="0" w:afterAutospacing="0" w:line="300" w:lineRule="exact"/>
        <w:rPr>
          <w:rFonts w:hint="eastAsia"/>
          <w:lang w:eastAsia="zh-CN"/>
        </w:rPr>
      </w:pPr>
      <w:bookmarkStart w:id="0" w:name="heading_0"/>
    </w:p>
    <w:p w14:paraId="62189C9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r>
        <w:rPr>
          <w:rFonts w:hint="eastAsia"/>
          <w:sz w:val="29"/>
          <w:szCs w:val="29"/>
          <w:lang w:eastAsia="zh-CN"/>
        </w:rPr>
        <w:t>一、</w:t>
      </w:r>
      <w:r>
        <w:rPr>
          <w:sz w:val="29"/>
          <w:szCs w:val="29"/>
        </w:rPr>
        <w:t>项目概况</w:t>
      </w:r>
      <w:bookmarkEnd w:id="0"/>
    </w:p>
    <w:p w14:paraId="31F19AF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1" w:name="heading_1"/>
      <w:r>
        <w:rPr>
          <w:rFonts w:hint="eastAsia"/>
          <w:sz w:val="29"/>
          <w:szCs w:val="29"/>
          <w:lang w:eastAsia="zh-CN"/>
        </w:rPr>
        <w:t>（一）</w:t>
      </w:r>
      <w:r>
        <w:rPr>
          <w:sz w:val="29"/>
          <w:szCs w:val="29"/>
        </w:rPr>
        <w:t>项目立项背景、政策依据及立项审批情况</w:t>
      </w:r>
      <w:bookmarkEnd w:id="1"/>
    </w:p>
    <w:p w14:paraId="50727F8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2025年湖南省第五届旅游发展大会在怀化市举办，舞水河（㵲水）主城区河段是城市核心滨水景观展示核心区域，河道淤积、底泥污染物堆积、局部河段行洪断面缩窄等问题，直接影响城区防洪排涝安全、水体水质与城市文旅形象。同时省级河长巡㵲水期间明确指出太平溪河口、青山溪河口等支流汇入段淤积严重，要求开展专项清淤整治，消除行洪隐患、改善流域水环境。对照《怀化市全面推行河长制湖长制工作实施方案》《㵲水流域水环境综合治理三年行动方案》《2025年度河湖长制重点工作任务清单》相关工作要求，结合全市地表水水质提升攻坚工作部署，怀化市水利局启动舞水河主城区清淤整治项目。项目前期完成现场踏勘、淤积量勘测、水环境风险评估、施工方案编制等全流程前期工作，按水利工程建设审批流程完成立项、实施方案批复，全部审批程序合规完整，立项材料、勘察设计文件、批复文书齐全，项目实施完全契合2025年度河湖治理、水生态修复、城市防洪、旅发大会水环境保障年度核心工作任务。</w:t>
      </w:r>
    </w:p>
    <w:p w14:paraId="14C2AC6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2" w:name="heading_2"/>
      <w:r>
        <w:rPr>
          <w:rFonts w:hint="eastAsia"/>
          <w:sz w:val="29"/>
          <w:szCs w:val="29"/>
          <w:lang w:eastAsia="zh-CN"/>
        </w:rPr>
        <w:t>（二）</w:t>
      </w:r>
      <w:r>
        <w:rPr>
          <w:sz w:val="29"/>
          <w:szCs w:val="29"/>
        </w:rPr>
        <w:t>主管部门、实施单位及项目实施范围</w:t>
      </w:r>
      <w:bookmarkEnd w:id="2"/>
    </w:p>
    <w:p w14:paraId="4005969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本项目主管单位为怀化市水利局，统筹负责项目资金统筹、业务指导、全过程监督、完工绩效评价工作；项目实施范围锁定舞水河主城区太平溪河口、青山溪河口、滨江美墅3处重点淤积河段，覆盖城区居民集中居住区、滨水景观带、城市核心文旅展示段，治理河段总长度725米，区域内淤积底泥长期富集氮磷污染物，汛期易形成内涝、水体发黑发臭，是㵲水城区段水环境与防洪薄弱点位。</w:t>
      </w:r>
    </w:p>
    <w:p w14:paraId="6B83615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3" w:name="heading_3"/>
      <w:r>
        <w:rPr>
          <w:rFonts w:hint="eastAsia"/>
          <w:sz w:val="29"/>
          <w:szCs w:val="29"/>
          <w:lang w:eastAsia="zh-CN"/>
        </w:rPr>
        <w:t>（三）</w:t>
      </w:r>
      <w:r>
        <w:rPr>
          <w:sz w:val="29"/>
          <w:szCs w:val="29"/>
        </w:rPr>
        <w:t>项目主要建设内容与年度总体绩效目标</w:t>
      </w:r>
      <w:bookmarkEnd w:id="3"/>
    </w:p>
    <w:p w14:paraId="7A478A5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r>
        <w:rPr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 xml:space="preserve"> </w:t>
      </w:r>
      <w:r>
        <w:rPr>
          <w:sz w:val="29"/>
          <w:szCs w:val="29"/>
        </w:rPr>
        <w:t>项目核心实施内容</w:t>
      </w:r>
    </w:p>
    <w:p w14:paraId="7A8A928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舞水河清淤项目全年实施内容统一按批复方案落地，核心工作分为四大板块：一是河道淤积疏浚作业，对3处河段河床、滩涂、支流汇口淤积底泥开展机械清淤，全年完成清淤清障总工程量29287.66立方米；二是淤泥转运与无害化处置，疏浚淤泥全部转运至合规填埋处置场地，落实防渗、防渗滤液收集处置措施，杜绝淤泥随意堆放造成二次水污染；三是河道岸坡清理修复，清除河道内杂草、废弃构筑物、建筑垃圾等阻水障碍物，修整岸坡恢复河道自然断面；四是施工场地复原、水环境临时保护配套工作，施工期间布设截污围挡、沉淀过滤设施，完工后恢复滨水步道、绿化景观原貌，同步落实施工全过程安全管控、第三方监理、现场勘察复核工作。项目所有施工内容、工程量、处置标准均严格按照实施方案批复要求执行，无擅自增减施工内容、变更治理河段的情况。</w:t>
      </w:r>
    </w:p>
    <w:p w14:paraId="455A0E5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r>
        <w:rPr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 xml:space="preserve"> </w:t>
      </w:r>
      <w:r>
        <w:rPr>
          <w:sz w:val="29"/>
          <w:szCs w:val="29"/>
        </w:rPr>
        <w:t>年度总体绩效目标</w:t>
      </w:r>
    </w:p>
    <w:p w14:paraId="7B6F136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总体预期目标：通过实施舞水河主城区3处重点河段清淤清障工程，清除河道内源淤积污染物，拓宽恢复河道行洪断面，全面提升城区河段防洪排涝能力；消除太平溪、青山溪支流汇入口黑臭底泥污染隐患，持续改善㵲水主城区水体水质，完成旅发大会滨水景观水环境保障任务；完善城市河道常态化治理工程实施体系，为全市中小河流、城区水系淤积整治形成标准化实施范本，同步提升沿岸群众居住环境与城市文旅形象。</w:t>
      </w:r>
    </w:p>
    <w:p w14:paraId="3FFF3DE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细化量化绩效目标分为四大维度：</w:t>
      </w:r>
    </w:p>
    <w:p w14:paraId="628CDB2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产出目标维度：年度完成3处河段清淤治理，治理河道总长度不少于700米，清淤清障工程量不少于28000立方米；全部工程完工后联合多部门开展完工验收，工程验收合格率达到100％；2025年12月31日前完成全部施工、处置、场地复原工作，年度任务完成及时率100％；项目总支出严格控制在全年预算94.73万元以内，不得超预算、超标准列支。</w:t>
      </w:r>
    </w:p>
    <w:p w14:paraId="34E57C1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效益目标维度：社会效益层面，显著提升主城区河道行洪能力，消除汛期沿岸内涝风险，保障沿岸居民、市政设施、滨水公共区域安全，圆满完成第五届湖南省旅游发展大会水环境保障任务；生态效益层面，彻底清除河段内源污染底泥，降低水体氮磷内源释放，巩固㵲水II类及以上水质成果，助力全市地表水水质保持全国地级城市前列；可持续影响层面，形成城区河道淤积勘测、清淤施工、淤泥无害化处置、完工管护标准化工作流程，建立㵲水主城区河段淤积动态监测机制，为后续常态化清淤工作提供支撑；经济效益层面，降低城市洪涝灾害经济损失，减少后期水体治理持续投入，提升滨水文旅、沿岸地块开发价值。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br w:type="textWrapping"/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成本目标维度：项目全部施工、监理、设计、处置、配套服务支出严格限定批复预算，优化施工组织方案合理控制人工、机械、转运成本，无额外非必要开支，施工全过程未新增社会治理成本、生态污染成本。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br w:type="textWrapping"/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满意度目标维度：项目实施完成后，沿岸社区居民、街道办事处、文旅管理部门、河湖管理业务单位综合满意度不低于90％。</w:t>
      </w:r>
    </w:p>
    <w:p w14:paraId="67446D1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4" w:name="heading_4"/>
      <w:r>
        <w:rPr>
          <w:rFonts w:hint="eastAsia"/>
          <w:sz w:val="29"/>
          <w:szCs w:val="29"/>
          <w:lang w:eastAsia="zh-CN"/>
        </w:rPr>
        <w:t>（四）</w:t>
      </w:r>
      <w:r>
        <w:rPr>
          <w:sz w:val="29"/>
          <w:szCs w:val="29"/>
        </w:rPr>
        <w:t>项目实施周期与管理机制</w:t>
      </w:r>
      <w:bookmarkEnd w:id="4"/>
    </w:p>
    <w:p w14:paraId="3408A80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项目实施周期统一划定为2025年1月至2025年12月，采取分段错峰施工模式，避开汛期、暑期文旅人流高峰，减少施工对居民日常生活、城市文旅活动的干扰。项目实行局党组统一领导、业务科室分工协同、实施单位具体落实、第三方监理全程管控的四级管理机制，河湖管理科负责河湖治理业务统筹，规划财务科负责资金拨付、财务监管，水旱灾害防御事务中心现场组织施工，纪检监察科室对招投标、资金支付、完工验收关键环节开展嵌入式监督，全程落实项目调度、问题交办、限期整改闭环管理机制。</w:t>
      </w:r>
    </w:p>
    <w:p w14:paraId="07F3CB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bookmarkStart w:id="5" w:name="heading_5"/>
      <w:r>
        <w:rPr>
          <w:rFonts w:hint="eastAsia"/>
          <w:sz w:val="29"/>
          <w:szCs w:val="29"/>
          <w:lang w:eastAsia="zh-CN"/>
        </w:rPr>
        <w:t>二、</w:t>
      </w:r>
      <w:r>
        <w:rPr>
          <w:sz w:val="29"/>
          <w:szCs w:val="29"/>
        </w:rPr>
        <w:t>项目资金到位、拨付及使用管理情况</w:t>
      </w:r>
      <w:bookmarkEnd w:id="5"/>
    </w:p>
    <w:p w14:paraId="081236D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6" w:name="heading_6"/>
      <w:r>
        <w:rPr>
          <w:rFonts w:hint="eastAsia"/>
          <w:sz w:val="29"/>
          <w:szCs w:val="29"/>
          <w:lang w:eastAsia="zh-CN"/>
        </w:rPr>
        <w:t>（一）</w:t>
      </w:r>
      <w:r>
        <w:rPr>
          <w:sz w:val="29"/>
          <w:szCs w:val="29"/>
        </w:rPr>
        <w:t>资金预算批复、到位情况</w:t>
      </w:r>
      <w:bookmarkEnd w:id="6"/>
    </w:p>
    <w:p w14:paraId="5AEB826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舞水河清淤项目全年批复预算资金总额94.73万元，资金全部为市级一般公共预算财政拨款，无上年结转结余资金、政府性基金资金、其他自筹配套资金。年初预算编制阶段结合项目勘察工程量、施工市场价完成科学测算，年初预算额度与全年调整后预算保持一致，全年未发生预算调增、调减事项。财政部门按国库集中支付流程分批次足额下达资金指标，截至2025年12月31日本项目全部资金指标100％到位，不存在资金滞留、延迟下达问题，资金到位进度匹配项目分阶段施工进度，能够保障机械租赁、淤泥转运、监理服务等款项按期支付。</w:t>
      </w:r>
    </w:p>
    <w:p w14:paraId="4FBD4FF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7" w:name="heading_7"/>
      <w:r>
        <w:rPr>
          <w:rFonts w:hint="eastAsia"/>
          <w:sz w:val="29"/>
          <w:szCs w:val="29"/>
          <w:lang w:eastAsia="zh-CN"/>
        </w:rPr>
        <w:t>（二）</w:t>
      </w:r>
      <w:r>
        <w:rPr>
          <w:sz w:val="29"/>
          <w:szCs w:val="29"/>
        </w:rPr>
        <w:t>资金全年实际执行情况</w:t>
      </w:r>
      <w:bookmarkEnd w:id="7"/>
    </w:p>
    <w:p w14:paraId="48B1634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2025年度本项目全年预算94.73万元，全年实际支出94.73万元，预算执行率100％，无结转结余资金，全部资金均在2025年内完成国库集中支付。资金支出严格对应项目批复建设内容，无截留、挤占、挪用、虚列支出、超范围开支行为，所有支付事项均具备完整支撑材料，包括施工合同、监理签证单、工程量复核单、正规增值税发票、完工验收意见书、淤泥处置台账等原始凭证，账务资料完整可追溯。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br w:type="textWrapping"/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资金实际支出细分使用方向：河道疏浚机械施工费用71.26万元，占总支出75.22％；淤泥转运、无害化填埋处置费用12.47万元，占总支出13.16％；项目勘察设计、第三方监理技术服务费用6.32万元，占总支出6.67；施工安全防护、场地复原、水环境临时配套等其他工程费用4.68万元，占总支出4.95％。各项支出均与项目施工工程量、服务合同约定价款一一对应，成本测算精准，不存在无依据大额支出。</w:t>
      </w:r>
    </w:p>
    <w:p w14:paraId="6AB74A8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8" w:name="heading_8"/>
      <w:r>
        <w:rPr>
          <w:rFonts w:hint="eastAsia"/>
          <w:sz w:val="29"/>
          <w:szCs w:val="29"/>
          <w:lang w:eastAsia="zh-CN"/>
        </w:rPr>
        <w:t>（三）</w:t>
      </w:r>
      <w:r>
        <w:rPr>
          <w:sz w:val="29"/>
          <w:szCs w:val="29"/>
        </w:rPr>
        <w:t>项目财务管理制度及执行落实情况</w:t>
      </w:r>
      <w:bookmarkEnd w:id="8"/>
    </w:p>
    <w:p w14:paraId="4B24D46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怀化市水利局针对各类水利专项工程建立完整专项资金管理体系，本项目严格落实国库集中支付、专款专用、专账核算三项核心财务管理制度。一是专账单独核算，规划财务科为本项目设立独立辅助核算台账，单独归集本项目全部收入、支出数据，与机关日常公用经费、其他水利项目资金完全分隔，清晰反映舞水河清淤项目资金收支全貌；二是分级审批支付流程，所有款项支付执行业务经办人填报、实施单位负责人初审、业务科室复核、财务审核、分管领导、单位主要负责人分级审批流程，大额工程款支付额外履行党组集体研究程序，审批链条完整规范；三是全程资金监督机制，机关纪委、内审科室定期对本项目资金凭证、支付台账开展抽查，结合年度水利资金专项审计同步核查本项目收支合规性，全年未发现任何财务违规问题；四是政府采购资金管控，项目施工、监理服务全部履行公开招投标采购程序，采购价款、付款节点严格依照中标合同约定执行，不存在无合同提前支付、超额支付款项情形。</w:t>
      </w:r>
    </w:p>
    <w:p w14:paraId="372116F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所有资金支付严格遵循工程进度匹配原则，采取分阶段验收后支付模式，完成一段施工、验收合格后拨付对应工程款，杜绝未完工提前全额付款，资金拨付节奏与项目施工进度高度匹配，资金使用安全性、规范性得到充分保障。</w:t>
      </w:r>
    </w:p>
    <w:p w14:paraId="415EEFB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bookmarkStart w:id="9" w:name="heading_9"/>
      <w:r>
        <w:rPr>
          <w:rFonts w:hint="eastAsia"/>
          <w:sz w:val="29"/>
          <w:szCs w:val="29"/>
          <w:lang w:eastAsia="zh-CN"/>
        </w:rPr>
        <w:t>三、</w:t>
      </w:r>
      <w:r>
        <w:rPr>
          <w:sz w:val="29"/>
          <w:szCs w:val="29"/>
        </w:rPr>
        <w:t>项目组织实施全过程管理情况</w:t>
      </w:r>
      <w:bookmarkEnd w:id="9"/>
    </w:p>
    <w:p w14:paraId="786F593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10" w:name="heading_10"/>
      <w:r>
        <w:rPr>
          <w:rFonts w:hint="eastAsia"/>
          <w:sz w:val="29"/>
          <w:szCs w:val="29"/>
          <w:lang w:eastAsia="zh-CN"/>
        </w:rPr>
        <w:t>（一）</w:t>
      </w:r>
      <w:r>
        <w:rPr>
          <w:sz w:val="29"/>
          <w:szCs w:val="29"/>
        </w:rPr>
        <w:t>项目组织架构与责任分工</w:t>
      </w:r>
      <w:bookmarkEnd w:id="10"/>
    </w:p>
    <w:p w14:paraId="5A69976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项目实行层级化责任落实体系，第一层级为局党组，统筹审定项目实施方案、资金使用计划，协调跨部门（生态环境、文旅、属地街道）联动事宜；第二层级为各业务职能科室，河湖管理科负责河湖治理政策对标、现场技术指导，规划财务科负责预算执行、资金监管，机关纪委负责廉政全过程监督；第三层级为实施单位怀化市水旱灾害防御事务中心，设立项目专项工作小组，配备项目负责人、现场技术员、安全管理员，专职对接施工单位、监理单位，每日开展现场巡查、工程量复核；第四层级为第三方合作主体，包含工程施工单位、监理单位、淤泥处置场站，分别承担施工、质量管控、淤泥无害化处置专项责任。各层级、各岗位责任书面明确，形成权责清晰、相互制衡的实施架构，不存在管理空白、责任推诿问题。</w:t>
      </w:r>
    </w:p>
    <w:p w14:paraId="024A9A2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11" w:name="heading_11"/>
      <w:r>
        <w:rPr>
          <w:rFonts w:hint="eastAsia"/>
          <w:sz w:val="29"/>
          <w:szCs w:val="29"/>
          <w:lang w:eastAsia="zh-CN"/>
        </w:rPr>
        <w:t>（二）</w:t>
      </w:r>
      <w:r>
        <w:rPr>
          <w:sz w:val="29"/>
          <w:szCs w:val="29"/>
        </w:rPr>
        <w:t>项目标准化实施流程</w:t>
      </w:r>
      <w:bookmarkEnd w:id="11"/>
    </w:p>
    <w:p w14:paraId="0047AE3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项目完整实施流程严格遵循水利工程建设规范，依次完成立项批复、现场勘察、方案编制、财政预算申报、公开招投标、进场施工、过程监理、分段验收、整体完工验收、资金结算、资料归档全流程，各环节程序合规，留存全套纸质、电子佐证资料。</w:t>
      </w:r>
    </w:p>
    <w:p w14:paraId="2297B9A3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前期筹备阶段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2025年1至2月完成3处河段现场淤积勘测，精准核算淤积方量，同步开展水环境风险评估，编制标准化清淤实施方案并取得正式批复；同步完成政府采购公开招标流程，通过公开竞价择优确定施工单位、第三方监理单位，招标流程全程留痕，无规避招标、指定供应商行为。</w:t>
      </w:r>
    </w:p>
    <w:p w14:paraId="5CFC255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分段施工阶段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2025年3月至11月分三段错峰施工，优先避开汛期、五一小长假、暑期旅游高峰，每处河段施工前布设截污、沉淀、隔音防护设施，施工过程中监理单位每日到场记录施工质量、工程量，项目工作小组同步复核淤积清除进度，每周召开项目调度会，梳理施工难点、协调沿岸居民诉求。施工期间严格落实环保管控，疏浚淤泥即时转运，不在城区河道沿岸露天堆放，杜绝底泥二次污染水体。</w:t>
      </w:r>
    </w:p>
    <w:p w14:paraId="45C8ADC0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完工验收阶段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2025年11月底全部施工、场地复原、淤泥处置工作结束，12月初组织多部门联合完工验收，参与单位包含市水利局河湖科、水旱防御中心、生态环境分局、属地街道办事处、监理单位，对照实施方案、勘测数据逐段核对治理长度、清淤工程量、岸坡修复质量，现场核查水体改善、行洪断面恢复情况，出具正式联合完工验收意见书，验收结论为全部工程合格，无质量缺陷。</w:t>
      </w:r>
    </w:p>
    <w:p w14:paraId="0C96CCFD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收尾归档阶段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：验收完成后同步整理全套项目档案，包含立项批复、勘察图纸、招投标资料、施工日志、监理报告、验收材料、财务支付凭证等，分类装订归档，完成项目闭环管理。</w:t>
      </w:r>
    </w:p>
    <w:p w14:paraId="2F64582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12" w:name="heading_12"/>
      <w:r>
        <w:rPr>
          <w:rFonts w:hint="eastAsia"/>
          <w:sz w:val="29"/>
          <w:szCs w:val="29"/>
          <w:lang w:eastAsia="zh-CN"/>
        </w:rPr>
        <w:t>（三）</w:t>
      </w:r>
      <w:r>
        <w:rPr>
          <w:sz w:val="29"/>
          <w:szCs w:val="29"/>
        </w:rPr>
        <w:t>项目质量、安全、环保全过程管控措施</w:t>
      </w:r>
      <w:bookmarkEnd w:id="12"/>
    </w:p>
    <w:p w14:paraId="7A1AFBE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质量管控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建立“施工自检、监理巡检、主管部门月度抽查”三重质量管控模式，施工单位每日开展工作面自检，监理单位全天驻场记录淤积清除厚度、岸坡修整标准，局河湖管理科每月赴现场开展质量复核，对局部清理不到位点位下发整改通知单，限期返工处理。所有清淤断面、河道行洪宽度均对照设计标准执行，完工后断面测量数据全部达标，工程验收合格率100％。</w:t>
      </w:r>
    </w:p>
    <w:p w14:paraId="2835C41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安全生产管控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施工区域设置硬质围挡、警示标识，划定机械作业安全隔离区，定期组织施工人员开展水上作业、机械操作安全培训；汛期停工值守，建立极端天气应急停工机制，全年项目施工未发生人员伤亡、设备损毁安全生产事故。</w:t>
      </w:r>
    </w:p>
    <w:p w14:paraId="5546D896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生态环保管控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项目施工同步配套水环境临时治理设施，作业点设置沉淀池过滤施工废水，严禁施工废水直排舞水河；疏浚淤泥全部转运至合规填埋场地，同步开展土壤防渗处置，杜绝底泥污染物回流河道；施工结束后全面恢复滨水绿化、步道，最大限度降低工程对城市生态、景观的扰动，全年未发生施工造成水体污染、扬尘扰民环保投诉事件。</w:t>
      </w:r>
    </w:p>
    <w:p w14:paraId="0A5BD01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13" w:name="heading_13"/>
      <w:r>
        <w:rPr>
          <w:rFonts w:hint="eastAsia"/>
          <w:sz w:val="29"/>
          <w:szCs w:val="29"/>
          <w:lang w:eastAsia="zh-CN"/>
        </w:rPr>
        <w:t>（四）</w:t>
      </w:r>
      <w:r>
        <w:rPr>
          <w:sz w:val="29"/>
          <w:szCs w:val="29"/>
        </w:rPr>
        <w:t>项目全过程监督检查机制</w:t>
      </w:r>
      <w:bookmarkEnd w:id="13"/>
    </w:p>
    <w:p w14:paraId="22CE6FD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一是内部常态化调度监督，局党组每月专题调度项目推进进度，形成月度项目调度台账，对施工滞后、整改不到位事项实行挂牌督办；二是纪检嵌入式监督，机关纪委全程参与招投标开标、完工验收等关键节点，抽查资金支付凭证与施工匹配度，排查廉政风险；三是跨部门联合监督，联合生态环境、属地街道不定期现场巡查，收集沿岸群众意见，及时优化施工安排；四是第三方独立监理监督，监理单位出具完整月度监理报告、完工总监理评价，独立客观反映工程质量与工程量，为验收、资金支付提供客观依据。多层次监督体系实现项目全周期无死角管控，所有发现问题均完成整改销号。</w:t>
      </w:r>
    </w:p>
    <w:p w14:paraId="221B879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bookmarkStart w:id="14" w:name="heading_14"/>
      <w:r>
        <w:rPr>
          <w:rFonts w:hint="eastAsia"/>
          <w:sz w:val="29"/>
          <w:szCs w:val="29"/>
          <w:lang w:eastAsia="zh-CN"/>
        </w:rPr>
        <w:t>四、</w:t>
      </w:r>
      <w:r>
        <w:rPr>
          <w:sz w:val="29"/>
          <w:szCs w:val="29"/>
        </w:rPr>
        <w:t>项目绩效完成情况综合分析</w:t>
      </w:r>
      <w:bookmarkEnd w:id="14"/>
    </w:p>
    <w:p w14:paraId="147A511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15" w:name="heading_15"/>
      <w:r>
        <w:rPr>
          <w:rFonts w:hint="eastAsia"/>
          <w:sz w:val="29"/>
          <w:szCs w:val="29"/>
          <w:lang w:eastAsia="zh-CN"/>
        </w:rPr>
        <w:t>（一）</w:t>
      </w:r>
      <w:r>
        <w:rPr>
          <w:sz w:val="29"/>
          <w:szCs w:val="29"/>
        </w:rPr>
        <w:t>产出指标完成情况（定量、定性对照年度指标）</w:t>
      </w:r>
      <w:bookmarkEnd w:id="15"/>
    </w:p>
    <w:p w14:paraId="0BFD26BB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数量指标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年度指标要求治理河段不少于3处、治理河道长度不少于700米、清淤工程量不少于28000立方米；项目实际完成太平溪河口、青山溪河口、滨江美墅3处河段全部整治，治理河道总长度725米，累计完成清淤清障工程量29287.66立方米，三项数量指标均超额完成年度预期任务，完整覆盖主城区淤积最严重的核心河段，不存在遗漏治理点位。</w:t>
      </w:r>
    </w:p>
    <w:p w14:paraId="5BED91BA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质量指标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年度指标要求工程完工验收合格率100％；项目完工后组织多部门联合现场验收，所有清淤断面、岸坡修复、淤泥处置、场地复原内容全部符合设计与水环境治理标准，无质量缺陷，验收合格率达到100％，质量指标满分达标。</w:t>
      </w:r>
    </w:p>
    <w:p w14:paraId="73F29888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时效指标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：年度指标要求2025年12月31日前完成全部施工与配套工作；项目11月底即完成全部工程内容，12月初完成联合验收，在规定时限内提前完成年度全部实施任务，任务完成及时率100％，时效指标完全达标。</w:t>
      </w:r>
    </w:p>
    <w:p w14:paraId="3D629EA7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color w:val="auto"/>
          <w:sz w:val="29"/>
          <w:szCs w:val="29"/>
        </w:rPr>
      </w:pPr>
      <w:r>
        <w:rPr>
          <w:rStyle w:val="18"/>
          <w:rFonts w:hint="eastAsia"/>
          <w:sz w:val="29"/>
          <w:szCs w:val="29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成本指标</w:t>
      </w:r>
      <w:r>
        <w:rPr>
          <w:rFonts w:ascii="Times New Roman" w:hAnsi="Times New Roman" w:eastAsia="仿宋_GB2312" w:cs="仿宋_GB2312"/>
          <w:color w:val="auto"/>
          <w:sz w:val="29"/>
          <w:szCs w:val="29"/>
        </w:rPr>
        <w:t>：年度指标要求项目总支出控制在94.73万元预算限额内；项目全年实际支出恰好等于全年批复预算，无超预算开支，施工过程通过分段施工、错峰租赁机械优化成本支出，未产生额外不必要费用，成本管控成效完全符合预期。</w:t>
      </w:r>
    </w:p>
    <w:p w14:paraId="6AB954A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16" w:name="heading_16"/>
      <w:r>
        <w:rPr>
          <w:rFonts w:hint="eastAsia"/>
          <w:sz w:val="29"/>
          <w:szCs w:val="29"/>
          <w:lang w:eastAsia="zh-CN"/>
        </w:rPr>
        <w:t>（二）</w:t>
      </w:r>
      <w:r>
        <w:rPr>
          <w:sz w:val="29"/>
          <w:szCs w:val="29"/>
        </w:rPr>
        <w:t>效益指标实际达成成效</w:t>
      </w:r>
      <w:bookmarkEnd w:id="16"/>
    </w:p>
    <w:p w14:paraId="0F2C192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r>
        <w:rPr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 xml:space="preserve"> </w:t>
      </w:r>
      <w:r>
        <w:rPr>
          <w:sz w:val="29"/>
          <w:szCs w:val="29"/>
        </w:rPr>
        <w:t>社会效益</w:t>
      </w:r>
    </w:p>
    <w:p w14:paraId="04CAB07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第一，城区防洪安全保障能力显著提升。本次清淤工程拓宽恢复3处河段行洪断面，清除多年淤积阻水底泥，大幅提升主城区河段过流能力，有效降低汛期太平溪、青山溪汇口沿岸小区、滨水道路内涝风险，2025年汛期该区域未发生往年积水内涝问题，沿岸居民生命财产安全保障水平明显提高。第二，圆满完成第五届湖南省旅游发展大会水环境保障任务，舞水河主城区滨水景观带作为大会重点观摩点位，河道水体观感、滨水环境大幅提升，得到文旅部门、观摩嘉宾一致认可，城市对外形象持续优化。第三，沿岸居民居住环境明显改善，支流汇口黑臭水体、异味问题彻底消除，群众日常滨水休闲活动体验持续提升，城市民生水利实事落地见效。</w:t>
      </w:r>
    </w:p>
    <w:p w14:paraId="159098D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r>
        <w:rPr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 xml:space="preserve"> </w:t>
      </w:r>
      <w:r>
        <w:rPr>
          <w:sz w:val="29"/>
          <w:szCs w:val="29"/>
        </w:rPr>
        <w:t>生态效益</w:t>
      </w:r>
    </w:p>
    <w:p w14:paraId="22580ED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项目实施彻底清除3处河段内源沉积氮磷污染物，从源头削减水体底泥污染物释放，持续巩固㵲水流域水质治理成效。结合2025年全市河长制工作总结数据，全年怀化市49个国省控断面全部稳定达到II类及以上水质，1至9月地表水水质排名全国地级城市第22位、全省第1，舞水河主城区清淤整治为本区域水质稳定向好提供关键工程支撑。施工全过程落实环保配套措施，未造成施工期水体二次污染，淤泥全部无害化处置，无污染物外排、露天堆放等生态破坏行为，同步修复河道滨水绿化，河湖生态景观同步改善。长期来看，内源污染清除能够持续降低后续水环境治理投入，减少常态化水质净化运维成本，水生态自我修复能力得到提升。</w:t>
      </w:r>
    </w:p>
    <w:p w14:paraId="63E2748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r>
        <w:rPr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 xml:space="preserve"> </w:t>
      </w:r>
      <w:r>
        <w:rPr>
          <w:sz w:val="29"/>
          <w:szCs w:val="29"/>
        </w:rPr>
        <w:t>可持续影响效益</w:t>
      </w:r>
    </w:p>
    <w:p w14:paraId="4DDE2F7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一是形成城区河道淤积治理标准化实施模板，完整梳理勘测、招标、施工、淤泥处置、验收全流程操作规范，为后续全市中小城市水系、支流淤积整治项目提供成熟实施范本；二是建立舞水河主城区河段淤积常态化监测机制，每年定期开展淤积量勘测，动态掌握河床淤积变化，提前谋划下阶段清淤整治项目，实现“监测—研判—立项—治理”长效闭环；三是完善水岸协同管护工作机制，项目完工后同步对接属地街道落实沿岸日常保洁，减少生活垃圾、外源泥沙汇入河道，从源头减缓河道淤积速度，降低未来清淤工程实施频次；四是项目形成完整工程档案、技术资料，可长期支撑㵲水流域系统治理规划编制，为水网建设、幸福河湖项目储备提供基础数据支撑。</w:t>
      </w:r>
    </w:p>
    <w:p w14:paraId="1060C23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r>
        <w:rPr>
          <w:rFonts w:hint="eastAsia"/>
          <w:sz w:val="29"/>
          <w:szCs w:val="29"/>
          <w:lang w:eastAsia="zh-CN"/>
        </w:rPr>
        <w:t>4.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 xml:space="preserve"> </w:t>
      </w:r>
      <w:r>
        <w:rPr>
          <w:sz w:val="29"/>
          <w:szCs w:val="29"/>
        </w:rPr>
        <w:t>经济效益</w:t>
      </w:r>
    </w:p>
    <w:p w14:paraId="291E198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工程实施大幅降低主城区洪涝灾害带来的财产损失，减少汛期道路、小区积水抢险、设施修复的财政持续投入；滨水环境提升带动沿岸文旅产业、滨水商业发展，提升沿线地块开发价值；内源污染清除后减少每年水体应急治理药剂、运维经费支出，长期节约水环境治理财政投入，项目具备稳定正向经济效益。</w:t>
      </w:r>
    </w:p>
    <w:p w14:paraId="6CE1B71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17" w:name="heading_17"/>
      <w:r>
        <w:rPr>
          <w:rFonts w:hint="eastAsia"/>
          <w:sz w:val="29"/>
          <w:szCs w:val="29"/>
          <w:lang w:eastAsia="zh-CN"/>
        </w:rPr>
        <w:t>（三）</w:t>
      </w:r>
      <w:r>
        <w:rPr>
          <w:sz w:val="29"/>
          <w:szCs w:val="29"/>
        </w:rPr>
        <w:t>服务对象满意度指标完成情况</w:t>
      </w:r>
      <w:bookmarkEnd w:id="17"/>
    </w:p>
    <w:p w14:paraId="073FCA3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项目完工后通过入户走访、社区座谈、线上问卷相结合方式开展满意度调研，调研对象包含滨江美墅、太平溪沿岸居民、沿线社区工作人员、市文旅局、河湖管理业务工作人员多类服务群体，综合满意度统计数值为93.5％，高于年度不低于90％的预期指标。受访群众主要认可河道异味消除、汛期积水问题解决、滨水环境美化三项工作成效，少量意见集中在施工阶段噪音、短时交通临时管制，相关诉求施工阶段已及时调整作业时间予以化解，整体群众认可度较高。</w:t>
      </w:r>
    </w:p>
    <w:p w14:paraId="4D6AC5F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18" w:name="heading_18"/>
      <w:r>
        <w:rPr>
          <w:rFonts w:hint="eastAsia"/>
          <w:sz w:val="29"/>
          <w:szCs w:val="29"/>
          <w:lang w:eastAsia="zh-CN"/>
        </w:rPr>
        <w:t>（四）</w:t>
      </w:r>
      <w:r>
        <w:rPr>
          <w:sz w:val="29"/>
          <w:szCs w:val="29"/>
        </w:rPr>
        <w:t>综合绩效自评得分结论</w:t>
      </w:r>
      <w:bookmarkEnd w:id="18"/>
    </w:p>
    <w:p w14:paraId="40F5D35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对照项目绩效自评完整指标体系，成本、产出、效益、满意度四大类全部三级指标均达到年度目标要求，无指标扣分事项，项目综合自评得分100分，绩效评价等级为优秀，项目资金使用规范，全部年度预期目标落地实现，项目综合成效完全达到立项实施初衷。</w:t>
      </w:r>
    </w:p>
    <w:p w14:paraId="3EE0E07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bookmarkStart w:id="19" w:name="heading_19"/>
      <w:r>
        <w:rPr>
          <w:rFonts w:hint="eastAsia"/>
          <w:sz w:val="29"/>
          <w:szCs w:val="29"/>
          <w:lang w:eastAsia="zh-CN"/>
        </w:rPr>
        <w:t>五、</w:t>
      </w:r>
      <w:r>
        <w:rPr>
          <w:sz w:val="29"/>
          <w:szCs w:val="29"/>
        </w:rPr>
        <w:t>项目实施存在的主要问题及客观成因分析</w:t>
      </w:r>
      <w:bookmarkEnd w:id="19"/>
    </w:p>
    <w:p w14:paraId="42CF58A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结合项目全过程实施资料、河长制年度工作总结、项目现场调研情况，本项目虽全部绩效指标达标，但实施及长效管护层面仍存在三项客观短板，无主观管理失职问题，全部</w:t>
      </w:r>
      <w:bookmarkStart w:id="30" w:name="_GoBack"/>
      <w:bookmarkEnd w:id="30"/>
      <w:r>
        <w:rPr>
          <w:rFonts w:ascii="Times New Roman" w:hAnsi="Times New Roman" w:eastAsia="仿宋_GB2312" w:cs="仿宋_GB2312"/>
          <w:color w:val="auto"/>
          <w:sz w:val="29"/>
          <w:szCs w:val="29"/>
        </w:rPr>
        <w:t>成因基于项目实施客观约束与年度资金统筹机制，无猜测性推断：</w:t>
      </w:r>
    </w:p>
    <w:p w14:paraId="6333527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20" w:name="heading_20"/>
      <w:r>
        <w:rPr>
          <w:rFonts w:hint="eastAsia"/>
          <w:sz w:val="29"/>
          <w:szCs w:val="29"/>
          <w:lang w:eastAsia="zh-CN"/>
        </w:rPr>
        <w:t>（一）</w:t>
      </w:r>
      <w:r>
        <w:rPr>
          <w:sz w:val="29"/>
          <w:szCs w:val="29"/>
        </w:rPr>
        <w:t>长效常态化清淤管护专项经费未同步统筹申报</w:t>
      </w:r>
      <w:bookmarkEnd w:id="20"/>
    </w:p>
    <w:p w14:paraId="3641F74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本次舞水河清淤项目为2025年度一次性应急集中整治工程，立项阶段仅针对旅发大会水环境保障、当前淤积隐患治理安排94.73万元专项预算，未同步配套主城区河道年度小型清淤、日常淤积监测、淤泥常态化处置长效经费。客观成因在于2025年度水利项目预算申报实行分项目单独申报机制，河湖常态化管护类专项需单独纳入次年项目库，本年度仅申报单次集中清淤工程，未同步统筹长效运维资金；同时全市财政水利类刚性保障经费有限，年度项目申报侧重当年硬性考核任务，长效管护类项目优先级偏低，导致单次整治完成后，缺乏年度小额清淤资金支撑河道动态淤积清理，长期来看河道淤积反弹周期将缩短，增加未来集中整治投入压力。该问题在《2025年度怀化市河长制工作总结》经费保障短板相关内容中有对应客观表述。</w:t>
      </w:r>
    </w:p>
    <w:p w14:paraId="3E8A5DF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21" w:name="heading_21"/>
      <w:r>
        <w:rPr>
          <w:rFonts w:hint="eastAsia"/>
          <w:sz w:val="29"/>
          <w:szCs w:val="29"/>
          <w:lang w:eastAsia="zh-CN"/>
        </w:rPr>
        <w:t>（二）</w:t>
      </w:r>
      <w:r>
        <w:rPr>
          <w:sz w:val="29"/>
          <w:szCs w:val="29"/>
        </w:rPr>
        <w:t>淤泥资源化利用配套工程未同步实施，处置模式单一</w:t>
      </w:r>
      <w:bookmarkEnd w:id="21"/>
    </w:p>
    <w:p w14:paraId="3967D1A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本项目疏浚淤泥仅采取无害化填埋单一处置方式，未同步配套淤泥制有机肥、制建材等资源化利用工序，淤泥资源化利用率为零。客观成因在于本项目立项审批周期短，为保障旅发大会时间节点，实施方案仅聚焦快速清淤、达标填埋应急处置方案，未同步规划资源化配套工程；同时资源化处置需配套土地、设备、农业合作单位多方协同，项目实施周期无法匹配2025年度旅发大会硬性时间要求，受年度工作时限约束，仅能采用成熟填埋处置方案，淤泥资源化增值效益未能释放。</w:t>
      </w:r>
    </w:p>
    <w:p w14:paraId="21AE95A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22" w:name="heading_22"/>
      <w:r>
        <w:rPr>
          <w:rFonts w:hint="eastAsia"/>
          <w:sz w:val="29"/>
          <w:szCs w:val="29"/>
          <w:lang w:eastAsia="zh-CN"/>
        </w:rPr>
        <w:t>（三）</w:t>
      </w:r>
      <w:r>
        <w:rPr>
          <w:sz w:val="29"/>
          <w:szCs w:val="29"/>
        </w:rPr>
        <w:t>城区河道施工空间受限，施工协调成本偏高</w:t>
      </w:r>
      <w:bookmarkEnd w:id="22"/>
    </w:p>
    <w:p w14:paraId="3B6534D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项目实施河段位于城市建成区滨水核心地带，河道两岸分布居民小区、滨水步道、市政道路，作业面狭窄，大型疏浚设备进场、作业、转运均存在空间约束，施工时段需避让居民休息、文旅活动高峰，分时段错峰施工拉长整体工期，居民、物业、街道协调工作量大。客观成因属于城区河道固有地理空间约束，无项目管理疏漏，城市建成区水系不具备野外河道连续全天候施工条件，后续同类城区治理项目仍将面临同类协调压力。</w:t>
      </w:r>
    </w:p>
    <w:p w14:paraId="2391CC6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bookmarkStart w:id="23" w:name="heading_23"/>
      <w:r>
        <w:rPr>
          <w:rFonts w:hint="eastAsia"/>
          <w:sz w:val="29"/>
          <w:szCs w:val="29"/>
          <w:lang w:eastAsia="zh-CN"/>
        </w:rPr>
        <w:t>六、</w:t>
      </w:r>
      <w:r>
        <w:rPr>
          <w:sz w:val="29"/>
          <w:szCs w:val="29"/>
        </w:rPr>
        <w:t>针对性整改措施与2026年度后续工作计划</w:t>
      </w:r>
      <w:bookmarkEnd w:id="23"/>
    </w:p>
    <w:p w14:paraId="4ED7388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24" w:name="heading_24"/>
      <w:r>
        <w:rPr>
          <w:rFonts w:hint="eastAsia"/>
          <w:sz w:val="29"/>
          <w:szCs w:val="29"/>
          <w:lang w:eastAsia="zh-CN"/>
        </w:rPr>
        <w:t>（一）</w:t>
      </w:r>
      <w:r>
        <w:rPr>
          <w:sz w:val="29"/>
          <w:szCs w:val="29"/>
        </w:rPr>
        <w:t>统筹申报河道长效清淤管护专项预算，补齐经费保障短板</w:t>
      </w:r>
      <w:bookmarkEnd w:id="24"/>
    </w:p>
    <w:p w14:paraId="3BC2467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2026年度部门项目预算申报阶段，将舞水河主城区河段常态化淤积监测、年度小型清淤、河道保洁配套项目单独纳入项目库，同步测算资金需求，按程序申报专项财政资金，形成“年度小型常态化清淤＋阶段性集中深度整治”分层治理资金保障模式，避免淤积快速反弹。同时结合全市河长制工作经费统筹机制，将城区河道水岸一体化管护经费纳入河长办年度运转资金统筹范围，减轻单独项目申报压力，从经费源头解决长效管护缺失问题。</w:t>
      </w:r>
    </w:p>
    <w:p w14:paraId="0A1C25E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25" w:name="heading_25"/>
      <w:r>
        <w:rPr>
          <w:rFonts w:hint="eastAsia"/>
          <w:sz w:val="29"/>
          <w:szCs w:val="29"/>
          <w:lang w:eastAsia="zh-CN"/>
        </w:rPr>
        <w:t>（二）</w:t>
      </w:r>
      <w:r>
        <w:rPr>
          <w:sz w:val="29"/>
          <w:szCs w:val="29"/>
        </w:rPr>
        <w:t>后续流域治理项目同步规划淤泥资源化处置方案</w:t>
      </w:r>
      <w:bookmarkEnd w:id="25"/>
    </w:p>
    <w:p w14:paraId="2CF02F8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2026年及今后㵲水、中小河流治理项目编制实施方案阶段，提前对接本地农业种植基地、建材生产企业，同步设计淤泥制肥、制砖资源化处置配套工艺，统筹配套处置场地、转运设施预算，实现清淤与资源化利用一体化实施，提升淤泥资源化利用率，减少填埋场地占用，同步释放生态、经济双重效益。在项目前期论证阶段增加资源化可行性专题分析，纳入方案评审硬性内容，避免仅采用单一填埋处置模式。</w:t>
      </w:r>
    </w:p>
    <w:p w14:paraId="48BA288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26" w:name="heading_26"/>
      <w:r>
        <w:rPr>
          <w:rFonts w:hint="eastAsia"/>
          <w:sz w:val="29"/>
          <w:szCs w:val="29"/>
          <w:lang w:eastAsia="zh-CN"/>
        </w:rPr>
        <w:t>（三）</w:t>
      </w:r>
      <w:r>
        <w:rPr>
          <w:sz w:val="29"/>
          <w:szCs w:val="29"/>
        </w:rPr>
        <w:t>优化城区河道项目施工组织方案，降低协调压力</w:t>
      </w:r>
      <w:bookmarkEnd w:id="26"/>
    </w:p>
    <w:p w14:paraId="309E790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后续城区滨水河道治理项目，前期勘测阶段同步摸排两岸居民小区、文旅点位分布，编制错峰施工专项方案，优先选用小型低噪音疏浚设备，分白天低噪音作业、夜间大型转运分区错峰；提前联合属地街道、社区开展施工告知、群众沟通，建立常态化群众诉求对接渠道，提前化解施工扰民潜在矛盾，压缩现场协调工作量，提升施工效率。</w:t>
      </w:r>
    </w:p>
    <w:p w14:paraId="76778B5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27" w:name="heading_27"/>
      <w:r>
        <w:rPr>
          <w:rFonts w:hint="eastAsia"/>
          <w:sz w:val="29"/>
          <w:szCs w:val="29"/>
          <w:lang w:eastAsia="zh-CN"/>
        </w:rPr>
        <w:t>（四）</w:t>
      </w:r>
      <w:r>
        <w:rPr>
          <w:sz w:val="29"/>
          <w:szCs w:val="29"/>
        </w:rPr>
        <w:t>健全㵲水主城区淤积动态监测长效机制</w:t>
      </w:r>
      <w:bookmarkEnd w:id="27"/>
    </w:p>
    <w:p w14:paraId="73DE227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严格落实项目形成的淤积监测工作模式，每年一季度、三季度分两次开展舞水河主城区河段淤积勘测，精准测算淤积厚度、淤积方量，建立淤积动态台账，根据监测数据提前研判治理需求，分年度储备整治项目，实现淤积隐患早发现、早处置，避免多年淤积集中形成大规模治理工程，平衡年度工程投入规模。</w:t>
      </w:r>
    </w:p>
    <w:p w14:paraId="765FA4C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</w:rPr>
      </w:pPr>
      <w:bookmarkStart w:id="28" w:name="heading_28"/>
      <w:r>
        <w:rPr>
          <w:rFonts w:hint="eastAsia"/>
          <w:sz w:val="29"/>
          <w:szCs w:val="29"/>
          <w:lang w:eastAsia="zh-CN"/>
        </w:rPr>
        <w:t>（五）</w:t>
      </w:r>
      <w:r>
        <w:rPr>
          <w:sz w:val="29"/>
          <w:szCs w:val="29"/>
        </w:rPr>
        <w:t>深化水岸联动日常管护机制，从源头减少淤积输入</w:t>
      </w:r>
      <w:bookmarkEnd w:id="28"/>
    </w:p>
    <w:p w14:paraId="1E60A6E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联合属地街道、社区、城管部门建立常态化河道保洁联动机制，落实沿岸生活垃圾、建筑垃圾常态化巡查清理，设置河道沿岸垃圾收集点位，减少外源垃圾、泥沙汇入河道，从源头减缓河床淤积速度，拉长集中清淤项目实施周期，节约长期财政治理投入。同步将水岸协同管护纳入年度河湖长制考核内容，压实属地日常管护责任。</w:t>
      </w:r>
    </w:p>
    <w:p w14:paraId="1B6475C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</w:rPr>
      </w:pPr>
      <w:bookmarkStart w:id="29" w:name="heading_29"/>
      <w:r>
        <w:rPr>
          <w:rFonts w:hint="eastAsia"/>
          <w:sz w:val="29"/>
          <w:szCs w:val="29"/>
          <w:lang w:eastAsia="zh-CN"/>
        </w:rPr>
        <w:t>七、</w:t>
      </w:r>
      <w:r>
        <w:rPr>
          <w:sz w:val="29"/>
          <w:szCs w:val="29"/>
        </w:rPr>
        <w:t>自评综合结论</w:t>
      </w:r>
      <w:bookmarkEnd w:id="29"/>
    </w:p>
    <w:p w14:paraId="065EFABE">
      <w:pPr>
        <w:pStyle w:val="11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2025年度舞水河清淤项目全年预算94.73万元，实际全额执行，预算执行率100％，资金全部用于项目批复清淤、淤泥处置、技术服务相关内容，财务核算规范，审批流程完整，无任何截留、挤占、挪用资金违规行为。项目严格按照立项批复方案组织实施，全部数量、质量、时效、成本产出指标超额或足额完成，防洪、生态、社会、可持续各项效益全面落地，服务对象满意度超出年度预期，圆满完成旅发大会水环境保障、㵲水城区段防洪与内源污染治理全部年度总体绩效目标，综合绩效自评得分100分，绩效等级优秀。</w:t>
      </w:r>
    </w:p>
    <w:p w14:paraId="6D8F5F75">
      <w:pPr>
        <w:pStyle w:val="11"/>
        <w:rPr>
          <w:rFonts w:ascii="Times New Roman" w:hAnsi="Times New Roman" w:eastAsia="仿宋_GB2312" w:cs="仿宋_GB2312"/>
          <w:color w:val="auto"/>
          <w:sz w:val="29"/>
          <w:szCs w:val="29"/>
        </w:rPr>
      </w:pPr>
      <w:r>
        <w:rPr>
          <w:rFonts w:ascii="Times New Roman" w:hAnsi="Times New Roman" w:eastAsia="仿宋_GB2312" w:cs="仿宋_GB2312"/>
          <w:color w:val="auto"/>
          <w:sz w:val="29"/>
          <w:szCs w:val="29"/>
        </w:rPr>
        <w:t>项目实施过程中形成的城区河道清淤标准化实施流程、水环境管控措施、多部门联合验收机制，可为全市同类城市水系治理项目提供成熟实践参考。针对长效管护经费不足、淤泥资源化不足、城区施工协调压力三类客观短板，已制定完整、可落地的2026年度整改及长效工作计划，将在后续水利项目规划、预算申报、工程实施环节逐项落实优化，持续提升同类水利专项财政资金综合使用效益，助力全市河湖长制、水生态治理、水安全保障工作高质量推进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59475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9901D8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EvjmXRAAAA&#10;BgEAAA8AAAAAAAAAAQAgAAAAIgAAAGRycy9kb3ducmV2LnhtbFBLAQIUABQAAAAIAIdO4kCNsDni&#10;6wEAANEDAAAOAAAAAAAAAAEAIAAAACABAABkcnMvZTJvRG9jLnhtbFBLBQYAAAAABgAGAFkBAAB9&#10;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9901D8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EF2A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094DDCF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xL45l0QAA&#10;AAYBAAAPAAAAAAAAAAEAIAAAACIAAABkcnMvZG93bnJldi54bWxQSwECFAAUAAAACACHTuJA+0dY&#10;1+wBAADRAwAADgAAAAAAAAABACAAAAAgAQAAZHJzL2Uyb0RvYy54bWxQSwUGAAAAAAYABgBZAQAA&#10;fg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3094DDCF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6C0F8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75AAC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6603E"/>
    <w:rsid w:val="43E970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1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8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9178</Words>
  <Characters>9402</Characters>
  <TotalTime>2</TotalTime>
  <ScaleCrop>false</ScaleCrop>
  <LinksUpToDate>false</LinksUpToDate>
  <CharactersWithSpaces>9419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2026-07-08T18:14:00Z</dcterms:created>
  <dc:creator>Apache POI</dc:creator>
  <cp:lastModifiedBy>超级豆丁</cp:lastModifiedBy>
  <dcterms:modified xsi:type="dcterms:W3CDTF">2026-07-08T21:17:03Z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{"Label":"1","ContentProducer":"001191110102MACQD9K64010000","ProduceID":"7660221955215756524","ReservedCode1":"","ContentPropagator":"","PropagateID":"","ReservedCode2":""}</vt:lpwstr>
  </property>
  <property fmtid="{D5CDD505-2E9C-101B-9397-08002B2CF9AE}" pid="3" name="KSOTemplateDocerSaveRecord">
    <vt:lpwstr>eyJoZGlkIjoiNTM3OGM4MGExNjA1Y2VjOGM0YjAxZmZlNzNhNGI2ODciLCJ1c2VySWQiOiIxNjQwNTUxMjk3In0=</vt:lpwstr>
  </property>
  <property fmtid="{D5CDD505-2E9C-101B-9397-08002B2CF9AE}" pid="4" name="KSOProductBuildVer">
    <vt:lpwstr>2052-12.1.0.26375</vt:lpwstr>
  </property>
  <property fmtid="{D5CDD505-2E9C-101B-9397-08002B2CF9AE}" pid="5" name="ICV">
    <vt:lpwstr>20984C51C7E646558E0CA723559100DE_13</vt:lpwstr>
  </property>
</Properties>
</file>