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06102">
      <w:pPr>
        <w:pStyle w:val="3"/>
        <w:spacing w:before="94" w:line="222" w:lineRule="auto"/>
        <w:ind w:left="114"/>
        <w:rPr>
          <w:rFonts w:ascii="黑体" w:hAnsi="黑体" w:eastAsia="黑体" w:cs="黑体"/>
          <w:spacing w:val="27"/>
          <w:sz w:val="32"/>
          <w:szCs w:val="32"/>
        </w:rPr>
      </w:pPr>
      <w:r>
        <w:rPr>
          <w:rFonts w:hint="eastAsia" w:ascii="黑体" w:hAnsi="黑体" w:eastAsia="黑体" w:cs="黑体"/>
          <w:spacing w:val="27"/>
          <w:sz w:val="32"/>
          <w:szCs w:val="32"/>
        </w:rPr>
        <w:t>附件2</w:t>
      </w:r>
    </w:p>
    <w:p w14:paraId="4301AF5A">
      <w:pPr>
        <w:spacing w:before="85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体支出绩效自评表</w:t>
      </w:r>
    </w:p>
    <w:tbl>
      <w:tblPr>
        <w:tblStyle w:val="9"/>
        <w:tblW w:w="97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133"/>
        <w:gridCol w:w="1167"/>
        <w:gridCol w:w="1230"/>
        <w:gridCol w:w="1135"/>
        <w:gridCol w:w="1166"/>
        <w:gridCol w:w="591"/>
        <w:gridCol w:w="1117"/>
        <w:gridCol w:w="904"/>
      </w:tblGrid>
      <w:tr w14:paraId="2FA13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00" w:type="dxa"/>
            <w:vAlign w:val="center"/>
          </w:tcPr>
          <w:p w14:paraId="20587C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预算部门</w:t>
            </w:r>
          </w:p>
          <w:p w14:paraId="68A943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名称</w:t>
            </w:r>
          </w:p>
        </w:tc>
        <w:tc>
          <w:tcPr>
            <w:tcW w:w="8443" w:type="dxa"/>
            <w:gridSpan w:val="8"/>
            <w:shd w:val="clear" w:color="auto" w:fill="auto"/>
            <w:vAlign w:val="center"/>
          </w:tcPr>
          <w:p w14:paraId="541054C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6D70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1F8A056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E68D36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02D2B0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99B62B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3879C2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年度预算申请(万元)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14:paraId="0CBF684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7E4E29E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54AEAA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F92ED2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全年预算数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4BEDD8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0ADC714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75D5AF3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0681D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6FDF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5BED4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60556BA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14:paraId="6408D68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776000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2393.70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703C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2799.62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3851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2751.61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27A9A35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25B30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114.95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%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36229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</w:p>
        </w:tc>
      </w:tr>
      <w:tr w14:paraId="22100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5D3FF6B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7066DB5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按收入性质分：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6B467FE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按支出性质分：</w:t>
            </w:r>
          </w:p>
        </w:tc>
      </w:tr>
      <w:tr w14:paraId="7BD9D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3CB5215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44B3E0C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其中：一般公共预算：2563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486AEB6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其中：基本支出：2549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</w:p>
        </w:tc>
      </w:tr>
      <w:tr w14:paraId="4BB7D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27B87B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6BDACB4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政府性基金拨款：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09C627A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项目支出：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201.76</w:t>
            </w:r>
          </w:p>
        </w:tc>
      </w:tr>
      <w:tr w14:paraId="104C2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62C41D5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7C185A5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纳入专户管理的非税收入拨款：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2A4BA90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</w:p>
        </w:tc>
      </w:tr>
      <w:tr w14:paraId="19D28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60C84E0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2919139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其他资金：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188.10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3D27036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</w:p>
        </w:tc>
      </w:tr>
      <w:tr w14:paraId="2EA98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35671D5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年度总体</w:t>
            </w:r>
          </w:p>
          <w:p w14:paraId="7CD7590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目标</w:t>
            </w:r>
          </w:p>
        </w:tc>
        <w:tc>
          <w:tcPr>
            <w:tcW w:w="4665" w:type="dxa"/>
            <w:gridSpan w:val="4"/>
            <w:vAlign w:val="center"/>
          </w:tcPr>
          <w:p w14:paraId="2852B00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预期目标</w:t>
            </w:r>
          </w:p>
        </w:tc>
        <w:tc>
          <w:tcPr>
            <w:tcW w:w="3778" w:type="dxa"/>
            <w:gridSpan w:val="4"/>
            <w:vAlign w:val="center"/>
          </w:tcPr>
          <w:p w14:paraId="219B0D9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实际完成情况</w:t>
            </w:r>
          </w:p>
        </w:tc>
      </w:tr>
      <w:tr w14:paraId="11034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1F5EF67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665" w:type="dxa"/>
            <w:gridSpan w:val="4"/>
            <w:shd w:val="clear" w:color="auto" w:fill="auto"/>
            <w:vAlign w:val="center"/>
          </w:tcPr>
          <w:p w14:paraId="5133A7C6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1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en-US"/>
              </w:rPr>
              <w:t>以保障水安全、服务高质量发展为核心，全面履行水资源管理、水利工程建设、水旱灾害防御、河湖生态保护、农村水利建设等法定职责。全年计划落实全口径水利建设投资35.38亿元，实施水利项目174个；新增供水能力1943万立方米，新增、恢复灌溉面积10.76万亩，改善灌溉面积31.53万亩，新增年节水能力1493万立方米，治理水土流失面积28平方公里。强化河湖长制落地，持续改善水环境质量，巩固提升农村饮水安全保障水平，筑牢水旱灾害防御底线，深化水利重点领域改革；确保9月底前所有项目开工建设，12月底前完成80%以上建设任务，纳入水利部考核的中央投资计划100%完成，全面支撑全市水安全、粮食安全与生态安全。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</w:tcPr>
          <w:p w14:paraId="51FDB314">
            <w:pP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  <w:t>2025年全市水利工作超额完成年度核心任务，水利投资建设创历史新高，水旱灾害防御夺取全面胜利，河湖生态治理成效显著，农村水利基础持续夯实，重点改革实现突破。全年落实水利建设资金41.31亿元，实施项目228个，超额完成省定40.4亿元投资目标；治理水土流失面积30平方公里，水土保持率提升至86.65%；成功应对11轮强降雨过程，实现大旱之年无大灾；49个国省控断面水质均达II类及以上，1-9月地表水水质排名全国地级城市第22位、全省第1位；农村自来水普及率提升至93.46%，水利基础设施支撑能力与行业治理效能全面提升，圆满完成第五届湖南省旅游发展大会水环境保障等重点任务，为现代化新怀化建设提供坚实水利支撑。</w:t>
            </w:r>
          </w:p>
        </w:tc>
      </w:tr>
      <w:tr w14:paraId="348A6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26BB0E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FE9B32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绩效指标</w:t>
            </w:r>
          </w:p>
        </w:tc>
        <w:tc>
          <w:tcPr>
            <w:tcW w:w="1133" w:type="dxa"/>
            <w:vAlign w:val="center"/>
          </w:tcPr>
          <w:p w14:paraId="29B195E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167" w:type="dxa"/>
            <w:vAlign w:val="center"/>
          </w:tcPr>
          <w:p w14:paraId="08D3D36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1230" w:type="dxa"/>
            <w:vAlign w:val="center"/>
          </w:tcPr>
          <w:p w14:paraId="4ED01D2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1135" w:type="dxa"/>
            <w:vAlign w:val="center"/>
          </w:tcPr>
          <w:p w14:paraId="4A19044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年度指标值</w:t>
            </w:r>
          </w:p>
        </w:tc>
        <w:tc>
          <w:tcPr>
            <w:tcW w:w="1166" w:type="dxa"/>
            <w:vAlign w:val="center"/>
          </w:tcPr>
          <w:p w14:paraId="1E1A50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实际完成值</w:t>
            </w:r>
          </w:p>
        </w:tc>
        <w:tc>
          <w:tcPr>
            <w:tcW w:w="591" w:type="dxa"/>
            <w:vAlign w:val="center"/>
          </w:tcPr>
          <w:p w14:paraId="5462A3E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1117" w:type="dxa"/>
            <w:textDirection w:val="tbRlV"/>
            <w:vAlign w:val="center"/>
          </w:tcPr>
          <w:p w14:paraId="35E8BF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  <w:tc>
          <w:tcPr>
            <w:tcW w:w="904" w:type="dxa"/>
            <w:vAlign w:val="center"/>
          </w:tcPr>
          <w:p w14:paraId="73F3E1F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偏差原因</w:t>
            </w:r>
          </w:p>
          <w:p w14:paraId="247F738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分析及</w:t>
            </w:r>
          </w:p>
          <w:p w14:paraId="185C69D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改进措施</w:t>
            </w:r>
          </w:p>
        </w:tc>
      </w:tr>
      <w:tr w14:paraId="1408B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C8DA1B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00AAFC1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BD080C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CD6350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成本指标</w:t>
            </w:r>
          </w:p>
        </w:tc>
        <w:tc>
          <w:tcPr>
            <w:tcW w:w="1167" w:type="dxa"/>
            <w:vMerge w:val="restart"/>
            <w:vAlign w:val="center"/>
          </w:tcPr>
          <w:p w14:paraId="5D28BD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经济成本</w:t>
            </w:r>
          </w:p>
          <w:p w14:paraId="675E209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43415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部门整体资金成本管控水平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57FC8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≥2799.62万元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DA750E0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2751.61万元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14:paraId="537511E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14:paraId="559B5A4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4" w:type="dxa"/>
            <w:vMerge w:val="restart"/>
            <w:vAlign w:val="center"/>
          </w:tcPr>
          <w:p w14:paraId="5A30C1F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120A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D35C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vAlign w:val="center"/>
          </w:tcPr>
          <w:p w14:paraId="31BD4AD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vMerge w:val="continue"/>
            <w:tcBorders>
              <w:bottom w:val="nil"/>
            </w:tcBorders>
            <w:vAlign w:val="center"/>
          </w:tcPr>
          <w:p w14:paraId="6C866F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B08428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水利项目单位投资管控标准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64158F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水利工程、规划编制、河湖治理类项目严格执行概算，杜绝超概算、重复投入。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CCFA1CF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舞水河太平溪清淤项目严格按3194.42万元概算实施，各规划编制、河湖健康评价项目均在预算内落地，无超概算建设、重复投入情况。</w:t>
            </w:r>
          </w:p>
        </w:tc>
        <w:tc>
          <w:tcPr>
            <w:tcW w:w="591" w:type="dxa"/>
            <w:vMerge w:val="continue"/>
            <w:shd w:val="clear" w:color="auto" w:fill="auto"/>
            <w:vAlign w:val="center"/>
          </w:tcPr>
          <w:p w14:paraId="4B6414F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 w14:paraId="1590898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76355CC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CBE5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7FF6F2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2372FB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346952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社会成本</w:t>
            </w:r>
          </w:p>
          <w:p w14:paraId="36FC0E3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E2AEB8A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涉水项目群众矛盾、信访纠纷管控数量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494D0B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全年涉水工程、河湖整治、征地拆迁引发群众信访纠纷控制在10件以内，无群体性上访事件。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CC2765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全年河湖清淤、中小河流治理、农村水利项目施工协调有序，涉水信访共4件，无群体性上访，群众协调处置成本可控。</w:t>
            </w:r>
          </w:p>
        </w:tc>
        <w:tc>
          <w:tcPr>
            <w:tcW w:w="591" w:type="dxa"/>
            <w:vAlign w:val="center"/>
          </w:tcPr>
          <w:p w14:paraId="0B2AC1F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117" w:type="dxa"/>
            <w:vAlign w:val="center"/>
          </w:tcPr>
          <w:p w14:paraId="311E16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904" w:type="dxa"/>
            <w:vAlign w:val="center"/>
          </w:tcPr>
          <w:p w14:paraId="754882C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B5B0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B7E50B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08AA6E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665F7B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生态成本</w:t>
            </w:r>
          </w:p>
          <w:p w14:paraId="186890D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C6780EC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水利工程施工生态负面影响程度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6581227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河道清淤、工程建设期间无水体大面积污染、渣土乱堆等生态破坏问题，淤泥100%无害化处置。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8C7EC4D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太平溪3.3公里清淤工程淤泥全部转运合规填埋场处置，施工配套沉淀池、截污设施，全年未发生施工造成水体污染投诉，生态负面影响可控。</w:t>
            </w:r>
          </w:p>
        </w:tc>
        <w:tc>
          <w:tcPr>
            <w:tcW w:w="591" w:type="dxa"/>
            <w:vAlign w:val="center"/>
          </w:tcPr>
          <w:p w14:paraId="635F190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17" w:type="dxa"/>
            <w:vAlign w:val="center"/>
          </w:tcPr>
          <w:p w14:paraId="3DBDC65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04" w:type="dxa"/>
            <w:vAlign w:val="center"/>
          </w:tcPr>
          <w:p w14:paraId="63A48A4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13FA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79E705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1BB3BB7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180A54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ED2603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产出指标</w:t>
            </w:r>
          </w:p>
        </w:tc>
        <w:tc>
          <w:tcPr>
            <w:tcW w:w="1167" w:type="dxa"/>
            <w:vMerge w:val="restart"/>
            <w:vAlign w:val="center"/>
          </w:tcPr>
          <w:p w14:paraId="030B53B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数量</w:t>
            </w:r>
          </w:p>
          <w:p w14:paraId="35B6871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0C67EC2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全年水利建设投资及实施项目数量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EDE9F0C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落实全口径水利建设投资35.38亿元，实施水利项目不少于174个。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A8A80A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全年落实水利建设资金41.31亿元，实施各类水利项目228个，超额完成投资与项目数量目标。</w:t>
            </w:r>
          </w:p>
        </w:tc>
        <w:tc>
          <w:tcPr>
            <w:tcW w:w="591" w:type="dxa"/>
            <w:vMerge w:val="restart"/>
            <w:vAlign w:val="center"/>
          </w:tcPr>
          <w:p w14:paraId="6904EEA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117" w:type="dxa"/>
            <w:vMerge w:val="restart"/>
            <w:vAlign w:val="center"/>
          </w:tcPr>
          <w:p w14:paraId="5659D0B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904" w:type="dxa"/>
            <w:vMerge w:val="restart"/>
            <w:vAlign w:val="center"/>
          </w:tcPr>
          <w:p w14:paraId="3B581D9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E6C8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11866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940286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vMerge w:val="continue"/>
            <w:vAlign w:val="center"/>
          </w:tcPr>
          <w:p w14:paraId="408D643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70BC7255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年度水土流失治理面积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C5F9FD1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≤28平方公里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6B26F8A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全年完成水土流失治理面积30平方公里，全市水土保持率提升至86.65%。</w:t>
            </w:r>
          </w:p>
        </w:tc>
        <w:tc>
          <w:tcPr>
            <w:tcW w:w="591" w:type="dxa"/>
            <w:vMerge w:val="continue"/>
            <w:vAlign w:val="center"/>
          </w:tcPr>
          <w:p w14:paraId="0DCE792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vMerge w:val="continue"/>
            <w:vAlign w:val="center"/>
          </w:tcPr>
          <w:p w14:paraId="270A23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472193C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AE61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7E81E2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1A9BA1F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vMerge w:val="continue"/>
            <w:vAlign w:val="center"/>
          </w:tcPr>
          <w:p w14:paraId="442D146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FCDEFA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河湖健康评价完成河流条数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05A384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完成辖区重点河湖健康评价任务，按省要求完成既定河流建档。完成不少于200条河流健康评价及建档。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C4F184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高质量完成246个河流健康评价与建档，完成数量全省第一，全部上报水利部并审核通过。</w:t>
            </w:r>
          </w:p>
        </w:tc>
        <w:tc>
          <w:tcPr>
            <w:tcW w:w="591" w:type="dxa"/>
            <w:vMerge w:val="continue"/>
            <w:vAlign w:val="center"/>
          </w:tcPr>
          <w:p w14:paraId="2DD7D0A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vMerge w:val="continue"/>
            <w:vAlign w:val="center"/>
          </w:tcPr>
          <w:p w14:paraId="0FA6C77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3E460C5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19A4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04651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7F61FFE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center"/>
          </w:tcPr>
          <w:p w14:paraId="5E5684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质量</w:t>
            </w:r>
          </w:p>
          <w:p w14:paraId="486EB6E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EB4163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水利工程完工验收合格率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C3CAA0D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EF6785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591" w:type="dxa"/>
            <w:vMerge w:val="restart"/>
            <w:vAlign w:val="center"/>
          </w:tcPr>
          <w:p w14:paraId="7F2B705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117" w:type="dxa"/>
            <w:vMerge w:val="restart"/>
            <w:vAlign w:val="center"/>
          </w:tcPr>
          <w:p w14:paraId="1BF2B69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904" w:type="dxa"/>
            <w:vMerge w:val="restart"/>
            <w:vAlign w:val="center"/>
          </w:tcPr>
          <w:p w14:paraId="34B3D83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 w14:paraId="1AAE0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820164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2279ACA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vMerge w:val="continue"/>
            <w:vAlign w:val="center"/>
          </w:tcPr>
          <w:p w14:paraId="06D8FC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0C3EA17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国省控地表水断面水质达标率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67FC8D3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全市49个国省控断面全年稳定达标，水质维持Ⅲ类及以上。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A0345C1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49个国省控断面全年水质均达到Ⅱ类及以上，1-9月地表水水质排名全国地级城市第22位、全省第1位。</w:t>
            </w:r>
          </w:p>
        </w:tc>
        <w:tc>
          <w:tcPr>
            <w:tcW w:w="591" w:type="dxa"/>
            <w:vMerge w:val="continue"/>
            <w:vAlign w:val="center"/>
          </w:tcPr>
          <w:p w14:paraId="702E834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17" w:type="dxa"/>
            <w:vMerge w:val="continue"/>
            <w:vAlign w:val="center"/>
          </w:tcPr>
          <w:p w14:paraId="1732ECD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561C088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 w14:paraId="290AC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F17A5B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3CC467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0851453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时效</w:t>
            </w:r>
          </w:p>
          <w:p w14:paraId="5922460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指标</w:t>
            </w:r>
          </w:p>
        </w:tc>
        <w:tc>
          <w:tcPr>
            <w:tcW w:w="1230" w:type="dxa"/>
            <w:vAlign w:val="center"/>
          </w:tcPr>
          <w:p w14:paraId="78B12F5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完成及时性</w:t>
            </w:r>
          </w:p>
        </w:tc>
        <w:tc>
          <w:tcPr>
            <w:tcW w:w="1135" w:type="dxa"/>
            <w:vAlign w:val="center"/>
          </w:tcPr>
          <w:p w14:paraId="0C24DA2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年12月31日前</w:t>
            </w:r>
          </w:p>
        </w:tc>
        <w:tc>
          <w:tcPr>
            <w:tcW w:w="1166" w:type="dxa"/>
            <w:vAlign w:val="center"/>
          </w:tcPr>
          <w:p w14:paraId="0AF16B2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年12月31日前</w:t>
            </w:r>
          </w:p>
        </w:tc>
        <w:tc>
          <w:tcPr>
            <w:tcW w:w="591" w:type="dxa"/>
            <w:vAlign w:val="center"/>
          </w:tcPr>
          <w:p w14:paraId="5FD6B11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117" w:type="dxa"/>
            <w:vAlign w:val="center"/>
          </w:tcPr>
          <w:p w14:paraId="1A779D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904" w:type="dxa"/>
            <w:vAlign w:val="center"/>
          </w:tcPr>
          <w:p w14:paraId="4DBD4BB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6233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90725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625D794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ADEAEC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18A4E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40C579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效益指标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6C7C925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经济效</w:t>
            </w:r>
          </w:p>
          <w:p w14:paraId="31EC41F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4405E8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灌溉农业增收、涉水产业带动效益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9339CF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4F6366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151D3A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17" w:type="dxa"/>
            <w:vAlign w:val="center"/>
          </w:tcPr>
          <w:p w14:paraId="39BD5EE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04" w:type="dxa"/>
            <w:vAlign w:val="center"/>
          </w:tcPr>
          <w:p w14:paraId="26FA5C1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D24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EB4F0E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554B75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05233C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社会效</w:t>
            </w:r>
          </w:p>
          <w:p w14:paraId="045A533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AB91304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水安全保障与民生水利惠及成效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A12205C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D055E22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7C5B05E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17" w:type="dxa"/>
            <w:vAlign w:val="center"/>
          </w:tcPr>
          <w:p w14:paraId="748DE9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04" w:type="dxa"/>
            <w:vAlign w:val="center"/>
          </w:tcPr>
          <w:p w14:paraId="7DA67C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D081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F90379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7C2BF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346688E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生态效</w:t>
            </w:r>
          </w:p>
          <w:p w14:paraId="448BAE3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844D7C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河湖生态修复、流域污染削减成效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85EA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F17A1D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50F012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17" w:type="dxa"/>
            <w:vAlign w:val="center"/>
          </w:tcPr>
          <w:p w14:paraId="1CD114A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04" w:type="dxa"/>
            <w:vAlign w:val="center"/>
          </w:tcPr>
          <w:p w14:paraId="7DCEDC1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F00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066C92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37F0B61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146BC35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可持续影响指标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0AAB26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水利长效发展支撑能力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D2EE65F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CB1E029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76A492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117" w:type="dxa"/>
            <w:vAlign w:val="center"/>
          </w:tcPr>
          <w:p w14:paraId="5CDA195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04" w:type="dxa"/>
            <w:vAlign w:val="center"/>
          </w:tcPr>
          <w:p w14:paraId="0ACA2D9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5585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61BE6D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3BC7335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满意度指标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53FCB16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服务对象满意度指标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0A1FAE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水利工作综合服务对象满意度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E8DF2D5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126D2EA">
            <w:pPr>
              <w:jc w:val="center"/>
              <w:rPr>
                <w:rFonts w:hint="eastAsia" w:ascii="仿宋" w:hAnsi="仿宋" w:eastAsia="仿宋" w:cs="仿宋"/>
                <w:snapToGrid w:val="0"/>
                <w:color w:val="1F2329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0%</w:t>
            </w:r>
          </w:p>
        </w:tc>
        <w:tc>
          <w:tcPr>
            <w:tcW w:w="591" w:type="dxa"/>
            <w:vAlign w:val="center"/>
          </w:tcPr>
          <w:p w14:paraId="1D5530C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117" w:type="dxa"/>
            <w:vAlign w:val="center"/>
          </w:tcPr>
          <w:p w14:paraId="6855D9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904" w:type="dxa"/>
            <w:vAlign w:val="center"/>
          </w:tcPr>
          <w:p w14:paraId="3F1A4E5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C64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7131" w:type="dxa"/>
            <w:gridSpan w:val="6"/>
            <w:vAlign w:val="center"/>
          </w:tcPr>
          <w:p w14:paraId="28B7CA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总分</w:t>
            </w:r>
          </w:p>
        </w:tc>
        <w:tc>
          <w:tcPr>
            <w:tcW w:w="591" w:type="dxa"/>
            <w:vAlign w:val="center"/>
          </w:tcPr>
          <w:p w14:paraId="09E3723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</w:t>
            </w:r>
          </w:p>
        </w:tc>
        <w:tc>
          <w:tcPr>
            <w:tcW w:w="1117" w:type="dxa"/>
            <w:vAlign w:val="center"/>
          </w:tcPr>
          <w:p w14:paraId="29012AC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904" w:type="dxa"/>
            <w:vAlign w:val="center"/>
          </w:tcPr>
          <w:p w14:paraId="73575CB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2D99726"/>
    <w:p w14:paraId="403FAB84">
      <w:pPr>
        <w:pStyle w:val="15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6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6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6"/>
          <w:rFonts w:hint="eastAsia" w:ascii="仿宋" w:hAnsi="仿宋" w:eastAsia="仿宋"/>
          <w:w w:val="100"/>
        </w:rPr>
        <w:t>/6/2</w:t>
      </w:r>
      <w:r>
        <w:rPr>
          <w:rStyle w:val="16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6"/>
          <w:rFonts w:hint="eastAsia" w:ascii="仿宋" w:hAnsi="仿宋" w:eastAsia="仿宋"/>
          <w:w w:val="100"/>
        </w:rPr>
        <w:t xml:space="preserve">       联系电话：2715284</w:t>
      </w:r>
    </w:p>
    <w:p w14:paraId="6CB761D0">
      <w:pPr>
        <w:rPr>
          <w:w w:val="1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43C61F-8305-4238-9D13-81BE26DCF0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EBD0FD3-EDC8-47EE-9488-EC411C84A8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C1B3985-0C4C-439E-B9BA-6D893B0322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BB361C1"/>
    <w:rsid w:val="000D4CB8"/>
    <w:rsid w:val="001B19C0"/>
    <w:rsid w:val="00217216"/>
    <w:rsid w:val="003535FA"/>
    <w:rsid w:val="004D5330"/>
    <w:rsid w:val="005F4DAF"/>
    <w:rsid w:val="00610913"/>
    <w:rsid w:val="00651041"/>
    <w:rsid w:val="00694CF0"/>
    <w:rsid w:val="00745E19"/>
    <w:rsid w:val="008504BD"/>
    <w:rsid w:val="00916C5D"/>
    <w:rsid w:val="00B61ED6"/>
    <w:rsid w:val="00BB7092"/>
    <w:rsid w:val="00D00488"/>
    <w:rsid w:val="00D87F77"/>
    <w:rsid w:val="00DE4A81"/>
    <w:rsid w:val="00DF1E00"/>
    <w:rsid w:val="00FA5D89"/>
    <w:rsid w:val="00FE4B6D"/>
    <w:rsid w:val="026E0D82"/>
    <w:rsid w:val="04FF212C"/>
    <w:rsid w:val="05814D5D"/>
    <w:rsid w:val="0BB361C1"/>
    <w:rsid w:val="0C2753E3"/>
    <w:rsid w:val="15EC3E4A"/>
    <w:rsid w:val="161F43DC"/>
    <w:rsid w:val="18514EC3"/>
    <w:rsid w:val="1F747FD2"/>
    <w:rsid w:val="1FEC17CF"/>
    <w:rsid w:val="27572CB4"/>
    <w:rsid w:val="29B55BD2"/>
    <w:rsid w:val="2A4F43BA"/>
    <w:rsid w:val="2C5D75B5"/>
    <w:rsid w:val="2F906A3D"/>
    <w:rsid w:val="2FAA0D63"/>
    <w:rsid w:val="3A4D6F0E"/>
    <w:rsid w:val="3D712EC0"/>
    <w:rsid w:val="3DC6468C"/>
    <w:rsid w:val="46717A8D"/>
    <w:rsid w:val="4C211F55"/>
    <w:rsid w:val="4C962323"/>
    <w:rsid w:val="4E2875CB"/>
    <w:rsid w:val="50792360"/>
    <w:rsid w:val="50F929D4"/>
    <w:rsid w:val="5B4D13C0"/>
    <w:rsid w:val="5C073DF9"/>
    <w:rsid w:val="5DA02614"/>
    <w:rsid w:val="65991E30"/>
    <w:rsid w:val="67834660"/>
    <w:rsid w:val="69A74E48"/>
    <w:rsid w:val="70713368"/>
    <w:rsid w:val="71A54719"/>
    <w:rsid w:val="71B9255D"/>
    <w:rsid w:val="71BB1392"/>
    <w:rsid w:val="783B6F85"/>
    <w:rsid w:val="79A82284"/>
    <w:rsid w:val="7D2F4EE5"/>
    <w:rsid w:val="7D6A07B6"/>
    <w:rsid w:val="7ED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link w:val="14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hAnsi="宋体" w:eastAsia="宋体" w:cs="宋体"/>
      <w:b/>
      <w:bCs/>
      <w:snapToGrid/>
      <w:color w:val="auto"/>
      <w:sz w:val="27"/>
      <w:szCs w:val="27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  <w:style w:type="character" w:customStyle="1" w:styleId="11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MSG_EN_FONT_STYLE_NAME_TEMPLATE_ROLE_NUMBER MSG_EN_FONT_STYLE_NAME_BY_ROLE_TEXT 2 + MSG_EN_FONT_STYLE_MODIFER_SIZE 9"/>
    <w:basedOn w:val="7"/>
    <w:qFormat/>
    <w:uiPriority w:val="0"/>
    <w:rPr>
      <w:rFonts w:ascii="宋体" w:hAnsi="宋体" w:eastAsia="宋体" w:cs="宋体"/>
      <w:color w:val="000000"/>
      <w:spacing w:val="1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character" w:customStyle="1" w:styleId="14">
    <w:name w:val="标题 3 Char"/>
    <w:basedOn w:val="7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customStyle="1" w:styleId="15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6">
    <w:name w:val="MSG_EN_FONT_STYLE_NAME_TEMPLATE_ROLE_NUMBER MSG_EN_FONT_STYLE_NAME_BY_ROLE_TEXT 7 Exact"/>
    <w:basedOn w:val="7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1689</Words>
  <Characters>1885</Characters>
  <Lines>3</Lines>
  <Paragraphs>2</Paragraphs>
  <TotalTime>0</TotalTime>
  <ScaleCrop>false</ScaleCrop>
  <LinksUpToDate>false</LinksUpToDate>
  <CharactersWithSpaces>1902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2025-06-23T12:11:00Z</dcterms:created>
  <dc:creator>Yiaree</dc:creator>
  <cp:lastModifiedBy>超级豆丁</cp:lastModifiedBy>
  <dcterms:modified xsi:type="dcterms:W3CDTF">2026-07-08T20:58:52Z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8EFFD05FF7FC4B9596DBEEB4B7469D0F_11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