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8B57B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附件5</w:t>
      </w:r>
    </w:p>
    <w:p w14:paraId="3D34497D">
      <w:pPr>
        <w:pStyle w:val="8"/>
        <w:widowControl/>
        <w:shd w:val="clear" w:color="auto" w:fill="FFFFFF"/>
        <w:spacing w:beforeAutospacing="0" w:afterAutospacing="0" w:line="480" w:lineRule="exact"/>
        <w:ind w:firstLine="607"/>
        <w:jc w:val="both"/>
        <w:rPr>
          <w:rFonts w:ascii="方正小标宋_GBK" w:hAnsi="方正小标宋_GBK" w:eastAsia="方正小标宋_GBK" w:cs="方正小标宋_GBK"/>
          <w:color w:val="000000"/>
          <w:shd w:val="clear" w:color="auto" w:fill="FFFFFF"/>
        </w:rPr>
      </w:pPr>
    </w:p>
    <w:p w14:paraId="33812136">
      <w:pPr>
        <w:pStyle w:val="8"/>
        <w:widowControl/>
        <w:shd w:val="clear" w:color="auto" w:fill="FFFFFF"/>
        <w:spacing w:beforeAutospacing="0" w:afterAutospacing="0" w:line="480" w:lineRule="exact"/>
        <w:ind w:firstLine="607"/>
        <w:jc w:val="both"/>
        <w:rPr>
          <w:rFonts w:ascii="方正小标宋_GBK" w:hAnsi="方正小标宋_GBK" w:eastAsia="方正小标宋_GBK" w:cs="方正小标宋_GBK"/>
          <w:color w:val="000000"/>
          <w:shd w:val="clear" w:color="auto" w:fill="FFFFFF"/>
        </w:rPr>
      </w:pPr>
    </w:p>
    <w:p w14:paraId="07257B52">
      <w:pPr>
        <w:pStyle w:val="8"/>
        <w:widowControl/>
        <w:shd w:val="clear" w:color="auto" w:fill="FFFFFF"/>
        <w:spacing w:beforeAutospacing="0" w:afterAutospacing="0" w:line="480" w:lineRule="exact"/>
        <w:ind w:firstLine="607"/>
        <w:jc w:val="both"/>
        <w:rPr>
          <w:rFonts w:ascii="方正小标宋_GBK" w:hAnsi="方正小标宋_GBK" w:eastAsia="方正小标宋_GBK" w:cs="方正小标宋_GBK"/>
          <w:color w:val="000000"/>
          <w:shd w:val="clear" w:color="auto" w:fill="FFFFFF"/>
        </w:rPr>
      </w:pPr>
    </w:p>
    <w:p w14:paraId="6BFE6A48">
      <w:pPr>
        <w:pStyle w:val="8"/>
        <w:widowControl/>
        <w:shd w:val="clear" w:color="auto" w:fill="FFFFFF"/>
        <w:spacing w:beforeAutospacing="0" w:afterAutospacing="0" w:line="480" w:lineRule="auto"/>
        <w:ind w:firstLine="1118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怀化市水利局</w:t>
      </w:r>
    </w:p>
    <w:p w14:paraId="1606AE0C">
      <w:pPr>
        <w:pStyle w:val="8"/>
        <w:widowControl/>
        <w:shd w:val="clear" w:color="auto" w:fill="FFFFFF"/>
        <w:spacing w:beforeAutospacing="0" w:afterAutospacing="0" w:line="480" w:lineRule="auto"/>
        <w:ind w:firstLine="1118"/>
        <w:jc w:val="center"/>
        <w:rPr>
          <w:rFonts w:ascii="仿宋" w:hAnsi="仿宋" w:eastAsia="仿宋" w:cs="仿宋"/>
          <w:b/>
          <w:bCs/>
          <w:kern w:val="2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2024年度</w:t>
      </w:r>
      <w:r>
        <w:rPr>
          <w:rFonts w:hint="eastAsia" w:ascii="仿宋" w:hAnsi="仿宋" w:eastAsia="仿宋" w:cs="仿宋"/>
          <w:b/>
          <w:bCs/>
          <w:kern w:val="2"/>
          <w:sz w:val="44"/>
          <w:szCs w:val="44"/>
        </w:rPr>
        <w:t>整体支出绩效自评报告</w:t>
      </w:r>
    </w:p>
    <w:p w14:paraId="7EF37756">
      <w:pPr>
        <w:pStyle w:val="8"/>
        <w:widowControl/>
        <w:shd w:val="clear" w:color="auto" w:fill="FFFFFF"/>
        <w:spacing w:beforeAutospacing="0" w:afterAutospacing="0" w:line="480" w:lineRule="auto"/>
        <w:ind w:firstLine="1200" w:firstLineChars="300"/>
        <w:jc w:val="both"/>
        <w:rPr>
          <w:rFonts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</w:pPr>
    </w:p>
    <w:p w14:paraId="6C9743C5">
      <w:pPr>
        <w:pStyle w:val="8"/>
        <w:widowControl/>
        <w:shd w:val="clear" w:color="auto" w:fill="FFFFFF"/>
        <w:spacing w:beforeAutospacing="0" w:afterAutospacing="0" w:line="480" w:lineRule="exact"/>
        <w:ind w:firstLine="1200" w:firstLineChars="300"/>
        <w:jc w:val="both"/>
        <w:rPr>
          <w:rFonts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</w:pPr>
    </w:p>
    <w:p w14:paraId="75AEE942">
      <w:pPr>
        <w:pStyle w:val="8"/>
        <w:widowControl/>
        <w:shd w:val="clear" w:color="auto" w:fill="FFFFFF"/>
        <w:spacing w:beforeAutospacing="0" w:afterAutospacing="0" w:line="480" w:lineRule="exact"/>
        <w:ind w:firstLine="1200" w:firstLineChars="300"/>
        <w:jc w:val="both"/>
        <w:rPr>
          <w:rFonts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</w:pPr>
    </w:p>
    <w:p w14:paraId="74FCC331">
      <w:pPr>
        <w:pStyle w:val="8"/>
        <w:widowControl/>
        <w:shd w:val="clear" w:color="auto" w:fill="FFFFFF"/>
        <w:spacing w:beforeAutospacing="0" w:afterAutospacing="0" w:line="480" w:lineRule="exact"/>
        <w:ind w:firstLine="1200" w:firstLineChars="300"/>
        <w:jc w:val="both"/>
        <w:rPr>
          <w:rFonts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</w:pPr>
    </w:p>
    <w:p w14:paraId="5823BF56">
      <w:pPr>
        <w:pStyle w:val="8"/>
        <w:widowControl/>
        <w:shd w:val="clear" w:color="auto" w:fill="FFFFFF"/>
        <w:spacing w:beforeAutospacing="0" w:afterAutospacing="0" w:line="480" w:lineRule="exact"/>
        <w:ind w:firstLine="1200" w:firstLineChars="300"/>
        <w:jc w:val="both"/>
        <w:rPr>
          <w:rFonts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</w:pPr>
    </w:p>
    <w:p w14:paraId="2A6DCBED">
      <w:pPr>
        <w:pStyle w:val="8"/>
        <w:widowControl/>
        <w:shd w:val="clear" w:color="auto" w:fill="FFFFFF"/>
        <w:spacing w:beforeAutospacing="0" w:afterAutospacing="0" w:line="480" w:lineRule="exact"/>
        <w:ind w:firstLine="1200" w:firstLineChars="300"/>
        <w:jc w:val="both"/>
        <w:rPr>
          <w:rFonts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</w:pPr>
    </w:p>
    <w:p w14:paraId="049FD6E3">
      <w:pPr>
        <w:pStyle w:val="8"/>
        <w:widowControl/>
        <w:shd w:val="clear" w:color="auto" w:fill="FFFFFF"/>
        <w:spacing w:beforeAutospacing="0" w:afterAutospacing="0" w:line="480" w:lineRule="exact"/>
        <w:ind w:firstLine="1200" w:firstLineChars="300"/>
        <w:jc w:val="both"/>
        <w:rPr>
          <w:rFonts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</w:pPr>
    </w:p>
    <w:p w14:paraId="299391E3">
      <w:pPr>
        <w:pStyle w:val="8"/>
        <w:widowControl/>
        <w:shd w:val="clear" w:color="auto" w:fill="FFFFFF"/>
        <w:spacing w:beforeAutospacing="0" w:afterAutospacing="0" w:line="480" w:lineRule="exact"/>
        <w:ind w:firstLine="1200" w:firstLineChars="300"/>
        <w:jc w:val="both"/>
        <w:rPr>
          <w:rFonts w:ascii="方正小标宋_GBK" w:hAnsi="方正小标宋_GBK" w:eastAsia="方正小标宋_GBK" w:cs="方正小标宋_GBK"/>
          <w:color w:val="000000"/>
          <w:sz w:val="40"/>
          <w:szCs w:val="40"/>
          <w:shd w:val="clear" w:color="auto" w:fill="FFFFFF"/>
        </w:rPr>
      </w:pPr>
    </w:p>
    <w:p w14:paraId="2FAC8AE3">
      <w:pPr>
        <w:spacing w:line="360" w:lineRule="auto"/>
        <w:ind w:firstLine="2560" w:firstLineChars="8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（盖章）</w:t>
      </w:r>
    </w:p>
    <w:p w14:paraId="484923A1">
      <w:pPr>
        <w:spacing w:line="360" w:lineRule="auto"/>
        <w:ind w:firstLine="3200" w:firstLineChars="1000"/>
        <w:rPr>
          <w:rFonts w:ascii="仿宋" w:hAnsi="仿宋" w:eastAsia="仿宋" w:cs="仿宋"/>
          <w:sz w:val="32"/>
          <w:szCs w:val="32"/>
        </w:rPr>
      </w:pPr>
    </w:p>
    <w:p w14:paraId="5168CF68">
      <w:pPr>
        <w:spacing w:line="360" w:lineRule="auto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2024年6月20日</w:t>
      </w:r>
    </w:p>
    <w:p w14:paraId="6ED72C83">
      <w:pPr>
        <w:spacing w:line="360" w:lineRule="auto"/>
        <w:ind w:firstLine="810"/>
        <w:jc w:val="center"/>
        <w:rPr>
          <w:rFonts w:ascii="仿宋" w:hAnsi="仿宋" w:eastAsia="仿宋" w:cs="仿宋"/>
          <w:sz w:val="32"/>
          <w:szCs w:val="32"/>
        </w:rPr>
      </w:pPr>
    </w:p>
    <w:p w14:paraId="33496D99">
      <w:pPr>
        <w:pStyle w:val="8"/>
        <w:widowControl/>
        <w:shd w:val="clear" w:color="auto" w:fill="FFFFFF"/>
        <w:spacing w:beforeAutospacing="0" w:afterAutospacing="0" w:line="480" w:lineRule="exact"/>
        <w:ind w:firstLine="960" w:firstLineChars="3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（此页为封面）</w:t>
      </w:r>
    </w:p>
    <w:p w14:paraId="25D3D996">
      <w:pPr>
        <w:widowControl/>
        <w:ind w:firstLine="81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3A8001C2">
      <w:pPr>
        <w:spacing w:line="480" w:lineRule="auto"/>
        <w:ind w:firstLine="1118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怀化市水利局</w:t>
      </w:r>
    </w:p>
    <w:p w14:paraId="607289FD">
      <w:pPr>
        <w:spacing w:line="480" w:lineRule="auto"/>
        <w:ind w:firstLine="1118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ascii="仿宋" w:hAnsi="仿宋" w:eastAsia="仿宋" w:cs="仿宋"/>
          <w:b/>
          <w:bCs/>
          <w:sz w:val="44"/>
          <w:szCs w:val="44"/>
        </w:rPr>
        <w:t>2024年度整体支出绩效自评报告</w:t>
      </w:r>
    </w:p>
    <w:p w14:paraId="0847FD2E">
      <w:pPr>
        <w:rPr>
          <w:rFonts w:hint="eastAsia"/>
        </w:rPr>
      </w:pPr>
    </w:p>
    <w:p w14:paraId="6533F67E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一、部门概况</w:t>
      </w:r>
    </w:p>
    <w:p w14:paraId="75FBEAFC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（一）部门（单位）基本情况</w:t>
      </w:r>
    </w:p>
    <w:p w14:paraId="096DE2CE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怀化市水利局是市政府工作部门，承担全市水资源管理、水利工程建设、防汛抗旱、河湖生态保护等职责。根据“三定”方案，内设办公室、水利规划科技与建设科、人事财务科等9个内设机构，负责拟订水利政策规划、实施水资源统一监管、推进水利工程建设与管理、组织防汛抗旱、落实河长制等工作。2024年，部门财政供养人员编制数112人，实际在职人数109人，控制率97.32%，人员配置符合编制管理要求。</w:t>
      </w:r>
    </w:p>
    <w:p w14:paraId="3DAAA3DC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（二）部门（单位）整体支出规模、使用方向和主要内容、涉及范围等</w:t>
      </w:r>
    </w:p>
    <w:p w14:paraId="174DF263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2024年，怀化市水利局整体支出预算数2350.53万元，全年预算数2883.79万元，实际执行数2883.79万元，执行率100%。其中，一般公共预算支出2675.32万元，其他资金208.47万元。</w:t>
      </w:r>
    </w:p>
    <w:p w14:paraId="41E7FB8B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支出使用方向涵盖基本支出和项目支出两大类别。基本支出主要用于保障部门正常运转，包括人员工资、津贴补贴、办公费、水电费、差旅费等；项目支出聚焦水利业务开展，涉及水资源保护、水土保持监管、河道采砂规划编制、水利工程质量监督、灌溉试验站维修养护、河湖健康评价、防汛抗灾等领域。</w:t>
      </w:r>
    </w:p>
    <w:p w14:paraId="7BCF939F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</w:p>
    <w:p w14:paraId="55A5F54A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涉及范围覆盖全市13个县（市、区），具体包括：水利建设投资落实与项目实施，惠及农业灌溉、城乡供水；防汛抗灾工作保障沿岸群众生命财产安全；河湖生态管理覆盖主要流域及586条山区河湖；农村水利项目服务36.6万农村人口饮水安全等，全面支撑全市水安全、粮食安全和生态安全。</w:t>
      </w:r>
    </w:p>
    <w:p w14:paraId="76999F90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二、一般公共预算支出情况</w:t>
      </w:r>
    </w:p>
    <w:p w14:paraId="285D8597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（一）基本支出</w:t>
      </w:r>
    </w:p>
    <w:p w14:paraId="21D45927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，一般公共预算基本支出主要用于保障部门日常运转和人员经费，包括人员工资福利、对个人和家庭的补助及公用经费。其中，公用经费决算数484.23万元，较预算数466.94万元略有增加，主要因水费、电费、差旅费实际支出109.02万元（预算22.50万元），办公费57.47万元，会议费、培训费10.51万元，均严格按公务需求开支。</w:t>
      </w:r>
    </w:p>
    <w:p w14:paraId="07329DBF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三公”经费管理严格执行相关规定，全年决算数40.20万元，其中公务用车购置和维护经费39.12万元（含公车购置24.98万元、运行维护14.14万元），公务接待费1.08万元，无出国经费。公务用车购置用于更新执法车辆，保障水政监察和防汛应急；公务接待严格控制批次和标准，主要用于上级检查和兄弟单位交流，共接待52批次480人次，符合“厉行节约、非必要不支出”原则。</w:t>
      </w:r>
    </w:p>
    <w:p w14:paraId="7CA3825F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基本支出管理遵循《怀化市水利局经费支出管理办法》，规范报账审批、合同管理和费用结算流程，所有支出通过国库集中支付，坚持“先预算、后支出”，确保资金使用合规。</w:t>
      </w:r>
    </w:p>
    <w:p w14:paraId="239AC720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（二）项目支出</w:t>
      </w:r>
    </w:p>
    <w:p w14:paraId="2D14FC49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项目资金安排落实、总投入等情况分析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2024年，项目支出预算总规模根据水利业务需求设定，实际执行数460.92万元，涵盖多个专项。其中，灌溉试验站维修养护工作经费10万元、城区堤防维修养护资金（未列决算数）、水利科技项目省级补助资金7万元、2024年水资源管理省级补助资金24.98万元、河湖健康评价编制经费35.35万元、真抓实干奖励金40万元、水资源公报编制及重点河湖断面流量保障预案编制30万元、中小河流及水系治理方案编制及水网建设规划153.12万元、2023年真抓实干奖励金60万元、7条中小河流及2个水系单元治理方案73.69万元、防汛抗灾工作经费20万元、2024年水利科技项目省级补助6.78万元等。资金来源以财政拨款为主，部分为省级专项补助，总投入与年度水利工作重点匹配，保障了水资源管理、河湖治理、防汛抗灾等关键任务推进。</w:t>
      </w:r>
    </w:p>
    <w:p w14:paraId="7F30541B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项目资金实际使用情况分析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项目资金实际支出460.92万元，各专项严格按用途使用。例如，防汛抗灾工作经费20万元用于应急物资采购、预警信息发布和抢险演练，保障10轮暴雨洪灾应对；河湖健康评价编制经费35.35万元完成4条河流健康评价，为生态修复提供依据；中小河流及水系治理方案编制经费153.12万元支撑7条中小河流和2个水系单元治理方案编制，推动水利工程前期工作。资金使用与项目进度同步，未出现截留、挪用情况，其中水利科技项目省级补助7万元、灌溉试验站维修养护10万元等均全额执行，确保技术研究和设施维护落地。</w:t>
      </w:r>
    </w:p>
    <w:p w14:paraId="1D0FBE22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项目资金管理情况分析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部门制定《怀化市水利专项资金管理办法》，明确项目资金“四审四签”审批流程（项目负责人审核、业务科室复核、财务科审核、分管领导审批），要求专款专用、台账清晰。实施过程中，严格执行政府采购和公开竞价规定，如河道采砂规划编制、水利工程质量检测等服务通过公开招标确定供应商；加强合同管理，规范费用结算，所有支出均附合法凭证和审批手续。2024年，通过专项检查和日常监督，确保资金使用合规，未发现重大违规问题，制度执行率100%。</w:t>
      </w:r>
    </w:p>
    <w:p w14:paraId="6E01F460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三、项目组织实施情况</w:t>
      </w:r>
    </w:p>
    <w:p w14:paraId="1AFC982E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（一）项目组织情况分析</w:t>
      </w:r>
    </w:p>
    <w:p w14:paraId="701D2B13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招投标情况：水利工程相关服务项目严格执行招投标制度，河道采砂规划编制、水利工程质量飞检等达到公开招标标准的项目，均通过公共资源交易中心公开招标，选取具备资质的单位承接，招标过程全程接受监督，确保公平公正。例如，沅水六条一级支流河道采砂规划编制专项69.08万元（2023年决算）通过公开招标确定编制单位，保障规划科学性。</w:t>
      </w:r>
    </w:p>
    <w:p w14:paraId="2862394D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项目调整情况：因实际需求变化，部分项目进行必要调整。如灌溉试验站维修养护项目，根据设施老化程度调整维修范围，增加设备更换内容，调整方案经集体审议后实施，确保资金使用效益。全年项目调整均履行内部审批程序，未出现擅自变更情况。</w:t>
      </w:r>
    </w:p>
    <w:p w14:paraId="5E5D2F8E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竣工验收情况：水资源公报编制、河湖健康评价等完成项目，由业务科室组织验收，邀请专家、相关单位代表参与，对照绩效目标核查成果质量。例如，2024年水资源公报编制及重点河湖断面流量保障预案编制30万元项目，通过专家评审确认数据准确性和预案可行性后，方可交付使用，验收合格率100%。</w:t>
      </w:r>
    </w:p>
    <w:p w14:paraId="4C2D6ECF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（二）项目管理情况分析</w:t>
      </w:r>
    </w:p>
    <w:p w14:paraId="3B5DDC8D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管理制度建设：建立《怀化市水利工程项目管理办法》，覆盖项目立项、实施、验收全流程，明确各环节责任主体和时间节点。针对防汛抗灾、水资源管理等专项，制定《防汛物资储备管理细则》《水资源监测数据审核办法》等，确保项目推进有章可循。</w:t>
      </w:r>
    </w:p>
    <w:p w14:paraId="7D7B084C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日常检查监督管理：实行“月调度、季检查”机制，业务科室每月跟踪项目进度，每季度实地核查，重点检查资金使用、成果质量和时间节点。例如，对中小河流治理方案编制项目，定期检查野外勘察进度和报告编制质量，发现问题及时督促整改；防汛抗灾工作经费项目则重点检查物资储备数量和应急响应时效，确保汛期保障到位。全年开展专项检查4次，整改问题8个，保障项目按计划推进。</w:t>
      </w:r>
    </w:p>
    <w:p w14:paraId="0B043266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四、资产管理情况</w:t>
      </w:r>
    </w:p>
    <w:p w14:paraId="61D0F6F6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（一）制度建设</w:t>
      </w:r>
    </w:p>
    <w:p w14:paraId="37F2C059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部门制定《怀化市水利局固定资产管理办法》，规范资产配置、使用、处置全流程管理，明确“一物一卡一码”台账登记要求，规定资产清查、产权登记、处置审批等程序，确保资产账实相符、安全完整。</w:t>
      </w:r>
    </w:p>
    <w:p w14:paraId="4D461695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（二）管理措施</w:t>
      </w:r>
    </w:p>
    <w:p w14:paraId="5C37BA6B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资产配置：根据业务需求和配置标准编制年度计划，办公设备、执法车辆等通过政府采购购置，2024年政府采购金额966.70万元，包括新增执法设备、监测仪器等，均符合预算和采购规定，无超标准配置情况。</w:t>
      </w:r>
    </w:p>
    <w:p w14:paraId="1C133CE5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产使用：建立固定资产台账，记录资产名称、规格、使用部门等信息，每年开展两次全面清查，确保账实一致。公务用车实行统一调度，严格执行派车制度；专业设备如水质监测仪器由专人保管，定期维护，保障正常使用。</w:t>
      </w:r>
    </w:p>
    <w:p w14:paraId="31967FFE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资产处置：报废资产按程序报批，经财政部门审核后，通过公共资源交易中心公开处置。2024年，处置旧公务用车、淘汰办公设备等，收入全额上缴国库，处置程序合规，未出现违规流失情况。</w:t>
      </w:r>
    </w:p>
    <w:p w14:paraId="2AD21AB9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五、政府性基金预算支出情况</w:t>
      </w:r>
    </w:p>
    <w:p w14:paraId="445ACC67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2024年，怀化市水利局无政府性基金预算支出，与部门预算公开说明一致。</w:t>
      </w:r>
    </w:p>
    <w:p w14:paraId="6209E753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六、国有资本经营预算支出情况</w:t>
      </w:r>
    </w:p>
    <w:p w14:paraId="414C73D7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2024年，怀化市水利局无国有资本经营预算支出。</w:t>
      </w:r>
    </w:p>
    <w:p w14:paraId="4D040218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七、社会保险基金预算支出情况</w:t>
      </w:r>
    </w:p>
    <w:p w14:paraId="19A8FD7B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2024年，怀化市水利局无社会保险基金预算支出。</w:t>
      </w:r>
    </w:p>
    <w:p w14:paraId="1AF87C25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八、部门整体支出绩效情况</w:t>
      </w:r>
    </w:p>
    <w:p w14:paraId="4A64F323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（一）“四本预算”支出绩效目标完成情况</w:t>
      </w:r>
    </w:p>
    <w:p w14:paraId="3FC8620D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，部门整体支出绩效目标全面完成。一般公共预算支出2675.32万元全额执行，保障水利建设、防汛抗灾等核心工作；其他资金208.47万元用于补充业务经费，助力农村水利、河湖管理等任务落地。年度总体目标中，全市落实全口径水利建设投资46.58亿元（超目标10.58亿元），实施项目217个（超174个），治理水土流失33.94平方公里（超28平方公里），所有纳入水利部考核的中央投资项目100%完成，超额完成预期目标。</w:t>
      </w:r>
    </w:p>
    <w:p w14:paraId="0FF3E58E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（二）产出和效益情况</w:t>
      </w:r>
    </w:p>
    <w:p w14:paraId="439A282C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运行成本：基本支出人均公用经费4.44万元（484.23万元÷109人），较2023年385.20万元（人均3.58万元）略有增长，主要因防汛应急差旅费增加，符合实际需求；项目支出单位成本控制合理，如河湖健康评价编制经费35.35万元完成4条河流评价，每条成本8.84万元，低于行业平均水平。</w:t>
      </w:r>
    </w:p>
    <w:p w14:paraId="3A8F59B2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管理效率：预算执行率100%，较2023年提升；“三公”经费中公务接待费1.08万元，较2023年5.20万元下降79.2%，节约成效显著；项目平均完成周期3个月，较计划缩短10%，如水资源管理省级补助资金24.98万元项目，按时完成监测设备采购，效率提升明显。</w:t>
      </w:r>
    </w:p>
    <w:p w14:paraId="60389AE0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履职效能：</w:t>
      </w:r>
    </w:p>
    <w:p w14:paraId="6035E809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超额完成投资目标，舞水大型灌区入选国家标志性工程，市县两级水网规划编制完成；</w:t>
      </w:r>
    </w:p>
    <w:p w14:paraId="11DCDB97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成功应对10轮暴雨，转移群众71619人次，水库调洪削峰率20.5%，辰溪县城段“5厘米守住一座城”成为典型案例；</w:t>
      </w:r>
    </w:p>
    <w:p w14:paraId="4B8AABCB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完成116个入河排污口整治，清理垃圾833吨，586条山区河湖划界完成；</w:t>
      </w:r>
    </w:p>
    <w:p w14:paraId="44F61BB6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解决36.6万人饮水问题，清淤山塘2154口，畅通渠道92公里。</w:t>
      </w:r>
    </w:p>
    <w:p w14:paraId="07B39BFB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社会效应：农村集中供水率提升至88%，保障12万亩农田灌溉，水利建设带动就业1.8万人次；防汛安全保障增强群众安全感，水资源管理公众知晓率达90%，社会反响良好。</w:t>
      </w:r>
    </w:p>
    <w:p w14:paraId="113EABAE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可持续发展能力：325处水利工程标准化管理创建完成，辰溪县成为省级示范县；“十五五”水安全规划启动编制，智慧水利平台逐步完善，为长期发展奠定基础；水土流失治理和生态清洁小流域建设，推动水生态持续改善。</w:t>
      </w:r>
    </w:p>
    <w:p w14:paraId="2FB6416E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</w:rPr>
        <w:t>服务对象满意度：服务对象满意度达95.50%，其中群众对农村供水、防汛服务满意度分别为93%、95%，企业对水资源审批服务满意度90%，充分认可部门履职成效。</w:t>
      </w:r>
    </w:p>
    <w:p w14:paraId="4EB11B95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九、存在的问题及原因分析</w:t>
      </w:r>
    </w:p>
    <w:p w14:paraId="0FEE0EF3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基层管理队伍力量薄弱：市县水资源管理、水利工程管理人员身兼多职，导致部分工作进度和质量受影响。原因是基层水利部门编制紧张，人员配备不足，难以满足日益增长的业务需求。</w:t>
      </w:r>
    </w:p>
    <w:p w14:paraId="07380D46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合执法机制不完善：市、县水政监察执法人员不足、装备不齐，执法效能不高，且因机构改革职责未明确，联合执法合力不足。原因是执法队伍建设滞后，跨部门协调机制不健全，影响河道采砂、违法排污等行为查处力度。</w:t>
      </w:r>
    </w:p>
    <w:p w14:paraId="49C1D744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部分项目预算执行差异：2024年水资源管理省级补助资金24.98万元，仅为预算的24.98%，因上级技术标准调整，监测设备采购需重新论证招标，导致资金支付延迟。</w:t>
      </w:r>
    </w:p>
    <w:p w14:paraId="3E01423C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资产使用效率有待提升：部分专业设备如旧水质监测仪器使用率低，因技术更新快，设备适用性下降，未及时调剂或处置，造成资源闲置。</w:t>
      </w:r>
    </w:p>
    <w:p w14:paraId="73772004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十、下一步改进措施</w:t>
      </w:r>
    </w:p>
    <w:p w14:paraId="34C982D4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加强基层队伍建设：向编制部门申请增加基层水利人员编制，针对性开展业务培训，提升专业能力；建立激励机制，鼓励人员扎根基层，充实一线力量。</w:t>
      </w:r>
    </w:p>
    <w:p w14:paraId="36E274AC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完善联合执法机制：明确水行政执法机构职责，加强与公安、环保等部门协作，建立常态化联合执法机制；争取资金改善执法装备，开展执法人员培训，提升执法效能。</w:t>
      </w:r>
    </w:p>
    <w:p w14:paraId="031005EA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优化预算管理：加强项目前期调研，精准编制预算；密切关注政策变化，提前做好设备采购论证，避免因标准调整影响执行进度；建立预算执行动态监控机制，及时解决支付难题。</w:t>
      </w:r>
    </w:p>
    <w:p w14:paraId="23192799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提高资产使用效率：定期清查资产，对闲置设备及时调剂或按程序处置；建立设备共享机制，提高专业设备利用率，避免重复购置。</w:t>
      </w:r>
    </w:p>
    <w:p w14:paraId="451A661F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十一、绩效自评结果拟应用和公开情况</w:t>
      </w:r>
    </w:p>
    <w:p w14:paraId="688DBB86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（一）结果应用</w:t>
      </w:r>
    </w:p>
    <w:p w14:paraId="062F959C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将绩效自评结果作为2025年预算编制依据，对完成良好的项目如防汛抗灾工作经费、真抓实干奖励金等优先保障；对执行滞后的项目，分析原因并调整资金安排。同时，将自评结果与科室考核挂钩，推动改进管理薄弱环节。</w:t>
      </w:r>
    </w:p>
    <w:p w14:paraId="3F74B2F9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（二）公开情况</w:t>
      </w:r>
    </w:p>
    <w:p w14:paraId="56B2E3F1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绩效自评报告将按规定在怀化市人民政府门户网站公开，接受社会监督，公开内容包括整体支出规模、绩效目标完成情况、存在问题及整改措施等，确保公开透明。</w:t>
      </w:r>
    </w:p>
    <w:p w14:paraId="2D93E7C9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十二、其他需要说明的情况</w:t>
      </w:r>
    </w:p>
    <w:p w14:paraId="22D407DB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部门严格执行厉行节约措施，规范财务报账、合同审批和采购流程，工程项目按财政要求开展评审和竞价，坚持“非必要不采购”。2024年，通过优化流程、减少不必要开支，节约公用经费15万元，全部用于补充防汛应急物资储备，提升资金使用效益。</w:t>
      </w:r>
    </w:p>
    <w:p w14:paraId="2E05D1C1">
      <w:pPr>
        <w:ind w:left="0" w:leftChars="0" w:firstLine="639" w:firstLineChars="213"/>
      </w:pPr>
      <w:r>
        <w:rPr>
          <w:rFonts w:hint="eastAsia" w:ascii="仿宋" w:hAnsi="仿宋" w:eastAsia="仿宋" w:cs="仿宋"/>
          <w:sz w:val="30"/>
          <w:szCs w:val="30"/>
        </w:rPr>
        <w:t>全年无楼堂馆所建设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项目，无违规发放津贴补贴情况，未发生重大审计问题，部门运行合规有序。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95563"/>
    <w:rsid w:val="000411A6"/>
    <w:rsid w:val="00094820"/>
    <w:rsid w:val="000C1285"/>
    <w:rsid w:val="000E0A43"/>
    <w:rsid w:val="001052BE"/>
    <w:rsid w:val="00195563"/>
    <w:rsid w:val="001B1ED5"/>
    <w:rsid w:val="001C2109"/>
    <w:rsid w:val="001C47A2"/>
    <w:rsid w:val="00200BE9"/>
    <w:rsid w:val="00260725"/>
    <w:rsid w:val="002919A3"/>
    <w:rsid w:val="003904B4"/>
    <w:rsid w:val="0039105D"/>
    <w:rsid w:val="00397A66"/>
    <w:rsid w:val="003C463B"/>
    <w:rsid w:val="003E4D42"/>
    <w:rsid w:val="004357D7"/>
    <w:rsid w:val="004D7777"/>
    <w:rsid w:val="00521BA4"/>
    <w:rsid w:val="0056541F"/>
    <w:rsid w:val="005B1C82"/>
    <w:rsid w:val="005B6948"/>
    <w:rsid w:val="005E5C44"/>
    <w:rsid w:val="006678A2"/>
    <w:rsid w:val="006A316B"/>
    <w:rsid w:val="006B063A"/>
    <w:rsid w:val="007B39B8"/>
    <w:rsid w:val="00822FAF"/>
    <w:rsid w:val="008C7D55"/>
    <w:rsid w:val="008D78B0"/>
    <w:rsid w:val="009B71B2"/>
    <w:rsid w:val="00A21C90"/>
    <w:rsid w:val="00A7767A"/>
    <w:rsid w:val="00A9410E"/>
    <w:rsid w:val="00AC0DB8"/>
    <w:rsid w:val="00AF1992"/>
    <w:rsid w:val="00B73938"/>
    <w:rsid w:val="00BA7106"/>
    <w:rsid w:val="00BD1501"/>
    <w:rsid w:val="00C02598"/>
    <w:rsid w:val="00C078F7"/>
    <w:rsid w:val="00C448EC"/>
    <w:rsid w:val="00C64F3E"/>
    <w:rsid w:val="00CA5C18"/>
    <w:rsid w:val="00CB3E6C"/>
    <w:rsid w:val="00D26A9E"/>
    <w:rsid w:val="00DA6924"/>
    <w:rsid w:val="00EC3770"/>
    <w:rsid w:val="00F23DD2"/>
    <w:rsid w:val="00F96273"/>
    <w:rsid w:val="00F96D18"/>
    <w:rsid w:val="01F6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w w:val="1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2"/>
    <w:uiPriority w:val="9"/>
    <w:rPr>
      <w:rFonts w:ascii="宋体" w:hAnsi="宋体" w:eastAsia="宋体" w:cs="宋体"/>
      <w:b/>
      <w:bCs/>
      <w:w w:val="100"/>
      <w:kern w:val="36"/>
      <w:sz w:val="48"/>
      <w:szCs w:val="48"/>
    </w:rPr>
  </w:style>
  <w:style w:type="character" w:customStyle="1" w:styleId="13">
    <w:name w:val="页眉 Char"/>
    <w:basedOn w:val="10"/>
    <w:link w:val="7"/>
    <w:semiHidden/>
    <w:uiPriority w:val="99"/>
    <w:rPr>
      <w:rFonts w:asciiTheme="minorHAnsi" w:hAnsiTheme="minorHAnsi" w:eastAsiaTheme="minorEastAsia"/>
      <w:w w:val="100"/>
      <w:sz w:val="18"/>
      <w:szCs w:val="18"/>
    </w:rPr>
  </w:style>
  <w:style w:type="character" w:customStyle="1" w:styleId="14">
    <w:name w:val="页脚 Char"/>
    <w:basedOn w:val="10"/>
    <w:link w:val="6"/>
    <w:semiHidden/>
    <w:uiPriority w:val="99"/>
    <w:rPr>
      <w:rFonts w:asciiTheme="minorHAnsi" w:hAnsiTheme="minorHAnsi" w:eastAsiaTheme="minorEastAsia"/>
      <w:w w:val="100"/>
      <w:sz w:val="18"/>
      <w:szCs w:val="18"/>
    </w:rPr>
  </w:style>
  <w:style w:type="character" w:customStyle="1" w:styleId="15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w w:val="100"/>
      <w:sz w:val="32"/>
      <w:szCs w:val="32"/>
    </w:rPr>
  </w:style>
  <w:style w:type="character" w:customStyle="1" w:styleId="16">
    <w:name w:val="标题 3 Char"/>
    <w:basedOn w:val="10"/>
    <w:link w:val="4"/>
    <w:semiHidden/>
    <w:uiPriority w:val="9"/>
    <w:rPr>
      <w:rFonts w:asciiTheme="minorHAnsi" w:hAnsiTheme="minorHAnsi" w:eastAsiaTheme="minorEastAsia"/>
      <w:b/>
      <w:bCs/>
      <w:w w:val="100"/>
      <w:sz w:val="32"/>
      <w:szCs w:val="32"/>
    </w:rPr>
  </w:style>
  <w:style w:type="character" w:customStyle="1" w:styleId="17">
    <w:name w:val="标题 4 Char"/>
    <w:basedOn w:val="10"/>
    <w:link w:val="5"/>
    <w:semiHidden/>
    <w:uiPriority w:val="9"/>
    <w:rPr>
      <w:rFonts w:asciiTheme="majorHAnsi" w:hAnsiTheme="majorHAnsi" w:eastAsiaTheme="majorEastAsia" w:cstheme="majorBidi"/>
      <w:b/>
      <w:bCs/>
      <w:w w:val="1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5299</Words>
  <Characters>5780</Characters>
  <Lines>41</Lines>
  <Paragraphs>11</Paragraphs>
  <TotalTime>8</TotalTime>
  <ScaleCrop>false</ScaleCrop>
  <LinksUpToDate>false</LinksUpToDate>
  <CharactersWithSpaces>5781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2025-06-10T17:35:00Z</dcterms:created>
  <dc:creator>Administrator</dc:creator>
  <cp:lastModifiedBy>是涵宝吖</cp:lastModifiedBy>
  <dcterms:modified xsi:type="dcterms:W3CDTF">2025-08-12T16:22:58Z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eyJoZGlkIjoiOGQyOWU3ZmJlZGI4OGMxYWZmNzc1ODM1OWUwMzAxNTciLCJ1c2VySWQiOiIxNjQwNTUxMjk3In0=</vt:lpwstr>
  </property>
  <property fmtid="{D5CDD505-2E9C-101B-9397-08002B2CF9AE}" pid="3" name="KSOProductBuildVer">
    <vt:lpwstr>2052-12.1.0.21915</vt:lpwstr>
  </property>
  <property fmtid="{D5CDD505-2E9C-101B-9397-08002B2CF9AE}" pid="4" name="ICV">
    <vt:lpwstr>1A735843686E4292A1CD7A63EE1696F1_12</vt:lpwstr>
  </property>
</Properties>
</file>