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rFonts w:ascii="Times New Roman" w:hAnsi="Times New Roman" w:cs="Times New Roman"/>
          <w:sz w:val="56"/>
          <w:szCs w:val="56"/>
        </w:rPr>
      </w:pPr>
      <w:bookmarkStart w:id="3" w:name="_GoBack"/>
      <w:bookmarkEnd w:id="3"/>
    </w:p>
    <w:p>
      <w:pPr>
        <w:pStyle w:val="15"/>
        <w:jc w:val="center"/>
        <w:rPr>
          <w:rFonts w:ascii="Times New Roman" w:hAnsi="Times New Roman" w:cs="Times New Roman"/>
          <w:sz w:val="84"/>
          <w:szCs w:val="84"/>
        </w:rPr>
      </w:pPr>
    </w:p>
    <w:p>
      <w:pPr>
        <w:pStyle w:val="15"/>
        <w:jc w:val="center"/>
        <w:rPr>
          <w:rFonts w:ascii="Times New Roman" w:hAnsi="Times New Roman" w:cs="Times New Roman"/>
          <w:sz w:val="84"/>
          <w:szCs w:val="84"/>
        </w:rPr>
      </w:pPr>
    </w:p>
    <w:p>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怀化市公安局交通管理支队</w:t>
      </w:r>
      <w:r>
        <w:rPr>
          <w:rFonts w:ascii="Times New Roman" w:hAnsi="Times New Roman" w:eastAsia="方正小标宋简体" w:cs="Times New Roman"/>
          <w:sz w:val="72"/>
          <w:szCs w:val="72"/>
        </w:rPr>
        <w:t>部门决算</w:t>
      </w:r>
    </w:p>
    <w:p>
      <w:pPr>
        <w:pStyle w:val="15"/>
        <w:jc w:val="center"/>
        <w:rPr>
          <w:rFonts w:ascii="Times New Roman" w:hAnsi="Times New Roman" w:eastAsia="方正小标宋_GBK" w:cs="Times New Roman"/>
          <w:sz w:val="56"/>
          <w:szCs w:val="56"/>
        </w:rPr>
      </w:pPr>
    </w:p>
    <w:p>
      <w:pPr>
        <w:pStyle w:val="15"/>
        <w:jc w:val="center"/>
        <w:rPr>
          <w:rFonts w:ascii="Times New Roman" w:hAnsi="Times New Roman" w:cs="Times New Roman"/>
          <w:sz w:val="56"/>
          <w:szCs w:val="56"/>
        </w:rPr>
      </w:pPr>
    </w:p>
    <w:p>
      <w:pPr>
        <w:pStyle w:val="15"/>
        <w:rPr>
          <w:rFonts w:ascii="Times New Roman" w:hAnsi="Times New Roman" w:cs="Times New Roman"/>
          <w:sz w:val="56"/>
          <w:szCs w:val="56"/>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5"/>
        <w:spacing w:line="600" w:lineRule="exact"/>
        <w:jc w:val="both"/>
        <w:rPr>
          <w:rFonts w:ascii="Times New Roman" w:hAnsi="Times New Roman" w:cs="Times New Roman"/>
          <w:b/>
          <w:sz w:val="36"/>
          <w:szCs w:val="28"/>
        </w:rPr>
      </w:pPr>
    </w:p>
    <w:p>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5"/>
        <w:spacing w:line="600" w:lineRule="exact"/>
        <w:jc w:val="center"/>
        <w:rPr>
          <w:rFonts w:ascii="Times New Roman" w:hAnsi="Times New Roman" w:cs="Times New Roman"/>
          <w:b/>
          <w:sz w:val="36"/>
          <w:szCs w:val="28"/>
        </w:rPr>
      </w:pPr>
    </w:p>
    <w:p>
      <w:pPr>
        <w:pStyle w:val="15"/>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rPr>
        <w:t xml:space="preserve"> 怀化市公安局交通管理支队</w:t>
      </w:r>
      <w:r>
        <w:rPr>
          <w:rFonts w:ascii="Times New Roman" w:hAnsi="Times New Roman" w:cs="Times New Roman"/>
          <w:bCs/>
          <w:sz w:val="32"/>
          <w:szCs w:val="32"/>
        </w:rPr>
        <w:t>概况</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5"/>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怀化市公安局交通管理支队</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numPr>
          <w:ilvl w:val="0"/>
          <w:numId w:val="1"/>
        </w:num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怀化市公安局交通管理支队（以下简称市交管支队）是行政单位。</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主要工作职责：贯彻执行国家有关道路交通安全、管理的法律、法规和政策；研究拟订全市道路交通安全管理的发展战略和政策性措施。组织开展公安交警思想政治工作和队伍建设，制定并落实民警教育培训制度；协助县（市、区）公安局党委管理交警大队的领导班子；组织开展公安交警工作宣传报道和交通安全宣传教育活动。落实公安机关党风廉政建设相关要求，配合有关部门查处民警违法违纪案件；组织实施交警队伍警务督察工作。承担支队交通管理经费的核算和管理工作；承担支队预算收入和罚没款物的稽查和审核；承担支队国有资产的监督管理工作。组织、监督开展公安交通管理的执法工作。组织实施全市道路交通事故的预防和处理工作；指导并落实基层交通安全组织建设。承担全市机动车辆安全检测、牌证发生工作；承担全市机动车考验员证、检验员证、教练员证的申请、受理、审核、上报和管理工作；承担全市机动车辆和非机动车辆的道路交通管理工作；按职责权限对机动车改装、改型、修理厂家实施安全技术监督；指导并监督全市机动车驾驶员培训单位的工作；依法对全市农机部门牌证发生工作实行管理和监督。承担全市机动车驾驶员的考试、发证等管理工作。组织实施全市道路交通管理科学技术的规划、研究及成果推广应用工作。参与研究城市建设、道路交通和安全设施的规划；承担怀化城区道路交通安全设施建设；参与道路交通安全设施的监督、管理，依法打击破坏道路交通安全设施等违法犯罪活动；承担对涉及交通安全、交通秩序的停车场（库）、车辆停靠点的规范建设和挖掘、占用道路审批管理工作。依法实施道路交通安全违法行为的处罚工作。组织实施全市客运车辆及重点车辆的户籍化管理工作。承担怀化城区的道路交通安全和秩序管理工作；配合有关部门实施重大交通警（保）卫工作；组织开展公路巡逻执法活动和处置重大突发性事件；协同其他警种维护道路治安秩序，打击车匪路霸。按照有关规定，负责或协助管理全市高速公路的交通秩序、治安秩序和交通安全工作。承办市人民政府和市公安局交办的其他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公安局交通管理支队作为一级部门预算单位，内设5个机关大队为：指挥调度大队、队伍建设大队、科技保障大队、交通秩序管理大队、车辆驾驶人管理大队，下设3个直属机构：鹤城大队、机动勤务大队、国际陆港大队。由于公安系统机构改革，对比2024年，支队科室由原17个合并至5个机关大队，下设直属机构由原5个变为3个。</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怀化市公安局交通管理支队</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怀化市公安局交通管理支队</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r>
        <w:rPr>
          <w:rFonts w:hint="eastAsia" w:ascii="Times New Roman" w:hAnsi="Times New Roman" w:eastAsia="方正小标宋_GBK" w:cs="Times New Roman"/>
          <w:sz w:val="52"/>
          <w:szCs w:val="52"/>
        </w:rPr>
        <w:t xml:space="preserve"> 怀化市公安局交通管理支队</w:t>
      </w:r>
      <w:r>
        <w:rPr>
          <w:rFonts w:ascii="Times New Roman" w:hAnsi="Times New Roman" w:eastAsia="方正小标宋_GBK" w:cs="Times New Roman"/>
          <w:sz w:val="52"/>
          <w:szCs w:val="52"/>
        </w:rPr>
        <w:t>部门决算表</w:t>
      </w: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Ind w:w="0" w:type="dxa"/>
        <w:tblLayout w:type="fixed"/>
        <w:tblCellMar>
          <w:top w:w="0" w:type="dxa"/>
          <w:left w:w="108" w:type="dxa"/>
          <w:bottom w:w="0" w:type="dxa"/>
          <w:right w:w="108" w:type="dxa"/>
        </w:tblCellMar>
      </w:tblPr>
      <w:tblGrid>
        <w:gridCol w:w="5660"/>
        <w:gridCol w:w="835"/>
        <w:gridCol w:w="1400"/>
        <w:gridCol w:w="4766"/>
        <w:gridCol w:w="835"/>
        <w:gridCol w:w="1400"/>
      </w:tblGrid>
      <w:tr>
        <w:tblPrEx>
          <w:tblLayout w:type="fixed"/>
          <w:tblCellMar>
            <w:top w:w="0" w:type="dxa"/>
            <w:left w:w="108" w:type="dxa"/>
            <w:bottom w:w="0" w:type="dxa"/>
            <w:right w:w="108" w:type="dxa"/>
          </w:tblCellMar>
        </w:tblPrEx>
        <w:trPr>
          <w:trHeight w:val="340" w:hRule="exact"/>
          <w:jc w:val="center"/>
        </w:trPr>
        <w:tc>
          <w:tcPr>
            <w:tcW w:w="7895"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7001"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4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4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4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4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6512</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0</w:t>
            </w:r>
            <w:r>
              <w:rPr>
                <w:rFonts w:hint="eastAsia" w:ascii="Times New Roman" w:hAnsi="Times New Roman" w:eastAsia="仿宋_GB2312" w:cs="Times New Roman"/>
                <w:color w:val="000000"/>
                <w:sz w:val="22"/>
              </w:rPr>
              <w:t>2</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3625</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18</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76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七、文化旅游体育与传媒支出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104</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9</w:t>
            </w:r>
            <w:r>
              <w:rPr>
                <w:rFonts w:hint="eastAsia" w:ascii="Times New Roman" w:hAnsi="Times New Roman" w:eastAsia="仿宋_GB2312" w:cs="Times New Roman"/>
                <w:color w:val="000000"/>
                <w:sz w:val="22"/>
              </w:rPr>
              <w:t>5</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sz w:val="22"/>
              </w:rPr>
            </w:pPr>
          </w:p>
        </w:tc>
        <w:tc>
          <w:tcPr>
            <w:tcW w:w="476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492</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4</w:t>
            </w:r>
            <w:r>
              <w:rPr>
                <w:rFonts w:hint="eastAsia" w:ascii="Times New Roman" w:hAnsi="Times New Roman" w:eastAsia="仿宋_GB2312" w:cs="Times New Roman"/>
                <w:color w:val="000000"/>
                <w:sz w:val="22"/>
              </w:rPr>
              <w:t>9</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p>
        </w:tc>
        <w:tc>
          <w:tcPr>
            <w:tcW w:w="476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179</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6</w:t>
            </w:r>
            <w:r>
              <w:rPr>
                <w:rFonts w:hint="eastAsia" w:ascii="Times New Roman" w:hAnsi="Times New Roman" w:eastAsia="仿宋_GB2312" w:cs="Times New Roman"/>
                <w:color w:val="000000"/>
                <w:sz w:val="22"/>
              </w:rPr>
              <w:t>3</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p>
        </w:tc>
        <w:tc>
          <w:tcPr>
            <w:tcW w:w="476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十三、交通运输支出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70</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p>
        </w:tc>
        <w:tc>
          <w:tcPr>
            <w:tcW w:w="476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十九、住房保障支出</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339</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5</w:t>
            </w:r>
            <w:r>
              <w:rPr>
                <w:rFonts w:hint="eastAsia" w:ascii="Times New Roman" w:hAnsi="Times New Roman" w:eastAsia="仿宋_GB2312" w:cs="Times New Roman"/>
                <w:color w:val="000000"/>
                <w:sz w:val="22"/>
              </w:rPr>
              <w:t>9</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c>
          <w:tcPr>
            <w:tcW w:w="476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76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76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tblPrEx>
          <w:tblLayout w:type="fixed"/>
          <w:tblCellMar>
            <w:top w:w="0" w:type="dxa"/>
            <w:left w:w="108" w:type="dxa"/>
            <w:bottom w:w="0" w:type="dxa"/>
            <w:right w:w="108" w:type="dxa"/>
          </w:tblCellMar>
        </w:tblPrEx>
        <w:trPr>
          <w:trHeight w:val="340" w:hRule="exact"/>
          <w:jc w:val="center"/>
        </w:trPr>
        <w:tc>
          <w:tcPr>
            <w:tcW w:w="566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c>
          <w:tcPr>
            <w:tcW w:w="4766"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r>
    </w:tbl>
    <w:p>
      <w:pPr>
        <w:widowControl/>
        <w:jc w:val="left"/>
        <w:textAlignment w:val="center"/>
        <w:rPr>
          <w:rFonts w:ascii="Times New Roman" w:hAnsi="Times New Roman" w:eastAsia="宋体" w:cs="Times New Roman"/>
          <w:color w:val="000000"/>
          <w:kern w:val="0"/>
          <w:sz w:val="24"/>
          <w:szCs w:val="24"/>
        </w:rPr>
      </w:pPr>
    </w:p>
    <w:p>
      <w:pP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r>
        <w:br w:type="page"/>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3060"/>
        </w:tabs>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Ind w:w="0" w:type="dxa"/>
        <w:tblLayout w:type="fixed"/>
        <w:tblCellMar>
          <w:top w:w="0" w:type="dxa"/>
          <w:left w:w="0" w:type="dxa"/>
          <w:bottom w:w="0" w:type="dxa"/>
          <w:right w:w="0" w:type="dxa"/>
        </w:tblCellMar>
      </w:tblPr>
      <w:tblGrid>
        <w:gridCol w:w="1040"/>
        <w:gridCol w:w="2146"/>
        <w:gridCol w:w="1640"/>
        <w:gridCol w:w="1640"/>
        <w:gridCol w:w="1640"/>
        <w:gridCol w:w="1640"/>
        <w:gridCol w:w="1640"/>
        <w:gridCol w:w="1897"/>
        <w:gridCol w:w="1383"/>
      </w:tblGrid>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Layout w:type="fixed"/>
          <w:tblCellMar>
            <w:top w:w="0" w:type="dxa"/>
            <w:left w:w="0" w:type="dxa"/>
            <w:bottom w:w="0" w:type="dxa"/>
            <w:right w:w="0" w:type="dxa"/>
          </w:tblCellMar>
        </w:tblPrEx>
        <w:trPr>
          <w:trHeight w:val="334" w:hRule="exact"/>
          <w:jc w:val="center"/>
        </w:trPr>
        <w:tc>
          <w:tcPr>
            <w:tcW w:w="10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4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312" w:hRule="atLeast"/>
          <w:jc w:val="center"/>
        </w:trPr>
        <w:tc>
          <w:tcPr>
            <w:tcW w:w="10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146"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Layout w:type="fixed"/>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11323.85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11323.85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6,512.02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6,512.02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人大事务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6,316.09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6,316.09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2010101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6,316.09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6,316.09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195.93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195.93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2019999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195.93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195.93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公共安全支出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3,625.18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3,625.18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公安</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3,610.18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3,610.18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491.94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491.94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2040202</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355.00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355.00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2040220</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执法办案</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991.45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991.45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1,771.79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1,771.79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其他公共安全支出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2049999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其他公共安全支出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2079999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492.49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492.49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492.49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492.49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39.08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39.08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2080505</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453.41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453.41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21011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2101101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2149999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22102</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住房改革支出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r>
        <w:tblPrEx>
          <w:tblLayout w:type="fixed"/>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2210201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ascii="Times New Roman" w:hAnsi="Times New Roman" w:eastAsia="仿宋_GB2312" w:cs="Times New Roman"/>
                <w:sz w:val="24"/>
                <w:szCs w:val="24"/>
              </w:rPr>
              <w:t>0</w:t>
            </w:r>
          </w:p>
        </w:tc>
      </w:tr>
    </w:tbl>
    <w:p>
      <w:pPr>
        <w:widowControl/>
        <w:jc w:val="left"/>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r>
        <w:br w:type="page"/>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515"/>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Ind w:w="0" w:type="dxa"/>
        <w:tblLayout w:type="fixed"/>
        <w:tblCellMar>
          <w:top w:w="0" w:type="dxa"/>
          <w:left w:w="108" w:type="dxa"/>
          <w:bottom w:w="0" w:type="dxa"/>
          <w:right w:w="108" w:type="dxa"/>
        </w:tblCellMar>
      </w:tblPr>
      <w:tblGrid>
        <w:gridCol w:w="2077"/>
        <w:gridCol w:w="3741"/>
        <w:gridCol w:w="1532"/>
        <w:gridCol w:w="996"/>
        <w:gridCol w:w="996"/>
        <w:gridCol w:w="1535"/>
        <w:gridCol w:w="992"/>
        <w:gridCol w:w="2345"/>
      </w:tblGrid>
      <w:tr>
        <w:tblPrEx>
          <w:tblLayout w:type="fixed"/>
          <w:tblCellMar>
            <w:top w:w="0" w:type="dxa"/>
            <w:left w:w="108" w:type="dxa"/>
            <w:bottom w:w="0" w:type="dxa"/>
            <w:right w:w="108" w:type="dxa"/>
          </w:tblCellMar>
        </w:tblPrEx>
        <w:trPr>
          <w:trHeight w:val="595" w:hRule="atLeast"/>
          <w:jc w:val="center"/>
        </w:trPr>
        <w:tc>
          <w:tcPr>
            <w:tcW w:w="5818"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53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99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99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53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9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34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Layout w:type="fixed"/>
          <w:tblCellMar>
            <w:top w:w="0" w:type="dxa"/>
            <w:left w:w="108" w:type="dxa"/>
            <w:bottom w:w="0" w:type="dxa"/>
            <w:right w:w="108" w:type="dxa"/>
          </w:tblCellMar>
        </w:tblPrEx>
        <w:trPr>
          <w:trHeight w:val="312" w:hRule="exact"/>
          <w:jc w:val="center"/>
        </w:trPr>
        <w:tc>
          <w:tcPr>
            <w:tcW w:w="20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374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9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9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3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0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74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9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9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53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3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581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532"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99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99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3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992"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34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Layout w:type="fixed"/>
          <w:tblCellMar>
            <w:top w:w="0" w:type="dxa"/>
            <w:left w:w="108" w:type="dxa"/>
            <w:bottom w:w="0" w:type="dxa"/>
            <w:right w:w="108" w:type="dxa"/>
          </w:tblCellMar>
        </w:tblPrEx>
        <w:trPr>
          <w:trHeight w:val="595" w:hRule="atLeast"/>
          <w:jc w:val="center"/>
        </w:trPr>
        <w:tc>
          <w:tcPr>
            <w:tcW w:w="581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11,323.85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7,814.28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3,509.57 </w:t>
            </w:r>
          </w:p>
        </w:tc>
        <w:tc>
          <w:tcPr>
            <w:tcW w:w="15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w:t>
            </w:r>
            <w:r>
              <w:rPr>
                <w:rFonts w:ascii="Times New Roman" w:hAnsi="Times New Roman" w:eastAsia="仿宋_GB2312" w:cs="Times New Roman"/>
                <w:kern w:val="0"/>
                <w:sz w:val="24"/>
                <w:szCs w:val="24"/>
              </w:rPr>
              <w:t>　</w:t>
            </w:r>
          </w:p>
        </w:tc>
        <w:tc>
          <w:tcPr>
            <w:tcW w:w="99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w:t>
            </w:r>
            <w:r>
              <w:rPr>
                <w:rFonts w:ascii="Times New Roman" w:hAnsi="Times New Roman" w:eastAsia="仿宋_GB2312" w:cs="Times New Roman"/>
                <w:kern w:val="0"/>
                <w:sz w:val="24"/>
                <w:szCs w:val="24"/>
              </w:rPr>
              <w:t>　</w:t>
            </w:r>
          </w:p>
        </w:tc>
        <w:tc>
          <w:tcPr>
            <w:tcW w:w="234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w:t>
            </w: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一般公共服务支出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6,512.02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6,316.09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195.93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20101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人大事务</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6,316.09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6,316.09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2010101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行政运行</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6,316.09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6,316.09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其他一般公共服务支出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195.93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0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195.93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2019999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其他一般公共服务支出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195.93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0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195.93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公共安全支出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3,625.18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491.94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3,133.24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公安</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3,610.18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491.94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3,118.24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2040201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行政运行</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491.94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491.94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2040202</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一般行政管理事务</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355.00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0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355.00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2040220</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执法办案</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991.45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991.45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其他公安支出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1,771.79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1,771.79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其他公共安全支出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15.00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15.00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2049999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其他公共安全支出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15.00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15.00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文化旅游体育与传媒支出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104.95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104.95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其他文化旅游体育与传媒支出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104.95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104.95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2079999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其他文化旅游体育与传媒支出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104.95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104.95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社会保障和就业支出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492.49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492.49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行政事业单位养老支出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492.49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492.49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2080501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行政单位离退休</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39.08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39.08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2080505</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机关事业单位基本养老保险缴费支出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453.41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453.41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卫生健康支出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179.63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179.63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21011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行政事业单位医疗</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179.63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179.63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2101101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行政单位医疗</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179.63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179.63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交通运输支出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70.00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70.00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其他交通运输支出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70.00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70.00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2149999</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其他交通运输支出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70.00 </w:t>
            </w:r>
          </w:p>
        </w:tc>
        <w:tc>
          <w:tcPr>
            <w:tcW w:w="996" w:type="dxa"/>
            <w:tcBorders>
              <w:top w:val="nil"/>
              <w:left w:val="nil"/>
              <w:bottom w:val="single" w:color="auto" w:sz="4" w:space="0"/>
              <w:right w:val="single" w:color="auto" w:sz="4" w:space="0"/>
            </w:tcBorders>
            <w:shd w:val="clear" w:color="auto" w:fill="auto"/>
            <w:noWrap/>
          </w:tcPr>
          <w:p>
            <w:pPr>
              <w:jc w:val="right"/>
            </w:pPr>
            <w:r>
              <w:rPr>
                <w:rFonts w:hint="eastAsia"/>
                <w:color w:val="000000"/>
                <w:sz w:val="22"/>
              </w:rPr>
              <w:t>0</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70.00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住房保障支出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339.59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334.14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5.45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22102</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住房改革支出</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339.59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334.14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5.45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r>
        <w:tblPrEx>
          <w:tblLayout w:type="fixed"/>
          <w:tblCellMar>
            <w:top w:w="0" w:type="dxa"/>
            <w:left w:w="108" w:type="dxa"/>
            <w:bottom w:w="0" w:type="dxa"/>
            <w:right w:w="108" w:type="dxa"/>
          </w:tblCellMar>
        </w:tblPrEx>
        <w:trPr>
          <w:trHeight w:val="595" w:hRule="atLeast"/>
          <w:jc w:val="center"/>
        </w:trPr>
        <w:tc>
          <w:tcPr>
            <w:tcW w:w="2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2210201</w:t>
            </w:r>
          </w:p>
        </w:tc>
        <w:tc>
          <w:tcPr>
            <w:tcW w:w="3741"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住房公积金</w:t>
            </w:r>
          </w:p>
        </w:tc>
        <w:tc>
          <w:tcPr>
            <w:tcW w:w="153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339.59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334.14 </w:t>
            </w:r>
          </w:p>
        </w:tc>
        <w:tc>
          <w:tcPr>
            <w:tcW w:w="99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5.45 </w:t>
            </w:r>
          </w:p>
        </w:tc>
        <w:tc>
          <w:tcPr>
            <w:tcW w:w="153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992"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c>
          <w:tcPr>
            <w:tcW w:w="2345"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4"/>
                <w:szCs w:val="24"/>
              </w:rPr>
              <w:t>0</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hint="eastAsia" w:ascii="Times New Roman" w:hAnsi="Times New Roman" w:eastAsia="黑体" w:cs="Times New Roman"/>
          <w:color w:val="000000"/>
          <w:kern w:val="0"/>
          <w:sz w:val="32"/>
          <w:szCs w:val="32"/>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10405"/>
          <w:tab w:val="left" w:pos="12310"/>
          <w:tab w:val="left" w:pos="12554"/>
          <w:tab w:val="left" w:pos="13948"/>
        </w:tabs>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 xml:space="preserve">怀化市公安局交通管理支队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Ind w:w="0" w:type="dxa"/>
        <w:tblLayout w:type="fixed"/>
        <w:tblCellMar>
          <w:top w:w="0" w:type="dxa"/>
          <w:left w:w="108" w:type="dxa"/>
          <w:bottom w:w="0" w:type="dxa"/>
          <w:right w:w="108" w:type="dxa"/>
        </w:tblCellMar>
      </w:tblPr>
      <w:tblGrid>
        <w:gridCol w:w="3516"/>
        <w:gridCol w:w="616"/>
        <w:gridCol w:w="1041"/>
        <w:gridCol w:w="3516"/>
        <w:gridCol w:w="616"/>
        <w:gridCol w:w="1041"/>
        <w:gridCol w:w="1498"/>
        <w:gridCol w:w="1153"/>
        <w:gridCol w:w="1223"/>
      </w:tblGrid>
      <w:tr>
        <w:tblPrEx>
          <w:tblLayout w:type="fixed"/>
          <w:tblCellMar>
            <w:top w:w="0" w:type="dxa"/>
            <w:left w:w="108" w:type="dxa"/>
            <w:bottom w:w="0" w:type="dxa"/>
            <w:right w:w="108" w:type="dxa"/>
          </w:tblCellMar>
        </w:tblPrEx>
        <w:trPr>
          <w:trHeight w:val="402" w:hRule="atLeast"/>
          <w:jc w:val="center"/>
        </w:trPr>
        <w:tc>
          <w:tcPr>
            <w:tcW w:w="517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47"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Layout w:type="fixed"/>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5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9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15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9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15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2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11323.85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w:t>
            </w:r>
          </w:p>
        </w:tc>
        <w:tc>
          <w:tcPr>
            <w:tcW w:w="104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6,512.02 </w:t>
            </w:r>
          </w:p>
        </w:tc>
        <w:tc>
          <w:tcPr>
            <w:tcW w:w="149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6,512.02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36</w:t>
            </w:r>
          </w:p>
        </w:tc>
        <w:tc>
          <w:tcPr>
            <w:tcW w:w="104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3,625.18 </w:t>
            </w:r>
          </w:p>
        </w:tc>
        <w:tc>
          <w:tcPr>
            <w:tcW w:w="149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3,625.18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39</w:t>
            </w:r>
          </w:p>
        </w:tc>
        <w:tc>
          <w:tcPr>
            <w:tcW w:w="104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104.95 </w:t>
            </w:r>
          </w:p>
        </w:tc>
        <w:tc>
          <w:tcPr>
            <w:tcW w:w="149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104.95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40</w:t>
            </w:r>
          </w:p>
        </w:tc>
        <w:tc>
          <w:tcPr>
            <w:tcW w:w="104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492.49 </w:t>
            </w:r>
          </w:p>
        </w:tc>
        <w:tc>
          <w:tcPr>
            <w:tcW w:w="149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492.49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41</w:t>
            </w:r>
          </w:p>
        </w:tc>
        <w:tc>
          <w:tcPr>
            <w:tcW w:w="104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179.63 </w:t>
            </w:r>
          </w:p>
        </w:tc>
        <w:tc>
          <w:tcPr>
            <w:tcW w:w="149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179.63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42</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43</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十二、农林水支出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44</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45</w:t>
            </w:r>
          </w:p>
        </w:tc>
        <w:tc>
          <w:tcPr>
            <w:tcW w:w="104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70.00 </w:t>
            </w:r>
          </w:p>
        </w:tc>
        <w:tc>
          <w:tcPr>
            <w:tcW w:w="149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70.00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15</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47</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十六、金融支出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48</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49</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50</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w:t>
            </w:r>
          </w:p>
        </w:tc>
        <w:tc>
          <w:tcPr>
            <w:tcW w:w="104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339.59 </w:t>
            </w:r>
          </w:p>
        </w:tc>
        <w:tc>
          <w:tcPr>
            <w:tcW w:w="149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339.59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52</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21</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53</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22</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54</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55</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56</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351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58</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11323.85　</w:t>
            </w:r>
          </w:p>
        </w:tc>
        <w:tc>
          <w:tcPr>
            <w:tcW w:w="35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59</w:t>
            </w:r>
          </w:p>
        </w:tc>
        <w:tc>
          <w:tcPr>
            <w:tcW w:w="1041" w:type="dxa"/>
            <w:tcBorders>
              <w:top w:val="nil"/>
              <w:left w:val="nil"/>
              <w:bottom w:val="single" w:color="auto" w:sz="4" w:space="0"/>
              <w:right w:val="single" w:color="auto" w:sz="4" w:space="0"/>
            </w:tcBorders>
            <w:shd w:val="clear" w:color="auto" w:fill="auto"/>
            <w:noWrap/>
          </w:tcPr>
          <w:p>
            <w:pPr>
              <w:jc w:val="right"/>
            </w:pPr>
            <w:r>
              <w:rPr>
                <w:rFonts w:ascii="Times New Roman" w:hAnsi="Times New Roman" w:eastAsia="仿宋_GB2312" w:cs="Times New Roman"/>
                <w:kern w:val="0"/>
                <w:sz w:val="22"/>
              </w:rPr>
              <w:t>11323.85</w:t>
            </w:r>
          </w:p>
        </w:tc>
        <w:tc>
          <w:tcPr>
            <w:tcW w:w="1498" w:type="dxa"/>
            <w:tcBorders>
              <w:top w:val="nil"/>
              <w:left w:val="nil"/>
              <w:bottom w:val="single" w:color="auto" w:sz="4" w:space="0"/>
              <w:right w:val="single" w:color="auto" w:sz="4" w:space="0"/>
            </w:tcBorders>
            <w:shd w:val="clear" w:color="auto" w:fill="auto"/>
            <w:noWrap/>
          </w:tcPr>
          <w:p>
            <w:pPr>
              <w:jc w:val="right"/>
            </w:pPr>
            <w:r>
              <w:rPr>
                <w:rFonts w:ascii="Times New Roman" w:hAnsi="Times New Roman" w:eastAsia="仿宋_GB2312" w:cs="Times New Roman"/>
                <w:kern w:val="0"/>
                <w:sz w:val="22"/>
              </w:rPr>
              <w:t>11323.85</w:t>
            </w:r>
          </w:p>
        </w:tc>
        <w:tc>
          <w:tcPr>
            <w:tcW w:w="1153"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2"/>
              </w:rPr>
              <w:t>0</w:t>
            </w:r>
          </w:p>
        </w:tc>
        <w:tc>
          <w:tcPr>
            <w:tcW w:w="1223"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2"/>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28</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60</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29</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11323.85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30</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62</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63</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w:t>
            </w:r>
          </w:p>
        </w:tc>
        <w:tc>
          <w:tcPr>
            <w:tcW w:w="104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11323.85　</w:t>
            </w:r>
          </w:p>
        </w:tc>
        <w:tc>
          <w:tcPr>
            <w:tcW w:w="35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w:t>
            </w:r>
          </w:p>
        </w:tc>
        <w:tc>
          <w:tcPr>
            <w:tcW w:w="1041" w:type="dxa"/>
            <w:tcBorders>
              <w:top w:val="nil"/>
              <w:left w:val="nil"/>
              <w:bottom w:val="single" w:color="auto" w:sz="4" w:space="0"/>
              <w:right w:val="single" w:color="auto" w:sz="4" w:space="0"/>
            </w:tcBorders>
            <w:shd w:val="clear" w:color="000000" w:fill="FFFFFF"/>
            <w:noWrap/>
          </w:tcPr>
          <w:p>
            <w:pPr>
              <w:jc w:val="right"/>
            </w:pPr>
            <w:r>
              <w:rPr>
                <w:rFonts w:ascii="Times New Roman" w:hAnsi="Times New Roman" w:eastAsia="仿宋_GB2312" w:cs="Times New Roman"/>
                <w:kern w:val="0"/>
                <w:sz w:val="22"/>
              </w:rPr>
              <w:t>11323.85</w:t>
            </w:r>
          </w:p>
        </w:tc>
        <w:tc>
          <w:tcPr>
            <w:tcW w:w="1498" w:type="dxa"/>
            <w:tcBorders>
              <w:top w:val="nil"/>
              <w:left w:val="nil"/>
              <w:bottom w:val="single" w:color="auto" w:sz="4" w:space="0"/>
              <w:right w:val="single" w:color="auto" w:sz="4" w:space="0"/>
            </w:tcBorders>
            <w:shd w:val="clear" w:color="000000" w:fill="FFFFFF"/>
            <w:noWrap/>
          </w:tcPr>
          <w:p>
            <w:pPr>
              <w:jc w:val="right"/>
            </w:pPr>
            <w:r>
              <w:rPr>
                <w:rFonts w:ascii="Times New Roman" w:hAnsi="Times New Roman" w:eastAsia="仿宋_GB2312" w:cs="Times New Roman"/>
                <w:kern w:val="0"/>
                <w:sz w:val="22"/>
              </w:rPr>
              <w:t>11323.85</w:t>
            </w:r>
          </w:p>
        </w:tc>
        <w:tc>
          <w:tcPr>
            <w:tcW w:w="1153"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2"/>
              </w:rPr>
              <w:t>0</w:t>
            </w:r>
          </w:p>
        </w:tc>
        <w:tc>
          <w:tcPr>
            <w:tcW w:w="1223"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kern w:val="0"/>
                <w:sz w:val="22"/>
              </w:rPr>
              <w:t>0</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hint="eastAsia" w:ascii="Times New Roman" w:hAnsi="Times New Roman" w:eastAsia="方正小标宋_GBK" w:cs="Times New Roman"/>
          <w:kern w:val="0"/>
          <w:sz w:val="36"/>
          <w:szCs w:val="36"/>
        </w:rPr>
      </w:pPr>
    </w:p>
    <w:p>
      <w:pPr>
        <w:pStyle w:val="2"/>
        <w:rPr>
          <w:rFonts w:hint="eastAsia"/>
        </w:rPr>
      </w:pPr>
    </w:p>
    <w:p>
      <w:pPr>
        <w:pStyle w:val="3"/>
        <w:ind w:firstLine="480"/>
        <w:rPr>
          <w:rFonts w:hint="eastAsia"/>
        </w:rPr>
      </w:pPr>
    </w:p>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Ind w:w="0" w:type="dxa"/>
        <w:tblLayout w:type="fixed"/>
        <w:tblCellMar>
          <w:top w:w="0" w:type="dxa"/>
          <w:left w:w="108" w:type="dxa"/>
          <w:bottom w:w="0" w:type="dxa"/>
          <w:right w:w="108" w:type="dxa"/>
        </w:tblCellMar>
      </w:tblPr>
      <w:tblGrid>
        <w:gridCol w:w="1200"/>
        <w:gridCol w:w="3527"/>
        <w:gridCol w:w="3000"/>
        <w:gridCol w:w="3492"/>
        <w:gridCol w:w="3000"/>
      </w:tblGrid>
      <w:tr>
        <w:tblPrEx>
          <w:tblLayout w:type="fixed"/>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11,323.85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7,814.28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3,509.57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6,512.02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6,316.09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195.93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20101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人大事务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6,316.09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6,316.09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2010101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6,316.09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6,316.09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20199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195.93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195.93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2019999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195.93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195.93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204</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公共安全支出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3,625.18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491.94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3,133.24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20402</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公安</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3,610.18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491.94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3,118.24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2040201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491.94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491.94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2040202</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一般行政管理事务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355.00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355.00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2040220</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执法办案</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991.45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991.45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2040299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其他公安支出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1,771.79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1,771.79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20499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其他公共安全支出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15.00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15.00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2049999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其他公共安全支出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15.00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15.00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207</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104.95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104.95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20799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104.95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104.95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2079999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104.95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104.95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208</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492.49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492.49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20805</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492.49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492.49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2080501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行政单位离退休</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39.08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39.08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2080505</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453.41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453.41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210</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卫生健康支出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179.63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179.63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21011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179.63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179.63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2101101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行政单位医疗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179.63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179.63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214</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交通运输支出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70.00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70.00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21499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其他交通运输支出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70.00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70.00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2149999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其他交通运输支出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70.00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70.00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221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住房保障支出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339.59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334.14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5.45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22102</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住房改革支出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339.59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334.14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5.45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2210201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住房公积金</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339.59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334.14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5.45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br w:type="page"/>
      </w:r>
    </w:p>
    <w:p>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Ind w:w="0" w:type="dxa"/>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Layout w:type="fixed"/>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6812.93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758.2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1524.22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17.67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990.79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0.13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882.7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0.23</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13.78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1.78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9.26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453.41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32.69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24.29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199.53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0.62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0.23</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15.58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33.13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334.17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19.9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2396.98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242.91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0.32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0.36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0.05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241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12.52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259.43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Layout w:type="fixed"/>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0.09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200.09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tcPr>
          <w:p>
            <w:pPr>
              <w:jc w:val="right"/>
            </w:pPr>
            <w:r>
              <w:rPr>
                <w:rFonts w:hint="eastAsia" w:ascii="Times New Roman" w:hAnsi="Times New Roman" w:eastAsia="仿宋_GB2312" w:cs="Times New Roman"/>
                <w:color w:val="000000"/>
                <w:kern w:val="0"/>
                <w:szCs w:val="20"/>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0.52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111.93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7055.84</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758.43</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Ind w:w="0" w:type="dxa"/>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Layout w:type="fixed"/>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 xml:space="preserve">   </w:t>
            </w:r>
            <w:r>
              <w:rPr>
                <w:rStyle w:val="19"/>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Layout w:type="fixed"/>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Layout w:type="fixed"/>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217" w:type="dxa"/>
        <w:tblInd w:w="0" w:type="dxa"/>
        <w:tblLayout w:type="fixed"/>
        <w:tblCellMar>
          <w:top w:w="0" w:type="dxa"/>
          <w:left w:w="108" w:type="dxa"/>
          <w:bottom w:w="0" w:type="dxa"/>
          <w:right w:w="108" w:type="dxa"/>
        </w:tblCellMar>
      </w:tblPr>
      <w:tblGrid>
        <w:gridCol w:w="3095"/>
        <w:gridCol w:w="3097"/>
        <w:gridCol w:w="1832"/>
        <w:gridCol w:w="3097"/>
        <w:gridCol w:w="3096"/>
      </w:tblGrid>
      <w:tr>
        <w:tblPrEx>
          <w:tblLayout w:type="fixed"/>
          <w:tblCellMar>
            <w:top w:w="0" w:type="dxa"/>
            <w:left w:w="108" w:type="dxa"/>
            <w:bottom w:w="0" w:type="dxa"/>
            <w:right w:w="108" w:type="dxa"/>
          </w:tblCellMar>
        </w:tblPrEx>
        <w:trPr>
          <w:trHeight w:val="548" w:hRule="atLeast"/>
        </w:trPr>
        <w:tc>
          <w:tcPr>
            <w:tcW w:w="61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0"/>
                <w:rFonts w:hint="default" w:ascii="Times New Roman" w:hAnsi="Times New Roman" w:eastAsia="仿宋_GB2312" w:cs="Times New Roman"/>
                <w:b/>
                <w:bCs/>
              </w:rPr>
              <w:t>目</w:t>
            </w:r>
          </w:p>
        </w:tc>
        <w:tc>
          <w:tcPr>
            <w:tcW w:w="802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Layout w:type="fixed"/>
          <w:tblCellMar>
            <w:top w:w="0" w:type="dxa"/>
            <w:left w:w="108" w:type="dxa"/>
            <w:bottom w:w="0" w:type="dxa"/>
            <w:right w:w="108" w:type="dxa"/>
          </w:tblCellMar>
        </w:tblPrEx>
        <w:trPr>
          <w:trHeight w:val="312" w:hRule="exact"/>
        </w:trPr>
        <w:tc>
          <w:tcPr>
            <w:tcW w:w="30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30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30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Layout w:type="fixed"/>
          <w:tblCellMar>
            <w:top w:w="0" w:type="dxa"/>
            <w:left w:w="108" w:type="dxa"/>
            <w:bottom w:w="0" w:type="dxa"/>
            <w:right w:w="108" w:type="dxa"/>
          </w:tblCellMar>
        </w:tblPrEx>
        <w:trPr>
          <w:trHeight w:val="312" w:hRule="exact"/>
        </w:trPr>
        <w:tc>
          <w:tcPr>
            <w:tcW w:w="30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trPr>
        <w:tc>
          <w:tcPr>
            <w:tcW w:w="30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61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Layout w:type="fixed"/>
          <w:tblCellMar>
            <w:top w:w="0" w:type="dxa"/>
            <w:left w:w="108" w:type="dxa"/>
            <w:bottom w:w="0" w:type="dxa"/>
            <w:right w:w="108" w:type="dxa"/>
          </w:tblCellMar>
        </w:tblPrEx>
        <w:trPr>
          <w:trHeight w:val="548" w:hRule="atLeast"/>
        </w:trPr>
        <w:tc>
          <w:tcPr>
            <w:tcW w:w="61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309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c>
          <w:tcPr>
            <w:tcW w:w="309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309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309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309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c>
          <w:tcPr>
            <w:tcW w:w="309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14544" w:type="dxa"/>
        <w:jc w:val="center"/>
        <w:tblInd w:w="0" w:type="dxa"/>
        <w:tblLayout w:type="fixed"/>
        <w:tblCellMar>
          <w:top w:w="0" w:type="dxa"/>
          <w:left w:w="108" w:type="dxa"/>
          <w:bottom w:w="0" w:type="dxa"/>
          <w:right w:w="108" w:type="dxa"/>
        </w:tblCellMar>
      </w:tblPr>
      <w:tblGrid>
        <w:gridCol w:w="935"/>
        <w:gridCol w:w="1229"/>
        <w:gridCol w:w="1086"/>
        <w:gridCol w:w="1188"/>
        <w:gridCol w:w="1425"/>
        <w:gridCol w:w="1373"/>
        <w:gridCol w:w="1050"/>
        <w:gridCol w:w="1166"/>
        <w:gridCol w:w="1166"/>
        <w:gridCol w:w="1166"/>
        <w:gridCol w:w="1358"/>
        <w:gridCol w:w="1402"/>
      </w:tblGrid>
      <w:tr>
        <w:tblPrEx>
          <w:tblLayout w:type="fixed"/>
          <w:tblCellMar>
            <w:top w:w="0" w:type="dxa"/>
            <w:left w:w="108" w:type="dxa"/>
            <w:bottom w:w="0" w:type="dxa"/>
            <w:right w:w="108" w:type="dxa"/>
          </w:tblCellMar>
        </w:tblPrEx>
        <w:trPr>
          <w:trHeight w:val="606" w:hRule="atLeast"/>
          <w:jc w:val="center"/>
        </w:trPr>
        <w:tc>
          <w:tcPr>
            <w:tcW w:w="723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Layout w:type="fixed"/>
          <w:tblCellMar>
            <w:top w:w="0" w:type="dxa"/>
            <w:left w:w="108" w:type="dxa"/>
            <w:bottom w:w="0" w:type="dxa"/>
            <w:right w:w="108" w:type="dxa"/>
          </w:tblCellMar>
        </w:tblPrEx>
        <w:trPr>
          <w:trHeight w:val="495" w:hRule="atLeast"/>
          <w:jc w:val="center"/>
        </w:trPr>
        <w:tc>
          <w:tcPr>
            <w:tcW w:w="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Layout w:type="fixed"/>
          <w:tblCellMar>
            <w:top w:w="0" w:type="dxa"/>
            <w:left w:w="108" w:type="dxa"/>
            <w:bottom w:w="0" w:type="dxa"/>
            <w:right w:w="108" w:type="dxa"/>
          </w:tblCellMar>
        </w:tblPrEx>
        <w:trPr>
          <w:trHeight w:val="864" w:hRule="atLeast"/>
          <w:jc w:val="center"/>
        </w:trPr>
        <w:tc>
          <w:tcPr>
            <w:tcW w:w="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2"/>
              </w:rPr>
            </w:pPr>
          </w:p>
        </w:tc>
        <w:tc>
          <w:tcPr>
            <w:tcW w:w="12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2"/>
              </w:rPr>
            </w:pPr>
          </w:p>
        </w:tc>
        <w:tc>
          <w:tcPr>
            <w:tcW w:w="10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614" w:hRule="atLeast"/>
          <w:jc w:val="center"/>
        </w:trPr>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Layout w:type="fixed"/>
          <w:tblCellMar>
            <w:top w:w="0" w:type="dxa"/>
            <w:left w:w="108" w:type="dxa"/>
            <w:bottom w:w="0" w:type="dxa"/>
            <w:right w:w="108" w:type="dxa"/>
          </w:tblCellMar>
        </w:tblPrEx>
        <w:trPr>
          <w:trHeight w:val="579" w:hRule="atLeast"/>
          <w:jc w:val="center"/>
        </w:trPr>
        <w:tc>
          <w:tcPr>
            <w:tcW w:w="93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220</w:t>
            </w:r>
          </w:p>
        </w:tc>
        <w:tc>
          <w:tcPr>
            <w:tcW w:w="1229"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08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218</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218</w:t>
            </w:r>
          </w:p>
        </w:tc>
        <w:tc>
          <w:tcPr>
            <w:tcW w:w="1373"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177.84</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177.84</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27.19</w:t>
            </w:r>
          </w:p>
        </w:tc>
        <w:tc>
          <w:tcPr>
            <w:tcW w:w="1358"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150.29</w:t>
            </w:r>
          </w:p>
        </w:tc>
        <w:tc>
          <w:tcPr>
            <w:tcW w:w="140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0.36</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pPr>
        <w:pStyle w:val="15"/>
        <w:rPr>
          <w:rFonts w:ascii="Times New Roman" w:hAnsi="Times New Roman" w:cs="Times New Roman"/>
          <w:sz w:val="72"/>
          <w:szCs w:val="72"/>
        </w:rPr>
      </w:pPr>
    </w:p>
    <w:p>
      <w:pPr>
        <w:pStyle w:val="15"/>
        <w:rPr>
          <w:rFonts w:ascii="Times New Roman" w:hAnsi="Times New Roman" w:cs="Times New Roman"/>
          <w:sz w:val="72"/>
          <w:szCs w:val="72"/>
        </w:rPr>
      </w:pPr>
    </w:p>
    <w:p>
      <w:pPr>
        <w:pStyle w:val="15"/>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eastAsia="方正小标宋_GBK"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br w:type="page"/>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万元。与上年相比减少</w:t>
      </w:r>
      <w:r>
        <w:rPr>
          <w:rFonts w:ascii="仿宋_GB2312" w:hAnsi="仿宋" w:eastAsia="仿宋_GB2312"/>
          <w:sz w:val="32"/>
          <w:szCs w:val="32"/>
        </w:rPr>
        <w:t>1232.23</w:t>
      </w:r>
      <w:r>
        <w:rPr>
          <w:rFonts w:ascii="Times New Roman" w:hAnsi="Times New Roman" w:eastAsia="仿宋_GB2312" w:cs="Times New Roman"/>
          <w:sz w:val="32"/>
          <w:szCs w:val="32"/>
        </w:rPr>
        <w:t>万元，</w:t>
      </w:r>
      <w:r>
        <w:rPr>
          <w:rFonts w:hint="eastAsia" w:ascii="仿宋_GB2312" w:hAnsi="仿宋" w:eastAsia="仿宋_GB2312"/>
          <w:sz w:val="32"/>
          <w:szCs w:val="32"/>
        </w:rPr>
        <w:t>降幅9.81%</w:t>
      </w:r>
      <w:r>
        <w:rPr>
          <w:rFonts w:ascii="Times New Roman" w:hAnsi="Times New Roman" w:eastAsia="仿宋_GB2312" w:cs="Times New Roman"/>
          <w:sz w:val="32"/>
          <w:szCs w:val="32"/>
        </w:rPr>
        <w:t>，主要是因为</w:t>
      </w:r>
      <w:r>
        <w:rPr>
          <w:rFonts w:hint="eastAsia" w:ascii="仿宋_GB2312" w:hAnsi="仿宋" w:eastAsia="仿宋_GB2312"/>
          <w:sz w:val="32"/>
          <w:szCs w:val="32"/>
        </w:rPr>
        <w:t>公用经费、项目经费减少</w:t>
      </w:r>
      <w:r>
        <w:rPr>
          <w:rFonts w:hint="eastAsia"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辅警工资、业务办案费、业务装备费等重点支出，体现在有关支出科目中。</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万元，其中：财政拨款收入</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万元，其中：基本支出</w:t>
      </w:r>
      <w:r>
        <w:rPr>
          <w:rFonts w:hint="eastAsia" w:ascii="仿宋_GB2312" w:eastAsia="仿宋_GB2312"/>
          <w:sz w:val="32"/>
          <w:szCs w:val="32"/>
        </w:rPr>
        <w:t>7814.28</w:t>
      </w:r>
      <w:r>
        <w:rPr>
          <w:rFonts w:ascii="Times New Roman" w:hAnsi="Times New Roman" w:eastAsia="仿宋_GB2312" w:cs="Times New Roman"/>
          <w:sz w:val="32"/>
          <w:szCs w:val="32"/>
        </w:rPr>
        <w:t>万元，占</w:t>
      </w:r>
      <w:r>
        <w:rPr>
          <w:rFonts w:hint="eastAsia" w:ascii="仿宋_GB2312" w:eastAsia="仿宋_GB2312"/>
          <w:sz w:val="32"/>
          <w:szCs w:val="32"/>
        </w:rPr>
        <w:t>69</w:t>
      </w:r>
      <w:r>
        <w:rPr>
          <w:rFonts w:ascii="Times New Roman" w:hAnsi="Times New Roman" w:eastAsia="仿宋_GB2312" w:cs="Times New Roman"/>
          <w:sz w:val="32"/>
          <w:szCs w:val="32"/>
        </w:rPr>
        <w:t>%；项目支出</w:t>
      </w:r>
      <w:r>
        <w:rPr>
          <w:rFonts w:hint="eastAsia" w:ascii="仿宋_GB2312" w:eastAsia="仿宋_GB2312"/>
          <w:sz w:val="32"/>
          <w:szCs w:val="32"/>
        </w:rPr>
        <w:t>3509.57</w:t>
      </w:r>
      <w:r>
        <w:rPr>
          <w:rFonts w:ascii="Times New Roman" w:hAnsi="Times New Roman" w:eastAsia="仿宋_GB2312" w:cs="Times New Roman"/>
          <w:sz w:val="32"/>
          <w:szCs w:val="32"/>
        </w:rPr>
        <w:t>万元，占</w:t>
      </w:r>
      <w:r>
        <w:rPr>
          <w:rFonts w:hint="eastAsia" w:ascii="仿宋_GB2312" w:eastAsia="仿宋_GB2312"/>
          <w:sz w:val="32"/>
          <w:szCs w:val="32"/>
        </w:rPr>
        <w:t>31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万元，与上年相比，减少</w:t>
      </w:r>
      <w:r>
        <w:rPr>
          <w:rFonts w:ascii="仿宋_GB2312" w:hAnsi="仿宋" w:eastAsia="仿宋_GB2312"/>
          <w:sz w:val="32"/>
          <w:szCs w:val="32"/>
        </w:rPr>
        <w:t>1232.23</w:t>
      </w:r>
      <w:r>
        <w:rPr>
          <w:rFonts w:ascii="Times New Roman" w:hAnsi="Times New Roman" w:eastAsia="仿宋_GB2312" w:cs="Times New Roman"/>
          <w:sz w:val="32"/>
          <w:szCs w:val="32"/>
        </w:rPr>
        <w:t>万元,降低</w:t>
      </w:r>
      <w:r>
        <w:rPr>
          <w:rFonts w:hint="eastAsia" w:ascii="仿宋_GB2312" w:hAnsi="仿宋" w:eastAsia="仿宋_GB2312"/>
          <w:sz w:val="32"/>
          <w:szCs w:val="32"/>
        </w:rPr>
        <w:t>9.81</w:t>
      </w:r>
      <w:r>
        <w:rPr>
          <w:rFonts w:ascii="Times New Roman" w:hAnsi="Times New Roman" w:eastAsia="仿宋_GB2312" w:cs="Times New Roman"/>
          <w:sz w:val="32"/>
          <w:szCs w:val="32"/>
        </w:rPr>
        <w:t>%，主要是因为</w:t>
      </w:r>
      <w:r>
        <w:rPr>
          <w:rFonts w:hint="eastAsia" w:ascii="仿宋_GB2312" w:hAnsi="仿宋" w:eastAsia="仿宋_GB2312"/>
          <w:sz w:val="32"/>
          <w:szCs w:val="32"/>
        </w:rPr>
        <w:t>公用经费、项目经费减少。</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%，与上年相比，财政拨款支出减少</w:t>
      </w:r>
      <w:r>
        <w:rPr>
          <w:rFonts w:ascii="仿宋_GB2312" w:hAnsi="仿宋" w:eastAsia="仿宋_GB2312"/>
          <w:sz w:val="32"/>
          <w:szCs w:val="32"/>
        </w:rPr>
        <w:t>1232.23</w:t>
      </w:r>
      <w:r>
        <w:rPr>
          <w:rFonts w:ascii="Times New Roman" w:hAnsi="Times New Roman" w:eastAsia="仿宋_GB2312" w:cs="Times New Roman"/>
          <w:sz w:val="32"/>
          <w:szCs w:val="32"/>
        </w:rPr>
        <w:t>万元,降低</w:t>
      </w:r>
      <w:r>
        <w:rPr>
          <w:rFonts w:hint="eastAsia" w:ascii="仿宋_GB2312" w:hAnsi="仿宋" w:eastAsia="仿宋_GB2312"/>
          <w:sz w:val="32"/>
          <w:szCs w:val="32"/>
        </w:rPr>
        <w:t>9.81</w:t>
      </w:r>
      <w:r>
        <w:rPr>
          <w:rFonts w:ascii="Times New Roman" w:hAnsi="Times New Roman" w:eastAsia="仿宋_GB2312" w:cs="Times New Roman"/>
          <w:sz w:val="32"/>
          <w:szCs w:val="32"/>
        </w:rPr>
        <w:t>%，主要是因为</w:t>
      </w:r>
      <w:r>
        <w:rPr>
          <w:rFonts w:hint="eastAsia" w:ascii="仿宋_GB2312" w:hAnsi="仿宋" w:eastAsia="仿宋_GB2312"/>
          <w:sz w:val="32"/>
          <w:szCs w:val="32"/>
        </w:rPr>
        <w:t>公用经费、项目经费减少。</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一般公共服务（类）支出</w:t>
      </w:r>
      <w:r>
        <w:rPr>
          <w:rFonts w:ascii="仿宋_GB2312" w:hAnsi="仿宋" w:eastAsia="仿宋_GB2312"/>
          <w:sz w:val="32"/>
          <w:szCs w:val="32"/>
        </w:rPr>
        <w:t>6512</w:t>
      </w:r>
      <w:r>
        <w:rPr>
          <w:rFonts w:hint="eastAsia" w:ascii="仿宋_GB2312" w:hAnsi="仿宋" w:eastAsia="仿宋_GB2312"/>
          <w:sz w:val="32"/>
          <w:szCs w:val="32"/>
        </w:rPr>
        <w:t>.02</w:t>
      </w:r>
      <w:r>
        <w:rPr>
          <w:rFonts w:hint="eastAsia" w:ascii="Times New Roman" w:hAnsi="Times New Roman" w:eastAsia="仿宋_GB2312" w:cs="Times New Roman"/>
          <w:sz w:val="32"/>
          <w:szCs w:val="32"/>
        </w:rPr>
        <w:t>万元，占57.51%；公共安全支出</w:t>
      </w:r>
      <w:r>
        <w:rPr>
          <w:rFonts w:ascii="仿宋_GB2312" w:hAnsi="仿宋" w:eastAsia="仿宋_GB2312"/>
          <w:sz w:val="32"/>
          <w:szCs w:val="32"/>
        </w:rPr>
        <w:t>3625</w:t>
      </w:r>
      <w:r>
        <w:rPr>
          <w:rFonts w:hint="eastAsia" w:ascii="仿宋_GB2312" w:hAnsi="仿宋" w:eastAsia="仿宋_GB2312"/>
          <w:sz w:val="32"/>
          <w:szCs w:val="32"/>
        </w:rPr>
        <w:t>.</w:t>
      </w:r>
      <w:r>
        <w:rPr>
          <w:rFonts w:ascii="仿宋_GB2312" w:hAnsi="仿宋" w:eastAsia="仿宋_GB2312"/>
          <w:sz w:val="32"/>
          <w:szCs w:val="32"/>
        </w:rPr>
        <w:t>18</w:t>
      </w:r>
      <w:r>
        <w:rPr>
          <w:rFonts w:hint="eastAsia" w:ascii="Times New Roman" w:hAnsi="Times New Roman" w:eastAsia="仿宋_GB2312" w:cs="Times New Roman"/>
          <w:sz w:val="32"/>
          <w:szCs w:val="32"/>
        </w:rPr>
        <w:t>万元，占32.01%；社会保障和就业支出</w:t>
      </w:r>
      <w:r>
        <w:rPr>
          <w:rFonts w:ascii="仿宋_GB2312" w:hAnsi="仿宋" w:eastAsia="仿宋_GB2312"/>
          <w:sz w:val="32"/>
          <w:szCs w:val="32"/>
        </w:rPr>
        <w:t>492</w:t>
      </w:r>
      <w:r>
        <w:rPr>
          <w:rFonts w:hint="eastAsia" w:ascii="仿宋_GB2312" w:hAnsi="仿宋" w:eastAsia="仿宋_GB2312"/>
          <w:sz w:val="32"/>
          <w:szCs w:val="32"/>
        </w:rPr>
        <w:t>.</w:t>
      </w:r>
      <w:r>
        <w:rPr>
          <w:rFonts w:ascii="仿宋_GB2312" w:hAnsi="仿宋" w:eastAsia="仿宋_GB2312"/>
          <w:sz w:val="32"/>
          <w:szCs w:val="32"/>
        </w:rPr>
        <w:t>4</w:t>
      </w:r>
      <w:r>
        <w:rPr>
          <w:rFonts w:hint="eastAsia" w:ascii="仿宋_GB2312" w:hAnsi="仿宋" w:eastAsia="仿宋_GB2312"/>
          <w:sz w:val="32"/>
          <w:szCs w:val="32"/>
        </w:rPr>
        <w:t>9</w:t>
      </w:r>
      <w:r>
        <w:rPr>
          <w:rFonts w:hint="eastAsia" w:ascii="Times New Roman" w:hAnsi="Times New Roman" w:eastAsia="仿宋_GB2312" w:cs="Times New Roman"/>
          <w:sz w:val="32"/>
          <w:szCs w:val="32"/>
        </w:rPr>
        <w:t>万元，占4.35%；</w:t>
      </w:r>
      <w:r>
        <w:rPr>
          <w:rFonts w:hint="eastAsia" w:ascii="仿宋_GB2312" w:hAnsi="仿宋" w:eastAsia="仿宋_GB2312"/>
          <w:sz w:val="32"/>
          <w:szCs w:val="32"/>
        </w:rPr>
        <w:t>文化旅游体育与传媒支出</w:t>
      </w:r>
      <w:r>
        <w:rPr>
          <w:rFonts w:ascii="仿宋_GB2312" w:hAnsi="仿宋" w:eastAsia="仿宋_GB2312"/>
          <w:sz w:val="32"/>
          <w:szCs w:val="32"/>
        </w:rPr>
        <w:t>104</w:t>
      </w:r>
      <w:r>
        <w:rPr>
          <w:rFonts w:hint="eastAsia" w:ascii="仿宋_GB2312" w:hAnsi="仿宋" w:eastAsia="仿宋_GB2312"/>
          <w:sz w:val="32"/>
          <w:szCs w:val="32"/>
        </w:rPr>
        <w:t>.</w:t>
      </w:r>
      <w:r>
        <w:rPr>
          <w:rFonts w:ascii="仿宋_GB2312" w:hAnsi="仿宋" w:eastAsia="仿宋_GB2312"/>
          <w:sz w:val="32"/>
          <w:szCs w:val="32"/>
        </w:rPr>
        <w:t>9</w:t>
      </w:r>
      <w:r>
        <w:rPr>
          <w:rFonts w:hint="eastAsia" w:ascii="仿宋_GB2312" w:hAnsi="仿宋" w:eastAsia="仿宋_GB2312"/>
          <w:sz w:val="32"/>
          <w:szCs w:val="32"/>
        </w:rPr>
        <w:t>5万元</w:t>
      </w:r>
      <w:r>
        <w:rPr>
          <w:rFonts w:hint="eastAsia" w:ascii="Times New Roman" w:hAnsi="Times New Roman" w:eastAsia="仿宋_GB2312" w:cs="Times New Roman"/>
          <w:sz w:val="32"/>
          <w:szCs w:val="32"/>
        </w:rPr>
        <w:t>，占0.93%</w:t>
      </w:r>
      <w:r>
        <w:rPr>
          <w:rFonts w:hint="eastAsia" w:ascii="仿宋_GB2312" w:hAnsi="仿宋" w:eastAsia="仿宋_GB2312"/>
          <w:sz w:val="32"/>
          <w:szCs w:val="32"/>
        </w:rPr>
        <w:t>；</w:t>
      </w:r>
      <w:r>
        <w:rPr>
          <w:rFonts w:hint="eastAsia" w:ascii="Times New Roman" w:hAnsi="Times New Roman" w:eastAsia="仿宋_GB2312" w:cs="Times New Roman"/>
          <w:sz w:val="32"/>
          <w:szCs w:val="32"/>
        </w:rPr>
        <w:t>卫生健康支出</w:t>
      </w:r>
      <w:r>
        <w:rPr>
          <w:rFonts w:ascii="仿宋_GB2312" w:hAnsi="仿宋" w:eastAsia="仿宋_GB2312"/>
          <w:sz w:val="32"/>
          <w:szCs w:val="32"/>
        </w:rPr>
        <w:t>179</w:t>
      </w:r>
      <w:r>
        <w:rPr>
          <w:rFonts w:hint="eastAsia" w:ascii="仿宋_GB2312" w:hAnsi="仿宋" w:eastAsia="仿宋_GB2312"/>
          <w:sz w:val="32"/>
          <w:szCs w:val="32"/>
        </w:rPr>
        <w:t>.</w:t>
      </w:r>
      <w:r>
        <w:rPr>
          <w:rFonts w:ascii="仿宋_GB2312" w:hAnsi="仿宋" w:eastAsia="仿宋_GB2312"/>
          <w:sz w:val="32"/>
          <w:szCs w:val="32"/>
        </w:rPr>
        <w:t>6</w:t>
      </w:r>
      <w:r>
        <w:rPr>
          <w:rFonts w:hint="eastAsia" w:ascii="仿宋_GB2312" w:hAnsi="仿宋" w:eastAsia="仿宋_GB2312"/>
          <w:sz w:val="32"/>
          <w:szCs w:val="32"/>
        </w:rPr>
        <w:t>3</w:t>
      </w:r>
      <w:r>
        <w:rPr>
          <w:rFonts w:hint="eastAsia" w:ascii="Times New Roman" w:hAnsi="Times New Roman" w:eastAsia="仿宋_GB2312" w:cs="Times New Roman"/>
          <w:sz w:val="32"/>
          <w:szCs w:val="32"/>
        </w:rPr>
        <w:t>万元，占1.59%；交通运输支出</w:t>
      </w:r>
      <w:r>
        <w:rPr>
          <w:rFonts w:hint="eastAsia" w:ascii="仿宋_GB2312" w:hAnsi="仿宋" w:eastAsia="仿宋_GB2312"/>
          <w:sz w:val="32"/>
          <w:szCs w:val="32"/>
        </w:rPr>
        <w:t>70.00</w:t>
      </w:r>
      <w:r>
        <w:rPr>
          <w:rFonts w:hint="eastAsia" w:ascii="Times New Roman" w:hAnsi="Times New Roman" w:eastAsia="仿宋_GB2312" w:cs="Times New Roman"/>
          <w:sz w:val="32"/>
          <w:szCs w:val="32"/>
        </w:rPr>
        <w:t>万元，占0.62%；住房保障支出</w:t>
      </w:r>
      <w:r>
        <w:rPr>
          <w:rFonts w:ascii="仿宋_GB2312" w:hAnsi="仿宋" w:eastAsia="仿宋_GB2312"/>
          <w:sz w:val="32"/>
          <w:szCs w:val="32"/>
        </w:rPr>
        <w:t>3</w:t>
      </w:r>
      <w:r>
        <w:rPr>
          <w:rFonts w:hint="eastAsia" w:ascii="仿宋_GB2312" w:hAnsi="仿宋" w:eastAsia="仿宋_GB2312"/>
          <w:sz w:val="32"/>
          <w:szCs w:val="32"/>
        </w:rPr>
        <w:t>39.59</w:t>
      </w:r>
      <w:r>
        <w:rPr>
          <w:rFonts w:hint="eastAsia" w:ascii="Times New Roman" w:hAnsi="Times New Roman" w:eastAsia="仿宋_GB2312" w:cs="Times New Roman"/>
          <w:sz w:val="32"/>
          <w:szCs w:val="32"/>
        </w:rPr>
        <w:t>万元，占3%。</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万元，支出决算数为</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%，其中：</w:t>
      </w:r>
    </w:p>
    <w:p>
      <w:pPr>
        <w:pStyle w:val="15"/>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201（类）0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（款）0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w:t>
      </w:r>
    </w:p>
    <w:p>
      <w:pPr>
        <w:pStyle w:val="15"/>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年初预算为6476.91万元，支出决算为6316.09万元，完成年初预算的</w:t>
      </w:r>
      <w:r>
        <w:rPr>
          <w:rFonts w:hint="eastAsia" w:ascii="Times New Roman" w:hAnsi="Times New Roman" w:eastAsia="仿宋_GB2312" w:cs="Times New Roman"/>
          <w:sz w:val="32"/>
          <w:szCs w:val="32"/>
        </w:rPr>
        <w:t>97.52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厉行节约，进一步加强内控管理。</w:t>
      </w:r>
    </w:p>
    <w:p>
      <w:pPr>
        <w:pStyle w:val="15"/>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Times New Roman" w:hAnsi="Times New Roman" w:eastAsia="仿宋_GB2312" w:cs="Times New Roman"/>
          <w:sz w:val="32"/>
          <w:szCs w:val="32"/>
        </w:rPr>
        <w:t>支出201</w:t>
      </w:r>
      <w:r>
        <w:rPr>
          <w:rFonts w:ascii="Times New Roman" w:hAnsi="Times New Roman" w:eastAsia="仿宋_GB2312" w:cs="Times New Roman"/>
          <w:sz w:val="32"/>
          <w:szCs w:val="32"/>
        </w:rPr>
        <w:t>（类）99（款）99（项）</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w:t>
      </w:r>
    </w:p>
    <w:p>
      <w:pPr>
        <w:pStyle w:val="15"/>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万元，支出决算为195.93万元，完成年初预算的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本年度人员经费增加，而年初预算未纳入。</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3、公共安全支出204</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02</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01</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w:t>
      </w:r>
    </w:p>
    <w:p>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万元，支出决算为491.94万元，完成年初预算的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公共安全运行支出年初预算未纳入。</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4、公共安全支出204（类）02（款）02（项）：一般行政管理事务。</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355</w:t>
      </w:r>
      <w:r>
        <w:rPr>
          <w:rFonts w:hint="eastAsia" w:ascii="Times New Roman" w:hAnsi="Times New Roman" w:eastAsia="仿宋_GB2312" w:cs="Times New Roman"/>
          <w:sz w:val="32"/>
          <w:szCs w:val="32"/>
        </w:rPr>
        <w:t>万元，完成年初预算的100%，决算数大于年初预算数的主要原因是：本年度行政管理事务增加，而年初预算未纳入。</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5、公共安全支出204（类）02（款）20（项）：执法办案。</w:t>
      </w:r>
    </w:p>
    <w:p>
      <w:pPr>
        <w:pStyle w:val="15"/>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991.45</w:t>
      </w:r>
      <w:r>
        <w:rPr>
          <w:rFonts w:hint="eastAsia" w:ascii="Times New Roman" w:hAnsi="Times New Roman" w:eastAsia="仿宋_GB2312" w:cs="Times New Roman"/>
          <w:sz w:val="32"/>
          <w:szCs w:val="32"/>
        </w:rPr>
        <w:t>万元，完成年初预算的100%，决算数大于年初预算数的主要原因是：本年度发生了省拨科目三考场经费，而年初预算未纳入。</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6、公共安全支出204（类）02（款）99（项）：其他公安支出。</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ascii="Times New Roman" w:hAnsi="Times New Roman" w:eastAsia="仿宋_GB2312" w:cs="Times New Roman"/>
          <w:sz w:val="32"/>
          <w:szCs w:val="32"/>
        </w:rPr>
        <w:t>931</w:t>
      </w:r>
      <w:r>
        <w:rPr>
          <w:rFonts w:hint="eastAsia" w:ascii="Times New Roman" w:hAnsi="Times New Roman" w:eastAsia="仿宋_GB2312" w:cs="Times New Roman"/>
          <w:sz w:val="32"/>
          <w:szCs w:val="32"/>
        </w:rPr>
        <w:t>万元，支出决算为</w:t>
      </w:r>
      <w:r>
        <w:rPr>
          <w:rFonts w:ascii="Times New Roman" w:hAnsi="Times New Roman" w:eastAsia="仿宋_GB2312" w:cs="Times New Roman"/>
          <w:sz w:val="32"/>
          <w:szCs w:val="32"/>
        </w:rPr>
        <w:t>1771.79</w:t>
      </w:r>
      <w:r>
        <w:rPr>
          <w:rFonts w:hint="eastAsia" w:ascii="Times New Roman" w:hAnsi="Times New Roman" w:eastAsia="仿宋_GB2312" w:cs="Times New Roman"/>
          <w:sz w:val="32"/>
          <w:szCs w:val="32"/>
        </w:rPr>
        <w:t>万元，完成年初预算的100%，决算数大于年初预算数的主要原因是：其他商品服务支出增多，导致经费增加。</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7、公共安全支出204（类）99（款）99（项）：其他公共安全支出。</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年初预算为0万元，支出决算为15.00万元，完成年初预算的100%，决算数大于年初预算数的主要原因是：其他公共安全支出增多，导致经费增加。</w:t>
      </w:r>
    </w:p>
    <w:p>
      <w:pPr>
        <w:pStyle w:val="15"/>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8、文化旅游体育与传媒支出207（类）99（款）99（项）：其他文化旅游体育与传媒支出</w:t>
      </w:r>
    </w:p>
    <w:p>
      <w:pPr>
        <w:pStyle w:val="15"/>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104.95</w:t>
      </w:r>
      <w:r>
        <w:rPr>
          <w:rFonts w:hint="eastAsia" w:ascii="Times New Roman" w:hAnsi="Times New Roman" w:eastAsia="仿宋_GB2312" w:cs="Times New Roman"/>
          <w:sz w:val="32"/>
          <w:szCs w:val="32"/>
        </w:rPr>
        <w:t>万元，完成年初预算的100%，决算数大于年初预算数的主要原因是：</w:t>
      </w:r>
      <w:r>
        <w:rPr>
          <w:rFonts w:hint="eastAsia" w:ascii="仿宋_GB2312" w:hAnsi="仿宋" w:eastAsia="仿宋_GB2312"/>
          <w:sz w:val="32"/>
          <w:szCs w:val="32"/>
        </w:rPr>
        <w:t>增加旅发大会期间制作旅游标志标牌等项目费用</w:t>
      </w:r>
      <w:r>
        <w:rPr>
          <w:rFonts w:hint="eastAsia" w:ascii="Times New Roman" w:hAnsi="Times New Roman" w:eastAsia="仿宋_GB2312" w:cs="Times New Roman"/>
          <w:sz w:val="32"/>
          <w:szCs w:val="32"/>
        </w:rPr>
        <w:t>。</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9、社会保障和就业支出208（类）05（款）01（项）：行政单位离退休支出。</w:t>
      </w:r>
    </w:p>
    <w:p>
      <w:pPr>
        <w:pStyle w:val="15"/>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39.08</w:t>
      </w:r>
      <w:r>
        <w:rPr>
          <w:rFonts w:hint="eastAsia" w:ascii="Times New Roman" w:hAnsi="Times New Roman" w:eastAsia="仿宋_GB2312" w:cs="Times New Roman"/>
          <w:sz w:val="32"/>
          <w:szCs w:val="32"/>
        </w:rPr>
        <w:t>万元，完成年初预算的100%，决算数大于年初预算数的主要原因是：本年度离退休人员开支增加，年初预算未完全纳入。</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10、社会保障和就业支出208（类）05（款）05（项）：机关事业单位基本养老保险缴费支出。</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ascii="Times New Roman" w:hAnsi="Times New Roman" w:eastAsia="仿宋_GB2312" w:cs="Times New Roman"/>
          <w:sz w:val="32"/>
          <w:szCs w:val="32"/>
        </w:rPr>
        <w:t>439.49</w:t>
      </w:r>
      <w:r>
        <w:rPr>
          <w:rFonts w:hint="eastAsia" w:ascii="Times New Roman" w:hAnsi="Times New Roman" w:eastAsia="仿宋_GB2312" w:cs="Times New Roman"/>
          <w:sz w:val="32"/>
          <w:szCs w:val="32"/>
        </w:rPr>
        <w:t>万元，支出决算为</w:t>
      </w:r>
      <w:r>
        <w:rPr>
          <w:rFonts w:ascii="Times New Roman" w:hAnsi="Times New Roman" w:eastAsia="仿宋_GB2312" w:cs="Times New Roman"/>
          <w:sz w:val="32"/>
          <w:szCs w:val="32"/>
        </w:rPr>
        <w:t>453.41</w:t>
      </w:r>
      <w:r>
        <w:rPr>
          <w:rFonts w:hint="eastAsia" w:ascii="Times New Roman" w:hAnsi="Times New Roman" w:eastAsia="仿宋_GB2312" w:cs="Times New Roman"/>
          <w:sz w:val="32"/>
          <w:szCs w:val="32"/>
        </w:rPr>
        <w:t>万元，完成年初预算的100%，决算数大于年初预算数的主要原因是：本年度机关事业单位基本养老保险缴费增加，年初预算未完全纳入。</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11、卫生健康支出210（类）11（款）01（项）：行政单位医疗。</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ascii="Times New Roman" w:hAnsi="Times New Roman" w:eastAsia="仿宋_GB2312" w:cs="Times New Roman"/>
          <w:sz w:val="32"/>
          <w:szCs w:val="32"/>
        </w:rPr>
        <w:t>179.99</w:t>
      </w:r>
      <w:r>
        <w:rPr>
          <w:rFonts w:hint="eastAsia" w:ascii="Times New Roman" w:hAnsi="Times New Roman" w:eastAsia="仿宋_GB2312" w:cs="Times New Roman"/>
          <w:sz w:val="32"/>
          <w:szCs w:val="32"/>
        </w:rPr>
        <w:t>万元，支出决算为</w:t>
      </w:r>
      <w:r>
        <w:rPr>
          <w:rFonts w:ascii="Times New Roman" w:hAnsi="Times New Roman" w:eastAsia="仿宋_GB2312" w:cs="Times New Roman"/>
          <w:sz w:val="32"/>
          <w:szCs w:val="32"/>
        </w:rPr>
        <w:t>179.63</w:t>
      </w:r>
      <w:r>
        <w:rPr>
          <w:rFonts w:hint="eastAsia" w:ascii="Times New Roman" w:hAnsi="Times New Roman" w:eastAsia="仿宋_GB2312" w:cs="Times New Roman"/>
          <w:sz w:val="32"/>
          <w:szCs w:val="32"/>
        </w:rPr>
        <w:t>万元，完成年初预算的99.8%，决算数小于年初预算数的主要原因是：本年度职工基本医疗保险缴费减少。</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12、交通运输支出214（类）99（款）99（项）：其他交通运输支出。</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70</w:t>
      </w:r>
      <w:r>
        <w:rPr>
          <w:rFonts w:hint="eastAsia" w:ascii="Times New Roman" w:hAnsi="Times New Roman" w:eastAsia="仿宋_GB2312" w:cs="Times New Roman"/>
          <w:sz w:val="32"/>
          <w:szCs w:val="32"/>
        </w:rPr>
        <w:t>万元，完成年初预算的100%，决算数大于年初预算数的主要原因是：顽瘴痼疾办驻支队办公，顽瘴痼疾整治经费年初未纳入预算。</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13、住房保障支出221（类）02（款）01（项）：住房公积金。</w:t>
      </w:r>
    </w:p>
    <w:p>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ascii="Times New Roman" w:hAnsi="Times New Roman" w:eastAsia="仿宋_GB2312" w:cs="Times New Roman"/>
          <w:sz w:val="32"/>
          <w:szCs w:val="32"/>
        </w:rPr>
        <w:t>359.74</w:t>
      </w:r>
      <w:r>
        <w:rPr>
          <w:rFonts w:hint="eastAsia" w:ascii="Times New Roman" w:hAnsi="Times New Roman" w:eastAsia="仿宋_GB2312" w:cs="Times New Roman"/>
          <w:sz w:val="32"/>
          <w:szCs w:val="32"/>
        </w:rPr>
        <w:t>万元，支出决算为</w:t>
      </w:r>
      <w:r>
        <w:rPr>
          <w:rFonts w:ascii="Times New Roman" w:hAnsi="Times New Roman" w:eastAsia="仿宋_GB2312" w:cs="Times New Roman"/>
          <w:sz w:val="32"/>
          <w:szCs w:val="32"/>
        </w:rPr>
        <w:t>339.59</w:t>
      </w:r>
      <w:r>
        <w:rPr>
          <w:rFonts w:hint="eastAsia" w:ascii="Times New Roman" w:hAnsi="Times New Roman" w:eastAsia="仿宋_GB2312" w:cs="Times New Roman"/>
          <w:sz w:val="32"/>
          <w:szCs w:val="32"/>
        </w:rPr>
        <w:t>万元，完成年初预算的94.4%，决算数小于年初预算数的主要原因是：本年度有人员减少，人员经费减少。</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仿宋_GB2312" w:hAnsi="仿宋" w:eastAsia="仿宋_GB2312"/>
          <w:sz w:val="32"/>
          <w:szCs w:val="32"/>
        </w:rPr>
        <w:t>7814.28</w:t>
      </w:r>
      <w:r>
        <w:rPr>
          <w:rFonts w:ascii="Times New Roman" w:hAnsi="Times New Roman" w:eastAsia="仿宋_GB2312" w:cs="Times New Roman"/>
          <w:sz w:val="32"/>
          <w:szCs w:val="32"/>
        </w:rPr>
        <w:t>万元，其中：</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ascii="Times New Roman" w:hAnsi="Times New Roman" w:eastAsia="仿宋_GB2312" w:cs="Times New Roman"/>
          <w:sz w:val="32"/>
          <w:szCs w:val="32"/>
        </w:rPr>
        <w:t>7055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84万元，占基本支出的</w:t>
      </w:r>
      <w:r>
        <w:rPr>
          <w:rFonts w:hint="eastAsia" w:ascii="Times New Roman" w:hAnsi="Times New Roman" w:eastAsia="仿宋_GB2312" w:cs="Times New Roman"/>
          <w:sz w:val="32"/>
          <w:szCs w:val="32"/>
        </w:rPr>
        <w:t>90.29</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基本工资、津贴补贴、奖金、伙食补助费、机关事业单位基本养老保险缴费、职工基本医疗保险缴费、其他工资福利支出、抚恤金、生活补助、其他对个人和家庭的补助。</w:t>
      </w:r>
    </w:p>
    <w:p>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ascii="Times New Roman" w:hAnsi="Times New Roman" w:eastAsia="仿宋_GB2312" w:cs="Times New Roman"/>
          <w:sz w:val="32"/>
          <w:szCs w:val="32"/>
        </w:rPr>
        <w:t>758</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43万元，占基本支出的</w:t>
      </w:r>
      <w:r>
        <w:rPr>
          <w:rFonts w:hint="eastAsia" w:ascii="Times New Roman" w:hAnsi="Times New Roman" w:eastAsia="仿宋_GB2312" w:cs="Times New Roman"/>
          <w:sz w:val="32"/>
          <w:szCs w:val="32"/>
        </w:rPr>
        <w:t>9.71</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印刷费、水费、电费、邮电费、差旅费、维修（护）费、会议费、培训费、公务接待费、专用材料费、劳务费、委托业务费、工会经费、福利费、公务用车运行维护费、其他交通费用、其他商品和服务支出、办公设备购置。</w:t>
      </w:r>
    </w:p>
    <w:p>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仿宋_GB2312" w:hAnsi="仿宋" w:eastAsia="仿宋_GB2312" w:cs="仿宋"/>
          <w:sz w:val="32"/>
          <w:szCs w:val="32"/>
        </w:rPr>
        <w:t>220.00</w:t>
      </w:r>
      <w:r>
        <w:rPr>
          <w:rFonts w:ascii="Times New Roman" w:hAnsi="Times New Roman" w:eastAsia="仿宋_GB2312" w:cs="Times New Roman"/>
          <w:sz w:val="32"/>
          <w:szCs w:val="32"/>
        </w:rPr>
        <w:t>万元，支出决算为</w:t>
      </w:r>
      <w:r>
        <w:rPr>
          <w:rFonts w:ascii="仿宋_GB2312" w:hAnsi="仿宋" w:eastAsia="仿宋_GB2312" w:cs="仿宋"/>
          <w:sz w:val="32"/>
          <w:szCs w:val="32"/>
        </w:rPr>
        <w:t>177</w:t>
      </w:r>
      <w:r>
        <w:rPr>
          <w:rFonts w:hint="eastAsia" w:ascii="仿宋_GB2312" w:hAnsi="仿宋" w:eastAsia="仿宋_GB2312" w:cs="仿宋"/>
          <w:sz w:val="32"/>
          <w:szCs w:val="32"/>
        </w:rPr>
        <w:t>.</w:t>
      </w:r>
      <w:r>
        <w:rPr>
          <w:rFonts w:ascii="仿宋_GB2312" w:hAnsi="仿宋" w:eastAsia="仿宋_GB2312" w:cs="仿宋"/>
          <w:sz w:val="32"/>
          <w:szCs w:val="32"/>
        </w:rPr>
        <w:t>84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80.84</w:t>
      </w:r>
      <w:r>
        <w:rPr>
          <w:rFonts w:ascii="Times New Roman" w:hAnsi="Times New Roman" w:eastAsia="仿宋_GB2312" w:cs="Times New Roman"/>
          <w:sz w:val="32"/>
          <w:szCs w:val="32"/>
        </w:rPr>
        <w:t>%；与上年相比减少45.35万元，降低</w:t>
      </w:r>
      <w:r>
        <w:rPr>
          <w:rFonts w:hint="eastAsia" w:ascii="Times New Roman" w:hAnsi="Times New Roman" w:eastAsia="仿宋_GB2312" w:cs="Times New Roman"/>
          <w:sz w:val="32"/>
          <w:szCs w:val="32"/>
        </w:rPr>
        <w:t>20.32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公务接待减少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sz w:val="32"/>
          <w:szCs w:val="32"/>
        </w:rPr>
        <w:t>厉行节约，严格控制“三公”经费支出</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决算数等于年初预算数的主要原因是无因公出国安排</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2.公务用车购置费及运行维护费支出预算为218万元，支出决算为177</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81.41</w:t>
      </w:r>
      <w:r>
        <w:rPr>
          <w:rFonts w:ascii="Times New Roman" w:hAnsi="Times New Roman" w:eastAsia="仿宋_GB2312" w:cs="Times New Roman"/>
          <w:sz w:val="32"/>
          <w:szCs w:val="32"/>
        </w:rPr>
        <w:t>%；与上年相比减少43.46万元，降低</w:t>
      </w:r>
      <w:r>
        <w:rPr>
          <w:rFonts w:hint="eastAsia" w:ascii="Times New Roman" w:hAnsi="Times New Roman" w:eastAsia="仿宋_GB2312" w:cs="Times New Roman"/>
          <w:sz w:val="32"/>
          <w:szCs w:val="32"/>
        </w:rPr>
        <w:t>19.67</w:t>
      </w:r>
      <w:r>
        <w:rPr>
          <w:rFonts w:ascii="Times New Roman" w:hAnsi="Times New Roman" w:eastAsia="仿宋_GB2312" w:cs="Times New Roman"/>
          <w:sz w:val="32"/>
          <w:szCs w:val="32"/>
        </w:rPr>
        <w:t>%。其中：</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万元，支出决算为27</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19万元，完成预算的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%；与上年相比增加27</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19万元，增长</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%。决算数大于预算数的主要原因是</w:t>
      </w:r>
      <w:r>
        <w:rPr>
          <w:rFonts w:hint="eastAsia" w:ascii="仿宋_GB2312" w:eastAsia="仿宋_GB2312"/>
          <w:color w:val="auto"/>
          <w:sz w:val="32"/>
          <w:szCs w:val="32"/>
        </w:rPr>
        <w:t>新增公务用车一台</w:t>
      </w:r>
      <w:r>
        <w:rPr>
          <w:rFonts w:ascii="Times New Roman" w:hAnsi="Times New Roman" w:eastAsia="仿宋_GB2312" w:cs="Times New Roman"/>
          <w:color w:val="000000" w:themeColor="text1"/>
          <w:sz w:val="32"/>
          <w:szCs w:val="32"/>
          <w14:textFill>
            <w14:solidFill>
              <w14:schemeClr w14:val="tx1"/>
            </w14:solidFill>
          </w14:textFill>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公务用车运行维护费支出预算为218万元，支出决算为150</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万元，</w:t>
      </w:r>
    </w:p>
    <w:p>
      <w:pPr>
        <w:pStyle w:val="15"/>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车辆运维费用</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68.94</w:t>
      </w:r>
      <w:r>
        <w:rPr>
          <w:rFonts w:ascii="Times New Roman" w:hAnsi="Times New Roman" w:eastAsia="仿宋_GB2312" w:cs="Times New Roman"/>
          <w:sz w:val="32"/>
          <w:szCs w:val="32"/>
        </w:rPr>
        <w:t>%；与上年相比减少70.65万元，降低</w:t>
      </w:r>
      <w:r>
        <w:rPr>
          <w:rFonts w:hint="eastAsia" w:ascii="Times New Roman" w:hAnsi="Times New Roman" w:eastAsia="仿宋_GB2312" w:cs="Times New Roman"/>
          <w:sz w:val="32"/>
          <w:szCs w:val="32"/>
        </w:rPr>
        <w:t>31.98</w:t>
      </w:r>
      <w:r>
        <w:rPr>
          <w:rFonts w:ascii="Times New Roman" w:hAnsi="Times New Roman" w:eastAsia="仿宋_GB2312" w:cs="Times New Roman"/>
          <w:sz w:val="32"/>
          <w:szCs w:val="32"/>
        </w:rPr>
        <w:t>%。决算数小于预算数的主要原因是</w:t>
      </w:r>
      <w:r>
        <w:rPr>
          <w:rFonts w:hint="eastAsia" w:ascii="仿宋_GB2312" w:hAnsi="仿宋" w:eastAsia="仿宋_GB2312" w:cs="仿宋"/>
          <w:sz w:val="32"/>
          <w:szCs w:val="32"/>
        </w:rPr>
        <w:t>公车运行维护开支减少</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72</w:t>
      </w:r>
      <w:r>
        <w:rPr>
          <w:rFonts w:ascii="Times New Roman" w:hAnsi="Times New Roman" w:eastAsia="仿宋_GB2312" w:cs="Times New Roman"/>
          <w:sz w:val="32"/>
          <w:szCs w:val="32"/>
        </w:rPr>
        <w:t>辆。</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18</w:t>
      </w:r>
      <w:r>
        <w:rPr>
          <w:rFonts w:ascii="Times New Roman" w:hAnsi="Times New Roman" w:eastAsia="仿宋_GB2312" w:cs="Times New Roman"/>
          <w:sz w:val="32"/>
          <w:szCs w:val="32"/>
        </w:rPr>
        <w:t>%；与上年相比减少1.89万元，降低</w:t>
      </w:r>
      <w:r>
        <w:rPr>
          <w:rFonts w:hint="eastAsia" w:ascii="Times New Roman" w:hAnsi="Times New Roman" w:eastAsia="仿宋_GB2312" w:cs="Times New Roman"/>
          <w:sz w:val="32"/>
          <w:szCs w:val="32"/>
        </w:rPr>
        <w:t>84</w:t>
      </w:r>
      <w:r>
        <w:rPr>
          <w:rFonts w:ascii="Times New Roman" w:hAnsi="Times New Roman" w:eastAsia="仿宋_GB2312" w:cs="Times New Roman"/>
          <w:sz w:val="32"/>
          <w:szCs w:val="32"/>
        </w:rPr>
        <w:t>%。决算数小于预算数的主要原因是</w:t>
      </w:r>
      <w:r>
        <w:rPr>
          <w:rFonts w:hint="eastAsia" w:ascii="仿宋_GB2312" w:eastAsia="仿宋_GB2312"/>
          <w:color w:val="auto"/>
          <w:sz w:val="32"/>
          <w:szCs w:val="32"/>
        </w:rPr>
        <w:t>下半年规定单位不再安排公务接待</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本单位无政府性基金收支。</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年度机关运行经费支出758</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43万元，比年初预算数减少160.44万元，降低</w:t>
      </w:r>
      <w:r>
        <w:rPr>
          <w:rFonts w:hint="eastAsia" w:ascii="Times New Roman" w:hAnsi="Times New Roman" w:eastAsia="仿宋_GB2312" w:cs="Times New Roman"/>
          <w:sz w:val="32"/>
          <w:szCs w:val="32"/>
        </w:rPr>
        <w:t>17.46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本单位厉行节约</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0.32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具体内容涉密不予公开</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具体内容涉密不予公开</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年度政府采购支出总额266.95万元，其中：政府采购货物支出146.83万元、政府采购工程支出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120.12</w:t>
      </w:r>
      <w:r>
        <w:rPr>
          <w:rFonts w:ascii="Times New Roman" w:hAnsi="Times New Roman" w:eastAsia="仿宋_GB2312" w:cs="Times New Roman"/>
          <w:sz w:val="32"/>
          <w:szCs w:val="32"/>
        </w:rPr>
        <w:t>万元。授予中小企业合同金额266.95万元，占政府采购支出总额的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%，其中：授予小微企业合同金额266.95万元，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55</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45</w:t>
      </w:r>
      <w:r>
        <w:rPr>
          <w:rFonts w:ascii="Times New Roman" w:hAnsi="Times New Roman" w:eastAsia="仿宋_GB2312" w:cs="Times New Roman"/>
          <w:color w:val="auto"/>
          <w:sz w:val="32"/>
          <w:szCs w:val="32"/>
        </w:rPr>
        <w:t>%。</w:t>
      </w:r>
    </w:p>
    <w:p>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72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64</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8</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公务用</w:t>
      </w:r>
      <w:r>
        <w:rPr>
          <w:rFonts w:ascii="Times New Roman" w:hAnsi="Times New Roman" w:eastAsia="仿宋_GB2312" w:cs="Times New Roman"/>
          <w:color w:val="auto"/>
          <w:sz w:val="32"/>
          <w:szCs w:val="32"/>
        </w:rPr>
        <w:t>车；单位价值100万元以上设备</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pPr>
        <w:pStyle w:val="15"/>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本部门预算绩效管理开展情况、绩效目标和绩效评价报告等按照财政绩效部门要求已公开，见附件。</w:t>
      </w: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b/>
          <w:bCs/>
          <w:color w:val="000000"/>
          <w:kern w:val="0"/>
          <w:sz w:val="32"/>
          <w:szCs w:val="32"/>
        </w:rPr>
        <w:t>机关运行经费。</w:t>
      </w:r>
      <w:r>
        <w:rPr>
          <w:rFonts w:hint="eastAsia" w:ascii="Times New Roman" w:hAnsi="Times New Roman" w:eastAsia="仿宋_GB2312" w:cs="Times New Roman"/>
          <w:color w:val="000000"/>
          <w:kern w:val="0"/>
          <w:sz w:val="32"/>
          <w:szCs w:val="32"/>
        </w:rPr>
        <w:t>为保障行政单位（包括参照公务员管理的事业单位）运行。用一般公共预算拨款安排用于购买货物和服务的各项资金，包括办公及印刷费、邮电费、咨询费、会议费、福利费、日常维修费、办公用房水电费、公务用车维护费等。</w:t>
      </w:r>
    </w:p>
    <w:p>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rPr>
        <w:t>二、“三公”经费。</w:t>
      </w:r>
      <w:r>
        <w:rPr>
          <w:rFonts w:hint="eastAsia" w:ascii="Times New Roman" w:hAnsi="Times New Roman" w:eastAsia="仿宋_GB2312" w:cs="Times New Roman"/>
          <w:color w:val="000000"/>
          <w:kern w:val="0"/>
          <w:sz w:val="32"/>
          <w:szCs w:val="32"/>
        </w:rPr>
        <w:t>纳入财政预算管理的“三公”经费，是指用一般公共预算拨款安排的公务接待费、公共用车购置及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w:t>
      </w: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怀化市公安局交通管理支队</w:t>
      </w:r>
      <w:r>
        <w:rPr>
          <w:rFonts w:ascii="Times New Roman" w:hAnsi="Times New Roman" w:eastAsia="仿宋_GB2312" w:cs="Times New Roman"/>
          <w:sz w:val="32"/>
          <w:szCs w:val="32"/>
        </w:rPr>
        <w:t>部门整体支出绩效自评报告。</w:t>
      </w:r>
    </w:p>
    <w:p>
      <w:pPr>
        <w:pStyle w:val="15"/>
        <w:spacing w:line="600" w:lineRule="exact"/>
        <w:ind w:firstLine="640"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二、</w:t>
      </w:r>
      <w:r>
        <w:rPr>
          <w:rFonts w:hint="eastAsia" w:ascii="Times New Roman" w:hAnsi="Times New Roman" w:eastAsia="仿宋_GB2312" w:cs="Times New Roman"/>
          <w:sz w:val="32"/>
          <w:szCs w:val="32"/>
        </w:rPr>
        <w:t>2025年度怀化市公安局交通管理支队专项资金绩效自评报告。</w:t>
      </w:r>
    </w:p>
    <w:p>
      <w:pPr>
        <w:pStyle w:val="15"/>
        <w:spacing w:line="600" w:lineRule="exact"/>
        <w:ind w:firstLine="640" w:firstLineChars="200"/>
        <w:rPr>
          <w:rFonts w:ascii="Times New Roman" w:hAnsi="Times New Roman" w:eastAsia="仿宋_GB2312" w:cs="Times New Roman"/>
          <w:sz w:val="32"/>
          <w:szCs w:val="3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方正小标宋_GBK">
    <w:altName w:val="方正小标宋简体"/>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hakuyoxingshu7000"/>
    <w:panose1 w:val="00000000000000000000"/>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MfG7OrgEAAEsD&#10;AAAOAAAAAAAAAAEAIAAAAB4BAABkcnMvZTJvRG9jLnhtbFBLBQYAAAAABgAGAFkBAAA+BQ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9200DE9"/>
    <w:multiLevelType w:val="singleLevel"/>
    <w:tmpl w:val="A9200DE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7AE"/>
    <w:rsid w:val="00105433"/>
    <w:rsid w:val="001602EE"/>
    <w:rsid w:val="00160E90"/>
    <w:rsid w:val="001810FD"/>
    <w:rsid w:val="002A09A2"/>
    <w:rsid w:val="002A46A0"/>
    <w:rsid w:val="003577AE"/>
    <w:rsid w:val="003C6A67"/>
    <w:rsid w:val="004838D4"/>
    <w:rsid w:val="004B6C0F"/>
    <w:rsid w:val="0051465B"/>
    <w:rsid w:val="005325E1"/>
    <w:rsid w:val="0053711D"/>
    <w:rsid w:val="00553A94"/>
    <w:rsid w:val="00561187"/>
    <w:rsid w:val="005E7516"/>
    <w:rsid w:val="006635E1"/>
    <w:rsid w:val="00682A25"/>
    <w:rsid w:val="007015E3"/>
    <w:rsid w:val="00801699"/>
    <w:rsid w:val="0083258D"/>
    <w:rsid w:val="008876CA"/>
    <w:rsid w:val="008A211B"/>
    <w:rsid w:val="008C04F3"/>
    <w:rsid w:val="009057BB"/>
    <w:rsid w:val="00992699"/>
    <w:rsid w:val="009C31B8"/>
    <w:rsid w:val="009C6104"/>
    <w:rsid w:val="009E228C"/>
    <w:rsid w:val="00AD4FC9"/>
    <w:rsid w:val="00C45477"/>
    <w:rsid w:val="00D64CCB"/>
    <w:rsid w:val="00D96093"/>
    <w:rsid w:val="00DF5300"/>
    <w:rsid w:val="00F0194B"/>
    <w:rsid w:val="00F3769B"/>
    <w:rsid w:val="00F52E79"/>
    <w:rsid w:val="00F95DF3"/>
    <w:rsid w:val="00F962E5"/>
    <w:rsid w:val="00FA60AB"/>
    <w:rsid w:val="00FF1327"/>
    <w:rsid w:val="181E5648"/>
    <w:rsid w:val="249A5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7"/>
    <w:semiHidden/>
    <w:unhideWhenUsed/>
    <w:qFormat/>
    <w:uiPriority w:val="99"/>
    <w:rPr>
      <w:sz w:val="18"/>
      <w:szCs w:val="18"/>
    </w:rPr>
  </w:style>
  <w:style w:type="paragraph" w:styleId="6">
    <w:name w:val="footer"/>
    <w:basedOn w:val="1"/>
    <w:link w:val="22"/>
    <w:unhideWhenUsed/>
    <w:qFormat/>
    <w:uiPriority w:val="99"/>
    <w:pPr>
      <w:tabs>
        <w:tab w:val="center" w:pos="4153"/>
        <w:tab w:val="right" w:pos="8306"/>
      </w:tabs>
      <w:snapToGrid w:val="0"/>
      <w:jc w:val="left"/>
    </w:pPr>
    <w:rPr>
      <w:sz w:val="18"/>
      <w:szCs w:val="18"/>
    </w:rPr>
  </w:style>
  <w:style w:type="paragraph" w:styleId="7">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uiPriority w:val="0"/>
    <w:tblPr>
      <w:tblBorders>
        <w:top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style>
  <w:style w:type="paragraph" w:customStyle="1" w:styleId="11">
    <w:name w:val="Footer"/>
    <w:basedOn w:val="1"/>
    <w:link w:val="14"/>
    <w:unhideWhenUsed/>
    <w:qFormat/>
    <w:uiPriority w:val="99"/>
    <w:pPr>
      <w:tabs>
        <w:tab w:val="center" w:pos="4153"/>
        <w:tab w:val="right" w:pos="8306"/>
      </w:tabs>
      <w:snapToGrid w:val="0"/>
      <w:jc w:val="left"/>
    </w:pPr>
    <w:rPr>
      <w:sz w:val="18"/>
      <w:szCs w:val="18"/>
    </w:rPr>
  </w:style>
  <w:style w:type="paragraph" w:customStyle="1" w:styleId="12">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
    <w:name w:val="页眉 Char"/>
    <w:basedOn w:val="10"/>
    <w:link w:val="12"/>
    <w:qFormat/>
    <w:uiPriority w:val="99"/>
    <w:rPr>
      <w:sz w:val="18"/>
      <w:szCs w:val="18"/>
    </w:rPr>
  </w:style>
  <w:style w:type="character" w:customStyle="1" w:styleId="14">
    <w:name w:val="页脚 Char"/>
    <w:basedOn w:val="10"/>
    <w:link w:val="11"/>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0"/>
    <w:link w:val="5"/>
    <w:semiHidden/>
    <w:qFormat/>
    <w:uiPriority w:val="99"/>
    <w:rPr>
      <w:sz w:val="18"/>
      <w:szCs w:val="18"/>
    </w:rPr>
  </w:style>
  <w:style w:type="character" w:customStyle="1" w:styleId="18">
    <w:name w:val="font01"/>
    <w:basedOn w:val="10"/>
    <w:qFormat/>
    <w:uiPriority w:val="0"/>
    <w:rPr>
      <w:rFonts w:hint="eastAsia" w:ascii="宋体" w:hAnsi="宋体" w:eastAsia="宋体" w:cs="宋体"/>
      <w:color w:val="000000"/>
      <w:sz w:val="22"/>
      <w:szCs w:val="22"/>
      <w:u w:val="none"/>
    </w:rPr>
  </w:style>
  <w:style w:type="character" w:customStyle="1" w:styleId="19">
    <w:name w:val="font21"/>
    <w:basedOn w:val="10"/>
    <w:qFormat/>
    <w:uiPriority w:val="0"/>
    <w:rPr>
      <w:rFonts w:hint="eastAsia" w:ascii="宋体" w:hAnsi="宋体" w:eastAsia="宋体" w:cs="宋体"/>
      <w:color w:val="000000"/>
      <w:sz w:val="24"/>
      <w:szCs w:val="24"/>
      <w:u w:val="none"/>
    </w:rPr>
  </w:style>
  <w:style w:type="character" w:customStyle="1" w:styleId="20">
    <w:name w:val="font11"/>
    <w:basedOn w:val="10"/>
    <w:qFormat/>
    <w:uiPriority w:val="0"/>
    <w:rPr>
      <w:rFonts w:hint="eastAsia" w:ascii="宋体" w:hAnsi="宋体" w:eastAsia="宋体" w:cs="宋体"/>
      <w:color w:val="000000"/>
      <w:sz w:val="24"/>
      <w:szCs w:val="24"/>
      <w:u w:val="none"/>
    </w:rPr>
  </w:style>
  <w:style w:type="character" w:customStyle="1" w:styleId="21">
    <w:name w:val="页眉 Char1"/>
    <w:basedOn w:val="10"/>
    <w:link w:val="7"/>
    <w:uiPriority w:val="99"/>
    <w:rPr>
      <w:rFonts w:asciiTheme="minorHAnsi" w:hAnsiTheme="minorHAnsi" w:eastAsiaTheme="minorEastAsia" w:cstheme="minorBidi"/>
      <w:kern w:val="2"/>
      <w:sz w:val="18"/>
      <w:szCs w:val="18"/>
    </w:rPr>
  </w:style>
  <w:style w:type="character" w:customStyle="1" w:styleId="22">
    <w:name w:val="页脚 Char1"/>
    <w:basedOn w:val="10"/>
    <w:link w:val="6"/>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F27F78-5CDE-41FD-AB6C-C9EAD44EFE8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2308</Words>
  <Characters>13160</Characters>
  <Lines>109</Lines>
  <Paragraphs>30</Paragraphs>
  <TotalTime>454</TotalTime>
  <ScaleCrop>false</ScaleCrop>
  <LinksUpToDate>false</LinksUpToDate>
  <CharactersWithSpaces>15438</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2026-09-18T09:01:00Z</dcterms:created>
  <dc:creator>李航 null</dc:creator>
  <cp:lastModifiedBy>Administrator</cp:lastModifiedBy>
  <cp:lastPrinted>2024-08-10T02:20:00Z</cp:lastPrinted>
  <dcterms:modified xsi:type="dcterms:W3CDTF">2026-09-23T00:44:12Z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4F0B27C0AAC35EFA9177686ADDD5E058</vt:lpwstr>
  </property>
</Properties>
</file>